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0860B">
      <w:pPr>
        <w:keepNext w:val="0"/>
        <w:keepLines w:val="0"/>
        <w:pageBreakBefore w:val="0"/>
        <w:widowControl/>
        <w:kinsoku/>
        <w:wordWrap w:val="0"/>
        <w:overflowPunct/>
        <w:topLinePunct/>
        <w:autoSpaceDE/>
        <w:autoSpaceDN/>
        <w:bidi w:val="0"/>
        <w:adjustRightInd/>
        <w:snapToGrid/>
        <w:jc w:val="center"/>
        <w:textAlignment w:val="baseline"/>
        <w:rPr>
          <w:rFonts w:hint="eastAsia" w:ascii="宋体" w:hAnsi="宋体" w:eastAsia="宋体" w:cs="宋体"/>
          <w:b/>
          <w:bCs/>
          <w:color w:val="auto"/>
          <w:spacing w:val="0"/>
          <w:position w:val="0"/>
          <w:sz w:val="72"/>
          <w:szCs w:val="72"/>
          <w:highlight w:val="none"/>
          <w:lang w:eastAsia="zh-CN"/>
        </w:rPr>
      </w:pPr>
      <w:r>
        <w:rPr>
          <w:rFonts w:hint="eastAsia" w:ascii="宋体" w:hAnsi="宋体" w:eastAsia="宋体" w:cs="宋体"/>
          <w:b/>
          <w:bCs/>
          <w:color w:val="auto"/>
          <w:spacing w:val="0"/>
          <w:position w:val="0"/>
          <w:sz w:val="66"/>
          <w:szCs w:val="66"/>
          <w:highlight w:val="none"/>
          <w:lang w:eastAsia="zh-CN"/>
          <w14:shadow w14:blurRad="50800" w14:dist="38100" w14:dir="2700000" w14:sx="100000" w14:sy="100000" w14:kx="0" w14:ky="0" w14:algn="tl">
            <w14:srgbClr w14:val="000000">
              <w14:alpha w14:val="60000"/>
            </w14:srgbClr>
          </w14:shadow>
        </w:rPr>
        <w:t>广西</w:t>
      </w:r>
      <w:r>
        <w:rPr>
          <w:rFonts w:hint="eastAsia" w:ascii="宋体" w:hAnsi="宋体" w:cs="宋体"/>
          <w:b/>
          <w:bCs/>
          <w:color w:val="auto"/>
          <w:spacing w:val="0"/>
          <w:position w:val="0"/>
          <w:sz w:val="66"/>
          <w:szCs w:val="66"/>
          <w:highlight w:val="none"/>
          <w:lang w:eastAsia="zh-CN"/>
          <w14:shadow w14:blurRad="50800" w14:dist="38100" w14:dir="2700000" w14:sx="100000" w14:sy="100000" w14:kx="0" w14:ky="0" w14:algn="tl">
            <w14:srgbClr w14:val="000000">
              <w14:alpha w14:val="60000"/>
            </w14:srgbClr>
          </w14:shadow>
        </w:rPr>
        <w:t>至胜</w:t>
      </w:r>
      <w:r>
        <w:rPr>
          <w:rFonts w:hint="eastAsia" w:ascii="宋体" w:hAnsi="宋体" w:eastAsia="宋体" w:cs="宋体"/>
          <w:b/>
          <w:bCs/>
          <w:color w:val="auto"/>
          <w:spacing w:val="0"/>
          <w:position w:val="0"/>
          <w:sz w:val="66"/>
          <w:szCs w:val="66"/>
          <w:highlight w:val="none"/>
          <w:lang w:eastAsia="zh-CN"/>
          <w14:shadow w14:blurRad="50800" w14:dist="38100" w14:dir="2700000" w14:sx="100000" w14:sy="100000" w14:kx="0" w14:ky="0" w14:algn="tl">
            <w14:srgbClr w14:val="000000">
              <w14:alpha w14:val="60000"/>
            </w14:srgbClr>
          </w14:shadow>
        </w:rPr>
        <w:t>招标有限公司</w:t>
      </w:r>
    </w:p>
    <w:p w14:paraId="3A8BE04E">
      <w:pPr>
        <w:pStyle w:val="11"/>
        <w:pageBreakBefore w:val="0"/>
        <w:kinsoku/>
        <w:wordWrap w:val="0"/>
        <w:overflowPunct/>
        <w:topLinePunct/>
        <w:autoSpaceDE/>
        <w:autoSpaceDN/>
        <w:bidi w:val="0"/>
        <w:jc w:val="center"/>
        <w:rPr>
          <w:rFonts w:hint="eastAsia" w:ascii="宋体" w:hAnsi="宋体" w:eastAsia="宋体" w:cs="宋体"/>
          <w:color w:val="auto"/>
          <w:spacing w:val="0"/>
          <w:position w:val="0"/>
          <w:sz w:val="32"/>
          <w:szCs w:val="32"/>
          <w:highlight w:val="none"/>
          <w:u w:val="none"/>
          <w:lang w:eastAsia="zh-CN"/>
        </w:rPr>
      </w:pPr>
      <w:r>
        <w:rPr>
          <w:rFonts w:hint="eastAsia" w:ascii="宋体" w:hAnsi="宋体" w:eastAsia="宋体" w:cs="宋体"/>
          <w:color w:val="auto"/>
          <w:spacing w:val="0"/>
          <w:position w:val="0"/>
          <w:sz w:val="20"/>
          <w:highlight w:val="none"/>
          <w:u w:val="single"/>
        </w:rPr>
        <mc:AlternateContent>
          <mc:Choice Requires="wps">
            <w:drawing>
              <wp:anchor distT="0" distB="0" distL="114300" distR="114300" simplePos="0" relativeHeight="251659264" behindDoc="0" locked="0" layoutInCell="1" allowOverlap="1">
                <wp:simplePos x="0" y="0"/>
                <wp:positionH relativeFrom="column">
                  <wp:posOffset>-309880</wp:posOffset>
                </wp:positionH>
                <wp:positionV relativeFrom="paragraph">
                  <wp:posOffset>236220</wp:posOffset>
                </wp:positionV>
                <wp:extent cx="6316345" cy="11430"/>
                <wp:effectExtent l="0" t="13970" r="8255" b="31750"/>
                <wp:wrapNone/>
                <wp:docPr id="1" name="直接连接符 1"/>
                <wp:cNvGraphicFramePr/>
                <a:graphic xmlns:a="http://schemas.openxmlformats.org/drawingml/2006/main">
                  <a:graphicData uri="http://schemas.microsoft.com/office/word/2010/wordprocessingShape">
                    <wps:wsp>
                      <wps:cNvCnPr/>
                      <wps:spPr>
                        <a:xfrm>
                          <a:off x="0" y="0"/>
                          <a:ext cx="6316345" cy="1143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4pt;margin-top:18.6pt;height:0.9pt;width:497.35pt;z-index:251659264;mso-width-relative:page;mso-height-relative:page;" filled="f" stroked="t" coordsize="21600,21600" o:gfxdata="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k4nRdkAAAAJAQAADwAAAAAAAAABACAAAAAiAAAAZHJzL2Rvd25yZXYu&#10;eG1sUEsBAhQAFAAAAAgAh07iQIclfc36AQAA6QMAAA4AAAAAAAAAAQAgAAAAKAEAAGRycy9lMm9E&#10;b2MueG1sUEsFBgAAAAAGAAYAWQEAAJQFAAAAAA==&#10;">
                <v:fill on="f" focussize="0,0"/>
                <v:stroke weight="2.25pt" color="#000000" joinstyle="round"/>
                <v:imagedata o:title=""/>
                <o:lock v:ext="edit" aspectratio="f"/>
              </v:line>
            </w:pict>
          </mc:Fallback>
        </mc:AlternateContent>
      </w:r>
    </w:p>
    <w:p w14:paraId="4AC9D9E0">
      <w:pPr>
        <w:pStyle w:val="11"/>
        <w:pageBreakBefore w:val="0"/>
        <w:tabs>
          <w:tab w:val="left" w:pos="7854"/>
        </w:tabs>
        <w:kinsoku/>
        <w:wordWrap w:val="0"/>
        <w:overflowPunct/>
        <w:topLinePunct/>
        <w:autoSpaceDE/>
        <w:autoSpaceDN/>
        <w:bidi w:val="0"/>
        <w:rPr>
          <w:rFonts w:hint="eastAsia" w:ascii="宋体" w:hAnsi="宋体" w:eastAsia="宋体" w:cs="宋体"/>
          <w:color w:val="auto"/>
          <w:spacing w:val="0"/>
          <w:position w:val="0"/>
          <w:sz w:val="20"/>
          <w:highlight w:val="none"/>
          <w:lang w:eastAsia="zh-CN"/>
        </w:rPr>
      </w:pPr>
    </w:p>
    <w:p w14:paraId="69A80BF0">
      <w:pPr>
        <w:pageBreakBefore w:val="0"/>
        <w:tabs>
          <w:tab w:val="left" w:pos="1079"/>
          <w:tab w:val="left" w:pos="3240"/>
        </w:tabs>
        <w:kinsoku/>
        <w:wordWrap w:val="0"/>
        <w:overflowPunct/>
        <w:topLinePunct/>
        <w:autoSpaceDE/>
        <w:autoSpaceDN/>
        <w:bidi w:val="0"/>
        <w:spacing w:line="821" w:lineRule="exact"/>
        <w:ind w:right="138"/>
        <w:jc w:val="both"/>
        <w:rPr>
          <w:rFonts w:hint="eastAsia" w:ascii="宋体" w:hAnsi="宋体" w:eastAsia="宋体" w:cs="宋体"/>
          <w:color w:val="auto"/>
          <w:spacing w:val="0"/>
          <w:position w:val="0"/>
          <w:sz w:val="72"/>
          <w:highlight w:val="none"/>
          <w:lang w:eastAsia="zh-CN"/>
        </w:rPr>
      </w:pPr>
    </w:p>
    <w:p w14:paraId="7E663C94">
      <w:pPr>
        <w:pageBreakBefore w:val="0"/>
        <w:tabs>
          <w:tab w:val="left" w:pos="1079"/>
          <w:tab w:val="left" w:pos="3240"/>
        </w:tabs>
        <w:kinsoku/>
        <w:wordWrap w:val="0"/>
        <w:overflowPunct/>
        <w:topLinePunct/>
        <w:autoSpaceDE/>
        <w:autoSpaceDN/>
        <w:bidi w:val="0"/>
        <w:spacing w:line="821" w:lineRule="exact"/>
        <w:ind w:right="138"/>
        <w:jc w:val="center"/>
        <w:rPr>
          <w:rFonts w:hint="eastAsia" w:ascii="宋体" w:hAnsi="宋体" w:eastAsia="宋体" w:cs="宋体"/>
          <w:color w:val="auto"/>
          <w:spacing w:val="0"/>
          <w:position w:val="0"/>
          <w:sz w:val="72"/>
          <w:highlight w:val="none"/>
          <w:lang w:eastAsia="zh-CN"/>
        </w:rPr>
      </w:pPr>
      <w:r>
        <w:rPr>
          <w:rFonts w:hint="eastAsia" w:ascii="宋体" w:hAnsi="宋体" w:eastAsia="宋体" w:cs="宋体"/>
          <w:color w:val="auto"/>
          <w:spacing w:val="0"/>
          <w:position w:val="0"/>
          <w:sz w:val="72"/>
          <w:highlight w:val="none"/>
          <w:lang w:val="en-US" w:eastAsia="zh-CN"/>
        </w:rPr>
        <w:t>竞争性磋商采购文件</w:t>
      </w:r>
    </w:p>
    <w:p w14:paraId="3C404152">
      <w:pPr>
        <w:pStyle w:val="11"/>
        <w:pageBreakBefore w:val="0"/>
        <w:kinsoku/>
        <w:wordWrap w:val="0"/>
        <w:overflowPunct/>
        <w:topLinePunct/>
        <w:autoSpaceDE/>
        <w:autoSpaceDN/>
        <w:bidi w:val="0"/>
        <w:rPr>
          <w:rFonts w:hint="eastAsia" w:ascii="宋体" w:hAnsi="宋体" w:eastAsia="宋体" w:cs="宋体"/>
          <w:color w:val="auto"/>
          <w:spacing w:val="0"/>
          <w:position w:val="0"/>
          <w:sz w:val="68"/>
          <w:highlight w:val="none"/>
          <w:lang w:eastAsia="zh-CN"/>
        </w:rPr>
      </w:pPr>
    </w:p>
    <w:p w14:paraId="16CEA0CB">
      <w:pPr>
        <w:pStyle w:val="27"/>
        <w:pageBreakBefore w:val="0"/>
        <w:kinsoku/>
        <w:wordWrap w:val="0"/>
        <w:overflowPunct/>
        <w:topLinePunct/>
        <w:autoSpaceDE/>
        <w:autoSpaceDN/>
        <w:bidi w:val="0"/>
        <w:rPr>
          <w:rFonts w:hint="eastAsia" w:ascii="宋体" w:hAnsi="宋体" w:eastAsia="宋体" w:cs="宋体"/>
          <w:color w:val="auto"/>
          <w:spacing w:val="0"/>
          <w:position w:val="0"/>
          <w:sz w:val="68"/>
          <w:highlight w:val="none"/>
          <w:lang w:eastAsia="zh-CN"/>
        </w:rPr>
      </w:pPr>
    </w:p>
    <w:p w14:paraId="1D0E96B4">
      <w:pPr>
        <w:pageBreakBefore w:val="0"/>
        <w:kinsoku/>
        <w:wordWrap w:val="0"/>
        <w:overflowPunct/>
        <w:topLinePunct/>
        <w:autoSpaceDE/>
        <w:autoSpaceDN/>
        <w:bidi w:val="0"/>
        <w:rPr>
          <w:rFonts w:hint="eastAsia" w:ascii="宋体" w:hAnsi="宋体" w:eastAsia="宋体" w:cs="宋体"/>
          <w:color w:val="auto"/>
          <w:spacing w:val="0"/>
          <w:position w:val="0"/>
          <w:highlight w:val="none"/>
          <w:lang w:eastAsia="zh-CN"/>
        </w:rPr>
      </w:pPr>
    </w:p>
    <w:p w14:paraId="276DD320">
      <w:pPr>
        <w:pStyle w:val="11"/>
        <w:pageBreakBefore w:val="0"/>
        <w:kinsoku/>
        <w:wordWrap w:val="0"/>
        <w:overflowPunct/>
        <w:topLinePunct/>
        <w:autoSpaceDE/>
        <w:autoSpaceDN/>
        <w:bidi w:val="0"/>
        <w:rPr>
          <w:rFonts w:hint="eastAsia" w:ascii="宋体" w:hAnsi="宋体" w:eastAsia="宋体" w:cs="宋体"/>
          <w:color w:val="auto"/>
          <w:spacing w:val="0"/>
          <w:position w:val="0"/>
          <w:sz w:val="20"/>
          <w:highlight w:val="none"/>
          <w:lang w:eastAsia="zh-CN"/>
        </w:rPr>
      </w:pPr>
    </w:p>
    <w:p w14:paraId="211A8BEF">
      <w:pPr>
        <w:keepNext w:val="0"/>
        <w:keepLines w:val="0"/>
        <w:pageBreakBefore w:val="0"/>
        <w:widowControl w:val="0"/>
        <w:kinsoku/>
        <w:wordWrap w:val="0"/>
        <w:overflowPunct/>
        <w:topLinePunct/>
        <w:autoSpaceDE/>
        <w:autoSpaceDN/>
        <w:bidi w:val="0"/>
        <w:adjustRightInd/>
        <w:snapToGrid/>
        <w:spacing w:after="0" w:afterLines="100"/>
        <w:ind w:firstLine="640" w:firstLineChars="200"/>
        <w:textAlignment w:val="auto"/>
        <w:rPr>
          <w:rFonts w:hint="eastAsia" w:ascii="宋体" w:hAnsi="宋体" w:eastAsia="宋体" w:cs="宋体"/>
          <w:color w:val="auto"/>
          <w:spacing w:val="0"/>
          <w:position w:val="0"/>
          <w:sz w:val="32"/>
          <w:highlight w:val="none"/>
          <w:lang w:eastAsia="zh-CN"/>
        </w:rPr>
      </w:pPr>
      <w:r>
        <w:rPr>
          <w:rFonts w:hint="eastAsia" w:ascii="宋体" w:hAnsi="宋体" w:eastAsia="宋体" w:cs="宋体"/>
          <w:color w:val="auto"/>
          <w:spacing w:val="0"/>
          <w:position w:val="0"/>
          <w:sz w:val="32"/>
          <w:highlight w:val="none"/>
        </w:rPr>
        <w:t>项目名称：</w:t>
      </w:r>
      <w:r>
        <w:rPr>
          <w:rFonts w:hint="eastAsia" w:ascii="宋体" w:hAnsi="宋体" w:cs="宋体"/>
          <w:color w:val="auto"/>
          <w:spacing w:val="0"/>
          <w:position w:val="0"/>
          <w:sz w:val="32"/>
          <w:highlight w:val="none"/>
          <w:lang w:eastAsia="zh-CN"/>
        </w:rPr>
        <w:t>浦北大红柑智慧农业示范带提升项目茅家上子塘基地产业路</w:t>
      </w:r>
    </w:p>
    <w:p w14:paraId="34DE4FE3">
      <w:pPr>
        <w:pageBreakBefore w:val="0"/>
        <w:kinsoku/>
        <w:wordWrap w:val="0"/>
        <w:overflowPunct/>
        <w:topLinePunct/>
        <w:autoSpaceDE/>
        <w:autoSpaceDN/>
        <w:bidi w:val="0"/>
        <w:ind w:firstLine="640" w:firstLineChars="200"/>
        <w:rPr>
          <w:rFonts w:hint="eastAsia" w:ascii="宋体" w:hAnsi="宋体" w:eastAsia="宋体" w:cs="宋体"/>
          <w:color w:val="auto"/>
          <w:spacing w:val="0"/>
          <w:position w:val="0"/>
          <w:sz w:val="32"/>
          <w:szCs w:val="32"/>
          <w:highlight w:val="none"/>
          <w:lang w:eastAsia="zh-CN"/>
        </w:rPr>
      </w:pPr>
      <w:r>
        <w:rPr>
          <w:rFonts w:hint="eastAsia" w:ascii="宋体" w:hAnsi="宋体" w:eastAsia="宋体" w:cs="宋体"/>
          <w:color w:val="auto"/>
          <w:spacing w:val="0"/>
          <w:position w:val="0"/>
          <w:sz w:val="32"/>
          <w:szCs w:val="32"/>
          <w:highlight w:val="none"/>
        </w:rPr>
        <w:t>项目编号：</w:t>
      </w:r>
      <w:r>
        <w:rPr>
          <w:rFonts w:hint="eastAsia" w:ascii="宋体" w:hAnsi="宋体" w:cs="宋体"/>
          <w:color w:val="auto"/>
          <w:spacing w:val="0"/>
          <w:position w:val="0"/>
          <w:sz w:val="32"/>
          <w:szCs w:val="32"/>
          <w:highlight w:val="none"/>
          <w:lang w:eastAsia="zh-CN"/>
        </w:rPr>
        <w:t>QZZC2025-C2-220206-ZSZB</w:t>
      </w:r>
    </w:p>
    <w:p w14:paraId="7A2DEA31">
      <w:pPr>
        <w:pageBreakBefore w:val="0"/>
        <w:kinsoku/>
        <w:wordWrap w:val="0"/>
        <w:overflowPunct/>
        <w:topLinePunct/>
        <w:autoSpaceDE/>
        <w:autoSpaceDN/>
        <w:bidi w:val="0"/>
        <w:rPr>
          <w:rFonts w:hint="eastAsia" w:ascii="宋体" w:hAnsi="宋体" w:eastAsia="宋体" w:cs="宋体"/>
          <w:color w:val="auto"/>
          <w:spacing w:val="0"/>
          <w:position w:val="0"/>
          <w:highlight w:val="none"/>
          <w:lang w:eastAsia="zh-CN"/>
        </w:rPr>
      </w:pPr>
    </w:p>
    <w:p w14:paraId="013E9678">
      <w:pPr>
        <w:pStyle w:val="11"/>
        <w:pageBreakBefore w:val="0"/>
        <w:kinsoku/>
        <w:wordWrap w:val="0"/>
        <w:overflowPunct/>
        <w:topLinePunct/>
        <w:autoSpaceDE/>
        <w:autoSpaceDN/>
        <w:bidi w:val="0"/>
        <w:rPr>
          <w:rFonts w:hint="eastAsia" w:ascii="宋体" w:hAnsi="宋体" w:eastAsia="宋体" w:cs="宋体"/>
          <w:color w:val="auto"/>
          <w:spacing w:val="0"/>
          <w:position w:val="0"/>
          <w:sz w:val="20"/>
          <w:highlight w:val="none"/>
          <w:lang w:eastAsia="zh-CN"/>
        </w:rPr>
      </w:pPr>
      <w:r>
        <w:rPr>
          <w:rFonts w:hint="eastAsia" w:ascii="宋体" w:hAnsi="宋体" w:eastAsia="宋体" w:cs="宋体"/>
          <w:color w:val="auto"/>
          <w:spacing w:val="0"/>
          <w:position w:val="0"/>
          <w:sz w:val="20"/>
          <w:highlight w:val="none"/>
          <w:u w:val="single"/>
        </w:rPr>
        <mc:AlternateContent>
          <mc:Choice Requires="wps">
            <w:drawing>
              <wp:anchor distT="0" distB="0" distL="114300" distR="114300" simplePos="0" relativeHeight="251663360" behindDoc="0" locked="0" layoutInCell="1" allowOverlap="1">
                <wp:simplePos x="0" y="0"/>
                <wp:positionH relativeFrom="column">
                  <wp:posOffset>-452755</wp:posOffset>
                </wp:positionH>
                <wp:positionV relativeFrom="paragraph">
                  <wp:posOffset>56515</wp:posOffset>
                </wp:positionV>
                <wp:extent cx="6353810" cy="36195"/>
                <wp:effectExtent l="0" t="13970" r="8890" b="26035"/>
                <wp:wrapNone/>
                <wp:docPr id="8" name="直接连接符 8"/>
                <wp:cNvGraphicFramePr/>
                <a:graphic xmlns:a="http://schemas.openxmlformats.org/drawingml/2006/main">
                  <a:graphicData uri="http://schemas.microsoft.com/office/word/2010/wordprocessingShape">
                    <wps:wsp>
                      <wps:cNvCnPr/>
                      <wps:spPr>
                        <a:xfrm flipV="1">
                          <a:off x="0" y="0"/>
                          <a:ext cx="6353810" cy="3619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5.65pt;margin-top:4.45pt;height:2.85pt;width:500.3pt;z-index:251663360;mso-width-relative:page;mso-height-relative:page;" filled="f" stroked="t" coordsize="21600,21600" o:gfxdata="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iNKJf1gAAAAgBAAAPAAAAAAAAAAEAIAAAACIAAABkcnMvZG93bnJl&#10;di54bWxQSwECFAAUAAAACACHTuJADLn/NP8BAADzAwAADgAAAAAAAAABACAAAAAlAQAAZHJzL2Uy&#10;b0RvYy54bWxQSwUGAAAAAAYABgBZAQAAlgUAAAAA&#10;">
                <v:fill on="f" focussize="0,0"/>
                <v:stroke weight="2.25pt" color="#000000" joinstyle="round"/>
                <v:imagedata o:title=""/>
                <o:lock v:ext="edit" aspectratio="f"/>
              </v:line>
            </w:pict>
          </mc:Fallback>
        </mc:AlternateContent>
      </w:r>
    </w:p>
    <w:p w14:paraId="73499CAD">
      <w:pPr>
        <w:pStyle w:val="11"/>
        <w:pageBreakBefore w:val="0"/>
        <w:kinsoku/>
        <w:wordWrap w:val="0"/>
        <w:overflowPunct/>
        <w:topLinePunct/>
        <w:autoSpaceDE/>
        <w:autoSpaceDN/>
        <w:bidi w:val="0"/>
        <w:rPr>
          <w:rFonts w:hint="eastAsia" w:ascii="宋体" w:hAnsi="宋体" w:eastAsia="宋体" w:cs="宋体"/>
          <w:bCs/>
          <w:color w:val="auto"/>
          <w:spacing w:val="0"/>
          <w:position w:val="0"/>
          <w:sz w:val="32"/>
          <w:szCs w:val="32"/>
          <w:highlight w:val="none"/>
          <w:lang w:eastAsia="zh-CN"/>
        </w:rPr>
      </w:pPr>
      <w:r>
        <w:rPr>
          <w:rFonts w:hint="eastAsia" w:ascii="宋体" w:hAnsi="宋体" w:eastAsia="宋体" w:cs="宋体"/>
          <w:color w:val="auto"/>
          <w:spacing w:val="0"/>
          <w:position w:val="0"/>
          <w:sz w:val="32"/>
          <w:szCs w:val="32"/>
          <w:highlight w:val="none"/>
          <w:u w:val="single"/>
        </w:rPr>
        <mc:AlternateContent>
          <mc:Choice Requires="wps">
            <w:drawing>
              <wp:anchor distT="0" distB="0" distL="114300" distR="114300" simplePos="0" relativeHeight="251661312" behindDoc="0" locked="0" layoutInCell="1" allowOverlap="1">
                <wp:simplePos x="0" y="0"/>
                <wp:positionH relativeFrom="column">
                  <wp:posOffset>575310</wp:posOffset>
                </wp:positionH>
                <wp:positionV relativeFrom="paragraph">
                  <wp:posOffset>7171690</wp:posOffset>
                </wp:positionV>
                <wp:extent cx="6229350" cy="635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5.3pt;margin-top:564.7pt;height:0.5pt;width:490.5pt;z-index:251661312;mso-width-relative:page;mso-height-relative:page;" filled="f" stroked="t" coordsize="21600,21600" o:gfxdata="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3qOoNkAAAANAQAADwAAAAAAAAABACAAAAAiAAAAZHJzL2Rvd25y&#10;ZXYueG1sUEsBAhQAFAAAAAgAh07iQEp7EJr9AQAA8gMAAA4AAAAAAAAAAQAgAAAAKAEAAGRycy9l&#10;Mm9Eb2MueG1sUEsFBgAAAAAGAAYAWQEAAJcFAAAAAA==&#10;">
                <v:fill on="f" focussize="0,0"/>
                <v:stroke weight="2.25pt" color="#000000" joinstyle="round"/>
                <v:imagedata o:title=""/>
                <o:lock v:ext="edit" aspectratio="f"/>
              </v:line>
            </w:pict>
          </mc:Fallback>
        </mc:AlternateContent>
      </w:r>
      <w:r>
        <w:rPr>
          <w:rFonts w:hint="eastAsia" w:ascii="宋体" w:hAnsi="宋体" w:eastAsia="宋体" w:cs="宋体"/>
          <w:color w:val="auto"/>
          <w:spacing w:val="0"/>
          <w:position w:val="0"/>
          <w:sz w:val="32"/>
          <w:szCs w:val="32"/>
          <w:highlight w:val="none"/>
          <w:u w:val="single"/>
        </w:rPr>
        <mc:AlternateContent>
          <mc:Choice Requires="wps">
            <w:drawing>
              <wp:anchor distT="0" distB="0" distL="114300" distR="114300" simplePos="0" relativeHeight="251660288" behindDoc="0" locked="0" layoutInCell="1" allowOverlap="1">
                <wp:simplePos x="0" y="0"/>
                <wp:positionH relativeFrom="column">
                  <wp:posOffset>422910</wp:posOffset>
                </wp:positionH>
                <wp:positionV relativeFrom="paragraph">
                  <wp:posOffset>7019290</wp:posOffset>
                </wp:positionV>
                <wp:extent cx="6229350" cy="635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3.3pt;margin-top:552.7pt;height:0.5pt;width:490.5pt;z-index:251660288;mso-width-relative:page;mso-height-relative:page;" filled="f" stroked="t" coordsize="21600,21600" o:gfxdata="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r4WDbYAAAADQEAAA8AAAAAAAAAAQAgAAAAIgAAAGRycy9kb3ducmV2&#10;LnhtbFBLAQIUABQAAAAIAIdO4kCal1zf/AEAAPIDAAAOAAAAAAAAAAEAIAAAACcBAABkcnMvZTJv&#10;RG9jLnhtbFBLBQYAAAAABgAGAFkBAACVBQAAAAA=&#10;">
                <v:fill on="f" focussize="0,0"/>
                <v:stroke weight="2.25pt" color="#000000" joinstyle="round"/>
                <v:imagedata o:title=""/>
                <o:lock v:ext="edit" aspectratio="f"/>
              </v:line>
            </w:pict>
          </mc:Fallback>
        </mc:AlternateContent>
      </w:r>
      <w:r>
        <w:rPr>
          <w:rFonts w:hint="eastAsia" w:ascii="宋体" w:hAnsi="宋体" w:eastAsia="宋体" w:cs="宋体"/>
          <w:color w:val="auto"/>
          <w:spacing w:val="0"/>
          <w:position w:val="0"/>
          <w:sz w:val="32"/>
          <w:szCs w:val="32"/>
          <w:highlight w:val="none"/>
        </w:rPr>
        <w:t xml:space="preserve">            采购单位：</w:t>
      </w:r>
      <w:r>
        <w:rPr>
          <w:rFonts w:hint="eastAsia" w:hAnsi="宋体" w:cs="宋体"/>
          <w:color w:val="auto"/>
          <w:spacing w:val="0"/>
          <w:kern w:val="0"/>
          <w:position w:val="0"/>
          <w:sz w:val="32"/>
          <w:szCs w:val="32"/>
          <w:highlight w:val="none"/>
          <w:lang w:eastAsia="zh-CN"/>
        </w:rPr>
        <w:t>浦北县龙门镇人民政府</w:t>
      </w:r>
    </w:p>
    <w:p w14:paraId="1393FFEC">
      <w:pPr>
        <w:keepNext w:val="0"/>
        <w:keepLines w:val="0"/>
        <w:pageBreakBefore w:val="0"/>
        <w:widowControl w:val="0"/>
        <w:kinsoku/>
        <w:wordWrap w:val="0"/>
        <w:overflowPunct/>
        <w:topLinePunct/>
        <w:autoSpaceDE/>
        <w:autoSpaceDN/>
        <w:bidi w:val="0"/>
        <w:adjustRightInd/>
        <w:snapToGrid/>
        <w:spacing w:line="800" w:lineRule="exact"/>
        <w:textAlignment w:val="auto"/>
        <w:rPr>
          <w:rFonts w:hint="eastAsia" w:ascii="宋体" w:hAnsi="宋体" w:eastAsia="宋体" w:cs="宋体"/>
          <w:color w:val="auto"/>
          <w:spacing w:val="0"/>
          <w:position w:val="0"/>
          <w:sz w:val="32"/>
          <w:szCs w:val="32"/>
          <w:highlight w:val="none"/>
          <w:lang w:eastAsia="zh-CN"/>
        </w:rPr>
      </w:pPr>
      <w:r>
        <w:rPr>
          <w:rFonts w:hint="eastAsia" w:ascii="宋体" w:hAnsi="宋体" w:eastAsia="宋体" w:cs="宋体"/>
          <w:color w:val="auto"/>
          <w:spacing w:val="0"/>
          <w:position w:val="0"/>
          <w:sz w:val="32"/>
          <w:szCs w:val="32"/>
          <w:highlight w:val="none"/>
        </w:rPr>
        <w:t xml:space="preserve">            采购代理机构：</w:t>
      </w:r>
      <w:r>
        <w:rPr>
          <w:rFonts w:hint="eastAsia" w:ascii="宋体" w:hAnsi="宋体" w:eastAsia="宋体" w:cs="宋体"/>
          <w:color w:val="auto"/>
          <w:spacing w:val="0"/>
          <w:position w:val="0"/>
          <w:sz w:val="32"/>
          <w:szCs w:val="32"/>
          <w:highlight w:val="none"/>
          <w:lang w:eastAsia="zh-CN"/>
        </w:rPr>
        <w:t>广西</w:t>
      </w:r>
      <w:r>
        <w:rPr>
          <w:rFonts w:hint="eastAsia" w:ascii="宋体" w:hAnsi="宋体" w:cs="宋体"/>
          <w:color w:val="auto"/>
          <w:spacing w:val="0"/>
          <w:position w:val="0"/>
          <w:sz w:val="32"/>
          <w:szCs w:val="32"/>
          <w:highlight w:val="none"/>
          <w:lang w:eastAsia="zh-CN"/>
        </w:rPr>
        <w:t>至胜</w:t>
      </w:r>
      <w:r>
        <w:rPr>
          <w:rFonts w:hint="eastAsia" w:ascii="宋体" w:hAnsi="宋体" w:eastAsia="宋体" w:cs="宋体"/>
          <w:color w:val="auto"/>
          <w:spacing w:val="0"/>
          <w:position w:val="0"/>
          <w:sz w:val="32"/>
          <w:szCs w:val="32"/>
          <w:highlight w:val="none"/>
          <w:lang w:eastAsia="zh-CN"/>
        </w:rPr>
        <w:t>招标有限公司</w:t>
      </w:r>
    </w:p>
    <w:p w14:paraId="58121223">
      <w:pPr>
        <w:keepNext w:val="0"/>
        <w:keepLines w:val="0"/>
        <w:pageBreakBefore w:val="0"/>
        <w:widowControl w:val="0"/>
        <w:kinsoku/>
        <w:wordWrap w:val="0"/>
        <w:overflowPunct/>
        <w:topLinePunct/>
        <w:autoSpaceDE/>
        <w:autoSpaceDN/>
        <w:bidi w:val="0"/>
        <w:adjustRightInd/>
        <w:snapToGrid/>
        <w:spacing w:line="800" w:lineRule="exact"/>
        <w:jc w:val="center"/>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sz w:val="32"/>
          <w:szCs w:val="32"/>
          <w:highlight w:val="none"/>
          <w:lang w:eastAsia="zh-CN"/>
        </w:rPr>
        <w:t>202</w:t>
      </w:r>
      <w:r>
        <w:rPr>
          <w:rFonts w:hint="eastAsia" w:ascii="宋体" w:hAnsi="宋体" w:cs="宋体"/>
          <w:color w:val="auto"/>
          <w:spacing w:val="0"/>
          <w:position w:val="0"/>
          <w:sz w:val="32"/>
          <w:szCs w:val="32"/>
          <w:highlight w:val="none"/>
          <w:lang w:val="en-US" w:eastAsia="zh-CN"/>
        </w:rPr>
        <w:t>5</w:t>
      </w:r>
      <w:r>
        <w:rPr>
          <w:rFonts w:hint="eastAsia" w:ascii="宋体" w:hAnsi="宋体" w:eastAsia="宋体" w:cs="宋体"/>
          <w:color w:val="auto"/>
          <w:spacing w:val="0"/>
          <w:position w:val="0"/>
          <w:sz w:val="32"/>
          <w:szCs w:val="32"/>
          <w:highlight w:val="none"/>
          <w:lang w:eastAsia="zh-CN"/>
        </w:rPr>
        <w:t>年</w:t>
      </w:r>
      <w:r>
        <w:rPr>
          <w:rFonts w:hint="eastAsia" w:ascii="宋体" w:hAnsi="宋体" w:cs="宋体"/>
          <w:color w:val="auto"/>
          <w:spacing w:val="0"/>
          <w:position w:val="0"/>
          <w:sz w:val="32"/>
          <w:szCs w:val="32"/>
          <w:highlight w:val="none"/>
          <w:lang w:val="en-US" w:eastAsia="zh-CN"/>
        </w:rPr>
        <w:t>9</w:t>
      </w:r>
      <w:r>
        <w:rPr>
          <w:rFonts w:hint="eastAsia" w:ascii="宋体" w:hAnsi="宋体" w:eastAsia="宋体" w:cs="宋体"/>
          <w:color w:val="auto"/>
          <w:spacing w:val="0"/>
          <w:position w:val="0"/>
          <w:sz w:val="32"/>
          <w:szCs w:val="32"/>
          <w:highlight w:val="none"/>
          <w:lang w:eastAsia="zh-CN"/>
        </w:rPr>
        <w:t>月</w:t>
      </w:r>
    </w:p>
    <w:p w14:paraId="074010ED">
      <w:pPr>
        <w:keepNext w:val="0"/>
        <w:keepLines w:val="0"/>
        <w:pageBreakBefore w:val="0"/>
        <w:widowControl w:val="0"/>
        <w:kinsoku/>
        <w:wordWrap w:val="0"/>
        <w:overflowPunct/>
        <w:topLinePunct/>
        <w:autoSpaceDE/>
        <w:autoSpaceDN/>
        <w:bidi w:val="0"/>
        <w:adjustRightInd/>
        <w:snapToGrid/>
        <w:spacing w:line="800" w:lineRule="exact"/>
        <w:textAlignment w:val="auto"/>
        <w:rPr>
          <w:rFonts w:hint="eastAsia" w:ascii="宋体" w:hAnsi="宋体" w:eastAsia="宋体" w:cs="宋体"/>
          <w:color w:val="auto"/>
          <w:spacing w:val="0"/>
          <w:position w:val="0"/>
          <w:highlight w:val="none"/>
        </w:rPr>
        <w:sectPr>
          <w:pgSz w:w="11906" w:h="16838"/>
          <w:pgMar w:top="1440" w:right="1080" w:bottom="1440" w:left="1080" w:header="850" w:footer="992" w:gutter="0"/>
          <w:cols w:space="720" w:num="1"/>
          <w:docGrid w:type="lines" w:linePitch="317" w:charSpace="0"/>
        </w:sectPr>
      </w:pPr>
    </w:p>
    <w:p w14:paraId="76C9593D">
      <w:pPr>
        <w:pStyle w:val="11"/>
        <w:keepNext w:val="0"/>
        <w:keepLines w:val="0"/>
        <w:pageBreakBefore w:val="0"/>
        <w:widowControl w:val="0"/>
        <w:tabs>
          <w:tab w:val="left" w:pos="4386"/>
        </w:tabs>
        <w:kinsoku/>
        <w:wordWrap w:val="0"/>
        <w:overflowPunct/>
        <w:topLinePunct/>
        <w:autoSpaceDE/>
        <w:autoSpaceDN/>
        <w:bidi w:val="0"/>
        <w:adjustRightInd/>
        <w:snapToGrid/>
        <w:spacing w:line="600" w:lineRule="exact"/>
        <w:jc w:val="center"/>
        <w:textAlignment w:val="auto"/>
        <w:rPr>
          <w:rFonts w:hint="eastAsia" w:ascii="宋体" w:hAnsi="宋体" w:eastAsia="宋体" w:cs="宋体"/>
          <w:b/>
          <w:bCs/>
          <w:color w:val="auto"/>
          <w:spacing w:val="0"/>
          <w:position w:val="0"/>
          <w:sz w:val="44"/>
          <w:szCs w:val="44"/>
          <w:highlight w:val="none"/>
          <w:lang w:eastAsia="zh-CN"/>
        </w:rPr>
      </w:pPr>
      <w:r>
        <w:rPr>
          <w:rFonts w:hint="eastAsia" w:hAnsi="宋体" w:cs="宋体"/>
          <w:b/>
          <w:bCs/>
          <w:color w:val="auto"/>
          <w:spacing w:val="0"/>
          <w:position w:val="0"/>
          <w:sz w:val="44"/>
          <w:szCs w:val="44"/>
          <w:highlight w:val="none"/>
          <w:lang w:eastAsia="zh-CN"/>
        </w:rPr>
        <w:t>目</w:t>
      </w:r>
      <w:r>
        <w:rPr>
          <w:rFonts w:hint="eastAsia" w:hAnsi="宋体" w:cs="宋体"/>
          <w:b/>
          <w:bCs/>
          <w:color w:val="auto"/>
          <w:spacing w:val="0"/>
          <w:position w:val="0"/>
          <w:sz w:val="44"/>
          <w:szCs w:val="44"/>
          <w:highlight w:val="none"/>
          <w:lang w:val="en-US" w:eastAsia="zh-CN"/>
        </w:rPr>
        <w:t xml:space="preserve"> </w:t>
      </w:r>
      <w:r>
        <w:rPr>
          <w:rFonts w:hint="eastAsia" w:hAnsi="宋体" w:cs="宋体"/>
          <w:b/>
          <w:bCs/>
          <w:color w:val="auto"/>
          <w:spacing w:val="0"/>
          <w:position w:val="0"/>
          <w:sz w:val="44"/>
          <w:szCs w:val="44"/>
          <w:highlight w:val="none"/>
          <w:lang w:eastAsia="zh-CN"/>
        </w:rPr>
        <w:t>录</w:t>
      </w:r>
    </w:p>
    <w:p w14:paraId="62348C47">
      <w:pPr>
        <w:pageBreakBefore w:val="0"/>
        <w:tabs>
          <w:tab w:val="left" w:pos="6703"/>
        </w:tabs>
        <w:kinsoku/>
        <w:wordWrap w:val="0"/>
        <w:overflowPunct/>
        <w:topLinePunct/>
        <w:autoSpaceDE/>
        <w:autoSpaceDN/>
        <w:bidi w:val="0"/>
        <w:jc w:val="left"/>
        <w:rPr>
          <w:rFonts w:hint="eastAsia" w:ascii="宋体" w:hAnsi="宋体" w:eastAsia="宋体" w:cs="宋体"/>
          <w:color w:val="auto"/>
          <w:spacing w:val="0"/>
          <w:position w:val="0"/>
          <w:highlight w:val="none"/>
          <w:lang w:eastAsia="zh-CN"/>
        </w:rPr>
      </w:pPr>
    </w:p>
    <w:p w14:paraId="674A1406">
      <w:pPr>
        <w:pStyle w:val="21"/>
        <w:keepNext w:val="0"/>
        <w:keepLines w:val="0"/>
        <w:pageBreakBefore w:val="0"/>
        <w:widowControl w:val="0"/>
        <w:tabs>
          <w:tab w:val="right" w:leader="dot" w:pos="9179"/>
        </w:tabs>
        <w:kinsoku/>
        <w:overflowPunct/>
        <w:autoSpaceDE/>
        <w:autoSpaceDN/>
        <w:bidi w:val="0"/>
        <w:adjustRightInd/>
        <w:snapToGrid/>
        <w:spacing w:line="480" w:lineRule="auto"/>
        <w:textAlignment w:val="auto"/>
        <w:rPr>
          <w:color w:val="auto"/>
          <w:sz w:val="28"/>
          <w:szCs w:val="28"/>
          <w:highlight w:val="none"/>
        </w:rPr>
      </w:pPr>
      <w:r>
        <w:rPr>
          <w:rFonts w:hint="eastAsia" w:ascii="宋体" w:hAnsi="宋体" w:eastAsia="宋体" w:cs="宋体"/>
          <w:color w:val="auto"/>
          <w:spacing w:val="0"/>
          <w:position w:val="0"/>
          <w:sz w:val="28"/>
          <w:szCs w:val="28"/>
          <w:highlight w:val="none"/>
          <w:lang w:eastAsia="zh-CN"/>
        </w:rPr>
        <w:fldChar w:fldCharType="begin"/>
      </w:r>
      <w:r>
        <w:rPr>
          <w:rFonts w:hint="eastAsia" w:ascii="宋体" w:hAnsi="宋体" w:eastAsia="宋体" w:cs="宋体"/>
          <w:color w:val="auto"/>
          <w:spacing w:val="0"/>
          <w:position w:val="0"/>
          <w:sz w:val="28"/>
          <w:szCs w:val="28"/>
          <w:highlight w:val="none"/>
          <w:lang w:eastAsia="zh-CN"/>
        </w:rPr>
        <w:instrText xml:space="preserve">TOC \o "1-1" \h \u </w:instrText>
      </w:r>
      <w:r>
        <w:rPr>
          <w:rFonts w:hint="eastAsia" w:ascii="宋体" w:hAnsi="宋体" w:eastAsia="宋体" w:cs="宋体"/>
          <w:color w:val="auto"/>
          <w:spacing w:val="0"/>
          <w:position w:val="0"/>
          <w:sz w:val="28"/>
          <w:szCs w:val="28"/>
          <w:highlight w:val="none"/>
          <w:lang w:eastAsia="zh-CN"/>
        </w:rPr>
        <w:fldChar w:fldCharType="separate"/>
      </w:r>
      <w:r>
        <w:rPr>
          <w:rFonts w:hint="eastAsia" w:ascii="宋体" w:hAnsi="宋体" w:eastAsia="宋体" w:cs="宋体"/>
          <w:color w:val="auto"/>
          <w:spacing w:val="0"/>
          <w:position w:val="0"/>
          <w:sz w:val="28"/>
          <w:szCs w:val="28"/>
          <w:highlight w:val="none"/>
          <w:lang w:eastAsia="zh-CN"/>
        </w:rPr>
        <w:fldChar w:fldCharType="begin"/>
      </w:r>
      <w:r>
        <w:rPr>
          <w:rFonts w:hint="eastAsia" w:ascii="宋体" w:hAnsi="宋体" w:eastAsia="宋体" w:cs="宋体"/>
          <w:color w:val="auto"/>
          <w:spacing w:val="0"/>
          <w:position w:val="0"/>
          <w:sz w:val="28"/>
          <w:szCs w:val="28"/>
          <w:highlight w:val="none"/>
          <w:lang w:eastAsia="zh-CN"/>
        </w:rPr>
        <w:instrText xml:space="preserve"> HYPERLINK \l _Toc8462 </w:instrText>
      </w:r>
      <w:r>
        <w:rPr>
          <w:rFonts w:hint="eastAsia" w:ascii="宋体" w:hAnsi="宋体" w:eastAsia="宋体" w:cs="宋体"/>
          <w:color w:val="auto"/>
          <w:spacing w:val="0"/>
          <w:position w:val="0"/>
          <w:sz w:val="28"/>
          <w:szCs w:val="28"/>
          <w:highlight w:val="none"/>
          <w:lang w:eastAsia="zh-CN"/>
        </w:rPr>
        <w:fldChar w:fldCharType="separate"/>
      </w:r>
      <w:r>
        <w:rPr>
          <w:rFonts w:hint="eastAsia" w:ascii="宋体" w:hAnsi="宋体" w:eastAsia="宋体" w:cs="宋体"/>
          <w:color w:val="auto"/>
          <w:spacing w:val="0"/>
          <w:position w:val="0"/>
          <w:sz w:val="28"/>
          <w:szCs w:val="28"/>
          <w:highlight w:val="none"/>
        </w:rPr>
        <w:t>第一章</w:t>
      </w:r>
      <w:r>
        <w:rPr>
          <w:rFonts w:hint="eastAsia" w:ascii="宋体" w:hAnsi="宋体" w:eastAsia="宋体" w:cs="宋体"/>
          <w:color w:val="auto"/>
          <w:spacing w:val="0"/>
          <w:position w:val="0"/>
          <w:sz w:val="28"/>
          <w:szCs w:val="28"/>
          <w:highlight w:val="none"/>
          <w:lang w:val="en-US" w:eastAsia="zh-CN"/>
        </w:rPr>
        <w:t xml:space="preserve">  竞争性</w:t>
      </w:r>
      <w:r>
        <w:rPr>
          <w:rFonts w:hint="eastAsia" w:ascii="宋体" w:hAnsi="宋体" w:eastAsia="宋体" w:cs="宋体"/>
          <w:color w:val="auto"/>
          <w:spacing w:val="0"/>
          <w:position w:val="0"/>
          <w:sz w:val="28"/>
          <w:szCs w:val="28"/>
          <w:highlight w:val="none"/>
          <w:lang w:eastAsia="zh-CN"/>
        </w:rPr>
        <w:t>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_Toc8462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rFonts w:hint="eastAsia" w:ascii="宋体" w:hAnsi="宋体" w:eastAsia="宋体" w:cs="宋体"/>
          <w:color w:val="auto"/>
          <w:spacing w:val="0"/>
          <w:position w:val="0"/>
          <w:sz w:val="28"/>
          <w:szCs w:val="28"/>
          <w:highlight w:val="none"/>
          <w:lang w:eastAsia="zh-CN"/>
        </w:rPr>
        <w:fldChar w:fldCharType="end"/>
      </w:r>
    </w:p>
    <w:p w14:paraId="70CFC928">
      <w:pPr>
        <w:pStyle w:val="21"/>
        <w:keepNext w:val="0"/>
        <w:keepLines w:val="0"/>
        <w:pageBreakBefore w:val="0"/>
        <w:widowControl w:val="0"/>
        <w:tabs>
          <w:tab w:val="right" w:leader="dot" w:pos="9179"/>
        </w:tabs>
        <w:kinsoku/>
        <w:overflowPunct/>
        <w:autoSpaceDE/>
        <w:autoSpaceDN/>
        <w:bidi w:val="0"/>
        <w:adjustRightInd/>
        <w:snapToGrid/>
        <w:spacing w:line="480" w:lineRule="auto"/>
        <w:textAlignment w:val="auto"/>
        <w:rPr>
          <w:color w:val="auto"/>
          <w:sz w:val="28"/>
          <w:szCs w:val="28"/>
          <w:highlight w:val="none"/>
        </w:rPr>
      </w:pPr>
      <w:r>
        <w:rPr>
          <w:rFonts w:hint="eastAsia" w:ascii="宋体" w:hAnsi="宋体" w:eastAsia="宋体" w:cs="宋体"/>
          <w:color w:val="auto"/>
          <w:spacing w:val="0"/>
          <w:position w:val="0"/>
          <w:sz w:val="28"/>
          <w:szCs w:val="28"/>
          <w:highlight w:val="none"/>
          <w:lang w:eastAsia="zh-CN"/>
        </w:rPr>
        <w:fldChar w:fldCharType="begin"/>
      </w:r>
      <w:r>
        <w:rPr>
          <w:rFonts w:hint="eastAsia" w:ascii="宋体" w:hAnsi="宋体" w:eastAsia="宋体" w:cs="宋体"/>
          <w:color w:val="auto"/>
          <w:spacing w:val="0"/>
          <w:position w:val="0"/>
          <w:sz w:val="28"/>
          <w:szCs w:val="28"/>
          <w:highlight w:val="none"/>
          <w:lang w:eastAsia="zh-CN"/>
        </w:rPr>
        <w:instrText xml:space="preserve"> HYPERLINK \l _Toc18858 </w:instrText>
      </w:r>
      <w:r>
        <w:rPr>
          <w:rFonts w:hint="eastAsia" w:ascii="宋体" w:hAnsi="宋体" w:eastAsia="宋体" w:cs="宋体"/>
          <w:color w:val="auto"/>
          <w:spacing w:val="0"/>
          <w:position w:val="0"/>
          <w:sz w:val="28"/>
          <w:szCs w:val="28"/>
          <w:highlight w:val="none"/>
          <w:lang w:eastAsia="zh-CN"/>
        </w:rPr>
        <w:fldChar w:fldCharType="separate"/>
      </w:r>
      <w:r>
        <w:rPr>
          <w:rFonts w:hint="eastAsia" w:ascii="宋体" w:hAnsi="宋体" w:eastAsia="宋体" w:cs="宋体"/>
          <w:bCs/>
          <w:color w:val="auto"/>
          <w:spacing w:val="0"/>
          <w:kern w:val="0"/>
          <w:position w:val="0"/>
          <w:sz w:val="28"/>
          <w:szCs w:val="28"/>
          <w:highlight w:val="none"/>
        </w:rPr>
        <w:t xml:space="preserve">第二章 </w:t>
      </w:r>
      <w:r>
        <w:rPr>
          <w:rFonts w:hint="eastAsia" w:ascii="宋体" w:hAnsi="宋体" w:eastAsia="宋体" w:cs="宋体"/>
          <w:bCs/>
          <w:color w:val="auto"/>
          <w:spacing w:val="0"/>
          <w:kern w:val="0"/>
          <w:position w:val="0"/>
          <w:sz w:val="28"/>
          <w:szCs w:val="28"/>
          <w:highlight w:val="none"/>
          <w:lang w:eastAsia="zh-CN"/>
        </w:rPr>
        <w:t>供应商</w:t>
      </w:r>
      <w:r>
        <w:rPr>
          <w:rFonts w:hint="eastAsia" w:ascii="宋体" w:hAnsi="宋体" w:eastAsia="宋体" w:cs="宋体"/>
          <w:bCs/>
          <w:color w:val="auto"/>
          <w:spacing w:val="0"/>
          <w:kern w:val="0"/>
          <w:position w:val="0"/>
          <w:sz w:val="28"/>
          <w:szCs w:val="28"/>
          <w:highlight w:val="none"/>
        </w:rPr>
        <w:t>须知前附表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_Toc18858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rFonts w:hint="eastAsia" w:ascii="宋体" w:hAnsi="宋体" w:eastAsia="宋体" w:cs="宋体"/>
          <w:color w:val="auto"/>
          <w:spacing w:val="0"/>
          <w:position w:val="0"/>
          <w:sz w:val="28"/>
          <w:szCs w:val="28"/>
          <w:highlight w:val="none"/>
          <w:lang w:eastAsia="zh-CN"/>
        </w:rPr>
        <w:fldChar w:fldCharType="end"/>
      </w:r>
    </w:p>
    <w:p w14:paraId="0998BCB7">
      <w:pPr>
        <w:pStyle w:val="21"/>
        <w:keepNext w:val="0"/>
        <w:keepLines w:val="0"/>
        <w:pageBreakBefore w:val="0"/>
        <w:widowControl w:val="0"/>
        <w:tabs>
          <w:tab w:val="right" w:leader="dot" w:pos="9179"/>
        </w:tabs>
        <w:kinsoku/>
        <w:overflowPunct/>
        <w:autoSpaceDE/>
        <w:autoSpaceDN/>
        <w:bidi w:val="0"/>
        <w:adjustRightInd/>
        <w:snapToGrid/>
        <w:spacing w:line="480" w:lineRule="auto"/>
        <w:textAlignment w:val="auto"/>
        <w:rPr>
          <w:color w:val="auto"/>
          <w:sz w:val="28"/>
          <w:szCs w:val="28"/>
          <w:highlight w:val="none"/>
        </w:rPr>
      </w:pPr>
      <w:r>
        <w:rPr>
          <w:rFonts w:hint="eastAsia" w:ascii="宋体" w:hAnsi="宋体" w:eastAsia="宋体" w:cs="宋体"/>
          <w:color w:val="auto"/>
          <w:spacing w:val="0"/>
          <w:position w:val="0"/>
          <w:sz w:val="28"/>
          <w:szCs w:val="28"/>
          <w:highlight w:val="none"/>
          <w:lang w:eastAsia="zh-CN"/>
        </w:rPr>
        <w:fldChar w:fldCharType="begin"/>
      </w:r>
      <w:r>
        <w:rPr>
          <w:rFonts w:hint="eastAsia" w:ascii="宋体" w:hAnsi="宋体" w:eastAsia="宋体" w:cs="宋体"/>
          <w:color w:val="auto"/>
          <w:spacing w:val="0"/>
          <w:position w:val="0"/>
          <w:sz w:val="28"/>
          <w:szCs w:val="28"/>
          <w:highlight w:val="none"/>
          <w:lang w:eastAsia="zh-CN"/>
        </w:rPr>
        <w:instrText xml:space="preserve"> HYPERLINK \l _Toc27370 </w:instrText>
      </w:r>
      <w:r>
        <w:rPr>
          <w:rFonts w:hint="eastAsia" w:ascii="宋体" w:hAnsi="宋体" w:eastAsia="宋体" w:cs="宋体"/>
          <w:color w:val="auto"/>
          <w:spacing w:val="0"/>
          <w:position w:val="0"/>
          <w:sz w:val="28"/>
          <w:szCs w:val="28"/>
          <w:highlight w:val="none"/>
          <w:lang w:eastAsia="zh-CN"/>
        </w:rPr>
        <w:fldChar w:fldCharType="separate"/>
      </w:r>
      <w:r>
        <w:rPr>
          <w:rFonts w:hint="eastAsia" w:ascii="宋体" w:hAnsi="宋体" w:eastAsia="宋体" w:cs="宋体"/>
          <w:bCs/>
          <w:color w:val="auto"/>
          <w:spacing w:val="0"/>
          <w:kern w:val="0"/>
          <w:position w:val="0"/>
          <w:sz w:val="28"/>
          <w:szCs w:val="28"/>
          <w:highlight w:val="none"/>
        </w:rPr>
        <w:t>第三章  项目基本情况及要求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_Toc27370 \h </w:instrText>
      </w:r>
      <w:r>
        <w:rPr>
          <w:color w:val="auto"/>
          <w:sz w:val="28"/>
          <w:szCs w:val="28"/>
          <w:highlight w:val="none"/>
        </w:rPr>
        <w:fldChar w:fldCharType="separate"/>
      </w:r>
      <w:r>
        <w:rPr>
          <w:color w:val="auto"/>
          <w:sz w:val="28"/>
          <w:szCs w:val="28"/>
          <w:highlight w:val="none"/>
        </w:rPr>
        <w:t>23</w:t>
      </w:r>
      <w:r>
        <w:rPr>
          <w:color w:val="auto"/>
          <w:sz w:val="28"/>
          <w:szCs w:val="28"/>
          <w:highlight w:val="none"/>
        </w:rPr>
        <w:fldChar w:fldCharType="end"/>
      </w:r>
      <w:r>
        <w:rPr>
          <w:rFonts w:hint="eastAsia" w:ascii="宋体" w:hAnsi="宋体" w:eastAsia="宋体" w:cs="宋体"/>
          <w:color w:val="auto"/>
          <w:spacing w:val="0"/>
          <w:position w:val="0"/>
          <w:sz w:val="28"/>
          <w:szCs w:val="28"/>
          <w:highlight w:val="none"/>
          <w:lang w:eastAsia="zh-CN"/>
        </w:rPr>
        <w:fldChar w:fldCharType="end"/>
      </w:r>
    </w:p>
    <w:p w14:paraId="60B880B9">
      <w:pPr>
        <w:pStyle w:val="21"/>
        <w:keepNext w:val="0"/>
        <w:keepLines w:val="0"/>
        <w:pageBreakBefore w:val="0"/>
        <w:widowControl w:val="0"/>
        <w:tabs>
          <w:tab w:val="right" w:leader="dot" w:pos="9179"/>
        </w:tabs>
        <w:kinsoku/>
        <w:overflowPunct/>
        <w:autoSpaceDE/>
        <w:autoSpaceDN/>
        <w:bidi w:val="0"/>
        <w:adjustRightInd/>
        <w:snapToGrid/>
        <w:spacing w:line="480" w:lineRule="auto"/>
        <w:textAlignment w:val="auto"/>
        <w:rPr>
          <w:color w:val="auto"/>
          <w:sz w:val="28"/>
          <w:szCs w:val="28"/>
          <w:highlight w:val="none"/>
        </w:rPr>
      </w:pPr>
      <w:r>
        <w:rPr>
          <w:rFonts w:hint="eastAsia" w:ascii="宋体" w:hAnsi="宋体" w:eastAsia="宋体" w:cs="宋体"/>
          <w:color w:val="auto"/>
          <w:spacing w:val="0"/>
          <w:position w:val="0"/>
          <w:sz w:val="28"/>
          <w:szCs w:val="28"/>
          <w:highlight w:val="none"/>
          <w:lang w:eastAsia="zh-CN"/>
        </w:rPr>
        <w:fldChar w:fldCharType="begin"/>
      </w:r>
      <w:r>
        <w:rPr>
          <w:rFonts w:hint="eastAsia" w:ascii="宋体" w:hAnsi="宋体" w:eastAsia="宋体" w:cs="宋体"/>
          <w:color w:val="auto"/>
          <w:spacing w:val="0"/>
          <w:position w:val="0"/>
          <w:sz w:val="28"/>
          <w:szCs w:val="28"/>
          <w:highlight w:val="none"/>
          <w:lang w:eastAsia="zh-CN"/>
        </w:rPr>
        <w:instrText xml:space="preserve"> HYPERLINK \l _Toc27332 </w:instrText>
      </w:r>
      <w:r>
        <w:rPr>
          <w:rFonts w:hint="eastAsia" w:ascii="宋体" w:hAnsi="宋体" w:eastAsia="宋体" w:cs="宋体"/>
          <w:color w:val="auto"/>
          <w:spacing w:val="0"/>
          <w:position w:val="0"/>
          <w:sz w:val="28"/>
          <w:szCs w:val="28"/>
          <w:highlight w:val="none"/>
          <w:lang w:eastAsia="zh-CN"/>
        </w:rPr>
        <w:fldChar w:fldCharType="separate"/>
      </w:r>
      <w:r>
        <w:rPr>
          <w:rFonts w:hint="eastAsia" w:ascii="宋体" w:hAnsi="宋体" w:eastAsia="宋体" w:cs="宋体"/>
          <w:bCs/>
          <w:color w:val="auto"/>
          <w:spacing w:val="0"/>
          <w:kern w:val="0"/>
          <w:position w:val="0"/>
          <w:sz w:val="28"/>
          <w:szCs w:val="28"/>
          <w:highlight w:val="none"/>
          <w:lang w:val="en-US" w:eastAsia="zh-CN"/>
        </w:rPr>
        <w:t>第四章</w:t>
      </w:r>
      <w:r>
        <w:rPr>
          <w:rFonts w:hint="eastAsia" w:ascii="宋体" w:hAnsi="宋体" w:eastAsia="宋体" w:cs="宋体"/>
          <w:bCs/>
          <w:color w:val="auto"/>
          <w:spacing w:val="0"/>
          <w:kern w:val="0"/>
          <w:position w:val="0"/>
          <w:sz w:val="28"/>
          <w:szCs w:val="28"/>
          <w:highlight w:val="none"/>
        </w:rPr>
        <w:t xml:space="preserve"> 评审标准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_Toc27332 \h </w:instrText>
      </w:r>
      <w:r>
        <w:rPr>
          <w:color w:val="auto"/>
          <w:sz w:val="28"/>
          <w:szCs w:val="28"/>
          <w:highlight w:val="none"/>
        </w:rPr>
        <w:fldChar w:fldCharType="separate"/>
      </w:r>
      <w:r>
        <w:rPr>
          <w:color w:val="auto"/>
          <w:sz w:val="28"/>
          <w:szCs w:val="28"/>
          <w:highlight w:val="none"/>
        </w:rPr>
        <w:t>24</w:t>
      </w:r>
      <w:r>
        <w:rPr>
          <w:color w:val="auto"/>
          <w:sz w:val="28"/>
          <w:szCs w:val="28"/>
          <w:highlight w:val="none"/>
        </w:rPr>
        <w:fldChar w:fldCharType="end"/>
      </w:r>
      <w:r>
        <w:rPr>
          <w:rFonts w:hint="eastAsia" w:ascii="宋体" w:hAnsi="宋体" w:eastAsia="宋体" w:cs="宋体"/>
          <w:color w:val="auto"/>
          <w:spacing w:val="0"/>
          <w:position w:val="0"/>
          <w:sz w:val="28"/>
          <w:szCs w:val="28"/>
          <w:highlight w:val="none"/>
          <w:lang w:eastAsia="zh-CN"/>
        </w:rPr>
        <w:fldChar w:fldCharType="end"/>
      </w:r>
    </w:p>
    <w:p w14:paraId="36011B6D">
      <w:pPr>
        <w:pStyle w:val="21"/>
        <w:keepNext w:val="0"/>
        <w:keepLines w:val="0"/>
        <w:pageBreakBefore w:val="0"/>
        <w:widowControl w:val="0"/>
        <w:tabs>
          <w:tab w:val="right" w:leader="dot" w:pos="9179"/>
        </w:tabs>
        <w:kinsoku/>
        <w:overflowPunct/>
        <w:autoSpaceDE/>
        <w:autoSpaceDN/>
        <w:bidi w:val="0"/>
        <w:adjustRightInd/>
        <w:snapToGrid/>
        <w:spacing w:line="480" w:lineRule="auto"/>
        <w:textAlignment w:val="auto"/>
        <w:rPr>
          <w:color w:val="auto"/>
          <w:sz w:val="28"/>
          <w:szCs w:val="28"/>
          <w:highlight w:val="none"/>
        </w:rPr>
      </w:pPr>
      <w:r>
        <w:rPr>
          <w:rFonts w:hint="eastAsia" w:ascii="宋体" w:hAnsi="宋体" w:eastAsia="宋体" w:cs="宋体"/>
          <w:color w:val="auto"/>
          <w:spacing w:val="0"/>
          <w:position w:val="0"/>
          <w:sz w:val="28"/>
          <w:szCs w:val="28"/>
          <w:highlight w:val="none"/>
          <w:lang w:eastAsia="zh-CN"/>
        </w:rPr>
        <w:fldChar w:fldCharType="begin"/>
      </w:r>
      <w:r>
        <w:rPr>
          <w:rFonts w:hint="eastAsia" w:ascii="宋体" w:hAnsi="宋体" w:eastAsia="宋体" w:cs="宋体"/>
          <w:color w:val="auto"/>
          <w:spacing w:val="0"/>
          <w:position w:val="0"/>
          <w:sz w:val="28"/>
          <w:szCs w:val="28"/>
          <w:highlight w:val="none"/>
          <w:lang w:eastAsia="zh-CN"/>
        </w:rPr>
        <w:instrText xml:space="preserve"> HYPERLINK \l _Toc10853 </w:instrText>
      </w:r>
      <w:r>
        <w:rPr>
          <w:rFonts w:hint="eastAsia" w:ascii="宋体" w:hAnsi="宋体" w:eastAsia="宋体" w:cs="宋体"/>
          <w:color w:val="auto"/>
          <w:spacing w:val="0"/>
          <w:position w:val="0"/>
          <w:sz w:val="28"/>
          <w:szCs w:val="28"/>
          <w:highlight w:val="none"/>
          <w:lang w:eastAsia="zh-CN"/>
        </w:rPr>
        <w:fldChar w:fldCharType="separate"/>
      </w:r>
      <w:r>
        <w:rPr>
          <w:rFonts w:hint="eastAsia" w:ascii="宋体" w:hAnsi="宋体" w:eastAsia="宋体" w:cs="宋体"/>
          <w:bCs/>
          <w:color w:val="auto"/>
          <w:spacing w:val="0"/>
          <w:kern w:val="0"/>
          <w:position w:val="0"/>
          <w:sz w:val="28"/>
          <w:szCs w:val="28"/>
          <w:highlight w:val="none"/>
        </w:rPr>
        <w:t>第</w:t>
      </w:r>
      <w:r>
        <w:rPr>
          <w:rFonts w:hint="eastAsia" w:ascii="宋体" w:hAnsi="宋体" w:eastAsia="宋体" w:cs="宋体"/>
          <w:bCs/>
          <w:color w:val="auto"/>
          <w:spacing w:val="0"/>
          <w:kern w:val="0"/>
          <w:position w:val="0"/>
          <w:sz w:val="28"/>
          <w:szCs w:val="28"/>
          <w:highlight w:val="none"/>
          <w:lang w:val="en-US" w:eastAsia="zh-CN"/>
        </w:rPr>
        <w:t>五</w:t>
      </w:r>
      <w:r>
        <w:rPr>
          <w:rFonts w:hint="eastAsia" w:ascii="宋体" w:hAnsi="宋体" w:eastAsia="宋体" w:cs="宋体"/>
          <w:bCs/>
          <w:color w:val="auto"/>
          <w:spacing w:val="0"/>
          <w:kern w:val="0"/>
          <w:position w:val="0"/>
          <w:sz w:val="28"/>
          <w:szCs w:val="28"/>
          <w:highlight w:val="none"/>
        </w:rPr>
        <w:t>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_Toc10853 \h </w:instrText>
      </w:r>
      <w:r>
        <w:rPr>
          <w:color w:val="auto"/>
          <w:sz w:val="28"/>
          <w:szCs w:val="28"/>
          <w:highlight w:val="none"/>
        </w:rPr>
        <w:fldChar w:fldCharType="separate"/>
      </w:r>
      <w:r>
        <w:rPr>
          <w:color w:val="auto"/>
          <w:sz w:val="28"/>
          <w:szCs w:val="28"/>
          <w:highlight w:val="none"/>
        </w:rPr>
        <w:t>35</w:t>
      </w:r>
      <w:r>
        <w:rPr>
          <w:color w:val="auto"/>
          <w:sz w:val="28"/>
          <w:szCs w:val="28"/>
          <w:highlight w:val="none"/>
        </w:rPr>
        <w:fldChar w:fldCharType="end"/>
      </w:r>
      <w:r>
        <w:rPr>
          <w:rFonts w:hint="eastAsia" w:ascii="宋体" w:hAnsi="宋体" w:eastAsia="宋体" w:cs="宋体"/>
          <w:color w:val="auto"/>
          <w:spacing w:val="0"/>
          <w:position w:val="0"/>
          <w:sz w:val="28"/>
          <w:szCs w:val="28"/>
          <w:highlight w:val="none"/>
          <w:lang w:eastAsia="zh-CN"/>
        </w:rPr>
        <w:fldChar w:fldCharType="end"/>
      </w:r>
    </w:p>
    <w:p w14:paraId="6613DD5E">
      <w:pPr>
        <w:pStyle w:val="21"/>
        <w:keepNext w:val="0"/>
        <w:keepLines w:val="0"/>
        <w:pageBreakBefore w:val="0"/>
        <w:widowControl w:val="0"/>
        <w:tabs>
          <w:tab w:val="right" w:leader="dot" w:pos="9179"/>
        </w:tabs>
        <w:kinsoku/>
        <w:overflowPunct/>
        <w:autoSpaceDE/>
        <w:autoSpaceDN/>
        <w:bidi w:val="0"/>
        <w:adjustRightInd/>
        <w:snapToGrid/>
        <w:spacing w:line="480" w:lineRule="auto"/>
        <w:textAlignment w:val="auto"/>
        <w:rPr>
          <w:color w:val="auto"/>
          <w:sz w:val="28"/>
          <w:szCs w:val="28"/>
          <w:highlight w:val="none"/>
        </w:rPr>
      </w:pPr>
      <w:r>
        <w:rPr>
          <w:rFonts w:hint="eastAsia" w:ascii="宋体" w:hAnsi="宋体" w:eastAsia="宋体" w:cs="宋体"/>
          <w:color w:val="auto"/>
          <w:spacing w:val="0"/>
          <w:position w:val="0"/>
          <w:sz w:val="28"/>
          <w:szCs w:val="28"/>
          <w:highlight w:val="none"/>
          <w:lang w:eastAsia="zh-CN"/>
        </w:rPr>
        <w:fldChar w:fldCharType="begin"/>
      </w:r>
      <w:r>
        <w:rPr>
          <w:rFonts w:hint="eastAsia" w:ascii="宋体" w:hAnsi="宋体" w:eastAsia="宋体" w:cs="宋体"/>
          <w:color w:val="auto"/>
          <w:spacing w:val="0"/>
          <w:position w:val="0"/>
          <w:sz w:val="28"/>
          <w:szCs w:val="28"/>
          <w:highlight w:val="none"/>
          <w:lang w:eastAsia="zh-CN"/>
        </w:rPr>
        <w:instrText xml:space="preserve"> HYPERLINK \l _Toc8040 </w:instrText>
      </w:r>
      <w:r>
        <w:rPr>
          <w:rFonts w:hint="eastAsia" w:ascii="宋体" w:hAnsi="宋体" w:eastAsia="宋体" w:cs="宋体"/>
          <w:color w:val="auto"/>
          <w:spacing w:val="0"/>
          <w:position w:val="0"/>
          <w:sz w:val="28"/>
          <w:szCs w:val="28"/>
          <w:highlight w:val="none"/>
          <w:lang w:eastAsia="zh-CN"/>
        </w:rPr>
        <w:fldChar w:fldCharType="separate"/>
      </w:r>
      <w:r>
        <w:rPr>
          <w:rFonts w:hint="eastAsia" w:ascii="宋体" w:hAnsi="宋体" w:eastAsia="宋体" w:cs="宋体"/>
          <w:color w:val="auto"/>
          <w:spacing w:val="0"/>
          <w:kern w:val="0"/>
          <w:position w:val="0"/>
          <w:sz w:val="28"/>
          <w:szCs w:val="28"/>
          <w:highlight w:val="none"/>
        </w:rPr>
        <w:t>第六章 合同主要条款</w:t>
      </w:r>
      <w:r>
        <w:rPr>
          <w:rFonts w:hint="eastAsia" w:ascii="宋体" w:hAnsi="宋体" w:eastAsia="宋体" w:cs="宋体"/>
          <w:color w:val="auto"/>
          <w:spacing w:val="0"/>
          <w:kern w:val="0"/>
          <w:position w:val="0"/>
          <w:sz w:val="28"/>
          <w:szCs w:val="28"/>
          <w:highlight w:val="none"/>
          <w:lang w:eastAsia="zh-CN"/>
        </w:rPr>
        <w:t>（</w:t>
      </w:r>
      <w:r>
        <w:rPr>
          <w:rFonts w:hint="eastAsia" w:ascii="宋体" w:hAnsi="宋体" w:eastAsia="宋体" w:cs="宋体"/>
          <w:color w:val="auto"/>
          <w:spacing w:val="0"/>
          <w:kern w:val="0"/>
          <w:position w:val="0"/>
          <w:sz w:val="28"/>
          <w:szCs w:val="28"/>
          <w:highlight w:val="none"/>
        </w:rPr>
        <w:t>参考格式</w:t>
      </w:r>
      <w:r>
        <w:rPr>
          <w:rFonts w:hint="eastAsia" w:ascii="宋体" w:hAnsi="宋体" w:eastAsia="宋体" w:cs="宋体"/>
          <w:color w:val="auto"/>
          <w:spacing w:val="0"/>
          <w:kern w:val="0"/>
          <w:position w:val="0"/>
          <w:sz w:val="28"/>
          <w:szCs w:val="28"/>
          <w:highlight w:val="none"/>
          <w:lang w:eastAsia="zh-CN"/>
        </w:rPr>
        <w:t>）</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_Toc8040 \h </w:instrText>
      </w:r>
      <w:r>
        <w:rPr>
          <w:color w:val="auto"/>
          <w:sz w:val="28"/>
          <w:szCs w:val="28"/>
          <w:highlight w:val="none"/>
        </w:rPr>
        <w:fldChar w:fldCharType="separate"/>
      </w:r>
      <w:r>
        <w:rPr>
          <w:color w:val="auto"/>
          <w:sz w:val="28"/>
          <w:szCs w:val="28"/>
          <w:highlight w:val="none"/>
        </w:rPr>
        <w:t>64</w:t>
      </w:r>
      <w:r>
        <w:rPr>
          <w:color w:val="auto"/>
          <w:sz w:val="28"/>
          <w:szCs w:val="28"/>
          <w:highlight w:val="none"/>
        </w:rPr>
        <w:fldChar w:fldCharType="end"/>
      </w:r>
      <w:r>
        <w:rPr>
          <w:rFonts w:hint="eastAsia" w:ascii="宋体" w:hAnsi="宋体" w:eastAsia="宋体" w:cs="宋体"/>
          <w:color w:val="auto"/>
          <w:spacing w:val="0"/>
          <w:position w:val="0"/>
          <w:sz w:val="28"/>
          <w:szCs w:val="28"/>
          <w:highlight w:val="none"/>
          <w:lang w:eastAsia="zh-CN"/>
        </w:rPr>
        <w:fldChar w:fldCharType="end"/>
      </w:r>
    </w:p>
    <w:p w14:paraId="6CB4C13A">
      <w:pPr>
        <w:keepNext w:val="0"/>
        <w:keepLines w:val="0"/>
        <w:pageBreakBefore w:val="0"/>
        <w:widowControl w:val="0"/>
        <w:tabs>
          <w:tab w:val="left" w:pos="6703"/>
        </w:tabs>
        <w:kinsoku/>
        <w:wordWrap w:val="0"/>
        <w:overflowPunct/>
        <w:topLinePunct/>
        <w:autoSpaceDE/>
        <w:autoSpaceDN/>
        <w:bidi w:val="0"/>
        <w:adjustRightInd/>
        <w:snapToGrid/>
        <w:spacing w:line="480" w:lineRule="auto"/>
        <w:jc w:val="left"/>
        <w:textAlignment w:val="auto"/>
        <w:rPr>
          <w:rFonts w:hint="eastAsia" w:ascii="宋体" w:hAnsi="宋体" w:eastAsia="宋体" w:cs="宋体"/>
          <w:color w:val="auto"/>
          <w:spacing w:val="0"/>
          <w:position w:val="0"/>
          <w:highlight w:val="none"/>
          <w:lang w:eastAsia="zh-CN"/>
        </w:rPr>
        <w:sectPr>
          <w:headerReference r:id="rId3" w:type="default"/>
          <w:footerReference r:id="rId4" w:type="default"/>
          <w:pgSz w:w="11906" w:h="16838"/>
          <w:pgMar w:top="1440" w:right="1080" w:bottom="1440" w:left="1080" w:header="851" w:footer="794" w:gutter="567"/>
          <w:pgNumType w:fmt="decimal" w:start="1"/>
          <w:cols w:space="720" w:num="1"/>
        </w:sectPr>
      </w:pPr>
      <w:r>
        <w:rPr>
          <w:rFonts w:hint="eastAsia" w:ascii="宋体" w:hAnsi="宋体" w:eastAsia="宋体" w:cs="宋体"/>
          <w:color w:val="auto"/>
          <w:spacing w:val="0"/>
          <w:position w:val="0"/>
          <w:sz w:val="28"/>
          <w:szCs w:val="28"/>
          <w:highlight w:val="none"/>
          <w:lang w:eastAsia="zh-CN"/>
        </w:rPr>
        <w:fldChar w:fldCharType="end"/>
      </w:r>
    </w:p>
    <w:p w14:paraId="7661A793">
      <w:pPr>
        <w:pStyle w:val="3"/>
        <w:keepNext/>
        <w:keepLines/>
        <w:pageBreakBefore w:val="0"/>
        <w:widowControl w:val="0"/>
        <w:kinsoku/>
        <w:wordWrap w:val="0"/>
        <w:overflowPunct/>
        <w:topLinePunct/>
        <w:autoSpaceDE/>
        <w:autoSpaceDN/>
        <w:bidi w:val="0"/>
        <w:adjustRightInd/>
        <w:snapToGrid/>
        <w:spacing w:before="0" w:after="0" w:afterLines="50" w:line="520" w:lineRule="exact"/>
        <w:jc w:val="center"/>
        <w:textAlignment w:val="auto"/>
        <w:rPr>
          <w:rFonts w:hint="eastAsia" w:ascii="宋体" w:hAnsi="宋体" w:eastAsia="宋体" w:cs="宋体"/>
          <w:color w:val="auto"/>
          <w:spacing w:val="0"/>
          <w:position w:val="0"/>
          <w:sz w:val="32"/>
          <w:szCs w:val="32"/>
          <w:highlight w:val="none"/>
          <w:lang w:eastAsia="zh-CN"/>
        </w:rPr>
      </w:pPr>
      <w:bookmarkStart w:id="0" w:name="_Toc29312"/>
      <w:bookmarkStart w:id="1" w:name="_Toc8462"/>
      <w:r>
        <w:rPr>
          <w:rFonts w:hint="eastAsia" w:ascii="宋体" w:hAnsi="宋体" w:eastAsia="宋体" w:cs="宋体"/>
          <w:color w:val="auto"/>
          <w:spacing w:val="0"/>
          <w:position w:val="0"/>
          <w:sz w:val="32"/>
          <w:szCs w:val="32"/>
          <w:highlight w:val="none"/>
        </w:rPr>
        <w:t>第一章</w:t>
      </w:r>
      <w:bookmarkEnd w:id="0"/>
      <w:bookmarkStart w:id="2" w:name="_Toc434315323"/>
      <w:r>
        <w:rPr>
          <w:rFonts w:hint="eastAsia" w:ascii="宋体" w:hAnsi="宋体" w:eastAsia="宋体" w:cs="宋体"/>
          <w:color w:val="auto"/>
          <w:spacing w:val="0"/>
          <w:position w:val="0"/>
          <w:sz w:val="32"/>
          <w:szCs w:val="32"/>
          <w:highlight w:val="none"/>
          <w:lang w:val="en-US" w:eastAsia="zh-CN"/>
        </w:rPr>
        <w:t xml:space="preserve">  竞争性</w:t>
      </w:r>
      <w:r>
        <w:rPr>
          <w:rFonts w:hint="eastAsia" w:ascii="宋体" w:hAnsi="宋体" w:eastAsia="宋体" w:cs="宋体"/>
          <w:color w:val="auto"/>
          <w:spacing w:val="0"/>
          <w:position w:val="0"/>
          <w:sz w:val="32"/>
          <w:szCs w:val="32"/>
          <w:highlight w:val="none"/>
          <w:lang w:eastAsia="zh-CN"/>
        </w:rPr>
        <w:t>磋商公告</w:t>
      </w:r>
      <w:bookmarkEnd w:id="1"/>
    </w:p>
    <w:p w14:paraId="0C81BBF2">
      <w:pPr>
        <w:keepNext w:val="0"/>
        <w:keepLines w:val="0"/>
        <w:pageBreakBefore w:val="0"/>
        <w:widowControl w:val="0"/>
        <w:kinsoku/>
        <w:wordWrap w:val="0"/>
        <w:overflowPunct/>
        <w:topLinePunct/>
        <w:autoSpaceDE/>
        <w:autoSpaceDN/>
        <w:bidi w:val="0"/>
        <w:adjustRightInd/>
        <w:snapToGrid/>
        <w:spacing w:after="0" w:afterLines="50" w:line="460" w:lineRule="exact"/>
        <w:jc w:val="center"/>
        <w:textAlignment w:val="auto"/>
        <w:rPr>
          <w:rFonts w:hint="eastAsia" w:ascii="宋体" w:hAnsi="宋体" w:eastAsia="宋体" w:cs="宋体"/>
          <w:color w:val="auto"/>
          <w:spacing w:val="0"/>
          <w:position w:val="0"/>
          <w:sz w:val="30"/>
          <w:szCs w:val="30"/>
          <w:highlight w:val="none"/>
        </w:rPr>
      </w:pPr>
      <w:r>
        <w:rPr>
          <w:rFonts w:hint="eastAsia" w:ascii="宋体" w:hAnsi="宋体" w:eastAsia="宋体" w:cs="宋体"/>
          <w:b/>
          <w:color w:val="auto"/>
          <w:spacing w:val="0"/>
          <w:position w:val="0"/>
          <w:sz w:val="30"/>
          <w:szCs w:val="30"/>
          <w:highlight w:val="none"/>
          <w:lang w:val="en-US" w:eastAsia="zh-CN"/>
        </w:rPr>
        <w:t>广西</w:t>
      </w:r>
      <w:r>
        <w:rPr>
          <w:rFonts w:hint="eastAsia" w:ascii="宋体" w:hAnsi="宋体" w:cs="宋体"/>
          <w:b/>
          <w:color w:val="auto"/>
          <w:spacing w:val="0"/>
          <w:position w:val="0"/>
          <w:sz w:val="30"/>
          <w:szCs w:val="30"/>
          <w:highlight w:val="none"/>
          <w:lang w:val="en-US" w:eastAsia="zh-CN"/>
        </w:rPr>
        <w:t>至胜</w:t>
      </w:r>
      <w:r>
        <w:rPr>
          <w:rFonts w:hint="eastAsia" w:ascii="宋体" w:hAnsi="宋体" w:eastAsia="宋体" w:cs="宋体"/>
          <w:b/>
          <w:color w:val="auto"/>
          <w:spacing w:val="0"/>
          <w:position w:val="0"/>
          <w:sz w:val="30"/>
          <w:szCs w:val="30"/>
          <w:highlight w:val="none"/>
          <w:lang w:val="en-US" w:eastAsia="zh-CN"/>
        </w:rPr>
        <w:t>招标有限公司</w:t>
      </w:r>
      <w:r>
        <w:rPr>
          <w:rFonts w:hint="eastAsia" w:ascii="宋体" w:hAnsi="宋体" w:eastAsia="宋体" w:cs="宋体"/>
          <w:b/>
          <w:color w:val="auto"/>
          <w:spacing w:val="0"/>
          <w:position w:val="0"/>
          <w:sz w:val="30"/>
          <w:szCs w:val="30"/>
          <w:highlight w:val="none"/>
        </w:rPr>
        <w:t>关于</w:t>
      </w:r>
      <w:bookmarkStart w:id="3" w:name="_Toc2948"/>
      <w:r>
        <w:rPr>
          <w:rFonts w:hint="eastAsia" w:ascii="宋体" w:hAnsi="宋体" w:cs="宋体"/>
          <w:b/>
          <w:color w:val="auto"/>
          <w:spacing w:val="0"/>
          <w:position w:val="0"/>
          <w:sz w:val="30"/>
          <w:szCs w:val="30"/>
          <w:highlight w:val="none"/>
          <w:u w:val="none"/>
          <w:lang w:val="en-US" w:eastAsia="zh-CN"/>
        </w:rPr>
        <w:t>浦北大红柑智慧农业示范带提升项目茅家上子塘基地产业路</w:t>
      </w:r>
      <w:r>
        <w:rPr>
          <w:rFonts w:hint="eastAsia" w:ascii="宋体" w:hAnsi="宋体" w:eastAsia="宋体" w:cs="宋体"/>
          <w:b/>
          <w:color w:val="auto"/>
          <w:spacing w:val="0"/>
          <w:position w:val="0"/>
          <w:sz w:val="30"/>
          <w:szCs w:val="30"/>
          <w:highlight w:val="none"/>
          <w:u w:val="none"/>
          <w:lang w:val="en-US" w:eastAsia="zh-CN"/>
        </w:rPr>
        <w:t>（</w:t>
      </w:r>
      <w:r>
        <w:rPr>
          <w:rFonts w:hint="eastAsia" w:ascii="宋体" w:hAnsi="宋体" w:cs="宋体"/>
          <w:b/>
          <w:color w:val="auto"/>
          <w:spacing w:val="0"/>
          <w:position w:val="0"/>
          <w:sz w:val="30"/>
          <w:szCs w:val="30"/>
          <w:highlight w:val="none"/>
          <w:u w:val="none"/>
          <w:lang w:val="en-US" w:eastAsia="zh-CN"/>
        </w:rPr>
        <w:t>QZZC2025-C2-220206-ZSZB</w:t>
      </w:r>
      <w:r>
        <w:rPr>
          <w:rFonts w:hint="eastAsia" w:ascii="宋体" w:hAnsi="宋体" w:eastAsia="宋体" w:cs="宋体"/>
          <w:b/>
          <w:color w:val="auto"/>
          <w:spacing w:val="0"/>
          <w:position w:val="0"/>
          <w:sz w:val="30"/>
          <w:szCs w:val="30"/>
          <w:highlight w:val="none"/>
          <w:u w:val="none"/>
          <w:lang w:val="en-US" w:eastAsia="zh-CN"/>
        </w:rPr>
        <w:t>）竞争</w:t>
      </w:r>
      <w:r>
        <w:rPr>
          <w:rFonts w:hint="eastAsia" w:ascii="宋体" w:hAnsi="宋体" w:eastAsia="宋体" w:cs="宋体"/>
          <w:b/>
          <w:color w:val="auto"/>
          <w:spacing w:val="0"/>
          <w:position w:val="0"/>
          <w:sz w:val="30"/>
          <w:szCs w:val="30"/>
          <w:highlight w:val="none"/>
          <w:lang w:val="en-US" w:eastAsia="zh-CN"/>
        </w:rPr>
        <w:t>性</w:t>
      </w:r>
      <w:r>
        <w:rPr>
          <w:rFonts w:hint="eastAsia" w:ascii="宋体" w:hAnsi="宋体" w:eastAsia="宋体" w:cs="宋体"/>
          <w:b/>
          <w:color w:val="auto"/>
          <w:spacing w:val="0"/>
          <w:position w:val="0"/>
          <w:sz w:val="30"/>
          <w:szCs w:val="30"/>
          <w:highlight w:val="none"/>
          <w:lang w:eastAsia="zh-CN"/>
        </w:rPr>
        <w:t>磋商公告</w:t>
      </w:r>
      <w:bookmarkEnd w:id="3"/>
    </w:p>
    <w:tbl>
      <w:tblPr>
        <w:tblStyle w:val="31"/>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6"/>
      </w:tblGrid>
      <w:tr w14:paraId="550C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66" w:type="dxa"/>
          </w:tcPr>
          <w:p w14:paraId="5ADEBC25">
            <w:pPr>
              <w:pageBreakBefore w:val="0"/>
              <w:kinsoku/>
              <w:wordWrap w:val="0"/>
              <w:overflowPunct/>
              <w:topLinePunct/>
              <w:autoSpaceDE/>
              <w:autoSpaceDN/>
              <w:bidi w:val="0"/>
              <w:spacing w:line="400" w:lineRule="exact"/>
              <w:rPr>
                <w:rFonts w:hint="eastAsia" w:ascii="宋体" w:hAnsi="宋体" w:eastAsia="宋体" w:cs="宋体"/>
                <w:b/>
                <w:bCs/>
                <w:color w:val="auto"/>
                <w:spacing w:val="0"/>
                <w:position w:val="0"/>
                <w:szCs w:val="21"/>
                <w:highlight w:val="none"/>
              </w:rPr>
            </w:pPr>
            <w:r>
              <w:rPr>
                <w:rFonts w:hint="eastAsia" w:ascii="宋体" w:hAnsi="宋体" w:eastAsia="宋体" w:cs="宋体"/>
                <w:b/>
                <w:bCs/>
                <w:color w:val="auto"/>
                <w:spacing w:val="0"/>
                <w:position w:val="0"/>
                <w:szCs w:val="21"/>
                <w:highlight w:val="none"/>
              </w:rPr>
              <w:t>项目概况</w:t>
            </w:r>
          </w:p>
          <w:p w14:paraId="6B5FB04A">
            <w:pPr>
              <w:pageBreakBefore w:val="0"/>
              <w:kinsoku/>
              <w:wordWrap w:val="0"/>
              <w:overflowPunct/>
              <w:topLinePunct/>
              <w:autoSpaceDE/>
              <w:autoSpaceDN/>
              <w:bidi w:val="0"/>
              <w:spacing w:line="400" w:lineRule="exact"/>
              <w:ind w:firstLine="420" w:firstLineChars="200"/>
              <w:rPr>
                <w:rFonts w:hint="eastAsia" w:ascii="宋体" w:hAnsi="宋体" w:eastAsia="宋体" w:cs="宋体"/>
                <w:color w:val="auto"/>
                <w:spacing w:val="0"/>
                <w:position w:val="0"/>
                <w:highlight w:val="none"/>
              </w:rPr>
            </w:pPr>
            <w:r>
              <w:rPr>
                <w:rFonts w:hint="eastAsia" w:ascii="宋体" w:hAnsi="宋体" w:cs="宋体"/>
                <w:color w:val="auto"/>
                <w:spacing w:val="0"/>
                <w:position w:val="0"/>
                <w:szCs w:val="21"/>
                <w:highlight w:val="none"/>
                <w:u w:val="single"/>
                <w:lang w:val="en-US" w:eastAsia="zh-CN"/>
              </w:rPr>
              <w:t>浦北大红柑智慧农业示范带提升项目茅家上子塘基地产业路</w:t>
            </w:r>
            <w:r>
              <w:rPr>
                <w:rFonts w:hint="eastAsia" w:ascii="宋体" w:hAnsi="宋体" w:eastAsia="宋体" w:cs="宋体"/>
                <w:color w:val="auto"/>
                <w:spacing w:val="0"/>
                <w:position w:val="0"/>
                <w:szCs w:val="21"/>
                <w:highlight w:val="none"/>
              </w:rPr>
              <w:t>采购项目的潜在供应商应在</w:t>
            </w:r>
            <w:r>
              <w:rPr>
                <w:rFonts w:hint="eastAsia" w:ascii="宋体" w:hAnsi="宋体" w:eastAsia="宋体" w:cs="宋体"/>
                <w:color w:val="auto"/>
                <w:spacing w:val="0"/>
                <w:position w:val="0"/>
                <w:szCs w:val="21"/>
                <w:highlight w:val="none"/>
                <w:u w:val="single"/>
                <w:lang w:eastAsia="zh-CN"/>
              </w:rPr>
              <w:t>广西政府采购云平台（https://www.gcy.zfcg.gxzf.gov.cn/）</w:t>
            </w:r>
            <w:r>
              <w:rPr>
                <w:rFonts w:hint="eastAsia" w:ascii="宋体" w:hAnsi="宋体" w:eastAsia="宋体" w:cs="宋体"/>
                <w:color w:val="auto"/>
                <w:spacing w:val="0"/>
                <w:position w:val="0"/>
                <w:szCs w:val="21"/>
                <w:highlight w:val="none"/>
              </w:rPr>
              <w:t>获取</w:t>
            </w:r>
            <w:r>
              <w:rPr>
                <w:rFonts w:hint="eastAsia" w:ascii="宋体" w:hAnsi="宋体" w:eastAsia="宋体" w:cs="宋体"/>
                <w:color w:val="auto"/>
                <w:spacing w:val="0"/>
                <w:position w:val="0"/>
                <w:highlight w:val="none"/>
              </w:rPr>
              <w:t>采购文件</w:t>
            </w:r>
            <w:r>
              <w:rPr>
                <w:rFonts w:hint="eastAsia" w:ascii="宋体" w:hAnsi="宋体" w:eastAsia="宋体" w:cs="宋体"/>
                <w:color w:val="auto"/>
                <w:spacing w:val="0"/>
                <w:position w:val="0"/>
                <w:szCs w:val="21"/>
                <w:highlight w:val="none"/>
              </w:rPr>
              <w:t>，并于</w:t>
            </w:r>
            <w:r>
              <w:rPr>
                <w:rFonts w:hint="eastAsia" w:ascii="宋体" w:hAnsi="宋体" w:eastAsia="宋体" w:cs="宋体"/>
                <w:color w:val="auto"/>
                <w:spacing w:val="0"/>
                <w:position w:val="0"/>
                <w:szCs w:val="21"/>
                <w:highlight w:val="none"/>
                <w:u w:val="single"/>
                <w:lang w:eastAsia="zh-CN"/>
              </w:rPr>
              <w:t>202</w:t>
            </w:r>
            <w:r>
              <w:rPr>
                <w:rFonts w:hint="eastAsia" w:ascii="宋体" w:hAnsi="宋体" w:cs="宋体"/>
                <w:color w:val="auto"/>
                <w:spacing w:val="0"/>
                <w:position w:val="0"/>
                <w:szCs w:val="21"/>
                <w:highlight w:val="none"/>
                <w:u w:val="single"/>
                <w:lang w:val="en-US" w:eastAsia="zh-CN"/>
              </w:rPr>
              <w:t>5</w:t>
            </w:r>
            <w:r>
              <w:rPr>
                <w:rFonts w:hint="eastAsia" w:ascii="宋体" w:hAnsi="宋体" w:eastAsia="宋体" w:cs="宋体"/>
                <w:color w:val="auto"/>
                <w:spacing w:val="0"/>
                <w:position w:val="0"/>
                <w:szCs w:val="21"/>
                <w:highlight w:val="none"/>
                <w:u w:val="single"/>
                <w:lang w:eastAsia="zh-CN"/>
              </w:rPr>
              <w:t>年</w:t>
            </w:r>
            <w:r>
              <w:rPr>
                <w:rFonts w:hint="eastAsia" w:ascii="宋体" w:hAnsi="宋体" w:cs="宋体"/>
                <w:color w:val="auto"/>
                <w:spacing w:val="0"/>
                <w:position w:val="0"/>
                <w:szCs w:val="21"/>
                <w:highlight w:val="none"/>
                <w:u w:val="single"/>
                <w:lang w:val="en-US" w:eastAsia="zh-CN"/>
              </w:rPr>
              <w:t>9</w:t>
            </w:r>
            <w:r>
              <w:rPr>
                <w:rFonts w:hint="eastAsia" w:ascii="宋体" w:hAnsi="宋体" w:eastAsia="宋体" w:cs="宋体"/>
                <w:color w:val="auto"/>
                <w:spacing w:val="0"/>
                <w:position w:val="0"/>
                <w:szCs w:val="21"/>
                <w:highlight w:val="none"/>
                <w:u w:val="single"/>
                <w:lang w:eastAsia="zh-CN"/>
              </w:rPr>
              <w:t>月</w:t>
            </w:r>
            <w:r>
              <w:rPr>
                <w:rFonts w:hint="eastAsia" w:ascii="宋体" w:hAnsi="宋体" w:cs="宋体"/>
                <w:color w:val="auto"/>
                <w:spacing w:val="0"/>
                <w:position w:val="0"/>
                <w:szCs w:val="21"/>
                <w:highlight w:val="none"/>
                <w:u w:val="single"/>
                <w:lang w:val="en-US" w:eastAsia="zh-CN"/>
              </w:rPr>
              <w:t>29</w:t>
            </w:r>
            <w:r>
              <w:rPr>
                <w:rFonts w:hint="eastAsia" w:ascii="宋体" w:hAnsi="宋体" w:eastAsia="宋体" w:cs="宋体"/>
                <w:color w:val="auto"/>
                <w:spacing w:val="0"/>
                <w:position w:val="0"/>
                <w:szCs w:val="21"/>
                <w:highlight w:val="none"/>
                <w:u w:val="single"/>
                <w:lang w:eastAsia="zh-CN"/>
              </w:rPr>
              <w:t>日</w:t>
            </w:r>
            <w:r>
              <w:rPr>
                <w:rFonts w:hint="eastAsia" w:ascii="宋体" w:hAnsi="宋体" w:cs="宋体"/>
                <w:color w:val="auto"/>
                <w:spacing w:val="0"/>
                <w:position w:val="0"/>
                <w:szCs w:val="21"/>
                <w:highlight w:val="none"/>
                <w:u w:val="single"/>
                <w:lang w:val="en-US" w:eastAsia="zh-CN"/>
              </w:rPr>
              <w:t>9</w:t>
            </w:r>
            <w:r>
              <w:rPr>
                <w:rFonts w:hint="eastAsia" w:ascii="宋体" w:hAnsi="宋体" w:eastAsia="宋体" w:cs="宋体"/>
                <w:color w:val="auto"/>
                <w:spacing w:val="0"/>
                <w:position w:val="0"/>
                <w:szCs w:val="21"/>
                <w:highlight w:val="none"/>
                <w:u w:val="single"/>
                <w:lang w:eastAsia="zh-CN"/>
              </w:rPr>
              <w:t>时</w:t>
            </w:r>
            <w:r>
              <w:rPr>
                <w:rFonts w:hint="eastAsia" w:ascii="宋体" w:hAnsi="宋体" w:cs="宋体"/>
                <w:color w:val="auto"/>
                <w:spacing w:val="0"/>
                <w:position w:val="0"/>
                <w:szCs w:val="21"/>
                <w:highlight w:val="none"/>
                <w:u w:val="single"/>
                <w:lang w:val="en-US" w:eastAsia="zh-CN"/>
              </w:rPr>
              <w:t>30</w:t>
            </w:r>
            <w:r>
              <w:rPr>
                <w:rFonts w:hint="eastAsia" w:ascii="宋体" w:hAnsi="宋体" w:eastAsia="宋体" w:cs="宋体"/>
                <w:color w:val="auto"/>
                <w:spacing w:val="0"/>
                <w:position w:val="0"/>
                <w:szCs w:val="21"/>
                <w:highlight w:val="none"/>
                <w:u w:val="single"/>
                <w:lang w:eastAsia="zh-CN"/>
              </w:rPr>
              <w:t>分</w:t>
            </w:r>
            <w:r>
              <w:rPr>
                <w:rFonts w:hint="eastAsia" w:ascii="宋体" w:hAnsi="宋体" w:eastAsia="宋体" w:cs="宋体"/>
                <w:color w:val="auto"/>
                <w:spacing w:val="0"/>
                <w:position w:val="0"/>
                <w:szCs w:val="21"/>
                <w:highlight w:val="none"/>
                <w:u w:val="single"/>
              </w:rPr>
              <w:t>（北京时间）</w:t>
            </w:r>
            <w:r>
              <w:rPr>
                <w:rFonts w:hint="eastAsia" w:ascii="宋体" w:hAnsi="宋体" w:eastAsia="宋体" w:cs="宋体"/>
                <w:color w:val="auto"/>
                <w:spacing w:val="0"/>
                <w:position w:val="0"/>
                <w:szCs w:val="21"/>
                <w:highlight w:val="none"/>
              </w:rPr>
              <w:t>前提交响应文件。</w:t>
            </w:r>
          </w:p>
        </w:tc>
      </w:tr>
    </w:tbl>
    <w:p w14:paraId="4CB2FE8B">
      <w:pPr>
        <w:pStyle w:val="4"/>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4" w:name="_Toc28359089"/>
      <w:bookmarkStart w:id="5" w:name="_Toc2499"/>
      <w:bookmarkStart w:id="6" w:name="_Toc31859"/>
      <w:bookmarkStart w:id="7" w:name="_Toc35393629"/>
      <w:bookmarkStart w:id="8" w:name="_Toc28359012"/>
      <w:bookmarkStart w:id="9" w:name="_Toc35393798"/>
      <w:bookmarkStart w:id="10" w:name="_Toc9324"/>
      <w:r>
        <w:rPr>
          <w:rFonts w:hint="eastAsia" w:ascii="宋体" w:hAnsi="宋体" w:eastAsia="宋体" w:cs="宋体"/>
          <w:bCs w:val="0"/>
          <w:color w:val="auto"/>
          <w:spacing w:val="0"/>
          <w:position w:val="0"/>
          <w:sz w:val="21"/>
          <w:szCs w:val="21"/>
          <w:highlight w:val="none"/>
        </w:rPr>
        <w:t>一、项目基本情况</w:t>
      </w:r>
      <w:bookmarkEnd w:id="4"/>
      <w:bookmarkEnd w:id="5"/>
      <w:bookmarkEnd w:id="6"/>
      <w:bookmarkEnd w:id="7"/>
      <w:bookmarkEnd w:id="8"/>
      <w:bookmarkEnd w:id="9"/>
      <w:bookmarkEnd w:id="10"/>
    </w:p>
    <w:p w14:paraId="58A2E468">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项目编号：</w:t>
      </w:r>
      <w:r>
        <w:rPr>
          <w:rFonts w:hint="eastAsia" w:ascii="宋体" w:hAnsi="宋体" w:cs="宋体"/>
          <w:color w:val="auto"/>
          <w:spacing w:val="0"/>
          <w:position w:val="0"/>
          <w:szCs w:val="21"/>
          <w:highlight w:val="none"/>
          <w:lang w:eastAsia="zh-CN"/>
        </w:rPr>
        <w:t>QZZC2025-C2-220206-ZSZB</w:t>
      </w:r>
    </w:p>
    <w:p w14:paraId="332BA055">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u w:val="single"/>
          <w:lang w:val="en-US" w:eastAsia="zh-CN"/>
        </w:rPr>
      </w:pPr>
      <w:r>
        <w:rPr>
          <w:rFonts w:hint="eastAsia" w:ascii="宋体" w:hAnsi="宋体" w:eastAsia="宋体" w:cs="宋体"/>
          <w:color w:val="auto"/>
          <w:spacing w:val="0"/>
          <w:position w:val="0"/>
          <w:szCs w:val="21"/>
          <w:highlight w:val="none"/>
        </w:rPr>
        <w:t>项目名称：</w:t>
      </w:r>
      <w:r>
        <w:rPr>
          <w:rFonts w:hint="eastAsia" w:ascii="宋体" w:hAnsi="宋体" w:cs="宋体"/>
          <w:color w:val="auto"/>
          <w:spacing w:val="0"/>
          <w:position w:val="0"/>
          <w:szCs w:val="21"/>
          <w:highlight w:val="none"/>
          <w:u w:val="none"/>
          <w:lang w:val="en-US" w:eastAsia="zh-CN"/>
        </w:rPr>
        <w:t>浦北大红柑智慧农业示范带提升项目茅家上子塘基地产业路</w:t>
      </w:r>
    </w:p>
    <w:p w14:paraId="125A7865">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采购方式：</w:t>
      </w:r>
      <w:r>
        <w:rPr>
          <w:rFonts w:hint="eastAsia" w:ascii="宋体" w:hAnsi="宋体" w:eastAsia="宋体" w:cs="宋体"/>
          <w:color w:val="auto"/>
          <w:spacing w:val="0"/>
          <w:position w:val="0"/>
          <w:highlight w:val="none"/>
        </w:rPr>
        <w:t>竞争性磋商</w:t>
      </w:r>
    </w:p>
    <w:p w14:paraId="6D41F3D9">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default"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预算</w:t>
      </w:r>
      <w:r>
        <w:rPr>
          <w:rFonts w:hint="eastAsia" w:ascii="宋体" w:hAnsi="宋体" w:eastAsia="宋体" w:cs="宋体"/>
          <w:color w:val="auto"/>
          <w:spacing w:val="0"/>
          <w:position w:val="0"/>
          <w:szCs w:val="21"/>
          <w:highlight w:val="none"/>
          <w:lang w:eastAsia="zh-CN"/>
        </w:rPr>
        <w:t>总</w:t>
      </w:r>
      <w:r>
        <w:rPr>
          <w:rFonts w:hint="eastAsia" w:ascii="宋体" w:hAnsi="宋体" w:eastAsia="宋体" w:cs="宋体"/>
          <w:color w:val="auto"/>
          <w:spacing w:val="0"/>
          <w:position w:val="0"/>
          <w:szCs w:val="21"/>
          <w:highlight w:val="none"/>
        </w:rPr>
        <w:t>金额（元）：</w:t>
      </w:r>
      <w:r>
        <w:rPr>
          <w:rFonts w:hint="eastAsia" w:ascii="宋体" w:hAnsi="宋体" w:cs="宋体"/>
          <w:color w:val="auto"/>
          <w:spacing w:val="0"/>
          <w:position w:val="0"/>
          <w:szCs w:val="21"/>
          <w:highlight w:val="none"/>
          <w:lang w:val="en-US" w:eastAsia="zh-CN"/>
        </w:rPr>
        <w:t>900000.00</w:t>
      </w:r>
    </w:p>
    <w:p w14:paraId="0FC7939E">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lang w:eastAsia="zh-CN"/>
        </w:rPr>
        <w:t>采购需求：</w:t>
      </w:r>
    </w:p>
    <w:p w14:paraId="53F2C9C6">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u w:val="none"/>
          <w:lang w:val="en-US" w:eastAsia="zh-CN"/>
        </w:rPr>
      </w:pPr>
      <w:r>
        <w:rPr>
          <w:rFonts w:hint="eastAsia" w:ascii="宋体" w:hAnsi="宋体" w:eastAsia="宋体" w:cs="宋体"/>
          <w:color w:val="auto"/>
          <w:spacing w:val="0"/>
          <w:position w:val="0"/>
          <w:szCs w:val="21"/>
          <w:highlight w:val="none"/>
        </w:rPr>
        <w:t>标项名称</w:t>
      </w:r>
      <w:r>
        <w:rPr>
          <w:rFonts w:hint="eastAsia" w:ascii="宋体" w:hAnsi="宋体" w:eastAsia="宋体" w:cs="宋体"/>
          <w:color w:val="auto"/>
          <w:spacing w:val="0"/>
          <w:position w:val="0"/>
          <w:szCs w:val="21"/>
          <w:highlight w:val="none"/>
          <w:lang w:eastAsia="zh-CN"/>
        </w:rPr>
        <w:t>：</w:t>
      </w:r>
      <w:r>
        <w:rPr>
          <w:rFonts w:hint="eastAsia" w:ascii="宋体" w:hAnsi="宋体" w:cs="宋体"/>
          <w:color w:val="auto"/>
          <w:spacing w:val="0"/>
          <w:position w:val="0"/>
          <w:szCs w:val="21"/>
          <w:highlight w:val="none"/>
          <w:u w:val="none"/>
          <w:lang w:val="en-US" w:eastAsia="zh-CN"/>
        </w:rPr>
        <w:t>浦北大红柑智慧农业示范带提升项目茅家上子塘基地产业路</w:t>
      </w:r>
    </w:p>
    <w:p w14:paraId="5A6DBCFC">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数量</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lang w:val="en-US" w:eastAsia="zh-CN"/>
        </w:rPr>
        <w:t>1</w:t>
      </w:r>
    </w:p>
    <w:p w14:paraId="018F2C4B">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预算金额（元）</w:t>
      </w:r>
      <w:r>
        <w:rPr>
          <w:rFonts w:hint="eastAsia" w:ascii="宋体" w:hAnsi="宋体" w:eastAsia="宋体" w:cs="宋体"/>
          <w:color w:val="auto"/>
          <w:spacing w:val="0"/>
          <w:position w:val="0"/>
          <w:szCs w:val="21"/>
          <w:highlight w:val="none"/>
          <w:lang w:eastAsia="zh-CN"/>
        </w:rPr>
        <w:t>：</w:t>
      </w:r>
      <w:r>
        <w:rPr>
          <w:rFonts w:hint="eastAsia" w:ascii="宋体" w:hAnsi="宋体" w:cs="宋体"/>
          <w:color w:val="auto"/>
          <w:spacing w:val="0"/>
          <w:position w:val="0"/>
          <w:szCs w:val="21"/>
          <w:highlight w:val="none"/>
          <w:lang w:val="en-US" w:eastAsia="zh-CN"/>
        </w:rPr>
        <w:t>900000.00</w:t>
      </w:r>
    </w:p>
    <w:p w14:paraId="3296BE4C">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简要规格描述或项目基本概况介绍、用途：本工程为</w:t>
      </w:r>
      <w:r>
        <w:rPr>
          <w:rFonts w:hint="eastAsia" w:ascii="宋体" w:hAnsi="宋体" w:cs="宋体"/>
          <w:color w:val="auto"/>
          <w:spacing w:val="0"/>
          <w:position w:val="0"/>
          <w:szCs w:val="21"/>
          <w:highlight w:val="none"/>
          <w:lang w:eastAsia="zh-CN"/>
        </w:rPr>
        <w:t>浦北大红柑智慧农业示范带提升项目茅家上子塘基地产业路</w:t>
      </w:r>
      <w:r>
        <w:rPr>
          <w:rFonts w:hint="eastAsia" w:ascii="宋体" w:hAnsi="宋体" w:eastAsia="宋体" w:cs="宋体"/>
          <w:color w:val="auto"/>
          <w:spacing w:val="0"/>
          <w:position w:val="0"/>
          <w:szCs w:val="21"/>
          <w:highlight w:val="none"/>
        </w:rPr>
        <w:t>，</w:t>
      </w:r>
      <w:r>
        <w:rPr>
          <w:rFonts w:hint="eastAsia" w:ascii="宋体" w:hAnsi="宋体" w:cs="宋体"/>
          <w:color w:val="auto"/>
          <w:spacing w:val="0"/>
          <w:position w:val="0"/>
          <w:szCs w:val="21"/>
          <w:highlight w:val="none"/>
          <w:lang w:eastAsia="zh-CN"/>
        </w:rPr>
        <w:t>主要内容</w:t>
      </w:r>
      <w:r>
        <w:rPr>
          <w:rFonts w:hint="eastAsia" w:ascii="宋体" w:hAnsi="宋体" w:eastAsia="宋体" w:cs="宋体"/>
          <w:color w:val="auto"/>
          <w:spacing w:val="0"/>
          <w:position w:val="0"/>
          <w:szCs w:val="21"/>
          <w:highlight w:val="none"/>
          <w:lang w:eastAsia="zh-CN"/>
        </w:rPr>
        <w:t>详见竞争性磋商文件、工程量清单及施工图纸</w:t>
      </w:r>
      <w:r>
        <w:rPr>
          <w:rFonts w:hint="eastAsia" w:ascii="宋体" w:hAnsi="宋体" w:eastAsia="宋体" w:cs="宋体"/>
          <w:color w:val="auto"/>
          <w:spacing w:val="0"/>
          <w:position w:val="0"/>
          <w:szCs w:val="21"/>
          <w:highlight w:val="none"/>
          <w:lang w:val="en-US" w:eastAsia="zh-CN"/>
        </w:rPr>
        <w:t>。</w:t>
      </w:r>
    </w:p>
    <w:p w14:paraId="22C08649">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最高限价（元）（如有）：816326.15</w:t>
      </w:r>
    </w:p>
    <w:p w14:paraId="4265F963">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合同履约期限：</w:t>
      </w:r>
      <w:r>
        <w:rPr>
          <w:rFonts w:hint="eastAsia" w:ascii="宋体" w:hAnsi="宋体" w:eastAsia="宋体" w:cs="宋体"/>
          <w:color w:val="auto"/>
          <w:spacing w:val="0"/>
          <w:position w:val="0"/>
          <w:szCs w:val="21"/>
          <w:highlight w:val="none"/>
          <w:lang w:eastAsia="zh-CN"/>
        </w:rPr>
        <w:t>自合同生效之日起至工程质量保修期结束</w:t>
      </w:r>
      <w:r>
        <w:rPr>
          <w:rFonts w:hint="eastAsia" w:ascii="宋体" w:hAnsi="宋体" w:cs="宋体"/>
          <w:color w:val="auto"/>
          <w:spacing w:val="0"/>
          <w:position w:val="0"/>
          <w:szCs w:val="21"/>
          <w:highlight w:val="none"/>
          <w:lang w:eastAsia="zh-CN"/>
        </w:rPr>
        <w:t>（其中工期</w:t>
      </w:r>
      <w:r>
        <w:rPr>
          <w:rFonts w:hint="eastAsia" w:ascii="宋体" w:hAnsi="宋体" w:cs="宋体"/>
          <w:color w:val="auto"/>
          <w:spacing w:val="0"/>
          <w:position w:val="0"/>
          <w:szCs w:val="21"/>
          <w:highlight w:val="none"/>
          <w:lang w:val="en-US" w:eastAsia="zh-CN"/>
        </w:rPr>
        <w:t>90日历天</w:t>
      </w:r>
      <w:r>
        <w:rPr>
          <w:rFonts w:hint="eastAsia" w:ascii="宋体" w:hAnsi="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lang w:eastAsia="zh-CN"/>
        </w:rPr>
        <w:t>。</w:t>
      </w:r>
    </w:p>
    <w:p w14:paraId="67DE327A">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本标项（否）接受</w:t>
      </w:r>
      <w:r>
        <w:rPr>
          <w:rFonts w:hint="eastAsia" w:ascii="宋体" w:hAnsi="宋体" w:eastAsia="宋体" w:cs="宋体"/>
          <w:color w:val="auto"/>
          <w:spacing w:val="0"/>
          <w:position w:val="0"/>
          <w:szCs w:val="21"/>
          <w:highlight w:val="none"/>
          <w:lang w:eastAsia="zh-CN"/>
        </w:rPr>
        <w:t>联合体竞标。</w:t>
      </w:r>
    </w:p>
    <w:p w14:paraId="34CCDA6B">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备注：</w:t>
      </w:r>
      <w:r>
        <w:rPr>
          <w:rFonts w:hint="eastAsia" w:ascii="宋体" w:hAnsi="宋体" w:eastAsia="宋体" w:cs="宋体"/>
          <w:color w:val="auto"/>
          <w:spacing w:val="0"/>
          <w:position w:val="0"/>
          <w:szCs w:val="21"/>
          <w:highlight w:val="none"/>
          <w:lang w:eastAsia="zh-CN"/>
        </w:rPr>
        <w:t>无。</w:t>
      </w:r>
    </w:p>
    <w:p w14:paraId="01BB115D">
      <w:pPr>
        <w:pStyle w:val="4"/>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11" w:name="_Toc35393799"/>
      <w:bookmarkStart w:id="12" w:name="_Toc35393630"/>
      <w:bookmarkStart w:id="13" w:name="_Toc21513"/>
      <w:bookmarkStart w:id="14" w:name="_Toc28359090"/>
      <w:bookmarkStart w:id="15" w:name="_Toc28634"/>
      <w:bookmarkStart w:id="16" w:name="_Toc28359013"/>
      <w:r>
        <w:rPr>
          <w:rFonts w:hint="eastAsia" w:ascii="宋体" w:hAnsi="宋体" w:eastAsia="宋体" w:cs="宋体"/>
          <w:bCs w:val="0"/>
          <w:color w:val="auto"/>
          <w:spacing w:val="0"/>
          <w:position w:val="0"/>
          <w:sz w:val="21"/>
          <w:szCs w:val="21"/>
          <w:highlight w:val="none"/>
        </w:rPr>
        <w:t>二、申请人的资格要求：</w:t>
      </w:r>
      <w:bookmarkEnd w:id="11"/>
      <w:bookmarkEnd w:id="12"/>
      <w:bookmarkEnd w:id="13"/>
      <w:bookmarkEnd w:id="14"/>
      <w:bookmarkEnd w:id="15"/>
      <w:bookmarkEnd w:id="16"/>
    </w:p>
    <w:p w14:paraId="52CB4F47">
      <w:pPr>
        <w:pageBreakBefore w:val="0"/>
        <w:widowControl w:val="0"/>
        <w:kinsoku/>
        <w:wordWrap w:val="0"/>
        <w:overflowPunct/>
        <w:topLinePunct/>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1.符合《中华人民共和国政府采购法》第二十二条规定</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 xml:space="preserve"> </w:t>
      </w:r>
    </w:p>
    <w:p w14:paraId="718160C2">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Cs w:val="21"/>
          <w:highlight w:val="none"/>
        </w:rPr>
        <w:t>2.落实政府采购政策需满足的资格要求：</w:t>
      </w:r>
      <w:r>
        <w:rPr>
          <w:rFonts w:hint="eastAsia" w:ascii="宋体" w:hAnsi="宋体" w:eastAsia="宋体" w:cs="宋体"/>
          <w:color w:val="auto"/>
          <w:spacing w:val="0"/>
          <w:position w:val="0"/>
          <w:szCs w:val="21"/>
          <w:highlight w:val="none"/>
          <w:lang w:eastAsia="zh-CN"/>
        </w:rPr>
        <w:t>本项目属于专门面向中小企业采购的项目，供应商须为中小企业或监狱企业或残疾人福利性单位。</w:t>
      </w:r>
    </w:p>
    <w:p w14:paraId="352452C8">
      <w:pPr>
        <w:pStyle w:val="11"/>
        <w:keepNext w:val="0"/>
        <w:keepLines w:val="0"/>
        <w:pageBreakBefore w:val="0"/>
        <w:widowControl w:val="0"/>
        <w:kinsoku/>
        <w:wordWrap w:val="0"/>
        <w:overflowPunct/>
        <w:topLinePunct/>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spacing w:val="0"/>
          <w:position w:val="0"/>
          <w:sz w:val="24"/>
          <w:szCs w:val="24"/>
          <w:highlight w:val="none"/>
          <w:lang w:val="en-US" w:eastAsia="zh-CN"/>
        </w:rPr>
      </w:pPr>
      <w:bookmarkStart w:id="17" w:name="_Toc28359014"/>
      <w:bookmarkStart w:id="18" w:name="_Toc28359091"/>
      <w:r>
        <w:rPr>
          <w:rFonts w:hint="eastAsia" w:ascii="宋体" w:hAnsi="宋体" w:eastAsia="宋体" w:cs="宋体"/>
          <w:color w:val="auto"/>
          <w:spacing w:val="0"/>
          <w:position w:val="0"/>
          <w:sz w:val="21"/>
          <w:szCs w:val="21"/>
          <w:highlight w:val="none"/>
        </w:rPr>
        <w:t>3.本项目的特定资格要求：</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1</w:t>
      </w:r>
      <w:r>
        <w:rPr>
          <w:rFonts w:hint="eastAsia" w:ascii="宋体" w:hAnsi="宋体" w:eastAsia="宋体" w:cs="宋体"/>
          <w:color w:val="auto"/>
          <w:spacing w:val="0"/>
          <w:position w:val="0"/>
          <w:sz w:val="21"/>
          <w:szCs w:val="21"/>
          <w:highlight w:val="none"/>
          <w:lang w:eastAsia="zh-CN"/>
        </w:rPr>
        <w:t>）竞标人须具备</w:t>
      </w:r>
      <w:r>
        <w:rPr>
          <w:rFonts w:hint="eastAsia" w:hAnsi="宋体" w:cs="宋体"/>
          <w:color w:val="auto"/>
          <w:spacing w:val="0"/>
          <w:position w:val="0"/>
          <w:sz w:val="21"/>
          <w:szCs w:val="21"/>
          <w:highlight w:val="none"/>
          <w:lang w:eastAsia="zh-CN"/>
        </w:rPr>
        <w:t>公路工程或市政公用工程</w:t>
      </w:r>
      <w:r>
        <w:rPr>
          <w:rFonts w:hint="eastAsia" w:ascii="宋体" w:hAnsi="宋体" w:eastAsia="宋体" w:cs="宋体"/>
          <w:color w:val="auto"/>
          <w:spacing w:val="0"/>
          <w:position w:val="0"/>
          <w:sz w:val="21"/>
          <w:szCs w:val="21"/>
          <w:highlight w:val="none"/>
          <w:lang w:eastAsia="zh-CN"/>
        </w:rPr>
        <w:t>施工总承包三级（含三级）以上资质以及有效的安全生产许可证，在人员、设备、资金等方面具备相应的施工能力</w:t>
      </w:r>
      <w:r>
        <w:rPr>
          <w:rFonts w:hint="eastAsia" w:ascii="宋体" w:hAnsi="宋体" w:eastAsia="宋体" w:cs="宋体"/>
          <w:color w:val="auto"/>
          <w:spacing w:val="0"/>
          <w:position w:val="0"/>
          <w:sz w:val="21"/>
          <w:szCs w:val="21"/>
          <w:highlight w:val="none"/>
          <w:lang w:val="en-US" w:eastAsia="zh-CN"/>
        </w:rPr>
        <w:t>。</w:t>
      </w:r>
      <w:r>
        <w:rPr>
          <w:rFonts w:hint="eastAsia" w:ascii="宋体" w:hAnsi="宋体" w:eastAsia="宋体" w:cs="宋体"/>
          <w:color w:val="auto"/>
          <w:spacing w:val="0"/>
          <w:kern w:val="0"/>
          <w:position w:val="0"/>
          <w:sz w:val="21"/>
          <w:szCs w:val="21"/>
          <w:highlight w:val="none"/>
          <w:lang w:val="en-US" w:eastAsia="zh-CN" w:bidi="ar-SA"/>
        </w:rPr>
        <w:t>（2）</w:t>
      </w:r>
      <w:r>
        <w:rPr>
          <w:rFonts w:hint="eastAsia" w:ascii="宋体" w:hAnsi="宋体" w:eastAsia="宋体" w:cs="宋体"/>
          <w:color w:val="auto"/>
          <w:spacing w:val="0"/>
          <w:position w:val="0"/>
          <w:sz w:val="21"/>
          <w:szCs w:val="21"/>
          <w:highlight w:val="none"/>
          <w:lang w:val="en-US" w:eastAsia="zh-CN"/>
        </w:rPr>
        <w:t>拟投入本工程的项目经理必须</w:t>
      </w:r>
      <w:r>
        <w:rPr>
          <w:rFonts w:hint="eastAsia" w:ascii="宋体" w:hAnsi="宋体" w:eastAsia="宋体" w:cs="宋体"/>
          <w:color w:val="auto"/>
          <w:spacing w:val="0"/>
          <w:position w:val="0"/>
          <w:sz w:val="21"/>
          <w:szCs w:val="21"/>
          <w:highlight w:val="none"/>
          <w:lang w:eastAsia="zh-CN"/>
        </w:rPr>
        <w:t>具备</w:t>
      </w:r>
      <w:r>
        <w:rPr>
          <w:rFonts w:hint="eastAsia" w:hAnsi="宋体" w:cs="宋体"/>
          <w:color w:val="auto"/>
          <w:spacing w:val="0"/>
          <w:position w:val="0"/>
          <w:sz w:val="21"/>
          <w:szCs w:val="21"/>
          <w:highlight w:val="none"/>
          <w:lang w:eastAsia="zh-CN"/>
        </w:rPr>
        <w:t>公路工程或市政公用工程</w:t>
      </w:r>
      <w:r>
        <w:rPr>
          <w:rFonts w:hint="eastAsia" w:ascii="宋体" w:hAnsi="宋体" w:eastAsia="宋体" w:cs="宋体"/>
          <w:color w:val="auto"/>
          <w:spacing w:val="0"/>
          <w:position w:val="0"/>
          <w:sz w:val="21"/>
          <w:szCs w:val="21"/>
          <w:highlight w:val="none"/>
          <w:lang w:eastAsia="zh-CN"/>
        </w:rPr>
        <w:t>专业二级（含二级）以上注册建造师执业资格，具备有效的安全生产考核合格证书（B类），且未担任超过两个在建或中标未开工项目的任何管理职务。</w:t>
      </w:r>
    </w:p>
    <w:p w14:paraId="53D61739">
      <w:pPr>
        <w:pStyle w:val="4"/>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19" w:name="_Toc35393800"/>
      <w:bookmarkStart w:id="20" w:name="_Toc29602"/>
      <w:bookmarkStart w:id="21" w:name="_Toc13777"/>
      <w:bookmarkStart w:id="22" w:name="_Toc9125"/>
      <w:bookmarkStart w:id="23" w:name="_Toc35393631"/>
      <w:r>
        <w:rPr>
          <w:rFonts w:hint="eastAsia" w:ascii="宋体" w:hAnsi="宋体" w:eastAsia="宋体" w:cs="宋体"/>
          <w:bCs w:val="0"/>
          <w:color w:val="auto"/>
          <w:spacing w:val="0"/>
          <w:position w:val="0"/>
          <w:sz w:val="21"/>
          <w:szCs w:val="21"/>
          <w:highlight w:val="none"/>
        </w:rPr>
        <w:t>三、获取采购文件</w:t>
      </w:r>
      <w:bookmarkEnd w:id="17"/>
      <w:bookmarkEnd w:id="18"/>
      <w:bookmarkEnd w:id="19"/>
      <w:bookmarkEnd w:id="20"/>
      <w:bookmarkEnd w:id="21"/>
      <w:bookmarkEnd w:id="22"/>
      <w:bookmarkEnd w:id="23"/>
    </w:p>
    <w:p w14:paraId="4E4C6820">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u w:val="none"/>
          <w:lang w:eastAsia="zh-CN"/>
        </w:rPr>
      </w:pPr>
      <w:r>
        <w:rPr>
          <w:rFonts w:hint="eastAsia" w:ascii="宋体" w:hAnsi="宋体" w:eastAsia="宋体" w:cs="宋体"/>
          <w:color w:val="auto"/>
          <w:spacing w:val="0"/>
          <w:position w:val="0"/>
          <w:szCs w:val="21"/>
          <w:highlight w:val="none"/>
          <w:u w:val="none"/>
        </w:rPr>
        <w:t>时间：</w:t>
      </w:r>
      <w:r>
        <w:rPr>
          <w:rFonts w:hint="eastAsia" w:ascii="宋体" w:hAnsi="宋体" w:eastAsia="宋体" w:cs="宋体"/>
          <w:color w:val="auto"/>
          <w:spacing w:val="0"/>
          <w:position w:val="0"/>
          <w:szCs w:val="21"/>
          <w:highlight w:val="none"/>
          <w:u w:val="none"/>
          <w:lang w:val="en-US" w:eastAsia="zh-CN"/>
        </w:rPr>
        <w:t>202</w:t>
      </w:r>
      <w:r>
        <w:rPr>
          <w:rFonts w:hint="eastAsia" w:ascii="宋体" w:hAnsi="宋体" w:cs="宋体"/>
          <w:color w:val="auto"/>
          <w:spacing w:val="0"/>
          <w:position w:val="0"/>
          <w:szCs w:val="21"/>
          <w:highlight w:val="none"/>
          <w:u w:val="none"/>
          <w:lang w:val="en-US" w:eastAsia="zh-CN"/>
        </w:rPr>
        <w:t>5</w:t>
      </w:r>
      <w:r>
        <w:rPr>
          <w:rFonts w:hint="eastAsia" w:ascii="宋体" w:hAnsi="宋体" w:eastAsia="宋体" w:cs="宋体"/>
          <w:color w:val="auto"/>
          <w:spacing w:val="0"/>
          <w:position w:val="0"/>
          <w:szCs w:val="21"/>
          <w:highlight w:val="none"/>
          <w:u w:val="none"/>
          <w:lang w:eastAsia="zh-CN"/>
        </w:rPr>
        <w:t>年</w:t>
      </w:r>
      <w:r>
        <w:rPr>
          <w:rFonts w:hint="eastAsia" w:ascii="宋体" w:hAnsi="宋体" w:cs="宋体"/>
          <w:color w:val="auto"/>
          <w:spacing w:val="0"/>
          <w:position w:val="0"/>
          <w:szCs w:val="21"/>
          <w:highlight w:val="none"/>
          <w:u w:val="none"/>
          <w:lang w:val="en-US" w:eastAsia="zh-CN"/>
        </w:rPr>
        <w:t>9</w:t>
      </w:r>
      <w:r>
        <w:rPr>
          <w:rFonts w:hint="eastAsia" w:ascii="宋体" w:hAnsi="宋体" w:eastAsia="宋体" w:cs="宋体"/>
          <w:color w:val="auto"/>
          <w:spacing w:val="0"/>
          <w:position w:val="0"/>
          <w:szCs w:val="21"/>
          <w:highlight w:val="none"/>
          <w:u w:val="none"/>
        </w:rPr>
        <w:t>月</w:t>
      </w:r>
      <w:r>
        <w:rPr>
          <w:rFonts w:hint="eastAsia" w:ascii="宋体" w:hAnsi="宋体" w:cs="宋体"/>
          <w:color w:val="auto"/>
          <w:spacing w:val="0"/>
          <w:position w:val="0"/>
          <w:szCs w:val="21"/>
          <w:highlight w:val="none"/>
          <w:u w:val="none"/>
          <w:lang w:val="en-US" w:eastAsia="zh-CN"/>
        </w:rPr>
        <w:t>19</w:t>
      </w:r>
      <w:r>
        <w:rPr>
          <w:rFonts w:hint="eastAsia" w:ascii="宋体" w:hAnsi="宋体" w:eastAsia="宋体" w:cs="宋体"/>
          <w:color w:val="auto"/>
          <w:spacing w:val="0"/>
          <w:position w:val="0"/>
          <w:szCs w:val="21"/>
          <w:highlight w:val="none"/>
          <w:u w:val="none"/>
        </w:rPr>
        <w:t>日至</w:t>
      </w:r>
      <w:r>
        <w:rPr>
          <w:rFonts w:hint="eastAsia" w:ascii="宋体" w:hAnsi="宋体" w:eastAsia="宋体" w:cs="宋体"/>
          <w:color w:val="auto"/>
          <w:spacing w:val="0"/>
          <w:position w:val="0"/>
          <w:szCs w:val="21"/>
          <w:highlight w:val="none"/>
          <w:u w:val="none"/>
          <w:lang w:eastAsia="zh-CN"/>
        </w:rPr>
        <w:t>202</w:t>
      </w:r>
      <w:r>
        <w:rPr>
          <w:rFonts w:hint="eastAsia" w:ascii="宋体" w:hAnsi="宋体" w:cs="宋体"/>
          <w:color w:val="auto"/>
          <w:spacing w:val="0"/>
          <w:position w:val="0"/>
          <w:szCs w:val="21"/>
          <w:highlight w:val="none"/>
          <w:u w:val="none"/>
          <w:lang w:val="en-US" w:eastAsia="zh-CN"/>
        </w:rPr>
        <w:t>5</w:t>
      </w:r>
      <w:r>
        <w:rPr>
          <w:rFonts w:hint="eastAsia" w:ascii="宋体" w:hAnsi="宋体" w:eastAsia="宋体" w:cs="宋体"/>
          <w:color w:val="auto"/>
          <w:spacing w:val="0"/>
          <w:position w:val="0"/>
          <w:szCs w:val="21"/>
          <w:highlight w:val="none"/>
          <w:u w:val="none"/>
          <w:lang w:eastAsia="zh-CN"/>
        </w:rPr>
        <w:t>年</w:t>
      </w:r>
      <w:r>
        <w:rPr>
          <w:rFonts w:hint="eastAsia" w:ascii="宋体" w:hAnsi="宋体" w:cs="宋体"/>
          <w:color w:val="auto"/>
          <w:spacing w:val="0"/>
          <w:position w:val="0"/>
          <w:szCs w:val="21"/>
          <w:highlight w:val="none"/>
          <w:u w:val="none"/>
          <w:lang w:val="en-US" w:eastAsia="zh-CN"/>
        </w:rPr>
        <w:t>9</w:t>
      </w:r>
      <w:r>
        <w:rPr>
          <w:rFonts w:hint="eastAsia" w:ascii="宋体" w:hAnsi="宋体" w:eastAsia="宋体" w:cs="宋体"/>
          <w:color w:val="auto"/>
          <w:spacing w:val="0"/>
          <w:position w:val="0"/>
          <w:szCs w:val="21"/>
          <w:highlight w:val="none"/>
          <w:u w:val="none"/>
        </w:rPr>
        <w:t>月</w:t>
      </w:r>
      <w:r>
        <w:rPr>
          <w:rFonts w:hint="eastAsia" w:ascii="宋体" w:hAnsi="宋体" w:cs="宋体"/>
          <w:color w:val="auto"/>
          <w:spacing w:val="0"/>
          <w:position w:val="0"/>
          <w:szCs w:val="21"/>
          <w:highlight w:val="none"/>
          <w:u w:val="none"/>
          <w:lang w:val="en-US" w:eastAsia="zh-CN"/>
        </w:rPr>
        <w:t>26</w:t>
      </w:r>
      <w:r>
        <w:rPr>
          <w:rFonts w:hint="eastAsia" w:ascii="宋体" w:hAnsi="宋体" w:eastAsia="宋体" w:cs="宋体"/>
          <w:color w:val="auto"/>
          <w:spacing w:val="0"/>
          <w:position w:val="0"/>
          <w:szCs w:val="21"/>
          <w:highlight w:val="none"/>
          <w:u w:val="none"/>
        </w:rPr>
        <w:t>日，每天上午</w:t>
      </w:r>
      <w:r>
        <w:rPr>
          <w:rFonts w:hint="eastAsia" w:ascii="宋体" w:hAnsi="宋体" w:cs="宋体"/>
          <w:color w:val="auto"/>
          <w:spacing w:val="0"/>
          <w:position w:val="0"/>
          <w:szCs w:val="21"/>
          <w:highlight w:val="none"/>
          <w:u w:val="none"/>
          <w:lang w:val="en-US" w:eastAsia="zh-CN"/>
        </w:rPr>
        <w:t>00</w:t>
      </w:r>
      <w:r>
        <w:rPr>
          <w:rFonts w:hint="eastAsia" w:ascii="宋体" w:hAnsi="宋体" w:eastAsia="宋体" w:cs="宋体"/>
          <w:color w:val="auto"/>
          <w:spacing w:val="0"/>
          <w:position w:val="0"/>
          <w:szCs w:val="21"/>
          <w:highlight w:val="none"/>
          <w:u w:val="none"/>
          <w:lang w:eastAsia="zh-CN"/>
        </w:rPr>
        <w:t>：</w:t>
      </w:r>
      <w:r>
        <w:rPr>
          <w:rFonts w:hint="eastAsia" w:ascii="宋体" w:hAnsi="宋体" w:eastAsia="宋体" w:cs="宋体"/>
          <w:color w:val="auto"/>
          <w:spacing w:val="0"/>
          <w:position w:val="0"/>
          <w:szCs w:val="21"/>
          <w:highlight w:val="none"/>
          <w:u w:val="none"/>
        </w:rPr>
        <w:t>00至1</w:t>
      </w:r>
      <w:r>
        <w:rPr>
          <w:rFonts w:hint="eastAsia" w:ascii="宋体" w:hAnsi="宋体" w:cs="宋体"/>
          <w:color w:val="auto"/>
          <w:spacing w:val="0"/>
          <w:position w:val="0"/>
          <w:szCs w:val="21"/>
          <w:highlight w:val="none"/>
          <w:u w:val="none"/>
          <w:lang w:val="en-US" w:eastAsia="zh-CN"/>
        </w:rPr>
        <w:t>1</w:t>
      </w:r>
      <w:r>
        <w:rPr>
          <w:rFonts w:hint="eastAsia" w:ascii="宋体" w:hAnsi="宋体" w:eastAsia="宋体" w:cs="宋体"/>
          <w:color w:val="auto"/>
          <w:spacing w:val="0"/>
          <w:position w:val="0"/>
          <w:szCs w:val="21"/>
          <w:highlight w:val="none"/>
          <w:u w:val="none"/>
          <w:lang w:eastAsia="zh-CN"/>
        </w:rPr>
        <w:t>：</w:t>
      </w:r>
      <w:r>
        <w:rPr>
          <w:rFonts w:hint="eastAsia" w:ascii="宋体" w:hAnsi="宋体" w:cs="宋体"/>
          <w:color w:val="auto"/>
          <w:spacing w:val="0"/>
          <w:position w:val="0"/>
          <w:szCs w:val="21"/>
          <w:highlight w:val="none"/>
          <w:u w:val="none"/>
          <w:lang w:val="en-US" w:eastAsia="zh-CN"/>
        </w:rPr>
        <w:t>59</w:t>
      </w:r>
      <w:r>
        <w:rPr>
          <w:rFonts w:hint="eastAsia" w:ascii="宋体" w:hAnsi="宋体" w:eastAsia="宋体" w:cs="宋体"/>
          <w:color w:val="auto"/>
          <w:spacing w:val="0"/>
          <w:position w:val="0"/>
          <w:szCs w:val="21"/>
          <w:highlight w:val="none"/>
          <w:u w:val="none"/>
        </w:rPr>
        <w:t>，下午</w:t>
      </w:r>
      <w:r>
        <w:rPr>
          <w:rFonts w:hint="eastAsia" w:ascii="宋体" w:hAnsi="宋体" w:cs="宋体"/>
          <w:color w:val="auto"/>
          <w:spacing w:val="0"/>
          <w:position w:val="0"/>
          <w:szCs w:val="21"/>
          <w:highlight w:val="none"/>
          <w:u w:val="none"/>
          <w:lang w:val="en-US" w:eastAsia="zh-CN"/>
        </w:rPr>
        <w:t>12</w:t>
      </w:r>
      <w:r>
        <w:rPr>
          <w:rFonts w:hint="eastAsia" w:ascii="宋体" w:hAnsi="宋体" w:eastAsia="宋体" w:cs="宋体"/>
          <w:color w:val="auto"/>
          <w:spacing w:val="0"/>
          <w:position w:val="0"/>
          <w:szCs w:val="21"/>
          <w:highlight w:val="none"/>
          <w:u w:val="none"/>
          <w:lang w:eastAsia="zh-CN"/>
        </w:rPr>
        <w:t>：</w:t>
      </w:r>
      <w:r>
        <w:rPr>
          <w:rFonts w:hint="eastAsia" w:ascii="宋体" w:hAnsi="宋体" w:eastAsia="宋体" w:cs="宋体"/>
          <w:color w:val="auto"/>
          <w:spacing w:val="0"/>
          <w:position w:val="0"/>
          <w:szCs w:val="21"/>
          <w:highlight w:val="none"/>
          <w:u w:val="none"/>
        </w:rPr>
        <w:t>00至</w:t>
      </w:r>
      <w:r>
        <w:rPr>
          <w:rFonts w:hint="eastAsia" w:ascii="宋体" w:hAnsi="宋体" w:cs="宋体"/>
          <w:color w:val="auto"/>
          <w:spacing w:val="0"/>
          <w:position w:val="0"/>
          <w:szCs w:val="21"/>
          <w:highlight w:val="none"/>
          <w:u w:val="none"/>
          <w:lang w:val="en-US" w:eastAsia="zh-CN"/>
        </w:rPr>
        <w:t>23</w:t>
      </w:r>
      <w:r>
        <w:rPr>
          <w:rFonts w:hint="eastAsia" w:ascii="宋体" w:hAnsi="宋体" w:eastAsia="宋体" w:cs="宋体"/>
          <w:color w:val="auto"/>
          <w:spacing w:val="0"/>
          <w:position w:val="0"/>
          <w:szCs w:val="21"/>
          <w:highlight w:val="none"/>
          <w:u w:val="none"/>
          <w:lang w:eastAsia="zh-CN"/>
        </w:rPr>
        <w:t>：</w:t>
      </w:r>
      <w:r>
        <w:rPr>
          <w:rFonts w:hint="eastAsia" w:ascii="宋体" w:hAnsi="宋体" w:cs="宋体"/>
          <w:color w:val="auto"/>
          <w:spacing w:val="0"/>
          <w:position w:val="0"/>
          <w:szCs w:val="21"/>
          <w:highlight w:val="none"/>
          <w:u w:val="none"/>
          <w:lang w:val="en-US" w:eastAsia="zh-CN"/>
        </w:rPr>
        <w:t>59</w:t>
      </w:r>
      <w:r>
        <w:rPr>
          <w:rFonts w:hint="eastAsia" w:ascii="宋体" w:hAnsi="宋体" w:eastAsia="宋体" w:cs="宋体"/>
          <w:color w:val="auto"/>
          <w:spacing w:val="0"/>
          <w:position w:val="0"/>
          <w:szCs w:val="21"/>
          <w:highlight w:val="none"/>
          <w:u w:val="none"/>
        </w:rPr>
        <w:t>（北京时间）</w:t>
      </w:r>
      <w:r>
        <w:rPr>
          <w:rFonts w:hint="eastAsia" w:ascii="宋体" w:hAnsi="宋体" w:eastAsia="宋体" w:cs="宋体"/>
          <w:color w:val="auto"/>
          <w:spacing w:val="0"/>
          <w:position w:val="0"/>
          <w:szCs w:val="21"/>
          <w:highlight w:val="none"/>
          <w:u w:val="none"/>
          <w:lang w:eastAsia="zh-CN"/>
        </w:rPr>
        <w:t>。</w:t>
      </w:r>
    </w:p>
    <w:p w14:paraId="5F77C72D">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u w:val="none"/>
          <w:lang w:eastAsia="zh-CN"/>
        </w:rPr>
      </w:pPr>
      <w:r>
        <w:rPr>
          <w:rFonts w:hint="eastAsia" w:ascii="宋体" w:hAnsi="宋体" w:eastAsia="宋体" w:cs="宋体"/>
          <w:color w:val="auto"/>
          <w:spacing w:val="0"/>
          <w:position w:val="0"/>
          <w:sz w:val="21"/>
          <w:szCs w:val="21"/>
          <w:highlight w:val="none"/>
          <w:u w:val="none"/>
        </w:rPr>
        <w:t>地</w:t>
      </w:r>
      <w:r>
        <w:rPr>
          <w:rFonts w:hint="eastAsia" w:ascii="宋体" w:hAnsi="宋体" w:eastAsia="宋体" w:cs="宋体"/>
          <w:color w:val="auto"/>
          <w:spacing w:val="0"/>
          <w:position w:val="0"/>
          <w:sz w:val="21"/>
          <w:szCs w:val="21"/>
          <w:highlight w:val="none"/>
          <w:u w:val="none"/>
          <w:lang w:eastAsia="zh-CN"/>
        </w:rPr>
        <w:t>点</w:t>
      </w:r>
      <w:r>
        <w:rPr>
          <w:rFonts w:hint="eastAsia" w:ascii="宋体" w:hAnsi="宋体" w:eastAsia="宋体" w:cs="宋体"/>
          <w:color w:val="auto"/>
          <w:spacing w:val="0"/>
          <w:position w:val="0"/>
          <w:sz w:val="21"/>
          <w:szCs w:val="21"/>
          <w:highlight w:val="none"/>
          <w:u w:val="none"/>
          <w:lang w:val="en-US" w:eastAsia="zh-CN"/>
        </w:rPr>
        <w:t>（网址）：</w:t>
      </w:r>
      <w:r>
        <w:rPr>
          <w:rFonts w:hint="eastAsia" w:ascii="宋体" w:hAnsi="宋体" w:eastAsia="宋体" w:cs="宋体"/>
          <w:color w:val="auto"/>
          <w:spacing w:val="0"/>
          <w:position w:val="0"/>
          <w:szCs w:val="21"/>
          <w:highlight w:val="none"/>
          <w:u w:val="none"/>
          <w:lang w:eastAsia="zh-CN"/>
        </w:rPr>
        <w:t>广西政府采购云平台（https://www.gcy.zfcg.gxzf.gov.cn/）</w:t>
      </w:r>
    </w:p>
    <w:p w14:paraId="54AD9912">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szCs w:val="21"/>
          <w:highlight w:val="none"/>
        </w:rPr>
        <w:t>方式</w:t>
      </w:r>
      <w:r>
        <w:rPr>
          <w:rFonts w:hint="eastAsia" w:ascii="宋体" w:hAnsi="宋体" w:eastAsia="宋体" w:cs="宋体"/>
          <w:color w:val="auto"/>
          <w:spacing w:val="0"/>
          <w:position w:val="0"/>
          <w:szCs w:val="21"/>
          <w:highlight w:val="none"/>
          <w:lang w:eastAsia="zh-CN"/>
        </w:rPr>
        <w:t>：供应商登录广西政府采购云平台（https://www.gcy.zfcg.gxzf.gov.cn/）在线申请获取采购文件（进入“项目采购”应用，在获取采购文件菜单中选择项目，申请获取采购文件）。</w:t>
      </w:r>
    </w:p>
    <w:p w14:paraId="733E95E2">
      <w:pPr>
        <w:pStyle w:val="4"/>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24" w:name="_Toc16911"/>
      <w:bookmarkStart w:id="25" w:name="_Toc18110"/>
      <w:bookmarkStart w:id="26" w:name="_Toc35393632"/>
      <w:bookmarkStart w:id="27" w:name="_Toc28359092"/>
      <w:bookmarkStart w:id="28" w:name="_Toc28970"/>
      <w:bookmarkStart w:id="29" w:name="_Toc28359015"/>
      <w:bookmarkStart w:id="30" w:name="_Toc35393801"/>
      <w:r>
        <w:rPr>
          <w:rFonts w:hint="eastAsia" w:ascii="宋体" w:hAnsi="宋体" w:eastAsia="宋体" w:cs="宋体"/>
          <w:bCs w:val="0"/>
          <w:color w:val="auto"/>
          <w:spacing w:val="0"/>
          <w:position w:val="0"/>
          <w:sz w:val="21"/>
          <w:szCs w:val="21"/>
          <w:highlight w:val="none"/>
        </w:rPr>
        <w:t>四、响应文件提交</w:t>
      </w:r>
      <w:bookmarkEnd w:id="24"/>
      <w:bookmarkEnd w:id="25"/>
      <w:bookmarkEnd w:id="26"/>
      <w:bookmarkEnd w:id="27"/>
      <w:bookmarkEnd w:id="28"/>
      <w:bookmarkEnd w:id="29"/>
      <w:bookmarkEnd w:id="30"/>
    </w:p>
    <w:p w14:paraId="39E23F6C">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u w:val="none"/>
          <w:lang w:eastAsia="zh-CN"/>
        </w:rPr>
      </w:pPr>
      <w:r>
        <w:rPr>
          <w:rFonts w:hint="eastAsia" w:ascii="宋体" w:hAnsi="宋体" w:eastAsia="宋体" w:cs="宋体"/>
          <w:bCs/>
          <w:color w:val="auto"/>
          <w:spacing w:val="0"/>
          <w:position w:val="0"/>
          <w:szCs w:val="21"/>
          <w:highlight w:val="none"/>
          <w:u w:val="none"/>
        </w:rPr>
        <w:t>截止时间：2025年9月29日9时30分（北京时间）</w:t>
      </w:r>
    </w:p>
    <w:p w14:paraId="2566355B">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Cs/>
          <w:color w:val="auto"/>
          <w:spacing w:val="0"/>
          <w:position w:val="0"/>
          <w:szCs w:val="21"/>
          <w:highlight w:val="none"/>
          <w:u w:val="none"/>
          <w:lang w:eastAsia="zh-CN"/>
        </w:rPr>
      </w:pPr>
      <w:r>
        <w:rPr>
          <w:rFonts w:hint="eastAsia" w:ascii="宋体" w:hAnsi="宋体" w:eastAsia="宋体" w:cs="宋体"/>
          <w:color w:val="auto"/>
          <w:spacing w:val="0"/>
          <w:position w:val="0"/>
          <w:szCs w:val="21"/>
          <w:highlight w:val="none"/>
          <w:u w:val="none"/>
        </w:rPr>
        <w:t>地点（网址）：</w:t>
      </w:r>
      <w:r>
        <w:rPr>
          <w:rFonts w:hint="eastAsia" w:ascii="宋体" w:hAnsi="宋体" w:eastAsia="宋体" w:cs="宋体"/>
          <w:bCs/>
          <w:color w:val="auto"/>
          <w:spacing w:val="0"/>
          <w:position w:val="0"/>
          <w:szCs w:val="21"/>
          <w:highlight w:val="none"/>
          <w:lang w:eastAsia="zh-CN"/>
        </w:rPr>
        <w:t>请登录广西政府采购云平台投标客户端竞标。</w:t>
      </w:r>
    </w:p>
    <w:p w14:paraId="36E3B132">
      <w:pPr>
        <w:pStyle w:val="4"/>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u w:val="none"/>
        </w:rPr>
      </w:pPr>
      <w:bookmarkStart w:id="31" w:name="_Toc28359016"/>
      <w:bookmarkStart w:id="32" w:name="_Toc35393633"/>
      <w:bookmarkStart w:id="33" w:name="_Toc28359093"/>
      <w:bookmarkStart w:id="34" w:name="_Toc24973"/>
      <w:bookmarkStart w:id="35" w:name="_Toc3197"/>
      <w:bookmarkStart w:id="36" w:name="_Toc35393802"/>
      <w:bookmarkStart w:id="37" w:name="_Toc5545"/>
      <w:r>
        <w:rPr>
          <w:rFonts w:hint="eastAsia" w:ascii="宋体" w:hAnsi="宋体" w:eastAsia="宋体" w:cs="宋体"/>
          <w:bCs w:val="0"/>
          <w:color w:val="auto"/>
          <w:spacing w:val="0"/>
          <w:position w:val="0"/>
          <w:sz w:val="21"/>
          <w:szCs w:val="21"/>
          <w:highlight w:val="none"/>
          <w:u w:val="none"/>
        </w:rPr>
        <w:t>五、响应文件开启</w:t>
      </w:r>
      <w:bookmarkEnd w:id="31"/>
      <w:bookmarkEnd w:id="32"/>
      <w:bookmarkEnd w:id="33"/>
      <w:bookmarkEnd w:id="34"/>
      <w:bookmarkEnd w:id="35"/>
      <w:bookmarkEnd w:id="36"/>
      <w:bookmarkEnd w:id="37"/>
    </w:p>
    <w:p w14:paraId="35322B5F">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Cs/>
          <w:color w:val="auto"/>
          <w:spacing w:val="0"/>
          <w:position w:val="0"/>
          <w:szCs w:val="21"/>
          <w:highlight w:val="none"/>
          <w:u w:val="none"/>
          <w:lang w:eastAsia="zh-CN"/>
        </w:rPr>
      </w:pPr>
      <w:r>
        <w:rPr>
          <w:rFonts w:hint="eastAsia" w:ascii="宋体" w:hAnsi="宋体" w:eastAsia="宋体" w:cs="宋体"/>
          <w:bCs/>
          <w:color w:val="auto"/>
          <w:spacing w:val="0"/>
          <w:position w:val="0"/>
          <w:szCs w:val="21"/>
          <w:highlight w:val="none"/>
          <w:u w:val="none"/>
        </w:rPr>
        <w:t>开启时间：2025年9月29日9时30分（北京时间）</w:t>
      </w:r>
    </w:p>
    <w:p w14:paraId="04A77A21">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Cs/>
          <w:color w:val="auto"/>
          <w:spacing w:val="0"/>
          <w:position w:val="0"/>
          <w:szCs w:val="21"/>
          <w:highlight w:val="none"/>
          <w:u w:val="none"/>
          <w:lang w:val="en-US" w:eastAsia="zh-CN"/>
        </w:rPr>
      </w:pPr>
      <w:r>
        <w:rPr>
          <w:rFonts w:hint="eastAsia" w:ascii="宋体" w:hAnsi="宋体" w:eastAsia="宋体" w:cs="宋体"/>
          <w:bCs/>
          <w:color w:val="auto"/>
          <w:spacing w:val="0"/>
          <w:position w:val="0"/>
          <w:szCs w:val="21"/>
          <w:highlight w:val="none"/>
          <w:u w:val="none"/>
        </w:rPr>
        <w:t>地点：</w:t>
      </w:r>
      <w:r>
        <w:rPr>
          <w:rFonts w:hint="eastAsia" w:ascii="宋体" w:hAnsi="宋体" w:eastAsia="宋体" w:cs="宋体"/>
          <w:bCs/>
          <w:color w:val="auto"/>
          <w:spacing w:val="0"/>
          <w:position w:val="0"/>
          <w:szCs w:val="21"/>
          <w:highlight w:val="none"/>
          <w:u w:val="none"/>
          <w:lang w:eastAsia="zh-CN"/>
        </w:rPr>
        <w:t>广西政府采购云平台</w:t>
      </w:r>
      <w:r>
        <w:rPr>
          <w:rFonts w:hint="eastAsia" w:ascii="宋体" w:hAnsi="宋体" w:eastAsia="宋体" w:cs="宋体"/>
          <w:bCs/>
          <w:color w:val="auto"/>
          <w:spacing w:val="0"/>
          <w:position w:val="0"/>
          <w:szCs w:val="21"/>
          <w:highlight w:val="none"/>
          <w:u w:val="none"/>
        </w:rPr>
        <w:t>电子开标大厅在线解密开启</w:t>
      </w:r>
      <w:r>
        <w:rPr>
          <w:rFonts w:hint="eastAsia" w:ascii="宋体" w:hAnsi="宋体" w:eastAsia="宋体" w:cs="宋体"/>
          <w:bCs/>
          <w:color w:val="auto"/>
          <w:spacing w:val="0"/>
          <w:position w:val="0"/>
          <w:szCs w:val="21"/>
          <w:highlight w:val="none"/>
          <w:u w:val="none"/>
          <w:lang w:eastAsia="zh-CN"/>
        </w:rPr>
        <w:t>。</w:t>
      </w:r>
    </w:p>
    <w:p w14:paraId="0E7CB6A6">
      <w:pPr>
        <w:pStyle w:val="4"/>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u w:val="none"/>
        </w:rPr>
      </w:pPr>
      <w:bookmarkStart w:id="38" w:name="_Toc28359017"/>
      <w:bookmarkStart w:id="39" w:name="_Toc14762"/>
      <w:bookmarkStart w:id="40" w:name="_Toc35393803"/>
      <w:bookmarkStart w:id="41" w:name="_Toc5452"/>
      <w:bookmarkStart w:id="42" w:name="_Toc35393634"/>
      <w:bookmarkStart w:id="43" w:name="_Toc17419"/>
      <w:bookmarkStart w:id="44" w:name="_Toc28359094"/>
      <w:r>
        <w:rPr>
          <w:rFonts w:hint="eastAsia" w:ascii="宋体" w:hAnsi="宋体" w:eastAsia="宋体" w:cs="宋体"/>
          <w:bCs w:val="0"/>
          <w:color w:val="auto"/>
          <w:spacing w:val="0"/>
          <w:position w:val="0"/>
          <w:sz w:val="21"/>
          <w:szCs w:val="21"/>
          <w:highlight w:val="none"/>
          <w:u w:val="none"/>
        </w:rPr>
        <w:t>六、公告期限</w:t>
      </w:r>
      <w:bookmarkEnd w:id="38"/>
      <w:bookmarkEnd w:id="39"/>
      <w:bookmarkEnd w:id="40"/>
      <w:bookmarkEnd w:id="41"/>
      <w:bookmarkEnd w:id="42"/>
      <w:bookmarkEnd w:id="43"/>
      <w:bookmarkEnd w:id="44"/>
    </w:p>
    <w:p w14:paraId="3B899FFA">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自本公告发布之日起5个工作日。</w:t>
      </w:r>
    </w:p>
    <w:p w14:paraId="3EDF4952">
      <w:pPr>
        <w:pStyle w:val="4"/>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45" w:name="_Toc26297"/>
      <w:bookmarkStart w:id="46" w:name="_Toc321"/>
      <w:bookmarkStart w:id="47" w:name="_Toc7912"/>
      <w:bookmarkStart w:id="48" w:name="_Toc35393804"/>
      <w:bookmarkStart w:id="49" w:name="_Toc35393635"/>
      <w:r>
        <w:rPr>
          <w:rFonts w:hint="eastAsia" w:ascii="宋体" w:hAnsi="宋体" w:eastAsia="宋体" w:cs="宋体"/>
          <w:bCs w:val="0"/>
          <w:color w:val="auto"/>
          <w:spacing w:val="0"/>
          <w:position w:val="0"/>
          <w:sz w:val="21"/>
          <w:szCs w:val="21"/>
          <w:highlight w:val="none"/>
        </w:rPr>
        <w:t>七、其他补充事宜</w:t>
      </w:r>
      <w:bookmarkEnd w:id="45"/>
      <w:bookmarkEnd w:id="46"/>
      <w:bookmarkEnd w:id="47"/>
      <w:bookmarkEnd w:id="48"/>
      <w:bookmarkEnd w:id="49"/>
    </w:p>
    <w:p w14:paraId="7870FC68">
      <w:pPr>
        <w:pageBreakBefore w:val="0"/>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color w:val="auto"/>
          <w:spacing w:val="0"/>
          <w:position w:val="0"/>
          <w:szCs w:val="21"/>
          <w:highlight w:val="none"/>
        </w:rPr>
      </w:pPr>
      <w:bookmarkStart w:id="50" w:name="_Toc28359018"/>
      <w:bookmarkStart w:id="51" w:name="_Toc35393805"/>
      <w:bookmarkStart w:id="52" w:name="_Toc28359095"/>
      <w:bookmarkStart w:id="53" w:name="_Toc35393636"/>
      <w:r>
        <w:rPr>
          <w:rFonts w:hint="eastAsia" w:ascii="宋体" w:hAnsi="宋体" w:eastAsia="宋体" w:cs="宋体"/>
          <w:color w:val="auto"/>
          <w:spacing w:val="0"/>
          <w:position w:val="0"/>
          <w:szCs w:val="21"/>
          <w:highlight w:val="none"/>
        </w:rPr>
        <w:t>1.本项目为全流程电子化政府采购项目，供应商应按照本项目采购文件和</w:t>
      </w:r>
      <w:r>
        <w:rPr>
          <w:rFonts w:hint="eastAsia" w:ascii="宋体" w:hAnsi="宋体" w:eastAsia="宋体" w:cs="宋体"/>
          <w:color w:val="auto"/>
          <w:spacing w:val="0"/>
          <w:position w:val="0"/>
          <w:szCs w:val="21"/>
          <w:highlight w:val="none"/>
          <w:lang w:eastAsia="zh-CN"/>
        </w:rPr>
        <w:t>广西政府采购云平台</w:t>
      </w:r>
      <w:r>
        <w:rPr>
          <w:rFonts w:hint="eastAsia" w:ascii="宋体" w:hAnsi="宋体" w:eastAsia="宋体" w:cs="宋体"/>
          <w:color w:val="auto"/>
          <w:spacing w:val="0"/>
          <w:position w:val="0"/>
          <w:szCs w:val="21"/>
          <w:highlight w:val="none"/>
        </w:rPr>
        <w:t>的要求编制、加密并提交电子响应文件。未完成</w:t>
      </w:r>
      <w:r>
        <w:rPr>
          <w:rFonts w:hint="eastAsia" w:ascii="宋体" w:hAnsi="宋体" w:eastAsia="宋体" w:cs="宋体"/>
          <w:color w:val="auto"/>
          <w:spacing w:val="0"/>
          <w:position w:val="0"/>
          <w:szCs w:val="21"/>
          <w:highlight w:val="none"/>
          <w:lang w:eastAsia="zh-CN"/>
        </w:rPr>
        <w:t>广西政府采购云平台</w:t>
      </w:r>
      <w:r>
        <w:rPr>
          <w:rFonts w:hint="eastAsia" w:ascii="宋体" w:hAnsi="宋体" w:eastAsia="宋体" w:cs="宋体"/>
          <w:color w:val="auto"/>
          <w:spacing w:val="0"/>
          <w:position w:val="0"/>
          <w:szCs w:val="21"/>
          <w:highlight w:val="none"/>
        </w:rPr>
        <w:t>供应商注册入驻并办理数字证书（CA认证）的供应商将无法参与本项目政府采购活动。供应商在使用</w:t>
      </w:r>
      <w:r>
        <w:rPr>
          <w:rFonts w:hint="eastAsia" w:ascii="宋体" w:hAnsi="宋体" w:eastAsia="宋体" w:cs="宋体"/>
          <w:color w:val="auto"/>
          <w:spacing w:val="0"/>
          <w:position w:val="0"/>
          <w:szCs w:val="21"/>
          <w:highlight w:val="none"/>
          <w:lang w:eastAsia="zh-CN"/>
        </w:rPr>
        <w:t>广西政府采购云平台</w:t>
      </w:r>
      <w:r>
        <w:rPr>
          <w:rFonts w:hint="eastAsia" w:ascii="宋体" w:hAnsi="宋体" w:eastAsia="宋体" w:cs="宋体"/>
          <w:color w:val="auto"/>
          <w:spacing w:val="0"/>
          <w:position w:val="0"/>
          <w:szCs w:val="21"/>
          <w:highlight w:val="none"/>
        </w:rPr>
        <w:t>参与</w:t>
      </w:r>
      <w:r>
        <w:rPr>
          <w:rFonts w:hint="eastAsia" w:ascii="宋体" w:hAnsi="宋体" w:eastAsia="宋体" w:cs="宋体"/>
          <w:color w:val="auto"/>
          <w:spacing w:val="0"/>
          <w:position w:val="0"/>
          <w:szCs w:val="21"/>
          <w:highlight w:val="none"/>
          <w:lang w:eastAsia="zh-CN"/>
        </w:rPr>
        <w:t>竞标</w:t>
      </w:r>
      <w:r>
        <w:rPr>
          <w:rFonts w:hint="eastAsia" w:ascii="宋体" w:hAnsi="宋体" w:eastAsia="宋体" w:cs="宋体"/>
          <w:color w:val="auto"/>
          <w:spacing w:val="0"/>
          <w:position w:val="0"/>
          <w:szCs w:val="21"/>
          <w:highlight w:val="none"/>
        </w:rPr>
        <w:t>过程中遇到涉及平台使用的任何问题，可致电</w:t>
      </w:r>
      <w:r>
        <w:rPr>
          <w:rFonts w:hint="eastAsia" w:ascii="宋体" w:hAnsi="宋体" w:eastAsia="宋体" w:cs="宋体"/>
          <w:color w:val="auto"/>
          <w:spacing w:val="0"/>
          <w:position w:val="0"/>
          <w:szCs w:val="21"/>
          <w:highlight w:val="none"/>
          <w:lang w:eastAsia="zh-CN"/>
        </w:rPr>
        <w:t>广西政府采购云平台</w:t>
      </w:r>
      <w:r>
        <w:rPr>
          <w:rFonts w:hint="eastAsia" w:ascii="宋体" w:hAnsi="宋体" w:eastAsia="宋体" w:cs="宋体"/>
          <w:color w:val="auto"/>
          <w:spacing w:val="0"/>
          <w:position w:val="0"/>
          <w:szCs w:val="21"/>
          <w:highlight w:val="none"/>
        </w:rPr>
        <w:t>技术支持热线咨询：</w:t>
      </w:r>
      <w:r>
        <w:rPr>
          <w:rFonts w:hint="eastAsia" w:ascii="宋体" w:hAnsi="宋体" w:eastAsia="宋体" w:cs="宋体"/>
          <w:color w:val="auto"/>
          <w:spacing w:val="0"/>
          <w:kern w:val="0"/>
          <w:position w:val="0"/>
          <w:szCs w:val="21"/>
          <w:highlight w:val="none"/>
        </w:rPr>
        <w:t>95763</w:t>
      </w:r>
      <w:r>
        <w:rPr>
          <w:rFonts w:hint="eastAsia" w:ascii="宋体" w:hAnsi="宋体" w:eastAsia="宋体" w:cs="宋体"/>
          <w:color w:val="auto"/>
          <w:spacing w:val="0"/>
          <w:position w:val="0"/>
          <w:szCs w:val="21"/>
          <w:highlight w:val="none"/>
        </w:rPr>
        <w:t>。</w:t>
      </w:r>
    </w:p>
    <w:p w14:paraId="1901FC3F">
      <w:pPr>
        <w:pageBreakBefore w:val="0"/>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（1）供应商应及时熟悉掌握电子</w:t>
      </w:r>
      <w:r>
        <w:rPr>
          <w:rFonts w:hint="eastAsia" w:ascii="宋体" w:hAnsi="宋体" w:cs="宋体"/>
          <w:color w:val="auto"/>
          <w:spacing w:val="0"/>
          <w:position w:val="0"/>
          <w:szCs w:val="21"/>
          <w:highlight w:val="none"/>
          <w:lang w:eastAsia="zh-CN"/>
        </w:rPr>
        <w:t>招投</w:t>
      </w:r>
      <w:r>
        <w:rPr>
          <w:rFonts w:hint="eastAsia" w:ascii="宋体" w:hAnsi="宋体" w:eastAsia="宋体" w:cs="宋体"/>
          <w:color w:val="auto"/>
          <w:spacing w:val="0"/>
          <w:position w:val="0"/>
          <w:szCs w:val="21"/>
          <w:highlight w:val="none"/>
        </w:rPr>
        <w:t>标系统操作指南（</w:t>
      </w:r>
      <w:r>
        <w:rPr>
          <w:rFonts w:hint="eastAsia" w:ascii="宋体" w:hAnsi="宋体" w:cs="宋体"/>
          <w:color w:val="auto"/>
          <w:spacing w:val="0"/>
          <w:position w:val="0"/>
          <w:szCs w:val="21"/>
          <w:highlight w:val="none"/>
          <w:lang w:eastAsia="zh-CN"/>
        </w:rPr>
        <w:t>详</w:t>
      </w:r>
      <w:r>
        <w:rPr>
          <w:rFonts w:hint="eastAsia" w:ascii="宋体" w:hAnsi="宋体" w:eastAsia="宋体" w:cs="宋体"/>
          <w:color w:val="auto"/>
          <w:spacing w:val="0"/>
          <w:position w:val="0"/>
          <w:szCs w:val="21"/>
          <w:highlight w:val="none"/>
        </w:rPr>
        <w:t>见</w:t>
      </w:r>
      <w:r>
        <w:rPr>
          <w:rFonts w:hint="eastAsia" w:ascii="宋体" w:hAnsi="宋体" w:eastAsia="宋体" w:cs="宋体"/>
          <w:color w:val="auto"/>
          <w:spacing w:val="0"/>
          <w:position w:val="0"/>
          <w:szCs w:val="21"/>
          <w:highlight w:val="none"/>
          <w:lang w:eastAsia="zh-CN"/>
        </w:rPr>
        <w:t>广西政府采购云平台电子卖场</w:t>
      </w:r>
      <w:r>
        <w:rPr>
          <w:rFonts w:hint="eastAsia" w:ascii="宋体" w:hAnsi="宋体" w:eastAsia="宋体" w:cs="宋体"/>
          <w:color w:val="auto"/>
          <w:spacing w:val="0"/>
          <w:position w:val="0"/>
          <w:szCs w:val="21"/>
          <w:highlight w:val="none"/>
        </w:rPr>
        <w:t>首页右上角—服务中心—帮助</w:t>
      </w:r>
      <w:r>
        <w:rPr>
          <w:rFonts w:hint="eastAsia" w:ascii="宋体" w:hAnsi="宋体" w:eastAsia="宋体" w:cs="宋体"/>
          <w:color w:val="auto"/>
          <w:spacing w:val="0"/>
          <w:position w:val="0"/>
          <w:szCs w:val="21"/>
          <w:highlight w:val="none"/>
          <w:lang w:eastAsia="zh-CN"/>
        </w:rPr>
        <w:t>文档</w:t>
      </w:r>
      <w:r>
        <w:rPr>
          <w:rFonts w:hint="eastAsia" w:ascii="宋体" w:hAnsi="宋体" w:eastAsia="宋体" w:cs="宋体"/>
          <w:color w:val="auto"/>
          <w:spacing w:val="0"/>
          <w:position w:val="0"/>
          <w:szCs w:val="21"/>
          <w:highlight w:val="none"/>
        </w:rPr>
        <w:t>—项目采购）：https</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//service.zcygov.cn/#/knowledges/tree?tag=AG1DtGwBFdiHxlNdhY0r。</w:t>
      </w:r>
    </w:p>
    <w:p w14:paraId="2A7CDCC8">
      <w:pPr>
        <w:pageBreakBefore w:val="0"/>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（2）供应商应及时完成</w:t>
      </w:r>
      <w:r>
        <w:rPr>
          <w:rFonts w:hint="eastAsia" w:ascii="宋体" w:hAnsi="宋体" w:eastAsia="宋体" w:cs="宋体"/>
          <w:color w:val="auto"/>
          <w:spacing w:val="0"/>
          <w:position w:val="0"/>
          <w:szCs w:val="21"/>
          <w:highlight w:val="none"/>
          <w:lang w:eastAsia="zh-CN"/>
        </w:rPr>
        <w:t>广西政府采购云平台</w:t>
      </w:r>
      <w:r>
        <w:rPr>
          <w:rFonts w:hint="eastAsia" w:ascii="宋体" w:hAnsi="宋体" w:eastAsia="宋体" w:cs="宋体"/>
          <w:color w:val="auto"/>
          <w:spacing w:val="0"/>
          <w:position w:val="0"/>
          <w:szCs w:val="21"/>
          <w:highlight w:val="none"/>
        </w:rPr>
        <w:t>供应商注册入驻和办理</w:t>
      </w:r>
      <w:r>
        <w:rPr>
          <w:rFonts w:hint="eastAsia" w:ascii="宋体" w:hAnsi="宋体" w:eastAsia="宋体" w:cs="宋体"/>
          <w:color w:val="auto"/>
          <w:spacing w:val="0"/>
          <w:position w:val="0"/>
          <w:szCs w:val="21"/>
          <w:highlight w:val="none"/>
          <w:lang w:eastAsia="zh-CN"/>
        </w:rPr>
        <w:t>广西政府采购云平台</w:t>
      </w:r>
      <w:r>
        <w:rPr>
          <w:rFonts w:hint="eastAsia" w:ascii="宋体" w:hAnsi="宋体" w:eastAsia="宋体" w:cs="宋体"/>
          <w:color w:val="auto"/>
          <w:spacing w:val="0"/>
          <w:position w:val="0"/>
          <w:szCs w:val="21"/>
          <w:highlight w:val="none"/>
        </w:rPr>
        <w:t>CA证书申领和绑定（</w:t>
      </w:r>
      <w:r>
        <w:rPr>
          <w:rFonts w:hint="eastAsia" w:ascii="宋体" w:hAnsi="宋体" w:cs="宋体"/>
          <w:color w:val="auto"/>
          <w:spacing w:val="0"/>
          <w:position w:val="0"/>
          <w:szCs w:val="21"/>
          <w:highlight w:val="none"/>
          <w:lang w:eastAsia="zh-CN"/>
        </w:rPr>
        <w:t>详</w:t>
      </w:r>
      <w:r>
        <w:rPr>
          <w:rFonts w:hint="eastAsia" w:ascii="宋体" w:hAnsi="宋体" w:eastAsia="宋体" w:cs="宋体"/>
          <w:color w:val="auto"/>
          <w:spacing w:val="0"/>
          <w:position w:val="0"/>
          <w:szCs w:val="21"/>
          <w:highlight w:val="none"/>
        </w:rPr>
        <w:t>见</w:t>
      </w:r>
      <w:r>
        <w:rPr>
          <w:rFonts w:hint="eastAsia" w:ascii="宋体" w:hAnsi="宋体" w:eastAsia="宋体" w:cs="宋体"/>
          <w:color w:val="auto"/>
          <w:spacing w:val="0"/>
          <w:position w:val="0"/>
          <w:szCs w:val="21"/>
          <w:highlight w:val="none"/>
          <w:lang w:eastAsia="zh-CN"/>
        </w:rPr>
        <w:t>广西壮族自治区政府采购网—办事服务—办事指南或下载专区- 广西政采云平台天威诚信CA证书办理方式或CA证书申请操作指南或广西政采云西部CA办理方式</w:t>
      </w:r>
      <w:r>
        <w:rPr>
          <w:rFonts w:hint="eastAsia" w:ascii="宋体" w:hAnsi="宋体" w:eastAsia="宋体" w:cs="宋体"/>
          <w:color w:val="auto"/>
          <w:spacing w:val="0"/>
          <w:position w:val="0"/>
          <w:szCs w:val="21"/>
          <w:highlight w:val="none"/>
        </w:rPr>
        <w:t>）。</w:t>
      </w:r>
    </w:p>
    <w:p w14:paraId="020D0475">
      <w:pPr>
        <w:pageBreakBefore w:val="0"/>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（3）供应商须通过</w:t>
      </w:r>
      <w:r>
        <w:rPr>
          <w:rFonts w:hint="eastAsia" w:ascii="宋体" w:hAnsi="宋体" w:eastAsia="宋体" w:cs="宋体"/>
          <w:color w:val="auto"/>
          <w:spacing w:val="0"/>
          <w:position w:val="0"/>
          <w:szCs w:val="21"/>
          <w:highlight w:val="none"/>
          <w:lang w:eastAsia="zh-CN"/>
        </w:rPr>
        <w:t>广西政府采购云平台投标客户端</w:t>
      </w:r>
      <w:r>
        <w:rPr>
          <w:rFonts w:hint="eastAsia" w:ascii="宋体" w:hAnsi="宋体" w:eastAsia="宋体" w:cs="宋体"/>
          <w:color w:val="auto"/>
          <w:spacing w:val="0"/>
          <w:position w:val="0"/>
          <w:szCs w:val="21"/>
          <w:highlight w:val="none"/>
        </w:rPr>
        <w:t>制作电子响应文件，</w:t>
      </w:r>
      <w:r>
        <w:rPr>
          <w:rFonts w:hint="eastAsia" w:ascii="宋体" w:hAnsi="宋体" w:eastAsia="宋体" w:cs="宋体"/>
          <w:color w:val="auto"/>
          <w:spacing w:val="0"/>
          <w:position w:val="0"/>
          <w:szCs w:val="21"/>
          <w:highlight w:val="none"/>
          <w:lang w:eastAsia="zh-CN"/>
        </w:rPr>
        <w:t>广西政府采购云平台投标客户端</w:t>
      </w:r>
      <w:r>
        <w:rPr>
          <w:rFonts w:hint="eastAsia" w:ascii="宋体" w:hAnsi="宋体" w:eastAsia="宋体" w:cs="宋体"/>
          <w:color w:val="auto"/>
          <w:spacing w:val="0"/>
          <w:position w:val="0"/>
          <w:szCs w:val="21"/>
          <w:highlight w:val="none"/>
        </w:rPr>
        <w:t>请供应商自行前往下载并安装</w:t>
      </w:r>
      <w:r>
        <w:rPr>
          <w:rFonts w:hint="eastAsia" w:ascii="宋体" w:hAnsi="宋体" w:eastAsia="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lang w:eastAsia="zh-CN"/>
        </w:rPr>
        <w:t>投标客户端</w:t>
      </w:r>
      <w:r>
        <w:rPr>
          <w:rFonts w:hint="eastAsia" w:ascii="宋体" w:hAnsi="宋体" w:eastAsia="宋体" w:cs="宋体"/>
          <w:color w:val="auto"/>
          <w:spacing w:val="0"/>
          <w:kern w:val="0"/>
          <w:position w:val="0"/>
          <w:szCs w:val="21"/>
          <w:highlight w:val="none"/>
          <w:lang w:val="en-US" w:eastAsia="zh-CN"/>
        </w:rPr>
        <w:t>下载路径：广西政府采购网（访问地址http：//zfcg.gxzf.gov.cn/）—办事服务—下载专区-广西政府采购云平台新版客户端</w:t>
      </w:r>
      <w:r>
        <w:rPr>
          <w:rFonts w:hint="eastAsia" w:ascii="宋体" w:hAnsi="宋体" w:eastAsia="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rPr>
        <w:t>。</w:t>
      </w:r>
    </w:p>
    <w:p w14:paraId="547B036E">
      <w:pPr>
        <w:pageBreakBefore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2.本项目需要落实的政府采购政策</w:t>
      </w:r>
    </w:p>
    <w:p w14:paraId="4185B873">
      <w:pPr>
        <w:pageBreakBefore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（1）政府采购促进中小企业发展。</w:t>
      </w:r>
    </w:p>
    <w:p w14:paraId="7AEA47B3">
      <w:pPr>
        <w:pageBreakBefore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color w:val="auto"/>
          <w:spacing w:val="0"/>
          <w:position w:val="0"/>
          <w:szCs w:val="21"/>
          <w:highlight w:val="none"/>
          <w:lang w:val="en-US" w:eastAsia="zh-CN"/>
        </w:rPr>
        <w:t>2</w:t>
      </w:r>
      <w:r>
        <w:rPr>
          <w:rFonts w:hint="eastAsia" w:ascii="宋体" w:hAnsi="宋体" w:eastAsia="宋体" w:cs="宋体"/>
          <w:color w:val="auto"/>
          <w:spacing w:val="0"/>
          <w:position w:val="0"/>
          <w:szCs w:val="21"/>
          <w:highlight w:val="none"/>
        </w:rPr>
        <w:t>）政府采购促进残疾人就业政策。</w:t>
      </w:r>
    </w:p>
    <w:p w14:paraId="55E09D02">
      <w:pPr>
        <w:pageBreakBefore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color w:val="auto"/>
          <w:spacing w:val="0"/>
          <w:position w:val="0"/>
          <w:szCs w:val="21"/>
          <w:highlight w:val="none"/>
          <w:lang w:val="en-US" w:eastAsia="zh-CN"/>
        </w:rPr>
        <w:t>3</w:t>
      </w:r>
      <w:r>
        <w:rPr>
          <w:rFonts w:hint="eastAsia" w:ascii="宋体" w:hAnsi="宋体" w:eastAsia="宋体" w:cs="宋体"/>
          <w:color w:val="auto"/>
          <w:spacing w:val="0"/>
          <w:position w:val="0"/>
          <w:szCs w:val="21"/>
          <w:highlight w:val="none"/>
        </w:rPr>
        <w:t>）政府采购支持监狱企业发展。</w:t>
      </w:r>
    </w:p>
    <w:p w14:paraId="36ED9CA9">
      <w:pPr>
        <w:pageBreakBefore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3.网上查询地址</w:t>
      </w:r>
    </w:p>
    <w:p w14:paraId="3CC4BF5E">
      <w:pPr>
        <w:keepNext w:val="0"/>
        <w:keepLines w:val="0"/>
        <w:pageBreakBefore w:val="0"/>
        <w:widowControl w:val="0"/>
        <w:shd w:val="clea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pacing w:val="0"/>
          <w:position w:val="0"/>
          <w:szCs w:val="21"/>
          <w:highlight w:val="none"/>
          <w:lang w:bidi="ar"/>
        </w:rPr>
      </w:pPr>
      <w:r>
        <w:rPr>
          <w:rFonts w:hint="eastAsia" w:ascii="宋体" w:hAnsi="宋体" w:eastAsia="宋体" w:cs="宋体"/>
          <w:color w:val="auto"/>
          <w:spacing w:val="0"/>
          <w:position w:val="0"/>
          <w:szCs w:val="21"/>
          <w:highlight w:val="none"/>
          <w:lang w:bidi="ar"/>
        </w:rPr>
        <w:t>http://zfcg.gxzf.gov.cn/（广西政府采购网）、http://www.ccgp.gov.cn/（中国政府采购网）、http://ggzy.jgswj.gxzf.gov.cn/qzggzy/ [全国公共资源交易平台 （广西.钦州）]、http://ggzy.jgswj.gxzf.gov.cn/pbggzy/[全国公共资源交易平台（广西.浦北）]。</w:t>
      </w:r>
    </w:p>
    <w:p w14:paraId="5FA3608D">
      <w:pPr>
        <w:pageBreakBefore w:val="0"/>
        <w:widowControl/>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bidi="ar"/>
        </w:rPr>
        <w:t>监督部门：浦北县政府采购监督管理办公室   联系电话：0777-8314622</w:t>
      </w:r>
    </w:p>
    <w:p w14:paraId="131A400D">
      <w:pPr>
        <w:pStyle w:val="4"/>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54" w:name="_Toc23726"/>
      <w:bookmarkStart w:id="55" w:name="_Toc12891"/>
      <w:bookmarkStart w:id="56" w:name="_Toc227"/>
      <w:r>
        <w:rPr>
          <w:rFonts w:hint="eastAsia" w:ascii="宋体" w:hAnsi="宋体" w:eastAsia="宋体" w:cs="宋体"/>
          <w:bCs w:val="0"/>
          <w:color w:val="auto"/>
          <w:spacing w:val="0"/>
          <w:position w:val="0"/>
          <w:sz w:val="21"/>
          <w:szCs w:val="21"/>
          <w:highlight w:val="none"/>
        </w:rPr>
        <w:t>八、凡对本次采购提出询问，请按以下方式联系</w:t>
      </w:r>
      <w:bookmarkEnd w:id="50"/>
      <w:bookmarkEnd w:id="51"/>
      <w:bookmarkEnd w:id="52"/>
      <w:bookmarkEnd w:id="53"/>
      <w:bookmarkEnd w:id="54"/>
      <w:bookmarkEnd w:id="55"/>
      <w:bookmarkEnd w:id="56"/>
    </w:p>
    <w:p w14:paraId="1E03D0D6">
      <w:pPr>
        <w:pStyle w:val="4"/>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bookmarkStart w:id="57" w:name="_Toc35393806"/>
      <w:bookmarkStart w:id="58" w:name="_Toc28359096"/>
      <w:bookmarkStart w:id="59" w:name="_Toc35393637"/>
      <w:bookmarkStart w:id="60" w:name="_Toc28359019"/>
      <w:r>
        <w:rPr>
          <w:rFonts w:hint="eastAsia" w:ascii="宋体" w:hAnsi="宋体" w:eastAsia="宋体" w:cs="宋体"/>
          <w:b w:val="0"/>
          <w:bCs w:val="0"/>
          <w:color w:val="auto"/>
          <w:spacing w:val="0"/>
          <w:kern w:val="0"/>
          <w:position w:val="0"/>
          <w:sz w:val="21"/>
          <w:szCs w:val="21"/>
          <w:highlight w:val="none"/>
          <w:lang w:val="en-US" w:eastAsia="zh-CN" w:bidi="ar-SA"/>
        </w:rPr>
        <w:t>1.采购人信息</w:t>
      </w:r>
      <w:bookmarkEnd w:id="57"/>
      <w:bookmarkEnd w:id="58"/>
      <w:bookmarkEnd w:id="59"/>
      <w:bookmarkEnd w:id="60"/>
    </w:p>
    <w:p w14:paraId="392B399D">
      <w:pPr>
        <w:pageBreakBefore w:val="0"/>
        <w:widowControl w:val="0"/>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名    称：</w:t>
      </w:r>
      <w:r>
        <w:rPr>
          <w:rFonts w:hint="eastAsia" w:ascii="宋体" w:hAnsi="宋体" w:cs="宋体"/>
          <w:b w:val="0"/>
          <w:bCs w:val="0"/>
          <w:color w:val="auto"/>
          <w:spacing w:val="0"/>
          <w:kern w:val="0"/>
          <w:position w:val="0"/>
          <w:sz w:val="21"/>
          <w:szCs w:val="21"/>
          <w:highlight w:val="none"/>
          <w:lang w:val="en-US" w:eastAsia="zh-CN" w:bidi="ar-SA"/>
        </w:rPr>
        <w:t>浦北县龙门镇人民政府</w:t>
      </w:r>
      <w:r>
        <w:rPr>
          <w:rFonts w:hint="eastAsia" w:ascii="宋体" w:hAnsi="宋体" w:eastAsia="宋体" w:cs="宋体"/>
          <w:b w:val="0"/>
          <w:bCs w:val="0"/>
          <w:color w:val="auto"/>
          <w:spacing w:val="0"/>
          <w:kern w:val="0"/>
          <w:position w:val="0"/>
          <w:sz w:val="21"/>
          <w:szCs w:val="21"/>
          <w:highlight w:val="none"/>
          <w:lang w:val="en-US" w:eastAsia="zh-CN" w:bidi="ar-SA"/>
        </w:rPr>
        <w:t xml:space="preserve">  </w:t>
      </w:r>
    </w:p>
    <w:p w14:paraId="24BB6481">
      <w:pPr>
        <w:pageBreakBefore w:val="0"/>
        <w:widowControl w:val="0"/>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地    址：浦北县龙门镇马路街5号</w:t>
      </w:r>
    </w:p>
    <w:p w14:paraId="6C8ED01A">
      <w:pPr>
        <w:pageBreakBefore w:val="0"/>
        <w:widowControl w:val="0"/>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 xml:space="preserve">项目联系人：李瑞雁  </w:t>
      </w:r>
    </w:p>
    <w:p w14:paraId="1C6E629D">
      <w:pPr>
        <w:pageBreakBefore w:val="0"/>
        <w:widowControl w:val="0"/>
        <w:kinsoku/>
        <w:wordWrap w:val="0"/>
        <w:overflowPunct/>
        <w:topLinePunct/>
        <w:autoSpaceDE/>
        <w:autoSpaceDN/>
        <w:bidi w:val="0"/>
        <w:adjustRightInd/>
        <w:spacing w:line="360" w:lineRule="auto"/>
        <w:ind w:left="0" w:leftChars="0" w:firstLine="420" w:firstLineChars="200"/>
        <w:jc w:val="left"/>
        <w:textAlignment w:val="auto"/>
        <w:rPr>
          <w:rFonts w:hint="default" w:ascii="宋体" w:hAnsi="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项目联系方式：0777-8538001</w:t>
      </w:r>
    </w:p>
    <w:p w14:paraId="3B7EF17B">
      <w:pPr>
        <w:pStyle w:val="4"/>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bookmarkStart w:id="61" w:name="_Toc35393638"/>
      <w:bookmarkStart w:id="62" w:name="_Toc28359097"/>
      <w:bookmarkStart w:id="63" w:name="_Toc28359020"/>
      <w:bookmarkStart w:id="64" w:name="_Toc35393807"/>
      <w:r>
        <w:rPr>
          <w:rFonts w:hint="eastAsia" w:ascii="宋体" w:hAnsi="宋体" w:eastAsia="宋体" w:cs="宋体"/>
          <w:b w:val="0"/>
          <w:bCs w:val="0"/>
          <w:color w:val="auto"/>
          <w:spacing w:val="0"/>
          <w:kern w:val="0"/>
          <w:position w:val="0"/>
          <w:sz w:val="21"/>
          <w:szCs w:val="21"/>
          <w:highlight w:val="none"/>
          <w:lang w:val="en-US" w:eastAsia="zh-CN" w:bidi="ar-SA"/>
        </w:rPr>
        <w:t>2.采购代理机构信息</w:t>
      </w:r>
      <w:bookmarkEnd w:id="61"/>
      <w:bookmarkEnd w:id="62"/>
      <w:bookmarkEnd w:id="63"/>
      <w:bookmarkEnd w:id="64"/>
    </w:p>
    <w:p w14:paraId="23FE4ED2">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名    称：广西</w:t>
      </w:r>
      <w:r>
        <w:rPr>
          <w:rFonts w:hint="eastAsia" w:ascii="宋体" w:hAnsi="宋体" w:cs="宋体"/>
          <w:b w:val="0"/>
          <w:bCs w:val="0"/>
          <w:color w:val="auto"/>
          <w:spacing w:val="0"/>
          <w:kern w:val="0"/>
          <w:position w:val="0"/>
          <w:sz w:val="21"/>
          <w:szCs w:val="21"/>
          <w:highlight w:val="none"/>
          <w:lang w:val="en-US" w:eastAsia="zh-CN" w:bidi="ar-SA"/>
        </w:rPr>
        <w:t>至胜</w:t>
      </w:r>
      <w:r>
        <w:rPr>
          <w:rFonts w:hint="eastAsia" w:ascii="宋体" w:hAnsi="宋体" w:eastAsia="宋体" w:cs="宋体"/>
          <w:b w:val="0"/>
          <w:bCs w:val="0"/>
          <w:color w:val="auto"/>
          <w:spacing w:val="0"/>
          <w:kern w:val="0"/>
          <w:position w:val="0"/>
          <w:sz w:val="21"/>
          <w:szCs w:val="21"/>
          <w:highlight w:val="none"/>
          <w:lang w:val="en-US" w:eastAsia="zh-CN" w:bidi="ar-SA"/>
        </w:rPr>
        <w:t>招标有限公司　</w:t>
      </w:r>
    </w:p>
    <w:p w14:paraId="0EA9978F">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地　　址：</w:t>
      </w:r>
      <w:bookmarkStart w:id="65" w:name="_Toc28359021"/>
      <w:bookmarkStart w:id="66" w:name="_Toc35393639"/>
      <w:bookmarkStart w:id="67" w:name="_Toc35393808"/>
      <w:bookmarkStart w:id="68" w:name="_Toc28359098"/>
      <w:r>
        <w:rPr>
          <w:rFonts w:hint="eastAsia" w:ascii="宋体" w:hAnsi="宋体" w:eastAsia="宋体" w:cs="宋体"/>
          <w:b w:val="0"/>
          <w:bCs w:val="0"/>
          <w:color w:val="auto"/>
          <w:spacing w:val="0"/>
          <w:kern w:val="0"/>
          <w:position w:val="0"/>
          <w:sz w:val="21"/>
          <w:szCs w:val="21"/>
          <w:highlight w:val="none"/>
          <w:lang w:val="en-US" w:eastAsia="zh-CN" w:bidi="ar-SA"/>
        </w:rPr>
        <w:t>浦北县小江镇常青路18号(县城南区二级公路西向)       </w:t>
      </w:r>
    </w:p>
    <w:p w14:paraId="561CE19A">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项目联系人：李敏凤</w:t>
      </w:r>
      <w:r>
        <w:rPr>
          <w:rFonts w:hint="eastAsia" w:ascii="宋体" w:hAnsi="宋体" w:eastAsia="宋体" w:cs="宋体"/>
          <w:b w:val="0"/>
          <w:bCs w:val="0"/>
          <w:color w:val="auto"/>
          <w:spacing w:val="0"/>
          <w:kern w:val="0"/>
          <w:position w:val="0"/>
          <w:sz w:val="21"/>
          <w:szCs w:val="21"/>
          <w:highlight w:val="none"/>
          <w:lang w:val="en-US" w:eastAsia="zh-CN" w:bidi="ar-SA"/>
        </w:rPr>
        <w:tab/>
      </w:r>
    </w:p>
    <w:p w14:paraId="2DE70D71">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项目联系方式：</w:t>
      </w:r>
      <w:bookmarkEnd w:id="65"/>
      <w:bookmarkEnd w:id="66"/>
      <w:bookmarkEnd w:id="67"/>
      <w:bookmarkEnd w:id="68"/>
      <w:r>
        <w:rPr>
          <w:rFonts w:hint="eastAsia" w:ascii="宋体" w:hAnsi="宋体" w:eastAsia="宋体" w:cs="宋体"/>
          <w:b w:val="0"/>
          <w:bCs w:val="0"/>
          <w:color w:val="auto"/>
          <w:spacing w:val="0"/>
          <w:kern w:val="0"/>
          <w:position w:val="0"/>
          <w:sz w:val="21"/>
          <w:szCs w:val="21"/>
          <w:highlight w:val="none"/>
          <w:lang w:val="en-US" w:eastAsia="zh-CN" w:bidi="ar-SA"/>
        </w:rPr>
        <w:t>18897792557</w:t>
      </w:r>
    </w:p>
    <w:p w14:paraId="401CA8CC">
      <w:pPr>
        <w:pageBreakBefore w:val="0"/>
        <w:kinsoku/>
        <w:wordWrap w:val="0"/>
        <w:overflowPunct/>
        <w:topLinePunct/>
        <w:autoSpaceDE/>
        <w:autoSpaceDN/>
        <w:bidi w:val="0"/>
        <w:spacing w:line="360" w:lineRule="auto"/>
        <w:textAlignment w:val="auto"/>
        <w:rPr>
          <w:rFonts w:hint="eastAsia" w:ascii="宋体" w:hAnsi="宋体" w:eastAsia="宋体" w:cs="宋体"/>
          <w:b w:val="0"/>
          <w:bCs w:val="0"/>
          <w:color w:val="auto"/>
          <w:spacing w:val="0"/>
          <w:kern w:val="0"/>
          <w:position w:val="0"/>
          <w:sz w:val="21"/>
          <w:szCs w:val="21"/>
          <w:highlight w:val="none"/>
          <w:lang w:val="en-US" w:eastAsia="zh-CN" w:bidi="ar-SA"/>
        </w:rPr>
      </w:pPr>
    </w:p>
    <w:p w14:paraId="6D761385">
      <w:pPr>
        <w:pageBreakBefore w:val="0"/>
        <w:kinsoku/>
        <w:wordWrap w:val="0"/>
        <w:overflowPunct/>
        <w:topLinePunct/>
        <w:autoSpaceDE/>
        <w:autoSpaceDN/>
        <w:bidi w:val="0"/>
        <w:spacing w:line="360" w:lineRule="auto"/>
        <w:ind w:firstLine="420" w:firstLineChars="200"/>
        <w:jc w:val="right"/>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highlight w:val="none"/>
        </w:rPr>
        <w:t xml:space="preserve">                                                       </w:t>
      </w:r>
      <w:r>
        <w:rPr>
          <w:rFonts w:hint="eastAsia" w:ascii="宋体" w:hAnsi="宋体" w:eastAsia="宋体" w:cs="宋体"/>
          <w:color w:val="auto"/>
          <w:spacing w:val="0"/>
          <w:position w:val="0"/>
          <w:highlight w:val="none"/>
          <w:lang w:eastAsia="zh-CN"/>
        </w:rPr>
        <w:t>广西</w:t>
      </w:r>
      <w:r>
        <w:rPr>
          <w:rFonts w:hint="eastAsia" w:ascii="宋体" w:hAnsi="宋体" w:cs="宋体"/>
          <w:color w:val="auto"/>
          <w:spacing w:val="0"/>
          <w:position w:val="0"/>
          <w:highlight w:val="none"/>
          <w:lang w:eastAsia="zh-CN"/>
        </w:rPr>
        <w:t>至胜</w:t>
      </w:r>
      <w:r>
        <w:rPr>
          <w:rFonts w:hint="eastAsia" w:ascii="宋体" w:hAnsi="宋体" w:eastAsia="宋体" w:cs="宋体"/>
          <w:color w:val="auto"/>
          <w:spacing w:val="0"/>
          <w:position w:val="0"/>
          <w:highlight w:val="none"/>
          <w:lang w:eastAsia="zh-CN"/>
        </w:rPr>
        <w:t>招标有限公司</w:t>
      </w:r>
    </w:p>
    <w:p w14:paraId="7C2563AF">
      <w:pPr>
        <w:pStyle w:val="40"/>
        <w:pageBreakBefore w:val="0"/>
        <w:kinsoku/>
        <w:wordWrap w:val="0"/>
        <w:overflowPunct/>
        <w:topLinePunct/>
        <w:autoSpaceDE/>
        <w:autoSpaceDN/>
        <w:bidi w:val="0"/>
        <w:jc w:val="right"/>
        <w:rPr>
          <w:rFonts w:hint="eastAsia" w:ascii="宋体" w:hAnsi="宋体" w:eastAsia="宋体" w:cs="宋体"/>
          <w:b w:val="0"/>
          <w:color w:val="auto"/>
          <w:spacing w:val="0"/>
          <w:position w:val="0"/>
          <w:sz w:val="21"/>
          <w:szCs w:val="21"/>
          <w:highlight w:val="none"/>
          <w:lang w:val="en-US" w:eastAsia="zh-CN"/>
        </w:rPr>
      </w:pPr>
      <w:r>
        <w:rPr>
          <w:rFonts w:hint="eastAsia" w:ascii="宋体" w:hAnsi="宋体" w:eastAsia="宋体" w:cs="宋体"/>
          <w:b w:val="0"/>
          <w:bCs w:val="0"/>
          <w:color w:val="auto"/>
          <w:spacing w:val="0"/>
          <w:kern w:val="0"/>
          <w:position w:val="0"/>
          <w:sz w:val="21"/>
          <w:szCs w:val="21"/>
          <w:highlight w:val="none"/>
          <w:lang w:val="en-US" w:eastAsia="zh-CN" w:bidi="ar-SA"/>
        </w:rPr>
        <w:t>2025年9月19日</w:t>
      </w:r>
    </w:p>
    <w:p w14:paraId="1C463E93">
      <w:pPr>
        <w:pStyle w:val="40"/>
        <w:pageBreakBefore w:val="0"/>
        <w:kinsoku/>
        <w:wordWrap w:val="0"/>
        <w:overflowPunct/>
        <w:topLinePunct/>
        <w:autoSpaceDE/>
        <w:autoSpaceDN/>
        <w:bidi w:val="0"/>
        <w:rPr>
          <w:rFonts w:hint="eastAsia" w:ascii="宋体" w:hAnsi="宋体" w:eastAsia="宋体" w:cs="宋体"/>
          <w:color w:val="auto"/>
          <w:spacing w:val="0"/>
          <w:position w:val="0"/>
          <w:szCs w:val="21"/>
          <w:highlight w:val="none"/>
        </w:rPr>
      </w:pPr>
    </w:p>
    <w:p w14:paraId="25A31FFE">
      <w:pPr>
        <w:pageBreakBefore w:val="0"/>
        <w:kinsoku/>
        <w:wordWrap w:val="0"/>
        <w:overflowPunct/>
        <w:topLinePunct/>
        <w:autoSpaceDE/>
        <w:autoSpaceDN/>
        <w:bidi w:val="0"/>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br w:type="page"/>
      </w:r>
    </w:p>
    <w:p w14:paraId="46D8B0B9">
      <w:pPr>
        <w:pageBreakBefore w:val="0"/>
        <w:numPr>
          <w:ilvl w:val="0"/>
          <w:numId w:val="1"/>
        </w:numPr>
        <w:kinsoku/>
        <w:wordWrap w:val="0"/>
        <w:overflowPunct/>
        <w:topLinePunct/>
        <w:autoSpaceDE/>
        <w:autoSpaceDN/>
        <w:bidi w:val="0"/>
        <w:jc w:val="center"/>
        <w:outlineLvl w:val="0"/>
        <w:rPr>
          <w:rFonts w:hint="eastAsia" w:ascii="宋体" w:hAnsi="宋体" w:eastAsia="宋体" w:cs="宋体"/>
          <w:b/>
          <w:bCs/>
          <w:color w:val="auto"/>
          <w:spacing w:val="0"/>
          <w:kern w:val="0"/>
          <w:position w:val="0"/>
          <w:sz w:val="36"/>
          <w:szCs w:val="36"/>
          <w:highlight w:val="none"/>
        </w:rPr>
      </w:pPr>
      <w:bookmarkStart w:id="69" w:name="_Toc18858"/>
      <w:bookmarkStart w:id="70" w:name="_Toc5416"/>
      <w:r>
        <w:rPr>
          <w:rFonts w:hint="eastAsia" w:ascii="宋体" w:hAnsi="宋体" w:eastAsia="宋体" w:cs="宋体"/>
          <w:b/>
          <w:bCs/>
          <w:color w:val="auto"/>
          <w:spacing w:val="0"/>
          <w:kern w:val="0"/>
          <w:position w:val="0"/>
          <w:sz w:val="36"/>
          <w:szCs w:val="36"/>
          <w:highlight w:val="none"/>
          <w:lang w:eastAsia="zh-CN"/>
        </w:rPr>
        <w:t>供应商</w:t>
      </w:r>
      <w:r>
        <w:rPr>
          <w:rFonts w:hint="eastAsia" w:ascii="宋体" w:hAnsi="宋体" w:eastAsia="宋体" w:cs="宋体"/>
          <w:b/>
          <w:bCs/>
          <w:color w:val="auto"/>
          <w:spacing w:val="0"/>
          <w:kern w:val="0"/>
          <w:position w:val="0"/>
          <w:sz w:val="36"/>
          <w:szCs w:val="36"/>
          <w:highlight w:val="none"/>
        </w:rPr>
        <w:t>须知前附表</w:t>
      </w:r>
      <w:bookmarkEnd w:id="69"/>
      <w:bookmarkEnd w:id="70"/>
    </w:p>
    <w:bookmarkEnd w:id="2"/>
    <w:tbl>
      <w:tblPr>
        <w:tblStyle w:val="31"/>
        <w:tblpPr w:leftFromText="180" w:rightFromText="180" w:vertAnchor="text" w:horzAnchor="page" w:tblpX="1215" w:tblpY="304"/>
        <w:tblOverlap w:val="never"/>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02"/>
        <w:gridCol w:w="7399"/>
      </w:tblGrid>
      <w:tr w14:paraId="0F33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8" w:type="dxa"/>
            <w:tcBorders>
              <w:top w:val="single" w:color="auto" w:sz="4" w:space="0"/>
              <w:left w:val="single" w:color="auto" w:sz="4" w:space="0"/>
              <w:bottom w:val="single" w:color="auto" w:sz="4" w:space="0"/>
              <w:right w:val="single" w:color="auto" w:sz="4" w:space="0"/>
            </w:tcBorders>
            <w:vAlign w:val="center"/>
          </w:tcPr>
          <w:p w14:paraId="5F6682CD">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序号</w:t>
            </w:r>
          </w:p>
        </w:tc>
        <w:tc>
          <w:tcPr>
            <w:tcW w:w="1602" w:type="dxa"/>
            <w:tcBorders>
              <w:top w:val="single" w:color="auto" w:sz="4" w:space="0"/>
              <w:left w:val="single" w:color="auto" w:sz="4" w:space="0"/>
              <w:bottom w:val="single" w:color="auto" w:sz="4" w:space="0"/>
              <w:right w:val="single" w:color="auto" w:sz="4" w:space="0"/>
            </w:tcBorders>
            <w:vAlign w:val="center"/>
          </w:tcPr>
          <w:p w14:paraId="587041CB">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条款名称</w:t>
            </w:r>
          </w:p>
        </w:tc>
        <w:tc>
          <w:tcPr>
            <w:tcW w:w="7399" w:type="dxa"/>
            <w:tcBorders>
              <w:top w:val="single" w:color="auto" w:sz="4" w:space="0"/>
              <w:left w:val="single" w:color="auto" w:sz="4" w:space="0"/>
              <w:bottom w:val="single" w:color="auto" w:sz="4" w:space="0"/>
              <w:right w:val="single" w:color="auto" w:sz="4" w:space="0"/>
            </w:tcBorders>
            <w:vAlign w:val="center"/>
          </w:tcPr>
          <w:p w14:paraId="28CB8158">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内容</w:t>
            </w:r>
          </w:p>
        </w:tc>
      </w:tr>
      <w:tr w14:paraId="732B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687B0B33">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w:t>
            </w:r>
          </w:p>
        </w:tc>
        <w:tc>
          <w:tcPr>
            <w:tcW w:w="1602" w:type="dxa"/>
            <w:tcBorders>
              <w:top w:val="single" w:color="auto" w:sz="4" w:space="0"/>
              <w:left w:val="single" w:color="auto" w:sz="4" w:space="0"/>
              <w:bottom w:val="single" w:color="auto" w:sz="4" w:space="0"/>
              <w:right w:val="single" w:color="auto" w:sz="4" w:space="0"/>
            </w:tcBorders>
            <w:vAlign w:val="center"/>
          </w:tcPr>
          <w:p w14:paraId="2EABD486">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项目名称和编号</w:t>
            </w:r>
          </w:p>
        </w:tc>
        <w:tc>
          <w:tcPr>
            <w:tcW w:w="7399" w:type="dxa"/>
            <w:tcBorders>
              <w:top w:val="single" w:color="auto" w:sz="4" w:space="0"/>
              <w:left w:val="single" w:color="auto" w:sz="4" w:space="0"/>
              <w:bottom w:val="single" w:color="auto" w:sz="4" w:space="0"/>
              <w:right w:val="single" w:color="auto" w:sz="4" w:space="0"/>
            </w:tcBorders>
            <w:vAlign w:val="center"/>
          </w:tcPr>
          <w:p w14:paraId="61185E41">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项目名称：</w:t>
            </w:r>
            <w:r>
              <w:rPr>
                <w:rFonts w:hint="eastAsia" w:ascii="宋体" w:hAnsi="宋体" w:cs="宋体"/>
                <w:color w:val="auto"/>
                <w:spacing w:val="0"/>
                <w:position w:val="0"/>
                <w:szCs w:val="21"/>
                <w:highlight w:val="none"/>
                <w:lang w:eastAsia="zh-CN"/>
              </w:rPr>
              <w:t>浦北大红柑智慧农业示范带提升项目茅家上子塘基地产业路</w:t>
            </w:r>
          </w:p>
          <w:p w14:paraId="2140D717">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u w:val="single"/>
                <w:lang w:eastAsia="zh-CN"/>
              </w:rPr>
            </w:pPr>
            <w:r>
              <w:rPr>
                <w:rFonts w:hint="eastAsia" w:ascii="宋体" w:hAnsi="宋体" w:eastAsia="宋体" w:cs="宋体"/>
                <w:color w:val="auto"/>
                <w:spacing w:val="0"/>
                <w:position w:val="0"/>
                <w:szCs w:val="21"/>
                <w:highlight w:val="none"/>
                <w:lang w:val="en-US" w:eastAsia="zh-CN"/>
              </w:rPr>
              <w:t>项目</w:t>
            </w:r>
            <w:r>
              <w:rPr>
                <w:rFonts w:hint="eastAsia" w:ascii="宋体" w:hAnsi="宋体" w:eastAsia="宋体" w:cs="宋体"/>
                <w:color w:val="auto"/>
                <w:spacing w:val="0"/>
                <w:position w:val="0"/>
                <w:szCs w:val="21"/>
                <w:highlight w:val="none"/>
              </w:rPr>
              <w:t>编号：</w:t>
            </w:r>
            <w:r>
              <w:rPr>
                <w:rFonts w:hint="eastAsia" w:ascii="宋体" w:hAnsi="宋体" w:cs="宋体"/>
                <w:color w:val="auto"/>
                <w:spacing w:val="0"/>
                <w:position w:val="0"/>
                <w:szCs w:val="21"/>
                <w:highlight w:val="none"/>
                <w:lang w:eastAsia="zh-CN"/>
              </w:rPr>
              <w:t>QZZC2025-C2-220206-ZSZB</w:t>
            </w:r>
          </w:p>
        </w:tc>
      </w:tr>
      <w:tr w14:paraId="7FC0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3123A172">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w:t>
            </w:r>
          </w:p>
        </w:tc>
        <w:tc>
          <w:tcPr>
            <w:tcW w:w="1602" w:type="dxa"/>
            <w:tcBorders>
              <w:top w:val="single" w:color="auto" w:sz="4" w:space="0"/>
              <w:left w:val="single" w:color="auto" w:sz="4" w:space="0"/>
              <w:bottom w:val="single" w:color="auto" w:sz="4" w:space="0"/>
              <w:right w:val="single" w:color="auto" w:sz="4" w:space="0"/>
            </w:tcBorders>
            <w:vAlign w:val="center"/>
          </w:tcPr>
          <w:p w14:paraId="45A3A444">
            <w:pPr>
              <w:pStyle w:val="15"/>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供应商</w:t>
            </w:r>
            <w:r>
              <w:rPr>
                <w:rFonts w:hint="eastAsia" w:ascii="宋体" w:hAnsi="宋体" w:eastAsia="宋体" w:cs="宋体"/>
                <w:color w:val="auto"/>
                <w:spacing w:val="0"/>
                <w:position w:val="0"/>
                <w:highlight w:val="none"/>
              </w:rPr>
              <w:t>资格</w:t>
            </w:r>
          </w:p>
        </w:tc>
        <w:tc>
          <w:tcPr>
            <w:tcW w:w="7399" w:type="dxa"/>
            <w:tcBorders>
              <w:top w:val="single" w:color="auto" w:sz="4" w:space="0"/>
              <w:left w:val="single" w:color="auto" w:sz="4" w:space="0"/>
              <w:bottom w:val="single" w:color="auto" w:sz="4" w:space="0"/>
              <w:right w:val="single" w:color="auto" w:sz="4" w:space="0"/>
            </w:tcBorders>
            <w:vAlign w:val="center"/>
          </w:tcPr>
          <w:p w14:paraId="06A498D2">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b/>
                <w:bCs/>
                <w:color w:val="auto"/>
                <w:spacing w:val="0"/>
                <w:position w:val="0"/>
                <w:highlight w:val="none"/>
              </w:rPr>
            </w:pPr>
            <w:bookmarkStart w:id="71" w:name="OLE_LINK8"/>
            <w:r>
              <w:rPr>
                <w:rFonts w:hint="eastAsia" w:ascii="宋体" w:hAnsi="宋体" w:eastAsia="宋体" w:cs="宋体"/>
                <w:b/>
                <w:bCs/>
                <w:color w:val="auto"/>
                <w:spacing w:val="0"/>
                <w:position w:val="0"/>
                <w:highlight w:val="none"/>
                <w:lang w:eastAsia="zh-CN"/>
              </w:rPr>
              <w:t>供应商</w:t>
            </w:r>
            <w:r>
              <w:rPr>
                <w:rFonts w:hint="eastAsia" w:ascii="宋体" w:hAnsi="宋体" w:eastAsia="宋体" w:cs="宋体"/>
                <w:b/>
                <w:bCs/>
                <w:color w:val="auto"/>
                <w:spacing w:val="0"/>
                <w:position w:val="0"/>
                <w:highlight w:val="none"/>
              </w:rPr>
              <w:t>资格</w:t>
            </w:r>
            <w:r>
              <w:rPr>
                <w:rFonts w:hint="eastAsia" w:ascii="宋体" w:hAnsi="宋体" w:eastAsia="宋体" w:cs="宋体"/>
                <w:b/>
                <w:bCs/>
                <w:color w:val="auto"/>
                <w:spacing w:val="0"/>
                <w:position w:val="0"/>
                <w:highlight w:val="none"/>
                <w:lang w:eastAsia="zh-CN"/>
              </w:rPr>
              <w:t>要求</w:t>
            </w:r>
            <w:r>
              <w:rPr>
                <w:rFonts w:hint="eastAsia" w:ascii="宋体" w:hAnsi="宋体" w:eastAsia="宋体" w:cs="宋体"/>
                <w:b/>
                <w:bCs/>
                <w:color w:val="auto"/>
                <w:spacing w:val="0"/>
                <w:position w:val="0"/>
                <w:highlight w:val="none"/>
              </w:rPr>
              <w:t>：</w:t>
            </w:r>
          </w:p>
          <w:bookmarkEnd w:id="71"/>
          <w:p w14:paraId="72AC0CF5">
            <w:pPr>
              <w:keepNext w:val="0"/>
              <w:keepLines w:val="0"/>
              <w:pageBreakBefore w:val="0"/>
              <w:widowControl w:val="0"/>
              <w:kinsoku/>
              <w:wordWrap w:val="0"/>
              <w:overflowPunct/>
              <w:topLinePunct/>
              <w:autoSpaceDE/>
              <w:autoSpaceDN/>
              <w:bidi w:val="0"/>
              <w:adjustRightInd/>
              <w:snapToGrid w:val="0"/>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 xml:space="preserve">1.符合《中华人民共和国政府采购法》第二十二条规定。 </w:t>
            </w:r>
          </w:p>
          <w:p w14:paraId="249263AF">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2.落实政府采购政策需满足的资格要求：</w:t>
            </w:r>
            <w:r>
              <w:rPr>
                <w:rFonts w:hint="eastAsia" w:ascii="宋体" w:hAnsi="宋体" w:eastAsia="宋体" w:cs="宋体"/>
                <w:color w:val="auto"/>
                <w:spacing w:val="0"/>
                <w:position w:val="0"/>
                <w:szCs w:val="21"/>
                <w:highlight w:val="none"/>
                <w:lang w:eastAsia="zh-CN"/>
              </w:rPr>
              <w:t>本项目属于专门面向中小企业采购的项目，供应商须为中小企业或监狱企业或残疾人福利性单位。</w:t>
            </w:r>
          </w:p>
          <w:p w14:paraId="2D508CE9">
            <w:pPr>
              <w:pStyle w:val="11"/>
              <w:keepNext w:val="0"/>
              <w:keepLines w:val="0"/>
              <w:pageBreakBefore w:val="0"/>
              <w:widowControl w:val="0"/>
              <w:kinsoku/>
              <w:wordWrap w:val="0"/>
              <w:overflowPunct/>
              <w:topLinePunct/>
              <w:autoSpaceDE/>
              <w:autoSpaceDN/>
              <w:bidi w:val="0"/>
              <w:adjustRightInd/>
              <w:spacing w:after="0" w:line="360" w:lineRule="auto"/>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t>3.本项目的特定资格要求：</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1</w:t>
            </w:r>
            <w:r>
              <w:rPr>
                <w:rFonts w:hint="eastAsia" w:ascii="宋体" w:hAnsi="宋体" w:eastAsia="宋体" w:cs="宋体"/>
                <w:color w:val="auto"/>
                <w:spacing w:val="0"/>
                <w:position w:val="0"/>
                <w:sz w:val="21"/>
                <w:szCs w:val="21"/>
                <w:highlight w:val="none"/>
                <w:lang w:eastAsia="zh-CN"/>
              </w:rPr>
              <w:t>）竞标人须具备</w:t>
            </w:r>
            <w:r>
              <w:rPr>
                <w:rFonts w:hint="eastAsia" w:hAnsi="宋体" w:cs="宋体"/>
                <w:color w:val="auto"/>
                <w:spacing w:val="0"/>
                <w:position w:val="0"/>
                <w:sz w:val="21"/>
                <w:szCs w:val="21"/>
                <w:highlight w:val="none"/>
                <w:lang w:eastAsia="zh-CN"/>
              </w:rPr>
              <w:t>公路工程或市政公用工程</w:t>
            </w:r>
            <w:r>
              <w:rPr>
                <w:rFonts w:hint="eastAsia" w:ascii="宋体" w:hAnsi="宋体" w:eastAsia="宋体" w:cs="宋体"/>
                <w:color w:val="auto"/>
                <w:spacing w:val="0"/>
                <w:position w:val="0"/>
                <w:sz w:val="21"/>
                <w:szCs w:val="21"/>
                <w:highlight w:val="none"/>
                <w:lang w:eastAsia="zh-CN"/>
              </w:rPr>
              <w:t>施工总承包三级（含三级）以上资质以及有效的安全生产许可证，在人员、设备、资金等方面具备相应的施工能力</w:t>
            </w:r>
            <w:r>
              <w:rPr>
                <w:rFonts w:hint="eastAsia" w:ascii="宋体" w:hAnsi="宋体" w:eastAsia="宋体" w:cs="宋体"/>
                <w:color w:val="auto"/>
                <w:spacing w:val="0"/>
                <w:position w:val="0"/>
                <w:sz w:val="21"/>
                <w:szCs w:val="21"/>
                <w:highlight w:val="none"/>
                <w:lang w:val="en-US" w:eastAsia="zh-CN"/>
              </w:rPr>
              <w:t>。</w:t>
            </w:r>
            <w:r>
              <w:rPr>
                <w:rFonts w:hint="eastAsia" w:ascii="宋体" w:hAnsi="宋体" w:eastAsia="宋体" w:cs="宋体"/>
                <w:color w:val="auto"/>
                <w:spacing w:val="0"/>
                <w:kern w:val="0"/>
                <w:position w:val="0"/>
                <w:sz w:val="21"/>
                <w:szCs w:val="21"/>
                <w:highlight w:val="none"/>
                <w:lang w:val="en-US" w:eastAsia="zh-CN" w:bidi="ar-SA"/>
              </w:rPr>
              <w:t>（2）</w:t>
            </w:r>
            <w:r>
              <w:rPr>
                <w:rFonts w:hint="eastAsia" w:ascii="宋体" w:hAnsi="宋体" w:eastAsia="宋体" w:cs="宋体"/>
                <w:color w:val="auto"/>
                <w:spacing w:val="0"/>
                <w:position w:val="0"/>
                <w:sz w:val="21"/>
                <w:szCs w:val="21"/>
                <w:highlight w:val="none"/>
                <w:lang w:val="en-US" w:eastAsia="zh-CN"/>
              </w:rPr>
              <w:t>拟投入本工程的项目经理必须</w:t>
            </w:r>
            <w:r>
              <w:rPr>
                <w:rFonts w:hint="eastAsia" w:ascii="宋体" w:hAnsi="宋体" w:eastAsia="宋体" w:cs="宋体"/>
                <w:color w:val="auto"/>
                <w:spacing w:val="0"/>
                <w:position w:val="0"/>
                <w:sz w:val="21"/>
                <w:szCs w:val="21"/>
                <w:highlight w:val="none"/>
                <w:lang w:eastAsia="zh-CN"/>
              </w:rPr>
              <w:t>具备</w:t>
            </w:r>
            <w:r>
              <w:rPr>
                <w:rFonts w:hint="eastAsia" w:hAnsi="宋体" w:cs="宋体"/>
                <w:color w:val="auto"/>
                <w:spacing w:val="0"/>
                <w:position w:val="0"/>
                <w:sz w:val="21"/>
                <w:szCs w:val="21"/>
                <w:highlight w:val="none"/>
                <w:lang w:eastAsia="zh-CN"/>
              </w:rPr>
              <w:t>公路工程或市政公用工程</w:t>
            </w:r>
            <w:r>
              <w:rPr>
                <w:rFonts w:hint="eastAsia" w:ascii="宋体" w:hAnsi="宋体" w:eastAsia="宋体" w:cs="宋体"/>
                <w:color w:val="auto"/>
                <w:spacing w:val="0"/>
                <w:position w:val="0"/>
                <w:sz w:val="21"/>
                <w:szCs w:val="21"/>
                <w:highlight w:val="none"/>
                <w:lang w:eastAsia="zh-CN"/>
              </w:rPr>
              <w:t>专业二级（含二级）以上注册建造师执业资格，具备有效的安全生产考核合格证书（B类），且未担任超过两个在建或中标未开工项目的任何管理职务。</w:t>
            </w:r>
          </w:p>
          <w:p w14:paraId="39F71E6F">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供应商出现下列情形之一的，不得参加政府采购活动：</w:t>
            </w:r>
          </w:p>
          <w:p w14:paraId="3F02BC9A">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val="en-US" w:eastAsia="zh-CN"/>
              </w:rPr>
              <w:t>1.</w:t>
            </w:r>
            <w:r>
              <w:rPr>
                <w:rFonts w:hint="eastAsia" w:ascii="宋体" w:hAnsi="宋体" w:eastAsia="宋体" w:cs="宋体"/>
                <w:color w:val="auto"/>
                <w:spacing w:val="0"/>
                <w:positio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F50D87A">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Cs w:val="21"/>
                <w:highlight w:val="none"/>
                <w:lang w:val="en-US" w:eastAsia="zh-CN"/>
              </w:rPr>
              <w:t>2.</w:t>
            </w:r>
            <w:r>
              <w:rPr>
                <w:rFonts w:hint="eastAsia" w:ascii="宋体" w:hAnsi="宋体" w:eastAsia="宋体" w:cs="宋体"/>
                <w:color w:val="auto"/>
                <w:spacing w:val="0"/>
                <w:position w:val="0"/>
                <w:szCs w:val="21"/>
                <w:highlight w:val="none"/>
              </w:rPr>
              <w:t>对在“信用中国”网站（www.creditchina.gov.cn</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26B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dxa"/>
            <w:tcBorders>
              <w:top w:val="single" w:color="auto" w:sz="4" w:space="0"/>
              <w:left w:val="single" w:color="auto" w:sz="4" w:space="0"/>
              <w:bottom w:val="single" w:color="auto" w:sz="4" w:space="0"/>
              <w:right w:val="single" w:color="auto" w:sz="4" w:space="0"/>
            </w:tcBorders>
            <w:vAlign w:val="center"/>
          </w:tcPr>
          <w:p w14:paraId="360EF7BC">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w:t>
            </w:r>
          </w:p>
        </w:tc>
        <w:tc>
          <w:tcPr>
            <w:tcW w:w="1602" w:type="dxa"/>
            <w:tcBorders>
              <w:top w:val="single" w:color="auto" w:sz="4" w:space="0"/>
              <w:left w:val="single" w:color="auto" w:sz="4" w:space="0"/>
              <w:bottom w:val="single" w:color="auto" w:sz="4" w:space="0"/>
              <w:right w:val="single" w:color="auto" w:sz="4" w:space="0"/>
            </w:tcBorders>
            <w:vAlign w:val="center"/>
          </w:tcPr>
          <w:p w14:paraId="4BAEE103">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竞标</w:t>
            </w:r>
            <w:r>
              <w:rPr>
                <w:rFonts w:hint="eastAsia" w:ascii="宋体" w:hAnsi="宋体" w:eastAsia="宋体" w:cs="宋体"/>
                <w:color w:val="auto"/>
                <w:spacing w:val="0"/>
                <w:position w:val="0"/>
                <w:szCs w:val="21"/>
                <w:highlight w:val="none"/>
              </w:rPr>
              <w:t>报价</w:t>
            </w:r>
          </w:p>
        </w:tc>
        <w:tc>
          <w:tcPr>
            <w:tcW w:w="7399" w:type="dxa"/>
            <w:tcBorders>
              <w:top w:val="single" w:color="auto" w:sz="4" w:space="0"/>
              <w:left w:val="single" w:color="auto" w:sz="4" w:space="0"/>
              <w:bottom w:val="single" w:color="auto" w:sz="4" w:space="0"/>
              <w:right w:val="single" w:color="auto" w:sz="4" w:space="0"/>
            </w:tcBorders>
            <w:vAlign w:val="center"/>
          </w:tcPr>
          <w:p w14:paraId="6D9AC5A3">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highlight w:val="none"/>
                <w:lang w:val="en-US" w:eastAsia="zh-CN"/>
              </w:rPr>
              <w:t>竞标</w:t>
            </w:r>
            <w:r>
              <w:rPr>
                <w:rFonts w:hint="eastAsia" w:ascii="宋体" w:hAnsi="宋体" w:eastAsia="宋体" w:cs="宋体"/>
                <w:color w:val="auto"/>
                <w:spacing w:val="0"/>
                <w:position w:val="0"/>
                <w:highlight w:val="none"/>
                <w:lang w:eastAsia="zh-CN"/>
              </w:rPr>
              <w:t>报价：</w:t>
            </w:r>
          </w:p>
          <w:p w14:paraId="661D9FF5">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highlight w:val="none"/>
                <w:lang w:eastAsia="zh-CN"/>
              </w:rPr>
              <w:t xml:space="preserve">1.供应商必须就所投项目的全部内容作完整唯一报价，漏项报价的或有选择的或有条件的报价，其磋商将视为无效。                        </w:t>
            </w:r>
          </w:p>
          <w:p w14:paraId="06E6E07D">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highlight w:val="none"/>
                <w:lang w:eastAsia="zh-CN"/>
              </w:rPr>
              <w:t>2.本项目报价采用综合单价的方式，合同价在合同实施期间因市场价格波动可调整合同价格，合同价含服务资料、人员成本、服务费、管理、材料、利润、税金、政策性文件规定及合同包含的应有风险、责任等各项应有费用。</w:t>
            </w:r>
          </w:p>
        </w:tc>
      </w:tr>
      <w:tr w14:paraId="5D5D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421B8D9C">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4</w:t>
            </w:r>
          </w:p>
        </w:tc>
        <w:tc>
          <w:tcPr>
            <w:tcW w:w="1602" w:type="dxa"/>
            <w:tcBorders>
              <w:top w:val="single" w:color="auto" w:sz="4" w:space="0"/>
              <w:left w:val="single" w:color="auto" w:sz="4" w:space="0"/>
              <w:bottom w:val="single" w:color="auto" w:sz="4" w:space="0"/>
              <w:right w:val="single" w:color="auto" w:sz="4" w:space="0"/>
            </w:tcBorders>
            <w:vAlign w:val="center"/>
          </w:tcPr>
          <w:p w14:paraId="4D74992C">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响应文件电子版要求</w:t>
            </w:r>
          </w:p>
        </w:tc>
        <w:tc>
          <w:tcPr>
            <w:tcW w:w="7399" w:type="dxa"/>
            <w:tcBorders>
              <w:top w:val="single" w:color="auto" w:sz="4" w:space="0"/>
              <w:left w:val="single" w:color="auto" w:sz="4" w:space="0"/>
              <w:bottom w:val="single" w:color="auto" w:sz="4" w:space="0"/>
              <w:right w:val="single" w:color="auto" w:sz="4" w:space="0"/>
            </w:tcBorders>
            <w:vAlign w:val="center"/>
          </w:tcPr>
          <w:p w14:paraId="6D7DE461">
            <w:pPr>
              <w:keepNext w:val="0"/>
              <w:keepLines w:val="0"/>
              <w:pageBreakBefore w:val="0"/>
              <w:widowControl w:val="0"/>
              <w:kinsoku/>
              <w:wordWrap w:val="0"/>
              <w:overflowPunct/>
              <w:topLinePunct/>
              <w:autoSpaceDE/>
              <w:autoSpaceDN/>
              <w:bidi w:val="0"/>
              <w:adjustRightInd/>
              <w:snapToGrid w:val="0"/>
              <w:spacing w:line="360" w:lineRule="auto"/>
              <w:ind w:left="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pacing w:val="0"/>
                <w:position w:val="0"/>
                <w:szCs w:val="21"/>
                <w:highlight w:val="none"/>
              </w:rPr>
              <w:t>否则响应文件按无效响应处理</w:t>
            </w:r>
            <w:r>
              <w:rPr>
                <w:rFonts w:hint="eastAsia" w:ascii="宋体" w:hAnsi="宋体" w:eastAsia="宋体" w:cs="宋体"/>
                <w:color w:val="auto"/>
                <w:spacing w:val="0"/>
                <w:position w:val="0"/>
                <w:szCs w:val="21"/>
                <w:highlight w:val="none"/>
              </w:rPr>
              <w:t>。</w:t>
            </w:r>
          </w:p>
          <w:p w14:paraId="67598F09">
            <w:pPr>
              <w:keepNext w:val="0"/>
              <w:keepLines w:val="0"/>
              <w:pageBreakBefore w:val="0"/>
              <w:widowControl w:val="0"/>
              <w:kinsoku/>
              <w:wordWrap w:val="0"/>
              <w:overflowPunct/>
              <w:topLinePunct/>
              <w:autoSpaceDE/>
              <w:autoSpaceDN/>
              <w:bidi w:val="0"/>
              <w:adjustRightInd/>
              <w:snapToGrid w:val="0"/>
              <w:spacing w:line="360" w:lineRule="auto"/>
              <w:ind w:left="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2.响应文件电子版密封方式：电子响应文件通过平台有效CA加密后在</w:t>
            </w:r>
            <w:r>
              <w:rPr>
                <w:rFonts w:hint="eastAsia" w:ascii="宋体" w:hAnsi="宋体" w:eastAsia="宋体" w:cs="宋体"/>
                <w:color w:val="auto"/>
                <w:spacing w:val="0"/>
                <w:position w:val="0"/>
                <w:szCs w:val="21"/>
                <w:highlight w:val="none"/>
                <w:lang w:eastAsia="zh-CN"/>
              </w:rPr>
              <w:t>广西政府采购云平台递交</w:t>
            </w:r>
            <w:r>
              <w:rPr>
                <w:rFonts w:hint="eastAsia" w:ascii="宋体" w:hAnsi="宋体" w:eastAsia="宋体" w:cs="宋体"/>
                <w:color w:val="auto"/>
                <w:spacing w:val="0"/>
                <w:position w:val="0"/>
                <w:szCs w:val="21"/>
                <w:highlight w:val="none"/>
              </w:rPr>
              <w:t>。</w:t>
            </w:r>
          </w:p>
        </w:tc>
      </w:tr>
      <w:tr w14:paraId="3EAF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6EC8D6D8">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5</w:t>
            </w:r>
          </w:p>
        </w:tc>
        <w:tc>
          <w:tcPr>
            <w:tcW w:w="1602" w:type="dxa"/>
            <w:tcBorders>
              <w:top w:val="single" w:color="auto" w:sz="4" w:space="0"/>
              <w:left w:val="single" w:color="auto" w:sz="4" w:space="0"/>
              <w:bottom w:val="single" w:color="auto" w:sz="4" w:space="0"/>
              <w:right w:val="single" w:color="auto" w:sz="4" w:space="0"/>
            </w:tcBorders>
            <w:vAlign w:val="center"/>
          </w:tcPr>
          <w:p w14:paraId="66A19D51">
            <w:pPr>
              <w:keepNext w:val="0"/>
              <w:keepLines w:val="0"/>
              <w:pageBreakBefore w:val="0"/>
              <w:widowControl w:val="0"/>
              <w:kinsoku/>
              <w:wordWrap w:val="0"/>
              <w:overflowPunct/>
              <w:topLinePunct/>
              <w:autoSpaceDE/>
              <w:autoSpaceDN/>
              <w:bidi w:val="0"/>
              <w:adjustRightInd/>
              <w:spacing w:line="360" w:lineRule="auto"/>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备份响应文件</w:t>
            </w:r>
          </w:p>
        </w:tc>
        <w:tc>
          <w:tcPr>
            <w:tcW w:w="7399" w:type="dxa"/>
            <w:tcBorders>
              <w:top w:val="single" w:color="auto" w:sz="4" w:space="0"/>
              <w:left w:val="single" w:color="auto" w:sz="4" w:space="0"/>
              <w:bottom w:val="single" w:color="auto" w:sz="4" w:space="0"/>
              <w:right w:val="single" w:color="auto" w:sz="4" w:space="0"/>
            </w:tcBorders>
            <w:vAlign w:val="center"/>
          </w:tcPr>
          <w:p w14:paraId="2DA4A261">
            <w:pPr>
              <w:pStyle w:val="10"/>
              <w:keepNext w:val="0"/>
              <w:keepLines w:val="0"/>
              <w:pageBreakBefore w:val="0"/>
              <w:widowControl w:val="0"/>
              <w:kinsoku/>
              <w:wordWrap w:val="0"/>
              <w:overflowPunct/>
              <w:topLinePunct/>
              <w:autoSpaceDE/>
              <w:autoSpaceDN/>
              <w:bidi w:val="0"/>
              <w:adjustRightInd/>
              <w:spacing w:line="360" w:lineRule="auto"/>
              <w:ind w:left="0"/>
              <w:textAlignment w:val="auto"/>
              <w:rPr>
                <w:rFonts w:hint="eastAsia" w:ascii="宋体" w:hAnsi="宋体" w:eastAsia="宋体" w:cs="宋体"/>
                <w:color w:val="auto"/>
                <w:spacing w:val="0"/>
                <w:position w:val="0"/>
                <w:szCs w:val="21"/>
                <w:highlight w:val="none"/>
              </w:rPr>
            </w:pPr>
            <w:r>
              <w:rPr>
                <w:rFonts w:hint="eastAsia" w:ascii="宋体" w:hAnsi="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rPr>
              <w:t>本项目不接受</w:t>
            </w:r>
            <w:r>
              <w:rPr>
                <w:rFonts w:hint="eastAsia" w:ascii="宋体" w:hAnsi="宋体" w:eastAsia="宋体" w:cs="宋体"/>
                <w:color w:val="auto"/>
                <w:spacing w:val="0"/>
                <w:position w:val="0"/>
                <w:sz w:val="21"/>
                <w:highlight w:val="none"/>
              </w:rPr>
              <w:t>电子备份响应文件</w:t>
            </w:r>
            <w:r>
              <w:rPr>
                <w:rFonts w:hint="eastAsia" w:ascii="宋体" w:hAnsi="宋体" w:eastAsia="宋体" w:cs="宋体"/>
                <w:color w:val="auto"/>
                <w:spacing w:val="0"/>
                <w:position w:val="0"/>
                <w:sz w:val="21"/>
                <w:highlight w:val="none"/>
                <w:lang w:eastAsia="zh-CN"/>
              </w:rPr>
              <w:t>。</w:t>
            </w:r>
          </w:p>
        </w:tc>
      </w:tr>
      <w:tr w14:paraId="1524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2CABEBB1">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lang w:val="en-US" w:eastAsia="zh-CN"/>
              </w:rPr>
              <w:t>6</w:t>
            </w:r>
          </w:p>
        </w:tc>
        <w:tc>
          <w:tcPr>
            <w:tcW w:w="1602" w:type="dxa"/>
            <w:tcBorders>
              <w:top w:val="single" w:color="auto" w:sz="4" w:space="0"/>
              <w:left w:val="single" w:color="auto" w:sz="4" w:space="0"/>
              <w:bottom w:val="single" w:color="auto" w:sz="4" w:space="0"/>
              <w:right w:val="single" w:color="auto" w:sz="4" w:space="0"/>
            </w:tcBorders>
            <w:vAlign w:val="center"/>
          </w:tcPr>
          <w:p w14:paraId="76C1F128">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竞标</w:t>
            </w:r>
            <w:r>
              <w:rPr>
                <w:rFonts w:hint="eastAsia" w:ascii="宋体" w:hAnsi="宋体" w:eastAsia="宋体" w:cs="宋体"/>
                <w:color w:val="auto"/>
                <w:spacing w:val="0"/>
                <w:position w:val="0"/>
                <w:highlight w:val="none"/>
              </w:rPr>
              <w:t>有效期</w:t>
            </w:r>
          </w:p>
        </w:tc>
        <w:tc>
          <w:tcPr>
            <w:tcW w:w="7399" w:type="dxa"/>
            <w:tcBorders>
              <w:top w:val="single" w:color="auto" w:sz="4" w:space="0"/>
              <w:left w:val="single" w:color="auto" w:sz="4" w:space="0"/>
              <w:bottom w:val="single" w:color="auto" w:sz="4" w:space="0"/>
              <w:right w:val="single" w:color="auto" w:sz="4" w:space="0"/>
            </w:tcBorders>
            <w:vAlign w:val="center"/>
          </w:tcPr>
          <w:p w14:paraId="7FD2F6A9">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highlight w:val="none"/>
                <w:lang w:eastAsia="zh-CN"/>
              </w:rPr>
              <w:t>竞</w:t>
            </w:r>
            <w:r>
              <w:rPr>
                <w:rFonts w:hint="eastAsia" w:ascii="宋体" w:hAnsi="宋体" w:eastAsia="宋体" w:cs="宋体"/>
                <w:color w:val="auto"/>
                <w:spacing w:val="0"/>
                <w:position w:val="0"/>
                <w:szCs w:val="21"/>
                <w:highlight w:val="none"/>
                <w:lang w:eastAsia="zh-CN"/>
              </w:rPr>
              <w:t>标</w:t>
            </w:r>
            <w:r>
              <w:rPr>
                <w:rFonts w:hint="eastAsia" w:ascii="宋体" w:hAnsi="宋体" w:eastAsia="宋体" w:cs="宋体"/>
                <w:color w:val="auto"/>
                <w:spacing w:val="0"/>
                <w:position w:val="0"/>
                <w:szCs w:val="21"/>
                <w:highlight w:val="none"/>
              </w:rPr>
              <w:t>有效期：</w:t>
            </w:r>
            <w:r>
              <w:rPr>
                <w:rFonts w:hint="eastAsia" w:ascii="宋体" w:hAnsi="宋体" w:eastAsia="宋体" w:cs="宋体"/>
                <w:color w:val="auto"/>
                <w:spacing w:val="0"/>
                <w:position w:val="0"/>
                <w:highlight w:val="none"/>
                <w:lang w:eastAsia="zh-CN"/>
              </w:rPr>
              <w:t>竞</w:t>
            </w:r>
            <w:r>
              <w:rPr>
                <w:rFonts w:hint="eastAsia" w:ascii="宋体" w:hAnsi="宋体" w:eastAsia="宋体" w:cs="宋体"/>
                <w:color w:val="auto"/>
                <w:spacing w:val="0"/>
                <w:position w:val="0"/>
                <w:szCs w:val="21"/>
                <w:highlight w:val="none"/>
                <w:lang w:eastAsia="zh-CN"/>
              </w:rPr>
              <w:t>标</w:t>
            </w:r>
            <w:r>
              <w:rPr>
                <w:rFonts w:hint="eastAsia" w:ascii="宋体" w:hAnsi="宋体" w:eastAsia="宋体" w:cs="宋体"/>
                <w:color w:val="auto"/>
                <w:spacing w:val="0"/>
                <w:position w:val="0"/>
                <w:szCs w:val="21"/>
                <w:highlight w:val="none"/>
              </w:rPr>
              <w:t>截止日期后60天</w:t>
            </w:r>
          </w:p>
        </w:tc>
      </w:tr>
      <w:tr w14:paraId="0BBC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32BEDBCD">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7</w:t>
            </w:r>
          </w:p>
        </w:tc>
        <w:tc>
          <w:tcPr>
            <w:tcW w:w="1602" w:type="dxa"/>
            <w:tcBorders>
              <w:top w:val="single" w:color="auto" w:sz="4" w:space="0"/>
              <w:left w:val="single" w:color="auto" w:sz="4" w:space="0"/>
              <w:bottom w:val="single" w:color="auto" w:sz="4" w:space="0"/>
              <w:right w:val="single" w:color="auto" w:sz="4" w:space="0"/>
            </w:tcBorders>
            <w:vAlign w:val="center"/>
          </w:tcPr>
          <w:p w14:paraId="0B48D5AD">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磋商保证金</w:t>
            </w:r>
          </w:p>
        </w:tc>
        <w:tc>
          <w:tcPr>
            <w:tcW w:w="7399" w:type="dxa"/>
            <w:tcBorders>
              <w:top w:val="single" w:color="auto" w:sz="4" w:space="0"/>
              <w:left w:val="single" w:color="auto" w:sz="4" w:space="0"/>
              <w:bottom w:val="single" w:color="auto" w:sz="4" w:space="0"/>
              <w:right w:val="single" w:color="auto" w:sz="4" w:space="0"/>
            </w:tcBorders>
            <w:vAlign w:val="center"/>
          </w:tcPr>
          <w:p w14:paraId="2F8BA9D2">
            <w:pPr>
              <w:pStyle w:val="15"/>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kern w:val="0"/>
                <w:position w:val="0"/>
                <w:szCs w:val="21"/>
                <w:highlight w:val="none"/>
                <w:lang w:val="en-US" w:eastAsia="zh-CN"/>
              </w:rPr>
            </w:pPr>
            <w:r>
              <w:rPr>
                <w:rFonts w:hint="eastAsia" w:ascii="宋体" w:hAnsi="宋体" w:eastAsia="宋体" w:cs="宋体"/>
                <w:color w:val="auto"/>
                <w:spacing w:val="0"/>
                <w:kern w:val="0"/>
                <w:position w:val="0"/>
                <w:szCs w:val="21"/>
                <w:highlight w:val="none"/>
                <w:lang w:eastAsia="zh-CN"/>
              </w:rPr>
              <w:t>本项目是否要求收取磋商保证金：</w:t>
            </w:r>
            <w:r>
              <w:rPr>
                <w:rFonts w:hint="eastAsia" w:ascii="宋体" w:hAnsi="宋体" w:eastAsia="宋体" w:cs="宋体"/>
                <w:color w:val="auto"/>
                <w:spacing w:val="0"/>
                <w:kern w:val="0"/>
                <w:position w:val="0"/>
                <w:szCs w:val="21"/>
                <w:highlight w:val="none"/>
                <w:lang w:val="en-US" w:eastAsia="zh-CN"/>
              </w:rPr>
              <w:t>不要求。</w:t>
            </w:r>
          </w:p>
          <w:p w14:paraId="4FF7F747">
            <w:pPr>
              <w:pStyle w:val="15"/>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kern w:val="0"/>
                <w:position w:val="0"/>
                <w:szCs w:val="21"/>
                <w:highlight w:val="none"/>
                <w:lang w:eastAsia="zh-CN"/>
              </w:rPr>
              <w:t>磋商</w:t>
            </w:r>
            <w:r>
              <w:rPr>
                <w:rFonts w:hint="eastAsia" w:ascii="宋体" w:hAnsi="宋体" w:eastAsia="宋体" w:cs="宋体"/>
                <w:color w:val="auto"/>
                <w:spacing w:val="0"/>
                <w:kern w:val="0"/>
                <w:position w:val="0"/>
                <w:szCs w:val="21"/>
                <w:highlight w:val="none"/>
              </w:rPr>
              <w:t>保证金</w:t>
            </w:r>
            <w:r>
              <w:rPr>
                <w:rFonts w:hint="eastAsia" w:ascii="宋体" w:hAnsi="宋体" w:eastAsia="宋体" w:cs="宋体"/>
                <w:color w:val="auto"/>
                <w:spacing w:val="0"/>
                <w:kern w:val="0"/>
                <w:position w:val="0"/>
                <w:szCs w:val="21"/>
                <w:highlight w:val="none"/>
                <w:lang w:eastAsia="zh-CN"/>
              </w:rPr>
              <w:t>：</w:t>
            </w:r>
            <w:r>
              <w:rPr>
                <w:rFonts w:hint="eastAsia" w:ascii="宋体" w:hAnsi="宋体" w:eastAsia="宋体" w:cs="宋体"/>
                <w:color w:val="auto"/>
                <w:spacing w:val="0"/>
                <w:position w:val="0"/>
                <w:szCs w:val="21"/>
                <w:highlight w:val="none"/>
                <w:u w:val="single"/>
                <w:lang w:val="en-US" w:eastAsia="zh-CN"/>
              </w:rPr>
              <w:t xml:space="preserve">  / </w:t>
            </w:r>
            <w:r>
              <w:rPr>
                <w:rFonts w:hint="eastAsia" w:ascii="宋体" w:hAnsi="宋体" w:eastAsia="宋体" w:cs="宋体"/>
                <w:color w:val="auto"/>
                <w:spacing w:val="0"/>
                <w:position w:val="0"/>
                <w:szCs w:val="21"/>
                <w:highlight w:val="none"/>
              </w:rPr>
              <w:t>元整</w:t>
            </w:r>
            <w:r>
              <w:rPr>
                <w:rFonts w:hint="eastAsia" w:ascii="宋体" w:hAnsi="宋体" w:eastAsia="宋体" w:cs="宋体"/>
                <w:color w:val="auto"/>
                <w:spacing w:val="0"/>
                <w:kern w:val="0"/>
                <w:position w:val="0"/>
                <w:szCs w:val="21"/>
                <w:highlight w:val="none"/>
              </w:rPr>
              <w:t>。</w:t>
            </w:r>
          </w:p>
          <w:p w14:paraId="4B534D46">
            <w:pPr>
              <w:pStyle w:val="15"/>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position w:val="0"/>
                <w:szCs w:val="21"/>
                <w:highlight w:val="none"/>
                <w:lang w:eastAsia="zh-CN"/>
              </w:rPr>
              <w:t>磋商</w:t>
            </w:r>
            <w:r>
              <w:rPr>
                <w:rFonts w:hint="eastAsia" w:ascii="宋体" w:hAnsi="宋体" w:eastAsia="宋体" w:cs="宋体"/>
                <w:color w:val="auto"/>
                <w:spacing w:val="0"/>
                <w:position w:val="0"/>
                <w:szCs w:val="21"/>
                <w:highlight w:val="none"/>
              </w:rPr>
              <w:t>保证金缴纳形式：银行转账、支票、汇票、本票或者银行、</w:t>
            </w:r>
            <w:r>
              <w:rPr>
                <w:rFonts w:hint="eastAsia" w:ascii="宋体" w:hAnsi="宋体" w:eastAsia="宋体" w:cs="宋体"/>
                <w:color w:val="auto"/>
                <w:spacing w:val="0"/>
                <w:position w:val="0"/>
                <w:szCs w:val="21"/>
                <w:highlight w:val="none"/>
                <w:lang w:eastAsia="zh-CN"/>
              </w:rPr>
              <w:t>保险机构出具的保函、保险单</w:t>
            </w:r>
            <w:r>
              <w:rPr>
                <w:rFonts w:hint="eastAsia" w:ascii="宋体" w:hAnsi="宋体" w:eastAsia="宋体" w:cs="宋体"/>
                <w:color w:val="auto"/>
                <w:spacing w:val="0"/>
                <w:position w:val="0"/>
                <w:szCs w:val="21"/>
                <w:highlight w:val="none"/>
              </w:rPr>
              <w:t>，禁止采用现钞方式。</w:t>
            </w:r>
          </w:p>
          <w:p w14:paraId="49516129">
            <w:pPr>
              <w:pStyle w:val="15"/>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kern w:val="0"/>
                <w:position w:val="0"/>
                <w:szCs w:val="21"/>
                <w:highlight w:val="none"/>
                <w:lang w:eastAsia="zh-CN"/>
              </w:rPr>
            </w:pPr>
            <w:r>
              <w:rPr>
                <w:rFonts w:hint="eastAsia" w:ascii="宋体" w:hAnsi="宋体" w:eastAsia="宋体" w:cs="宋体"/>
                <w:color w:val="auto"/>
                <w:spacing w:val="0"/>
                <w:kern w:val="0"/>
                <w:position w:val="0"/>
                <w:szCs w:val="21"/>
                <w:highlight w:val="none"/>
              </w:rPr>
              <w:t>采用银行转账方式的，</w:t>
            </w:r>
            <w:r>
              <w:rPr>
                <w:rFonts w:hint="eastAsia" w:ascii="宋体" w:hAnsi="宋体" w:eastAsia="宋体" w:cs="宋体"/>
                <w:color w:val="auto"/>
                <w:spacing w:val="0"/>
                <w:kern w:val="0"/>
                <w:position w:val="0"/>
                <w:szCs w:val="21"/>
                <w:highlight w:val="none"/>
                <w:lang w:eastAsia="zh-CN"/>
              </w:rPr>
              <w:t>竞</w:t>
            </w:r>
            <w:r>
              <w:rPr>
                <w:rFonts w:hint="eastAsia" w:ascii="宋体" w:hAnsi="宋体" w:eastAsia="宋体" w:cs="宋体"/>
                <w:color w:val="auto"/>
                <w:spacing w:val="0"/>
                <w:kern w:val="0"/>
                <w:position w:val="0"/>
                <w:szCs w:val="21"/>
                <w:highlight w:val="none"/>
              </w:rPr>
              <w:t>标人将</w:t>
            </w:r>
            <w:r>
              <w:rPr>
                <w:rFonts w:hint="eastAsia" w:ascii="宋体" w:hAnsi="宋体" w:eastAsia="宋体" w:cs="宋体"/>
                <w:color w:val="auto"/>
                <w:spacing w:val="0"/>
                <w:kern w:val="0"/>
                <w:position w:val="0"/>
                <w:szCs w:val="21"/>
                <w:highlight w:val="none"/>
                <w:lang w:eastAsia="zh-CN"/>
              </w:rPr>
              <w:t>磋商</w:t>
            </w:r>
            <w:r>
              <w:rPr>
                <w:rFonts w:hint="eastAsia" w:ascii="宋体" w:hAnsi="宋体" w:eastAsia="宋体" w:cs="宋体"/>
                <w:color w:val="auto"/>
                <w:spacing w:val="0"/>
                <w:kern w:val="0"/>
                <w:position w:val="0"/>
                <w:szCs w:val="21"/>
                <w:highlight w:val="none"/>
              </w:rPr>
              <w:t>保证金从</w:t>
            </w:r>
            <w:r>
              <w:rPr>
                <w:rFonts w:hint="eastAsia" w:ascii="宋体" w:hAnsi="宋体" w:eastAsia="宋体" w:cs="宋体"/>
                <w:color w:val="auto"/>
                <w:spacing w:val="0"/>
                <w:kern w:val="0"/>
                <w:position w:val="0"/>
                <w:szCs w:val="21"/>
                <w:highlight w:val="none"/>
                <w:lang w:eastAsia="zh-CN"/>
              </w:rPr>
              <w:t>竞</w:t>
            </w:r>
            <w:r>
              <w:rPr>
                <w:rFonts w:hint="eastAsia" w:ascii="宋体" w:hAnsi="宋体" w:eastAsia="宋体" w:cs="宋体"/>
                <w:color w:val="auto"/>
                <w:spacing w:val="0"/>
                <w:kern w:val="0"/>
                <w:position w:val="0"/>
                <w:szCs w:val="21"/>
                <w:highlight w:val="none"/>
              </w:rPr>
              <w:t>标人基本账户转出交至以下指定的</w:t>
            </w:r>
            <w:r>
              <w:rPr>
                <w:rFonts w:hint="eastAsia" w:ascii="宋体" w:hAnsi="宋体" w:eastAsia="宋体" w:cs="宋体"/>
                <w:color w:val="auto"/>
                <w:spacing w:val="0"/>
                <w:kern w:val="0"/>
                <w:position w:val="0"/>
                <w:szCs w:val="21"/>
                <w:highlight w:val="none"/>
                <w:lang w:eastAsia="zh-CN"/>
              </w:rPr>
              <w:t>磋商</w:t>
            </w:r>
            <w:r>
              <w:rPr>
                <w:rFonts w:hint="eastAsia" w:ascii="宋体" w:hAnsi="宋体" w:eastAsia="宋体" w:cs="宋体"/>
                <w:color w:val="auto"/>
                <w:spacing w:val="0"/>
                <w:kern w:val="0"/>
                <w:position w:val="0"/>
                <w:szCs w:val="21"/>
                <w:highlight w:val="none"/>
              </w:rPr>
              <w:t>保证金专用账户，且提交到指定账户时间不得迟于</w:t>
            </w:r>
            <w:r>
              <w:rPr>
                <w:rFonts w:hint="eastAsia" w:ascii="宋体" w:hAnsi="宋体" w:eastAsia="宋体" w:cs="宋体"/>
                <w:color w:val="auto"/>
                <w:spacing w:val="0"/>
                <w:kern w:val="0"/>
                <w:position w:val="0"/>
                <w:szCs w:val="21"/>
                <w:highlight w:val="none"/>
                <w:lang w:eastAsia="zh-CN"/>
              </w:rPr>
              <w:t>响应文件提交</w:t>
            </w:r>
            <w:r>
              <w:rPr>
                <w:rFonts w:hint="eastAsia" w:ascii="宋体" w:hAnsi="宋体" w:eastAsia="宋体" w:cs="宋体"/>
                <w:color w:val="auto"/>
                <w:spacing w:val="0"/>
                <w:kern w:val="0"/>
                <w:position w:val="0"/>
                <w:szCs w:val="21"/>
                <w:highlight w:val="none"/>
              </w:rPr>
              <w:t>截止时间（以到账为准）</w:t>
            </w:r>
            <w:r>
              <w:rPr>
                <w:rFonts w:hint="eastAsia" w:ascii="宋体" w:hAnsi="宋体" w:eastAsia="宋体" w:cs="宋体"/>
                <w:color w:val="auto"/>
                <w:spacing w:val="0"/>
                <w:kern w:val="0"/>
                <w:position w:val="0"/>
                <w:szCs w:val="21"/>
                <w:highlight w:val="none"/>
                <w:lang w:eastAsia="zh-CN"/>
              </w:rPr>
              <w:t>：</w:t>
            </w:r>
          </w:p>
          <w:p w14:paraId="25134BC3">
            <w:pPr>
              <w:pStyle w:val="15"/>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kern w:val="0"/>
                <w:position w:val="0"/>
                <w:szCs w:val="21"/>
                <w:highlight w:val="none"/>
                <w:u w:val="none"/>
              </w:rPr>
            </w:pPr>
            <w:r>
              <w:rPr>
                <w:rFonts w:hint="eastAsia" w:ascii="宋体" w:hAnsi="宋体" w:eastAsia="宋体" w:cs="宋体"/>
                <w:color w:val="auto"/>
                <w:spacing w:val="0"/>
                <w:kern w:val="0"/>
                <w:position w:val="0"/>
                <w:szCs w:val="21"/>
                <w:highlight w:val="none"/>
                <w:u w:val="none"/>
              </w:rPr>
              <w:t>开户行：</w:t>
            </w:r>
            <w:r>
              <w:rPr>
                <w:rFonts w:hint="eastAsia" w:ascii="宋体" w:hAnsi="宋体" w:eastAsia="宋体" w:cs="宋体"/>
                <w:color w:val="auto"/>
                <w:spacing w:val="0"/>
                <w:position w:val="0"/>
                <w:szCs w:val="21"/>
                <w:highlight w:val="none"/>
                <w:u w:val="none"/>
                <w:lang w:val="en-US" w:eastAsia="zh-CN"/>
              </w:rPr>
              <w:t>/</w:t>
            </w:r>
          </w:p>
          <w:p w14:paraId="167C706A">
            <w:pPr>
              <w:pStyle w:val="15"/>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kern w:val="0"/>
                <w:position w:val="0"/>
                <w:szCs w:val="21"/>
                <w:highlight w:val="none"/>
                <w:u w:val="none"/>
              </w:rPr>
            </w:pPr>
            <w:r>
              <w:rPr>
                <w:rFonts w:hint="eastAsia" w:ascii="宋体" w:hAnsi="宋体" w:eastAsia="宋体" w:cs="宋体"/>
                <w:color w:val="auto"/>
                <w:spacing w:val="0"/>
                <w:kern w:val="0"/>
                <w:position w:val="0"/>
                <w:szCs w:val="21"/>
                <w:highlight w:val="none"/>
                <w:u w:val="none"/>
              </w:rPr>
              <w:t>户名：</w:t>
            </w:r>
            <w:r>
              <w:rPr>
                <w:rFonts w:hint="eastAsia" w:ascii="宋体" w:hAnsi="宋体" w:eastAsia="宋体" w:cs="宋体"/>
                <w:color w:val="auto"/>
                <w:spacing w:val="0"/>
                <w:position w:val="0"/>
                <w:szCs w:val="21"/>
                <w:highlight w:val="none"/>
                <w:u w:val="none"/>
                <w:lang w:val="en-US" w:eastAsia="zh-CN"/>
              </w:rPr>
              <w:t>/</w:t>
            </w:r>
          </w:p>
          <w:p w14:paraId="056D3886">
            <w:pPr>
              <w:pStyle w:val="15"/>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kern w:val="0"/>
                <w:position w:val="0"/>
                <w:szCs w:val="21"/>
                <w:highlight w:val="none"/>
                <w:u w:val="none"/>
              </w:rPr>
              <w:t xml:space="preserve">账号： </w:t>
            </w:r>
            <w:r>
              <w:rPr>
                <w:rFonts w:hint="eastAsia" w:ascii="宋体" w:hAnsi="宋体" w:eastAsia="宋体" w:cs="宋体"/>
                <w:color w:val="auto"/>
                <w:spacing w:val="0"/>
                <w:position w:val="0"/>
                <w:szCs w:val="21"/>
                <w:highlight w:val="none"/>
                <w:u w:val="none"/>
                <w:lang w:val="en-US" w:eastAsia="zh-CN"/>
              </w:rPr>
              <w:t>/</w:t>
            </w:r>
          </w:p>
        </w:tc>
      </w:tr>
      <w:tr w14:paraId="63BC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2A267104">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lang w:val="en-US" w:eastAsia="zh-CN"/>
              </w:rPr>
              <w:t>8</w:t>
            </w:r>
          </w:p>
        </w:tc>
        <w:tc>
          <w:tcPr>
            <w:tcW w:w="1602" w:type="dxa"/>
            <w:tcBorders>
              <w:top w:val="single" w:color="auto" w:sz="4" w:space="0"/>
              <w:left w:val="single" w:color="auto" w:sz="4" w:space="0"/>
              <w:bottom w:val="single" w:color="auto" w:sz="4" w:space="0"/>
              <w:right w:val="single" w:color="auto" w:sz="4" w:space="0"/>
            </w:tcBorders>
            <w:vAlign w:val="center"/>
          </w:tcPr>
          <w:p w14:paraId="7BE9C9B7">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highlight w:val="none"/>
                <w:lang w:eastAsia="zh-CN"/>
              </w:rPr>
              <w:t>响应</w:t>
            </w:r>
            <w:r>
              <w:rPr>
                <w:rFonts w:hint="eastAsia" w:ascii="宋体" w:hAnsi="宋体" w:eastAsia="宋体" w:cs="宋体"/>
                <w:color w:val="auto"/>
                <w:spacing w:val="0"/>
                <w:position w:val="0"/>
                <w:highlight w:val="none"/>
              </w:rPr>
              <w:t>文件递交截止时间和地点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72256C1B">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详见竞争性磋商公告</w:t>
            </w:r>
          </w:p>
        </w:tc>
      </w:tr>
      <w:tr w14:paraId="0349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36610A1F">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lang w:val="en-US" w:eastAsia="zh-CN"/>
              </w:rPr>
              <w:t>9</w:t>
            </w:r>
          </w:p>
        </w:tc>
        <w:tc>
          <w:tcPr>
            <w:tcW w:w="1602" w:type="dxa"/>
            <w:tcBorders>
              <w:top w:val="single" w:color="auto" w:sz="4" w:space="0"/>
              <w:left w:val="single" w:color="auto" w:sz="4" w:space="0"/>
              <w:bottom w:val="single" w:color="auto" w:sz="4" w:space="0"/>
              <w:right w:val="single" w:color="auto" w:sz="4" w:space="0"/>
            </w:tcBorders>
            <w:vAlign w:val="center"/>
          </w:tcPr>
          <w:p w14:paraId="6F7AFF2F">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highlight w:val="none"/>
              </w:rPr>
              <w:t>评标委员会的组建</w:t>
            </w:r>
          </w:p>
        </w:tc>
        <w:tc>
          <w:tcPr>
            <w:tcW w:w="7399" w:type="dxa"/>
            <w:tcBorders>
              <w:top w:val="single" w:color="auto" w:sz="4" w:space="0"/>
              <w:left w:val="single" w:color="auto" w:sz="4" w:space="0"/>
              <w:bottom w:val="single" w:color="auto" w:sz="4" w:space="0"/>
              <w:right w:val="single" w:color="auto" w:sz="4" w:space="0"/>
            </w:tcBorders>
            <w:vAlign w:val="center"/>
          </w:tcPr>
          <w:p w14:paraId="75E89872">
            <w:pPr>
              <w:pStyle w:val="15"/>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highlight w:val="none"/>
              </w:rPr>
              <w:t>评标委员会构成：</w:t>
            </w:r>
            <w:r>
              <w:rPr>
                <w:rFonts w:hint="eastAsia" w:ascii="宋体" w:hAnsi="宋体" w:eastAsia="宋体" w:cs="宋体"/>
                <w:color w:val="auto"/>
                <w:spacing w:val="0"/>
                <w:position w:val="0"/>
                <w:highlight w:val="none"/>
                <w:lang w:val="en-US" w:eastAsia="zh-CN"/>
              </w:rPr>
              <w:t>3</w:t>
            </w:r>
            <w:r>
              <w:rPr>
                <w:rFonts w:hint="eastAsia" w:ascii="宋体" w:hAnsi="宋体" w:eastAsia="宋体" w:cs="宋体"/>
                <w:color w:val="auto"/>
                <w:spacing w:val="0"/>
                <w:position w:val="0"/>
                <w:highlight w:val="none"/>
              </w:rPr>
              <w:t>人，其中采购单位代表</w:t>
            </w:r>
            <w:r>
              <w:rPr>
                <w:rFonts w:hint="eastAsia" w:ascii="宋体" w:hAnsi="宋体" w:eastAsia="宋体" w:cs="宋体"/>
                <w:color w:val="auto"/>
                <w:spacing w:val="0"/>
                <w:position w:val="0"/>
                <w:highlight w:val="none"/>
                <w:lang w:val="en-US" w:eastAsia="zh-CN"/>
              </w:rPr>
              <w:t>1</w:t>
            </w:r>
            <w:r>
              <w:rPr>
                <w:rFonts w:hint="eastAsia" w:ascii="宋体" w:hAnsi="宋体" w:eastAsia="宋体" w:cs="宋体"/>
                <w:color w:val="auto"/>
                <w:spacing w:val="0"/>
                <w:position w:val="0"/>
                <w:highlight w:val="none"/>
              </w:rPr>
              <w:t>人，专家</w:t>
            </w:r>
            <w:r>
              <w:rPr>
                <w:rFonts w:hint="eastAsia" w:ascii="宋体" w:hAnsi="宋体" w:eastAsia="宋体" w:cs="宋体"/>
                <w:color w:val="auto"/>
                <w:spacing w:val="0"/>
                <w:position w:val="0"/>
                <w:highlight w:val="none"/>
                <w:lang w:val="en-US" w:eastAsia="zh-CN"/>
              </w:rPr>
              <w:t>2</w:t>
            </w:r>
            <w:r>
              <w:rPr>
                <w:rFonts w:hint="eastAsia" w:ascii="宋体" w:hAnsi="宋体" w:eastAsia="宋体" w:cs="宋体"/>
                <w:color w:val="auto"/>
                <w:spacing w:val="0"/>
                <w:position w:val="0"/>
                <w:highlight w:val="none"/>
              </w:rPr>
              <w:t>人</w:t>
            </w:r>
            <w:r>
              <w:rPr>
                <w:rFonts w:hint="eastAsia" w:ascii="宋体" w:hAnsi="宋体" w:eastAsia="宋体" w:cs="宋体"/>
                <w:color w:val="auto"/>
                <w:spacing w:val="0"/>
                <w:position w:val="0"/>
                <w:highlight w:val="none"/>
                <w:lang w:eastAsia="zh-CN"/>
              </w:rPr>
              <w:t>。</w:t>
            </w:r>
          </w:p>
          <w:p w14:paraId="3F925430">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评标专家确定方式：随机抽取。</w:t>
            </w:r>
          </w:p>
        </w:tc>
      </w:tr>
      <w:tr w14:paraId="61F2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357BFC8F">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10</w:t>
            </w:r>
          </w:p>
        </w:tc>
        <w:tc>
          <w:tcPr>
            <w:tcW w:w="1602" w:type="dxa"/>
            <w:tcBorders>
              <w:top w:val="single" w:color="auto" w:sz="4" w:space="0"/>
              <w:left w:val="single" w:color="auto" w:sz="4" w:space="0"/>
              <w:bottom w:val="single" w:color="auto" w:sz="4" w:space="0"/>
              <w:right w:val="single" w:color="auto" w:sz="4" w:space="0"/>
            </w:tcBorders>
            <w:vAlign w:val="center"/>
          </w:tcPr>
          <w:p w14:paraId="08AFB0F4">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磋商时间和地点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19BEF519">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详见竞争性磋商公告</w:t>
            </w:r>
          </w:p>
        </w:tc>
      </w:tr>
      <w:tr w14:paraId="6878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4EF5AC37">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val="en-US" w:eastAsia="zh-CN"/>
              </w:rPr>
              <w:t>1</w:t>
            </w:r>
          </w:p>
        </w:tc>
        <w:tc>
          <w:tcPr>
            <w:tcW w:w="1602" w:type="dxa"/>
            <w:tcBorders>
              <w:top w:val="single" w:color="auto" w:sz="4" w:space="0"/>
              <w:left w:val="single" w:color="auto" w:sz="4" w:space="0"/>
              <w:bottom w:val="single" w:color="auto" w:sz="4" w:space="0"/>
              <w:right w:val="single" w:color="auto" w:sz="4" w:space="0"/>
            </w:tcBorders>
            <w:vAlign w:val="center"/>
          </w:tcPr>
          <w:p w14:paraId="75A5BCB1">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评标方法</w:t>
            </w:r>
          </w:p>
        </w:tc>
        <w:tc>
          <w:tcPr>
            <w:tcW w:w="7399" w:type="dxa"/>
            <w:tcBorders>
              <w:top w:val="single" w:color="auto" w:sz="4" w:space="0"/>
              <w:left w:val="single" w:color="auto" w:sz="4" w:space="0"/>
              <w:bottom w:val="single" w:color="auto" w:sz="4" w:space="0"/>
              <w:right w:val="single" w:color="auto" w:sz="4" w:space="0"/>
            </w:tcBorders>
            <w:vAlign w:val="center"/>
          </w:tcPr>
          <w:p w14:paraId="1D2EC7DB">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评标方法：</w:t>
            </w:r>
            <w:r>
              <w:rPr>
                <w:rFonts w:hint="eastAsia" w:ascii="宋体" w:hAnsi="宋体" w:eastAsia="宋体" w:cs="宋体"/>
                <w:color w:val="auto"/>
                <w:spacing w:val="0"/>
                <w:position w:val="0"/>
                <w:highlight w:val="none"/>
              </w:rPr>
              <w:t>综合评分法</w:t>
            </w:r>
          </w:p>
        </w:tc>
      </w:tr>
      <w:tr w14:paraId="7FAC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48" w:type="dxa"/>
            <w:tcBorders>
              <w:top w:val="single" w:color="auto" w:sz="4" w:space="0"/>
              <w:left w:val="single" w:color="auto" w:sz="4" w:space="0"/>
              <w:bottom w:val="single" w:color="auto" w:sz="4" w:space="0"/>
              <w:right w:val="single" w:color="auto" w:sz="4" w:space="0"/>
            </w:tcBorders>
            <w:vAlign w:val="center"/>
          </w:tcPr>
          <w:p w14:paraId="6EB98DD3">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12</w:t>
            </w:r>
          </w:p>
        </w:tc>
        <w:tc>
          <w:tcPr>
            <w:tcW w:w="1602" w:type="dxa"/>
            <w:tcBorders>
              <w:top w:val="single" w:color="auto" w:sz="4" w:space="0"/>
              <w:left w:val="single" w:color="auto" w:sz="4" w:space="0"/>
              <w:bottom w:val="single" w:color="auto" w:sz="4" w:space="0"/>
              <w:right w:val="single" w:color="auto" w:sz="4" w:space="0"/>
            </w:tcBorders>
            <w:vAlign w:val="center"/>
          </w:tcPr>
          <w:p w14:paraId="25C45CB1">
            <w:pPr>
              <w:keepNext w:val="0"/>
              <w:keepLines w:val="0"/>
              <w:pageBreakBefore w:val="0"/>
              <w:widowControl w:val="0"/>
              <w:kinsoku/>
              <w:wordWrap w:val="0"/>
              <w:overflowPunct/>
              <w:topLinePunct/>
              <w:autoSpaceDE/>
              <w:autoSpaceDN/>
              <w:bidi w:val="0"/>
              <w:adjustRightInd/>
              <w:spacing w:line="360" w:lineRule="auto"/>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负偏离要求</w:t>
            </w:r>
          </w:p>
        </w:tc>
        <w:tc>
          <w:tcPr>
            <w:tcW w:w="7399" w:type="dxa"/>
            <w:tcBorders>
              <w:top w:val="single" w:color="auto" w:sz="4" w:space="0"/>
              <w:left w:val="single" w:color="auto" w:sz="4" w:space="0"/>
              <w:bottom w:val="single" w:color="auto" w:sz="4" w:space="0"/>
              <w:right w:val="single" w:color="auto" w:sz="4" w:space="0"/>
            </w:tcBorders>
            <w:vAlign w:val="center"/>
          </w:tcPr>
          <w:p w14:paraId="2E46E20F">
            <w:pPr>
              <w:keepNext w:val="0"/>
              <w:keepLines w:val="0"/>
              <w:pageBreakBefore w:val="0"/>
              <w:widowControl w:val="0"/>
              <w:kinsoku/>
              <w:wordWrap w:val="0"/>
              <w:overflowPunct/>
              <w:topLinePunct/>
              <w:autoSpaceDE/>
              <w:autoSpaceDN/>
              <w:bidi w:val="0"/>
              <w:adjustRightInd/>
              <w:snapToGrid w:val="0"/>
              <w:spacing w:line="360" w:lineRule="auto"/>
              <w:ind w:left="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商务条款评审中允许负偏离的非实质性条款数为</w:t>
            </w:r>
            <w:r>
              <w:rPr>
                <w:rFonts w:hint="eastAsia" w:ascii="宋体" w:hAnsi="宋体" w:eastAsia="宋体" w:cs="宋体"/>
                <w:color w:val="auto"/>
                <w:spacing w:val="0"/>
                <w:position w:val="0"/>
                <w:szCs w:val="21"/>
                <w:highlight w:val="none"/>
                <w:u w:val="single"/>
              </w:rPr>
              <w:t xml:space="preserve"> </w:t>
            </w:r>
            <w:r>
              <w:rPr>
                <w:rFonts w:hint="eastAsia" w:ascii="宋体" w:hAnsi="宋体" w:eastAsia="宋体" w:cs="宋体"/>
                <w:color w:val="auto"/>
                <w:spacing w:val="0"/>
                <w:position w:val="0"/>
                <w:szCs w:val="21"/>
                <w:highlight w:val="none"/>
                <w:u w:val="single"/>
                <w:lang w:val="en-US" w:eastAsia="zh-CN"/>
              </w:rPr>
              <w:t>0</w:t>
            </w:r>
            <w:r>
              <w:rPr>
                <w:rFonts w:hint="eastAsia" w:ascii="宋体" w:hAnsi="宋体" w:eastAsia="宋体" w:cs="宋体"/>
                <w:color w:val="auto"/>
                <w:spacing w:val="0"/>
                <w:position w:val="0"/>
                <w:szCs w:val="21"/>
                <w:highlight w:val="none"/>
                <w:u w:val="single"/>
              </w:rPr>
              <w:t xml:space="preserve"> </w:t>
            </w:r>
            <w:r>
              <w:rPr>
                <w:rFonts w:hint="eastAsia" w:ascii="宋体" w:hAnsi="宋体" w:eastAsia="宋体" w:cs="宋体"/>
                <w:color w:val="auto"/>
                <w:spacing w:val="0"/>
                <w:position w:val="0"/>
                <w:szCs w:val="21"/>
                <w:highlight w:val="none"/>
              </w:rPr>
              <w:t>项。</w:t>
            </w:r>
          </w:p>
          <w:p w14:paraId="5B863F09">
            <w:pPr>
              <w:keepNext w:val="0"/>
              <w:keepLines w:val="0"/>
              <w:pageBreakBefore w:val="0"/>
              <w:widowControl w:val="0"/>
              <w:kinsoku/>
              <w:wordWrap w:val="0"/>
              <w:overflowPunct/>
              <w:topLinePunct/>
              <w:autoSpaceDE/>
              <w:autoSpaceDN/>
              <w:bidi w:val="0"/>
              <w:adjustRightInd/>
              <w:snapToGrid w:val="0"/>
              <w:spacing w:line="360" w:lineRule="auto"/>
              <w:ind w:left="0" w:leftChars="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服务需求评审中允许负偏离的非实质性条款数为</w:t>
            </w:r>
            <w:r>
              <w:rPr>
                <w:rFonts w:hint="eastAsia" w:ascii="宋体" w:hAnsi="宋体" w:eastAsia="宋体" w:cs="宋体"/>
                <w:color w:val="auto"/>
                <w:spacing w:val="0"/>
                <w:position w:val="0"/>
                <w:szCs w:val="21"/>
                <w:highlight w:val="none"/>
                <w:u w:val="single"/>
              </w:rPr>
              <w:t xml:space="preserve"> </w:t>
            </w:r>
            <w:r>
              <w:rPr>
                <w:rFonts w:hint="eastAsia" w:ascii="宋体" w:hAnsi="宋体" w:eastAsia="宋体" w:cs="宋体"/>
                <w:color w:val="auto"/>
                <w:spacing w:val="0"/>
                <w:position w:val="0"/>
                <w:szCs w:val="21"/>
                <w:highlight w:val="none"/>
                <w:u w:val="single"/>
                <w:lang w:val="en-US" w:eastAsia="zh-CN"/>
              </w:rPr>
              <w:t>0</w:t>
            </w:r>
            <w:r>
              <w:rPr>
                <w:rFonts w:hint="eastAsia" w:ascii="宋体" w:hAnsi="宋体" w:eastAsia="宋体" w:cs="宋体"/>
                <w:color w:val="auto"/>
                <w:spacing w:val="0"/>
                <w:position w:val="0"/>
                <w:szCs w:val="21"/>
                <w:highlight w:val="none"/>
                <w:u w:val="single"/>
              </w:rPr>
              <w:t xml:space="preserve"> </w:t>
            </w:r>
            <w:r>
              <w:rPr>
                <w:rFonts w:hint="eastAsia" w:ascii="宋体" w:hAnsi="宋体" w:eastAsia="宋体" w:cs="宋体"/>
                <w:color w:val="auto"/>
                <w:spacing w:val="0"/>
                <w:position w:val="0"/>
                <w:szCs w:val="21"/>
                <w:highlight w:val="none"/>
              </w:rPr>
              <w:t>项。</w:t>
            </w:r>
          </w:p>
        </w:tc>
      </w:tr>
      <w:tr w14:paraId="3531F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20A746A3">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val="en-US" w:eastAsia="zh-CN"/>
              </w:rPr>
              <w:t>3</w:t>
            </w:r>
          </w:p>
        </w:tc>
        <w:tc>
          <w:tcPr>
            <w:tcW w:w="1602" w:type="dxa"/>
            <w:tcBorders>
              <w:top w:val="single" w:color="auto" w:sz="4" w:space="0"/>
              <w:left w:val="single" w:color="auto" w:sz="4" w:space="0"/>
              <w:bottom w:val="single" w:color="auto" w:sz="4" w:space="0"/>
              <w:right w:val="single" w:color="auto" w:sz="4" w:space="0"/>
            </w:tcBorders>
            <w:vAlign w:val="center"/>
          </w:tcPr>
          <w:p w14:paraId="69005ECC">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履约保证金</w:t>
            </w:r>
          </w:p>
        </w:tc>
        <w:tc>
          <w:tcPr>
            <w:tcW w:w="7399" w:type="dxa"/>
            <w:tcBorders>
              <w:top w:val="single" w:color="auto" w:sz="4" w:space="0"/>
              <w:left w:val="single" w:color="auto" w:sz="4" w:space="0"/>
              <w:bottom w:val="single" w:color="auto" w:sz="4" w:space="0"/>
              <w:right w:val="single" w:color="auto" w:sz="4" w:space="0"/>
            </w:tcBorders>
            <w:vAlign w:val="center"/>
          </w:tcPr>
          <w:p w14:paraId="03A8DCBA">
            <w:pPr>
              <w:keepNext w:val="0"/>
              <w:keepLines w:val="0"/>
              <w:pageBreakBefore w:val="0"/>
              <w:widowControl w:val="0"/>
              <w:kinsoku/>
              <w:wordWrap w:val="0"/>
              <w:overflowPunct/>
              <w:topLinePunct/>
              <w:autoSpaceDE/>
              <w:autoSpaceDN/>
              <w:bidi w:val="0"/>
              <w:adjustRightInd/>
              <w:snapToGrid w:val="0"/>
              <w:spacing w:line="360" w:lineRule="auto"/>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szCs w:val="21"/>
                <w:highlight w:val="none"/>
              </w:rPr>
              <w:t>本项目不收取履约保证金</w:t>
            </w:r>
          </w:p>
        </w:tc>
      </w:tr>
      <w:tr w14:paraId="438C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48" w:type="dxa"/>
            <w:tcBorders>
              <w:top w:val="single" w:color="auto" w:sz="4" w:space="0"/>
              <w:left w:val="single" w:color="auto" w:sz="4" w:space="0"/>
              <w:bottom w:val="single" w:color="auto" w:sz="4" w:space="0"/>
              <w:right w:val="single" w:color="auto" w:sz="4" w:space="0"/>
            </w:tcBorders>
            <w:vAlign w:val="center"/>
          </w:tcPr>
          <w:p w14:paraId="5752CEA7">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val="en-US" w:eastAsia="zh-CN"/>
              </w:rPr>
              <w:t>4</w:t>
            </w:r>
          </w:p>
        </w:tc>
        <w:tc>
          <w:tcPr>
            <w:tcW w:w="1602" w:type="dxa"/>
            <w:tcBorders>
              <w:top w:val="single" w:color="auto" w:sz="4" w:space="0"/>
              <w:left w:val="single" w:color="auto" w:sz="4" w:space="0"/>
              <w:bottom w:val="single" w:color="auto" w:sz="4" w:space="0"/>
              <w:right w:val="single" w:color="auto" w:sz="4" w:space="0"/>
            </w:tcBorders>
            <w:vAlign w:val="center"/>
          </w:tcPr>
          <w:p w14:paraId="5C0A0973">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采购预算价</w:t>
            </w:r>
          </w:p>
        </w:tc>
        <w:tc>
          <w:tcPr>
            <w:tcW w:w="7399" w:type="dxa"/>
            <w:tcBorders>
              <w:top w:val="single" w:color="auto" w:sz="4" w:space="0"/>
              <w:left w:val="single" w:color="auto" w:sz="4" w:space="0"/>
              <w:bottom w:val="single" w:color="auto" w:sz="4" w:space="0"/>
              <w:right w:val="single" w:color="auto" w:sz="4" w:space="0"/>
            </w:tcBorders>
            <w:vAlign w:val="center"/>
          </w:tcPr>
          <w:p w14:paraId="5D455B8D">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本项目采购预算价：</w:t>
            </w:r>
            <w:r>
              <w:rPr>
                <w:rFonts w:hint="eastAsia" w:ascii="宋体" w:hAnsi="宋体" w:cs="宋体"/>
                <w:color w:val="auto"/>
                <w:spacing w:val="0"/>
                <w:position w:val="0"/>
                <w:szCs w:val="21"/>
                <w:highlight w:val="none"/>
                <w:lang w:val="en-US" w:eastAsia="zh-CN"/>
              </w:rPr>
              <w:t>详见竞争性磋商公告</w:t>
            </w:r>
          </w:p>
        </w:tc>
      </w:tr>
      <w:tr w14:paraId="7649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48" w:type="dxa"/>
            <w:tcBorders>
              <w:top w:val="single" w:color="auto" w:sz="4" w:space="0"/>
              <w:left w:val="single" w:color="auto" w:sz="4" w:space="0"/>
              <w:bottom w:val="single" w:color="auto" w:sz="4" w:space="0"/>
              <w:right w:val="single" w:color="auto" w:sz="4" w:space="0"/>
            </w:tcBorders>
            <w:vAlign w:val="center"/>
          </w:tcPr>
          <w:p w14:paraId="6F6D0179">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val="en-US" w:eastAsia="zh-CN"/>
              </w:rPr>
              <w:t>5</w:t>
            </w:r>
          </w:p>
        </w:tc>
        <w:tc>
          <w:tcPr>
            <w:tcW w:w="1602" w:type="dxa"/>
            <w:tcBorders>
              <w:top w:val="single" w:color="auto" w:sz="4" w:space="0"/>
              <w:left w:val="single" w:color="auto" w:sz="4" w:space="0"/>
              <w:bottom w:val="single" w:color="auto" w:sz="4" w:space="0"/>
              <w:right w:val="single" w:color="auto" w:sz="4" w:space="0"/>
            </w:tcBorders>
            <w:vAlign w:val="center"/>
          </w:tcPr>
          <w:p w14:paraId="6A5DCBBE">
            <w:pPr>
              <w:keepNext w:val="0"/>
              <w:keepLines w:val="0"/>
              <w:pageBreakBefore w:val="0"/>
              <w:widowControl w:val="0"/>
              <w:kinsoku/>
              <w:wordWrap w:val="0"/>
              <w:overflowPunct/>
              <w:topLinePunct/>
              <w:autoSpaceDE/>
              <w:autoSpaceDN/>
              <w:bidi w:val="0"/>
              <w:adjustRightInd/>
              <w:spacing w:line="360" w:lineRule="auto"/>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接收质疑函方式</w:t>
            </w:r>
          </w:p>
        </w:tc>
        <w:tc>
          <w:tcPr>
            <w:tcW w:w="7399" w:type="dxa"/>
            <w:tcBorders>
              <w:top w:val="single" w:color="auto" w:sz="4" w:space="0"/>
              <w:left w:val="single" w:color="auto" w:sz="4" w:space="0"/>
              <w:bottom w:val="single" w:color="auto" w:sz="4" w:space="0"/>
              <w:right w:val="single" w:color="auto" w:sz="4" w:space="0"/>
            </w:tcBorders>
            <w:vAlign w:val="center"/>
          </w:tcPr>
          <w:p w14:paraId="0D03EB59">
            <w:pPr>
              <w:keepNext w:val="0"/>
              <w:keepLines w:val="0"/>
              <w:pageBreakBefore w:val="0"/>
              <w:widowControl w:val="0"/>
              <w:kinsoku/>
              <w:wordWrap w:val="0"/>
              <w:overflowPunct/>
              <w:topLinePunct/>
              <w:autoSpaceDE/>
              <w:autoSpaceDN/>
              <w:bidi w:val="0"/>
              <w:adjustRightInd/>
              <w:snapToGrid w:val="0"/>
              <w:spacing w:line="360" w:lineRule="auto"/>
              <w:ind w:left="0" w:leftChars="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以书面形式</w:t>
            </w:r>
          </w:p>
        </w:tc>
      </w:tr>
      <w:tr w14:paraId="3E98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73FD5B25">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val="en-US" w:eastAsia="zh-CN"/>
              </w:rPr>
              <w:t>6</w:t>
            </w:r>
          </w:p>
        </w:tc>
        <w:tc>
          <w:tcPr>
            <w:tcW w:w="1602" w:type="dxa"/>
            <w:tcBorders>
              <w:top w:val="single" w:color="auto" w:sz="4" w:space="0"/>
              <w:left w:val="single" w:color="auto" w:sz="4" w:space="0"/>
              <w:bottom w:val="single" w:color="auto" w:sz="4" w:space="0"/>
              <w:right w:val="single" w:color="auto" w:sz="4" w:space="0"/>
            </w:tcBorders>
            <w:vAlign w:val="center"/>
          </w:tcPr>
          <w:p w14:paraId="421BABC4">
            <w:pPr>
              <w:keepNext w:val="0"/>
              <w:keepLines w:val="0"/>
              <w:pageBreakBefore w:val="0"/>
              <w:widowControl w:val="0"/>
              <w:kinsoku/>
              <w:wordWrap w:val="0"/>
              <w:overflowPunct/>
              <w:topLinePunct/>
              <w:autoSpaceDE/>
              <w:autoSpaceDN/>
              <w:bidi w:val="0"/>
              <w:adjustRightInd/>
              <w:spacing w:line="360" w:lineRule="auto"/>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质疑联系部门及联系方式</w:t>
            </w:r>
          </w:p>
        </w:tc>
        <w:tc>
          <w:tcPr>
            <w:tcW w:w="7399" w:type="dxa"/>
            <w:tcBorders>
              <w:top w:val="single" w:color="auto" w:sz="4" w:space="0"/>
              <w:left w:val="single" w:color="auto" w:sz="4" w:space="0"/>
              <w:bottom w:val="single" w:color="auto" w:sz="4" w:space="0"/>
              <w:right w:val="single" w:color="auto" w:sz="4" w:space="0"/>
            </w:tcBorders>
            <w:vAlign w:val="center"/>
          </w:tcPr>
          <w:p w14:paraId="11C1DD66">
            <w:pPr>
              <w:keepNext w:val="0"/>
              <w:keepLines w:val="0"/>
              <w:pageBreakBefore w:val="0"/>
              <w:widowControl w:val="0"/>
              <w:kinsoku/>
              <w:wordWrap w:val="0"/>
              <w:overflowPunct/>
              <w:topLinePunct/>
              <w:autoSpaceDE/>
              <w:autoSpaceDN/>
              <w:bidi w:val="0"/>
              <w:adjustRightInd/>
              <w:snapToGrid w:val="0"/>
              <w:spacing w:line="360" w:lineRule="auto"/>
              <w:ind w:left="0"/>
              <w:textAlignment w:val="auto"/>
              <w:rPr>
                <w:rFonts w:hint="eastAsia" w:ascii="宋体" w:hAnsi="宋体" w:eastAsia="宋体" w:cs="宋体"/>
                <w:color w:val="auto"/>
                <w:spacing w:val="0"/>
                <w:position w:val="0"/>
                <w:szCs w:val="21"/>
                <w:highlight w:val="none"/>
                <w:u w:val="none"/>
                <w:lang w:val="en-US"/>
              </w:rPr>
            </w:pPr>
            <w:r>
              <w:rPr>
                <w:rFonts w:hint="eastAsia" w:ascii="宋体" w:hAnsi="宋体" w:eastAsia="宋体" w:cs="宋体"/>
                <w:color w:val="auto"/>
                <w:spacing w:val="0"/>
                <w:position w:val="0"/>
                <w:szCs w:val="21"/>
                <w:highlight w:val="none"/>
                <w:u w:val="none"/>
                <w:lang w:eastAsia="zh-CN"/>
              </w:rPr>
              <w:t>广西</w:t>
            </w:r>
            <w:r>
              <w:rPr>
                <w:rFonts w:hint="eastAsia" w:ascii="宋体" w:hAnsi="宋体" w:cs="宋体"/>
                <w:color w:val="auto"/>
                <w:spacing w:val="0"/>
                <w:position w:val="0"/>
                <w:szCs w:val="21"/>
                <w:highlight w:val="none"/>
                <w:u w:val="none"/>
                <w:lang w:eastAsia="zh-CN"/>
              </w:rPr>
              <w:t>至胜</w:t>
            </w:r>
            <w:r>
              <w:rPr>
                <w:rFonts w:hint="eastAsia" w:ascii="宋体" w:hAnsi="宋体" w:eastAsia="宋体" w:cs="宋体"/>
                <w:color w:val="auto"/>
                <w:spacing w:val="0"/>
                <w:position w:val="0"/>
                <w:szCs w:val="21"/>
                <w:highlight w:val="none"/>
                <w:u w:val="none"/>
                <w:lang w:eastAsia="zh-CN"/>
              </w:rPr>
              <w:t>招标有限公司</w:t>
            </w:r>
          </w:p>
          <w:p w14:paraId="05A971A5">
            <w:pPr>
              <w:keepNext w:val="0"/>
              <w:keepLines w:val="0"/>
              <w:pageBreakBefore w:val="0"/>
              <w:widowControl w:val="0"/>
              <w:kinsoku/>
              <w:wordWrap w:val="0"/>
              <w:overflowPunct/>
              <w:topLinePunct/>
              <w:autoSpaceDE/>
              <w:autoSpaceDN/>
              <w:bidi w:val="0"/>
              <w:adjustRightInd/>
              <w:snapToGrid w:val="0"/>
              <w:spacing w:line="360" w:lineRule="auto"/>
              <w:textAlignment w:val="auto"/>
              <w:rPr>
                <w:rFonts w:hint="eastAsia" w:ascii="宋体" w:hAnsi="宋体" w:eastAsia="宋体" w:cs="宋体"/>
                <w:color w:val="auto"/>
                <w:spacing w:val="0"/>
                <w:position w:val="0"/>
                <w:szCs w:val="21"/>
                <w:highlight w:val="none"/>
                <w:u w:val="none"/>
                <w:lang w:val="en-US" w:eastAsia="zh-CN"/>
              </w:rPr>
            </w:pPr>
            <w:r>
              <w:rPr>
                <w:rFonts w:hint="eastAsia" w:ascii="宋体" w:hAnsi="宋体" w:eastAsia="宋体" w:cs="宋体"/>
                <w:color w:val="auto"/>
                <w:spacing w:val="0"/>
                <w:position w:val="0"/>
                <w:szCs w:val="21"/>
                <w:highlight w:val="none"/>
                <w:u w:val="none"/>
              </w:rPr>
              <w:t>联系电话：18897792557</w:t>
            </w:r>
          </w:p>
          <w:p w14:paraId="2B72A8CF">
            <w:pPr>
              <w:keepNext w:val="0"/>
              <w:keepLines w:val="0"/>
              <w:pageBreakBefore w:val="0"/>
              <w:widowControl w:val="0"/>
              <w:kinsoku/>
              <w:wordWrap w:val="0"/>
              <w:overflowPunct/>
              <w:topLinePunct/>
              <w:autoSpaceDE/>
              <w:autoSpaceDN/>
              <w:bidi w:val="0"/>
              <w:adjustRightInd/>
              <w:snapToGrid w:val="0"/>
              <w:spacing w:line="360" w:lineRule="auto"/>
              <w:ind w:left="0"/>
              <w:textAlignment w:val="auto"/>
              <w:rPr>
                <w:rFonts w:hint="eastAsia" w:ascii="宋体" w:hAnsi="宋体" w:eastAsia="宋体" w:cs="宋体"/>
                <w:b/>
                <w:color w:val="auto"/>
                <w:spacing w:val="0"/>
                <w:position w:val="0"/>
                <w:highlight w:val="none"/>
              </w:rPr>
            </w:pPr>
            <w:r>
              <w:rPr>
                <w:rFonts w:hint="eastAsia" w:ascii="宋体" w:hAnsi="宋体" w:eastAsia="宋体" w:cs="宋体"/>
                <w:color w:val="auto"/>
                <w:spacing w:val="0"/>
                <w:position w:val="0"/>
                <w:szCs w:val="21"/>
                <w:highlight w:val="none"/>
                <w:u w:val="none"/>
              </w:rPr>
              <w:t>通讯地址：浦北县小江镇常青路18号(县城南区二级公路西向)</w:t>
            </w:r>
          </w:p>
        </w:tc>
      </w:tr>
      <w:tr w14:paraId="1AE7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48" w:type="dxa"/>
            <w:tcBorders>
              <w:top w:val="single" w:color="auto" w:sz="4" w:space="0"/>
              <w:left w:val="single" w:color="auto" w:sz="4" w:space="0"/>
              <w:bottom w:val="single" w:color="auto" w:sz="4" w:space="0"/>
              <w:right w:val="single" w:color="auto" w:sz="4" w:space="0"/>
            </w:tcBorders>
            <w:vAlign w:val="center"/>
          </w:tcPr>
          <w:p w14:paraId="0349BD27">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17</w:t>
            </w:r>
          </w:p>
        </w:tc>
        <w:tc>
          <w:tcPr>
            <w:tcW w:w="1602" w:type="dxa"/>
            <w:tcBorders>
              <w:top w:val="single" w:color="auto" w:sz="4" w:space="0"/>
              <w:left w:val="single" w:color="auto" w:sz="4" w:space="0"/>
              <w:bottom w:val="single" w:color="auto" w:sz="4" w:space="0"/>
              <w:right w:val="single" w:color="auto" w:sz="4" w:space="0"/>
            </w:tcBorders>
            <w:vAlign w:val="center"/>
          </w:tcPr>
          <w:p w14:paraId="6A2FEEAA">
            <w:pPr>
              <w:keepNext w:val="0"/>
              <w:keepLines w:val="0"/>
              <w:pageBreakBefore w:val="0"/>
              <w:widowControl w:val="0"/>
              <w:kinsoku/>
              <w:wordWrap w:val="0"/>
              <w:overflowPunct/>
              <w:topLinePunct/>
              <w:autoSpaceDE/>
              <w:autoSpaceDN/>
              <w:bidi w:val="0"/>
              <w:adjustRightInd/>
              <w:spacing w:line="360" w:lineRule="auto"/>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highlight w:val="none"/>
              </w:rPr>
              <w:t>现场提交质疑办理业务时间</w:t>
            </w:r>
          </w:p>
        </w:tc>
        <w:tc>
          <w:tcPr>
            <w:tcW w:w="7399" w:type="dxa"/>
            <w:tcBorders>
              <w:top w:val="single" w:color="auto" w:sz="4" w:space="0"/>
              <w:left w:val="single" w:color="auto" w:sz="4" w:space="0"/>
              <w:bottom w:val="single" w:color="auto" w:sz="4" w:space="0"/>
              <w:right w:val="single" w:color="auto" w:sz="4" w:space="0"/>
            </w:tcBorders>
            <w:vAlign w:val="center"/>
          </w:tcPr>
          <w:p w14:paraId="0D3DCFCB">
            <w:pPr>
              <w:keepNext w:val="0"/>
              <w:keepLines w:val="0"/>
              <w:pageBreakBefore w:val="0"/>
              <w:widowControl w:val="0"/>
              <w:kinsoku/>
              <w:wordWrap w:val="0"/>
              <w:overflowPunct/>
              <w:topLinePunct/>
              <w:autoSpaceDE/>
              <w:autoSpaceDN/>
              <w:bidi w:val="0"/>
              <w:adjustRightInd/>
              <w:snapToGrid w:val="0"/>
              <w:spacing w:line="360" w:lineRule="auto"/>
              <w:ind w:left="0" w:leftChars="0"/>
              <w:textAlignment w:val="auto"/>
              <w:rPr>
                <w:rFonts w:hint="eastAsia" w:ascii="宋体" w:hAnsi="宋体" w:eastAsia="宋体" w:cs="宋体"/>
                <w:b/>
                <w:color w:val="auto"/>
                <w:spacing w:val="0"/>
                <w:position w:val="0"/>
                <w:highlight w:val="none"/>
              </w:rPr>
            </w:pPr>
            <w:r>
              <w:rPr>
                <w:rFonts w:hint="eastAsia" w:ascii="宋体" w:hAnsi="宋体" w:eastAsia="宋体" w:cs="宋体"/>
                <w:color w:val="auto"/>
                <w:spacing w:val="0"/>
                <w:position w:val="0"/>
                <w:highlight w:val="none"/>
              </w:rPr>
              <w:t>质疑期内每个工作日</w:t>
            </w:r>
            <w:r>
              <w:rPr>
                <w:rFonts w:hint="eastAsia" w:ascii="宋体" w:hAnsi="宋体" w:eastAsia="宋体" w:cs="宋体"/>
                <w:color w:val="auto"/>
                <w:spacing w:val="0"/>
                <w:position w:val="0"/>
                <w:highlight w:val="none"/>
                <w:u w:val="single"/>
              </w:rPr>
              <w:t>08</w:t>
            </w:r>
            <w:r>
              <w:rPr>
                <w:rFonts w:hint="eastAsia" w:ascii="宋体" w:hAnsi="宋体" w:eastAsia="宋体" w:cs="宋体"/>
                <w:color w:val="auto"/>
                <w:spacing w:val="0"/>
                <w:position w:val="0"/>
                <w:highlight w:val="none"/>
              </w:rPr>
              <w:t>时</w:t>
            </w:r>
            <w:r>
              <w:rPr>
                <w:rFonts w:hint="eastAsia" w:ascii="宋体" w:hAnsi="宋体" w:cs="宋体"/>
                <w:color w:val="auto"/>
                <w:spacing w:val="0"/>
                <w:position w:val="0"/>
                <w:highlight w:val="none"/>
                <w:u w:val="single"/>
                <w:lang w:val="en-US" w:eastAsia="zh-CN"/>
              </w:rPr>
              <w:t>30</w:t>
            </w:r>
            <w:r>
              <w:rPr>
                <w:rFonts w:hint="eastAsia" w:ascii="宋体" w:hAnsi="宋体" w:eastAsia="宋体" w:cs="宋体"/>
                <w:color w:val="auto"/>
                <w:spacing w:val="0"/>
                <w:position w:val="0"/>
                <w:highlight w:val="none"/>
              </w:rPr>
              <w:t>分到</w:t>
            </w:r>
            <w:r>
              <w:rPr>
                <w:rFonts w:hint="eastAsia" w:ascii="宋体" w:hAnsi="宋体" w:eastAsia="宋体" w:cs="宋体"/>
                <w:color w:val="auto"/>
                <w:spacing w:val="0"/>
                <w:position w:val="0"/>
                <w:highlight w:val="none"/>
                <w:u w:val="single"/>
              </w:rPr>
              <w:t>12</w:t>
            </w:r>
            <w:r>
              <w:rPr>
                <w:rFonts w:hint="eastAsia" w:ascii="宋体" w:hAnsi="宋体" w:eastAsia="宋体" w:cs="宋体"/>
                <w:color w:val="auto"/>
                <w:spacing w:val="0"/>
                <w:position w:val="0"/>
                <w:highlight w:val="none"/>
              </w:rPr>
              <w:t>时</w:t>
            </w:r>
            <w:r>
              <w:rPr>
                <w:rFonts w:hint="eastAsia" w:ascii="宋体" w:hAnsi="宋体" w:eastAsia="宋体" w:cs="宋体"/>
                <w:color w:val="auto"/>
                <w:spacing w:val="0"/>
                <w:position w:val="0"/>
                <w:highlight w:val="none"/>
                <w:u w:val="single"/>
              </w:rPr>
              <w:t>00</w:t>
            </w:r>
            <w:r>
              <w:rPr>
                <w:rFonts w:hint="eastAsia" w:ascii="宋体" w:hAnsi="宋体" w:eastAsia="宋体" w:cs="宋体"/>
                <w:color w:val="auto"/>
                <w:spacing w:val="0"/>
                <w:position w:val="0"/>
                <w:highlight w:val="none"/>
              </w:rPr>
              <w:t>分，</w:t>
            </w:r>
            <w:r>
              <w:rPr>
                <w:rFonts w:hint="eastAsia" w:ascii="宋体" w:hAnsi="宋体" w:eastAsia="宋体" w:cs="宋体"/>
                <w:color w:val="auto"/>
                <w:spacing w:val="0"/>
                <w:position w:val="0"/>
                <w:highlight w:val="none"/>
                <w:u w:val="single"/>
              </w:rPr>
              <w:t>15</w:t>
            </w:r>
            <w:r>
              <w:rPr>
                <w:rFonts w:hint="eastAsia" w:ascii="宋体" w:hAnsi="宋体" w:eastAsia="宋体" w:cs="宋体"/>
                <w:color w:val="auto"/>
                <w:spacing w:val="0"/>
                <w:position w:val="0"/>
                <w:highlight w:val="none"/>
              </w:rPr>
              <w:t>时</w:t>
            </w:r>
            <w:r>
              <w:rPr>
                <w:rFonts w:hint="eastAsia" w:ascii="宋体" w:hAnsi="宋体" w:eastAsia="宋体" w:cs="宋体"/>
                <w:color w:val="auto"/>
                <w:spacing w:val="0"/>
                <w:position w:val="0"/>
                <w:highlight w:val="none"/>
                <w:u w:val="single"/>
              </w:rPr>
              <w:t>00</w:t>
            </w:r>
            <w:r>
              <w:rPr>
                <w:rFonts w:hint="eastAsia" w:ascii="宋体" w:hAnsi="宋体" w:eastAsia="宋体" w:cs="宋体"/>
                <w:color w:val="auto"/>
                <w:spacing w:val="0"/>
                <w:position w:val="0"/>
                <w:highlight w:val="none"/>
              </w:rPr>
              <w:t>分到</w:t>
            </w:r>
            <w:r>
              <w:rPr>
                <w:rFonts w:hint="eastAsia" w:ascii="宋体" w:hAnsi="宋体" w:eastAsia="宋体" w:cs="宋体"/>
                <w:color w:val="auto"/>
                <w:spacing w:val="0"/>
                <w:position w:val="0"/>
                <w:highlight w:val="none"/>
                <w:u w:val="single"/>
              </w:rPr>
              <w:t>18</w:t>
            </w:r>
            <w:r>
              <w:rPr>
                <w:rFonts w:hint="eastAsia" w:ascii="宋体" w:hAnsi="宋体" w:eastAsia="宋体" w:cs="宋体"/>
                <w:color w:val="auto"/>
                <w:spacing w:val="0"/>
                <w:position w:val="0"/>
                <w:highlight w:val="none"/>
              </w:rPr>
              <w:t>时</w:t>
            </w:r>
            <w:r>
              <w:rPr>
                <w:rFonts w:hint="eastAsia" w:ascii="宋体" w:hAnsi="宋体" w:eastAsia="宋体" w:cs="宋体"/>
                <w:color w:val="auto"/>
                <w:spacing w:val="0"/>
                <w:position w:val="0"/>
                <w:highlight w:val="none"/>
                <w:u w:val="single"/>
              </w:rPr>
              <w:t>00</w:t>
            </w:r>
            <w:r>
              <w:rPr>
                <w:rFonts w:hint="eastAsia" w:ascii="宋体" w:hAnsi="宋体" w:eastAsia="宋体" w:cs="宋体"/>
                <w:color w:val="auto"/>
                <w:spacing w:val="0"/>
                <w:position w:val="0"/>
                <w:highlight w:val="none"/>
              </w:rPr>
              <w:t>分</w:t>
            </w:r>
          </w:p>
        </w:tc>
      </w:tr>
      <w:tr w14:paraId="6CF5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10CACF56">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18</w:t>
            </w:r>
          </w:p>
        </w:tc>
        <w:tc>
          <w:tcPr>
            <w:tcW w:w="1602" w:type="dxa"/>
            <w:tcBorders>
              <w:top w:val="single" w:color="auto" w:sz="4" w:space="0"/>
              <w:left w:val="single" w:color="auto" w:sz="4" w:space="0"/>
              <w:bottom w:val="single" w:color="auto" w:sz="4" w:space="0"/>
              <w:right w:val="single" w:color="auto" w:sz="4" w:space="0"/>
            </w:tcBorders>
            <w:vAlign w:val="center"/>
          </w:tcPr>
          <w:p w14:paraId="261195C0">
            <w:pPr>
              <w:keepNext w:val="0"/>
              <w:keepLines w:val="0"/>
              <w:pageBreakBefore w:val="0"/>
              <w:widowControl w:val="0"/>
              <w:kinsoku/>
              <w:wordWrap w:val="0"/>
              <w:overflowPunct/>
              <w:topLinePunct/>
              <w:autoSpaceDE/>
              <w:autoSpaceDN/>
              <w:bidi w:val="0"/>
              <w:adjustRightInd/>
              <w:spacing w:line="360" w:lineRule="auto"/>
              <w:ind w:left="0" w:leftChars="0"/>
              <w:jc w:val="center"/>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szCs w:val="21"/>
                <w:highlight w:val="none"/>
              </w:rPr>
              <w:t>采购代理费</w:t>
            </w:r>
          </w:p>
        </w:tc>
        <w:tc>
          <w:tcPr>
            <w:tcW w:w="7399" w:type="dxa"/>
            <w:tcBorders>
              <w:top w:val="single" w:color="auto" w:sz="4" w:space="0"/>
              <w:left w:val="single" w:color="auto" w:sz="4" w:space="0"/>
              <w:bottom w:val="single" w:color="auto" w:sz="4" w:space="0"/>
              <w:right w:val="single" w:color="auto" w:sz="4" w:space="0"/>
            </w:tcBorders>
            <w:vAlign w:val="center"/>
          </w:tcPr>
          <w:p w14:paraId="45C5DC86">
            <w:pPr>
              <w:pStyle w:val="15"/>
              <w:keepNext w:val="0"/>
              <w:keepLines w:val="0"/>
              <w:pageBreakBefore w:val="0"/>
              <w:widowControl w:val="0"/>
              <w:kinsoku/>
              <w:wordWrap w:val="0"/>
              <w:overflowPunct/>
              <w:topLinePunct/>
              <w:autoSpaceDE/>
              <w:autoSpaceDN/>
              <w:bidi w:val="0"/>
              <w:adjustRightInd/>
              <w:snapToGrid w:val="0"/>
              <w:spacing w:line="360" w:lineRule="auto"/>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1.代理服务费：按国家计委计价格[2002]1980号和发改办[2003]857号文规定由采购代理机构向成交供应商收取。即按成交金额100万元以下为1.0%，100-500万元为0.7%，并且按差额定率累进法计算。</w:t>
            </w:r>
          </w:p>
          <w:p w14:paraId="31493280">
            <w:pPr>
              <w:pStyle w:val="15"/>
              <w:keepNext w:val="0"/>
              <w:keepLines w:val="0"/>
              <w:pageBreakBefore w:val="0"/>
              <w:widowControl w:val="0"/>
              <w:kinsoku/>
              <w:wordWrap w:val="0"/>
              <w:overflowPunct/>
              <w:topLinePunct/>
              <w:autoSpaceDE/>
              <w:autoSpaceDN/>
              <w:bidi w:val="0"/>
              <w:adjustRightInd/>
              <w:snapToGrid w:val="0"/>
              <w:spacing w:line="360" w:lineRule="auto"/>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2. 代理服务费收取银行账户：</w:t>
            </w:r>
          </w:p>
          <w:p w14:paraId="493B87B3">
            <w:pPr>
              <w:pStyle w:val="15"/>
              <w:keepNext w:val="0"/>
              <w:keepLines w:val="0"/>
              <w:pageBreakBefore w:val="0"/>
              <w:widowControl w:val="0"/>
              <w:kinsoku/>
              <w:wordWrap w:val="0"/>
              <w:overflowPunct/>
              <w:topLinePunct/>
              <w:autoSpaceDE/>
              <w:autoSpaceDN/>
              <w:bidi w:val="0"/>
              <w:adjustRightInd/>
              <w:snapToGrid w:val="0"/>
              <w:spacing w:line="360" w:lineRule="auto"/>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开户名称：广西</w:t>
            </w:r>
            <w:r>
              <w:rPr>
                <w:rFonts w:hint="eastAsia" w:hAnsi="宋体" w:cs="宋体"/>
                <w:color w:val="auto"/>
                <w:spacing w:val="0"/>
                <w:position w:val="0"/>
                <w:sz w:val="21"/>
                <w:highlight w:val="none"/>
                <w:lang w:val="en-US" w:eastAsia="zh-CN"/>
              </w:rPr>
              <w:t>至胜</w:t>
            </w:r>
            <w:r>
              <w:rPr>
                <w:rFonts w:hint="eastAsia" w:ascii="宋体" w:hAnsi="宋体" w:eastAsia="宋体" w:cs="宋体"/>
                <w:color w:val="auto"/>
                <w:spacing w:val="0"/>
                <w:position w:val="0"/>
                <w:sz w:val="21"/>
                <w:highlight w:val="none"/>
                <w:lang w:val="en-US" w:eastAsia="zh-CN"/>
              </w:rPr>
              <w:t>招标有限公司</w:t>
            </w:r>
          </w:p>
          <w:p w14:paraId="6DCD26D0">
            <w:pPr>
              <w:pStyle w:val="15"/>
              <w:keepNext w:val="0"/>
              <w:keepLines w:val="0"/>
              <w:pageBreakBefore w:val="0"/>
              <w:widowControl w:val="0"/>
              <w:kinsoku/>
              <w:wordWrap w:val="0"/>
              <w:overflowPunct/>
              <w:topLinePunct/>
              <w:autoSpaceDE/>
              <w:autoSpaceDN/>
              <w:bidi w:val="0"/>
              <w:adjustRightInd/>
              <w:snapToGrid w:val="0"/>
              <w:spacing w:line="360" w:lineRule="auto"/>
              <w:ind w:left="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开户银行：广西浦北农村商业银行股份公司东风分理处</w:t>
            </w:r>
          </w:p>
          <w:p w14:paraId="39AF429F">
            <w:pPr>
              <w:pStyle w:val="15"/>
              <w:keepNext w:val="0"/>
              <w:keepLines w:val="0"/>
              <w:pageBreakBefore w:val="0"/>
              <w:widowControl w:val="0"/>
              <w:kinsoku/>
              <w:wordWrap w:val="0"/>
              <w:overflowPunct/>
              <w:topLinePunct/>
              <w:autoSpaceDE/>
              <w:autoSpaceDN/>
              <w:bidi w:val="0"/>
              <w:adjustRightInd/>
              <w:snapToGrid w:val="0"/>
              <w:spacing w:line="360" w:lineRule="auto"/>
              <w:ind w:left="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银行账号：827712010114639167096</w:t>
            </w:r>
          </w:p>
        </w:tc>
      </w:tr>
      <w:tr w14:paraId="1908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5E0A4783">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19</w:t>
            </w:r>
          </w:p>
        </w:tc>
        <w:tc>
          <w:tcPr>
            <w:tcW w:w="1602" w:type="dxa"/>
            <w:tcBorders>
              <w:top w:val="single" w:color="auto" w:sz="4" w:space="0"/>
              <w:left w:val="single" w:color="auto" w:sz="4" w:space="0"/>
              <w:bottom w:val="single" w:color="auto" w:sz="4" w:space="0"/>
              <w:right w:val="single" w:color="auto" w:sz="4" w:space="0"/>
            </w:tcBorders>
            <w:vAlign w:val="center"/>
          </w:tcPr>
          <w:p w14:paraId="12AEC6CF">
            <w:pPr>
              <w:keepNext w:val="0"/>
              <w:keepLines w:val="0"/>
              <w:pageBreakBefore w:val="0"/>
              <w:widowControl w:val="0"/>
              <w:kinsoku/>
              <w:wordWrap w:val="0"/>
              <w:overflowPunct/>
              <w:topLinePunct/>
              <w:autoSpaceDE/>
              <w:autoSpaceDN/>
              <w:bidi w:val="0"/>
              <w:adjustRightInd/>
              <w:spacing w:line="360" w:lineRule="auto"/>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highlight w:val="none"/>
              </w:rPr>
              <w:t>解释</w:t>
            </w:r>
          </w:p>
        </w:tc>
        <w:tc>
          <w:tcPr>
            <w:tcW w:w="7399" w:type="dxa"/>
            <w:tcBorders>
              <w:top w:val="single" w:color="auto" w:sz="4" w:space="0"/>
              <w:left w:val="single" w:color="auto" w:sz="4" w:space="0"/>
              <w:bottom w:val="single" w:color="auto" w:sz="4" w:space="0"/>
              <w:right w:val="single" w:color="auto" w:sz="4" w:space="0"/>
            </w:tcBorders>
            <w:vAlign w:val="center"/>
          </w:tcPr>
          <w:p w14:paraId="1E516DA1">
            <w:pPr>
              <w:pStyle w:val="15"/>
              <w:keepNext w:val="0"/>
              <w:keepLines w:val="0"/>
              <w:pageBreakBefore w:val="0"/>
              <w:widowControl w:val="0"/>
              <w:kinsoku/>
              <w:wordWrap w:val="0"/>
              <w:overflowPunct/>
              <w:topLinePunct/>
              <w:autoSpaceDE/>
              <w:autoSpaceDN/>
              <w:bidi w:val="0"/>
              <w:adjustRightInd/>
              <w:snapToGrid w:val="0"/>
              <w:spacing w:line="360" w:lineRule="auto"/>
              <w:ind w:left="0"/>
              <w:textAlignment w:val="auto"/>
              <w:rPr>
                <w:rFonts w:hint="eastAsia" w:ascii="宋体" w:hAnsi="宋体" w:eastAsia="宋体" w:cs="宋体"/>
                <w:b/>
                <w:color w:val="auto"/>
                <w:spacing w:val="0"/>
                <w:position w:val="0"/>
                <w:sz w:val="21"/>
                <w:highlight w:val="none"/>
                <w:lang w:val="en-US" w:eastAsia="zh-CN"/>
              </w:rPr>
            </w:pPr>
            <w:r>
              <w:rPr>
                <w:rFonts w:hint="eastAsia" w:ascii="宋体" w:hAnsi="宋体" w:eastAsia="宋体" w:cs="宋体"/>
                <w:b/>
                <w:color w:val="auto"/>
                <w:spacing w:val="0"/>
                <w:position w:val="0"/>
                <w:sz w:val="21"/>
                <w:highlight w:val="none"/>
                <w:lang w:val="en-US" w:eastAsia="zh-CN"/>
              </w:rPr>
              <w:t>解释权：</w:t>
            </w:r>
            <w:r>
              <w:rPr>
                <w:rFonts w:hint="eastAsia" w:ascii="宋体" w:hAnsi="宋体" w:eastAsia="宋体" w:cs="宋体"/>
                <w:color w:val="auto"/>
                <w:spacing w:val="0"/>
                <w:position w:val="0"/>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pacing w:val="0"/>
                <w:position w:val="0"/>
                <w:sz w:val="21"/>
                <w:highlight w:val="none"/>
                <w:lang w:val="en-US" w:eastAsia="zh-CN"/>
              </w:rPr>
              <w:t>由采购人或者采购代理机构负责解释。</w:t>
            </w:r>
          </w:p>
          <w:p w14:paraId="129AA5E9">
            <w:pPr>
              <w:pStyle w:val="15"/>
              <w:keepNext w:val="0"/>
              <w:keepLines w:val="0"/>
              <w:pageBreakBefore w:val="0"/>
              <w:widowControl w:val="0"/>
              <w:kinsoku/>
              <w:wordWrap w:val="0"/>
              <w:overflowPunct/>
              <w:topLinePunct/>
              <w:autoSpaceDE/>
              <w:autoSpaceDN/>
              <w:bidi w:val="0"/>
              <w:adjustRightInd/>
              <w:snapToGrid w:val="0"/>
              <w:spacing w:line="360" w:lineRule="auto"/>
              <w:ind w:left="0" w:leftChars="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b/>
                <w:color w:val="auto"/>
                <w:spacing w:val="0"/>
                <w:position w:val="0"/>
                <w:sz w:val="21"/>
                <w:highlight w:val="none"/>
                <w:lang w:val="en-US" w:eastAsia="zh-CN"/>
              </w:rPr>
              <w:t>法律责任：</w:t>
            </w:r>
            <w:r>
              <w:rPr>
                <w:rFonts w:hint="eastAsia" w:ascii="宋体" w:hAnsi="宋体" w:eastAsia="宋体" w:cs="宋体"/>
                <w:color w:val="auto"/>
                <w:spacing w:val="0"/>
                <w:position w:val="0"/>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2DC8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48" w:type="dxa"/>
            <w:tcBorders>
              <w:top w:val="single" w:color="auto" w:sz="4" w:space="0"/>
              <w:left w:val="single" w:color="auto" w:sz="4" w:space="0"/>
              <w:bottom w:val="single" w:color="auto" w:sz="4" w:space="0"/>
              <w:right w:val="single" w:color="auto" w:sz="4" w:space="0"/>
            </w:tcBorders>
            <w:vAlign w:val="center"/>
          </w:tcPr>
          <w:p w14:paraId="51B333AD">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20</w:t>
            </w:r>
          </w:p>
        </w:tc>
        <w:tc>
          <w:tcPr>
            <w:tcW w:w="1602" w:type="dxa"/>
            <w:tcBorders>
              <w:top w:val="single" w:color="auto" w:sz="4" w:space="0"/>
              <w:left w:val="single" w:color="auto" w:sz="4" w:space="0"/>
              <w:bottom w:val="single" w:color="auto" w:sz="4" w:space="0"/>
              <w:right w:val="single" w:color="auto" w:sz="4" w:space="0"/>
            </w:tcBorders>
            <w:vAlign w:val="center"/>
          </w:tcPr>
          <w:p w14:paraId="0A58DB9B">
            <w:pPr>
              <w:keepNext w:val="0"/>
              <w:keepLines w:val="0"/>
              <w:pageBreakBefore w:val="0"/>
              <w:widowControl w:val="0"/>
              <w:kinsoku/>
              <w:wordWrap w:val="0"/>
              <w:overflowPunct/>
              <w:topLinePunct/>
              <w:autoSpaceDE/>
              <w:autoSpaceDN/>
              <w:bidi w:val="0"/>
              <w:adjustRightInd/>
              <w:snapToGrid/>
              <w:spacing w:line="360" w:lineRule="auto"/>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其他</w:t>
            </w:r>
          </w:p>
        </w:tc>
        <w:tc>
          <w:tcPr>
            <w:tcW w:w="7399" w:type="dxa"/>
            <w:tcBorders>
              <w:top w:val="single" w:color="auto" w:sz="4" w:space="0"/>
              <w:left w:val="single" w:color="auto" w:sz="4" w:space="0"/>
              <w:bottom w:val="single" w:color="auto" w:sz="4" w:space="0"/>
              <w:right w:val="single" w:color="auto" w:sz="4" w:space="0"/>
            </w:tcBorders>
            <w:vAlign w:val="center"/>
          </w:tcPr>
          <w:p w14:paraId="4792D837">
            <w:pPr>
              <w:pStyle w:val="15"/>
              <w:keepNext w:val="0"/>
              <w:keepLines w:val="0"/>
              <w:pageBreakBefore w:val="0"/>
              <w:widowControl w:val="0"/>
              <w:kinsoku/>
              <w:wordWrap w:val="0"/>
              <w:overflowPunct/>
              <w:topLinePunct/>
              <w:autoSpaceDE/>
              <w:autoSpaceDN/>
              <w:bidi w:val="0"/>
              <w:adjustRightInd/>
              <w:snapToGrid/>
              <w:spacing w:line="360" w:lineRule="auto"/>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4BDABF4">
            <w:pPr>
              <w:pStyle w:val="15"/>
              <w:keepNext w:val="0"/>
              <w:keepLines w:val="0"/>
              <w:pageBreakBefore w:val="0"/>
              <w:widowControl w:val="0"/>
              <w:kinsoku/>
              <w:wordWrap w:val="0"/>
              <w:overflowPunct/>
              <w:topLinePunct/>
              <w:autoSpaceDE/>
              <w:autoSpaceDN/>
              <w:bidi w:val="0"/>
              <w:adjustRightInd/>
              <w:snapToGrid/>
              <w:spacing w:line="360" w:lineRule="auto"/>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3B23B909">
            <w:pPr>
              <w:pStyle w:val="15"/>
              <w:keepNext w:val="0"/>
              <w:keepLines w:val="0"/>
              <w:pageBreakBefore w:val="0"/>
              <w:widowControl w:val="0"/>
              <w:kinsoku/>
              <w:wordWrap w:val="0"/>
              <w:overflowPunct/>
              <w:topLinePunct/>
              <w:autoSpaceDE/>
              <w:autoSpaceDN/>
              <w:bidi w:val="0"/>
              <w:adjustRightInd/>
              <w:snapToGrid/>
              <w:spacing w:line="360" w:lineRule="auto"/>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346CAD33">
            <w:pPr>
              <w:pStyle w:val="15"/>
              <w:keepNext w:val="0"/>
              <w:keepLines w:val="0"/>
              <w:pageBreakBefore w:val="0"/>
              <w:widowControl w:val="0"/>
              <w:kinsoku/>
              <w:wordWrap w:val="0"/>
              <w:overflowPunct/>
              <w:topLinePunct/>
              <w:autoSpaceDE/>
              <w:autoSpaceDN/>
              <w:bidi w:val="0"/>
              <w:adjustRightInd/>
              <w:snapToGrid/>
              <w:spacing w:line="360" w:lineRule="auto"/>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4.供应商为其他组织或者自然人时，本磋商文件规定的法定代表人指负责人或者自然人。本磋商文件所称负责人是指参加竞标的其他组织营业执照上的负责人，本磋商文件所称自然人指参与竞标的自然人本人。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6FBBBB5">
            <w:pPr>
              <w:pStyle w:val="15"/>
              <w:keepNext w:val="0"/>
              <w:keepLines w:val="0"/>
              <w:pageBreakBefore w:val="0"/>
              <w:widowControl w:val="0"/>
              <w:kinsoku/>
              <w:wordWrap w:val="0"/>
              <w:overflowPunct/>
              <w:topLinePunct/>
              <w:autoSpaceDE/>
              <w:autoSpaceDN/>
              <w:bidi w:val="0"/>
              <w:adjustRightInd/>
              <w:snapToGrid/>
              <w:spacing w:line="360" w:lineRule="auto"/>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5.自然人竞标的，磋商文件规定盖公章处由自然人摁手指指印。</w:t>
            </w:r>
          </w:p>
          <w:p w14:paraId="716B32F0">
            <w:pPr>
              <w:pStyle w:val="15"/>
              <w:keepNext w:val="0"/>
              <w:keepLines w:val="0"/>
              <w:pageBreakBefore w:val="0"/>
              <w:widowControl w:val="0"/>
              <w:kinsoku/>
              <w:wordWrap w:val="0"/>
              <w:overflowPunct/>
              <w:topLinePunct/>
              <w:autoSpaceDE/>
              <w:autoSpaceDN/>
              <w:bidi w:val="0"/>
              <w:adjustRightInd/>
              <w:snapToGrid/>
              <w:spacing w:line="360" w:lineRule="auto"/>
              <w:ind w:left="0" w:leftChars="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6.本磋商文件所称的“以上”“以下”“以内”“届满”，包括本数；所称的“不满”“超过”“以外”，不包括本数。</w:t>
            </w:r>
          </w:p>
        </w:tc>
      </w:tr>
      <w:tr w14:paraId="6FBA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333B557C">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21</w:t>
            </w:r>
          </w:p>
        </w:tc>
        <w:tc>
          <w:tcPr>
            <w:tcW w:w="1602" w:type="dxa"/>
            <w:tcBorders>
              <w:top w:val="single" w:color="auto" w:sz="4" w:space="0"/>
              <w:left w:val="single" w:color="auto" w:sz="4" w:space="0"/>
              <w:bottom w:val="single" w:color="auto" w:sz="4" w:space="0"/>
              <w:right w:val="single" w:color="auto" w:sz="4" w:space="0"/>
            </w:tcBorders>
            <w:vAlign w:val="center"/>
          </w:tcPr>
          <w:p w14:paraId="02F30B12">
            <w:pPr>
              <w:keepNext w:val="0"/>
              <w:keepLines w:val="0"/>
              <w:pageBreakBefore w:val="0"/>
              <w:widowControl w:val="0"/>
              <w:kinsoku/>
              <w:wordWrap w:val="0"/>
              <w:overflowPunct/>
              <w:topLinePunct/>
              <w:autoSpaceDE/>
              <w:autoSpaceDN/>
              <w:bidi w:val="0"/>
              <w:adjustRightInd/>
              <w:snapToGrid/>
              <w:spacing w:line="360" w:lineRule="auto"/>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b/>
                <w:color w:val="auto"/>
                <w:spacing w:val="0"/>
                <w:position w:val="0"/>
                <w:szCs w:val="21"/>
                <w:highlight w:val="none"/>
              </w:rPr>
              <w:t>特别说明</w:t>
            </w:r>
          </w:p>
        </w:tc>
        <w:tc>
          <w:tcPr>
            <w:tcW w:w="7399" w:type="dxa"/>
            <w:tcBorders>
              <w:top w:val="single" w:color="auto" w:sz="4" w:space="0"/>
              <w:left w:val="single" w:color="auto" w:sz="4" w:space="0"/>
              <w:bottom w:val="single" w:color="auto" w:sz="4" w:space="0"/>
              <w:right w:val="single" w:color="auto" w:sz="4" w:space="0"/>
            </w:tcBorders>
            <w:vAlign w:val="center"/>
          </w:tcPr>
          <w:p w14:paraId="5F0C4C61">
            <w:pPr>
              <w:pStyle w:val="15"/>
              <w:keepNext w:val="0"/>
              <w:keepLines w:val="0"/>
              <w:pageBreakBefore w:val="0"/>
              <w:widowControl w:val="0"/>
              <w:kinsoku/>
              <w:wordWrap w:val="0"/>
              <w:overflowPunct/>
              <w:topLinePunct/>
              <w:autoSpaceDE/>
              <w:autoSpaceDN/>
              <w:bidi w:val="0"/>
              <w:adjustRightInd/>
              <w:snapToGrid/>
              <w:spacing w:line="360" w:lineRule="auto"/>
              <w:jc w:val="left"/>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响应文件</w:t>
            </w:r>
            <w:r>
              <w:rPr>
                <w:rFonts w:hint="eastAsia" w:ascii="宋体" w:hAnsi="宋体" w:eastAsia="宋体" w:cs="宋体"/>
                <w:color w:val="auto"/>
                <w:spacing w:val="0"/>
                <w:position w:val="0"/>
                <w:highlight w:val="none"/>
              </w:rPr>
              <w:t>中须加盖供应商公章位置均采用CA签章，及本</w:t>
            </w:r>
            <w:r>
              <w:rPr>
                <w:rFonts w:hint="eastAsia" w:ascii="宋体" w:hAnsi="宋体" w:eastAsia="宋体" w:cs="宋体"/>
                <w:color w:val="auto"/>
                <w:spacing w:val="0"/>
                <w:position w:val="0"/>
                <w:highlight w:val="none"/>
                <w:lang w:eastAsia="zh-CN"/>
              </w:rPr>
              <w:t>竞争性磋商文件</w:t>
            </w:r>
            <w:r>
              <w:rPr>
                <w:rFonts w:hint="eastAsia" w:ascii="宋体" w:hAnsi="宋体" w:eastAsia="宋体" w:cs="宋体"/>
                <w:color w:val="auto"/>
                <w:spacing w:val="0"/>
                <w:position w:val="0"/>
                <w:highlight w:val="none"/>
              </w:rPr>
              <w:t>规定的</w:t>
            </w:r>
            <w:r>
              <w:rPr>
                <w:rFonts w:hint="eastAsia" w:ascii="宋体" w:hAnsi="宋体" w:eastAsia="宋体" w:cs="宋体"/>
                <w:color w:val="auto"/>
                <w:spacing w:val="0"/>
                <w:position w:val="0"/>
                <w:highlight w:val="none"/>
                <w:lang w:eastAsia="zh-CN"/>
              </w:rPr>
              <w:t>要求</w:t>
            </w:r>
            <w:r>
              <w:rPr>
                <w:rFonts w:hint="eastAsia" w:ascii="宋体" w:hAnsi="宋体" w:eastAsia="宋体" w:cs="宋体"/>
                <w:color w:val="auto"/>
                <w:spacing w:val="0"/>
                <w:position w:val="0"/>
                <w:highlight w:val="none"/>
              </w:rPr>
              <w:t>编制</w:t>
            </w:r>
            <w:r>
              <w:rPr>
                <w:rFonts w:hint="eastAsia" w:ascii="宋体" w:hAnsi="宋体" w:eastAsia="宋体" w:cs="宋体"/>
                <w:color w:val="auto"/>
                <w:spacing w:val="0"/>
                <w:position w:val="0"/>
                <w:highlight w:val="none"/>
                <w:lang w:eastAsia="zh-CN"/>
              </w:rPr>
              <w:t>响应文件</w:t>
            </w:r>
            <w:r>
              <w:rPr>
                <w:rFonts w:hint="eastAsia" w:ascii="宋体" w:hAnsi="宋体" w:eastAsia="宋体" w:cs="宋体"/>
                <w:color w:val="auto"/>
                <w:spacing w:val="0"/>
                <w:position w:val="0"/>
                <w:highlight w:val="none"/>
              </w:rPr>
              <w:t>并进行关联定位，以便</w:t>
            </w:r>
            <w:r>
              <w:rPr>
                <w:rFonts w:hint="eastAsia" w:ascii="宋体" w:hAnsi="宋体" w:eastAsia="宋体" w:cs="宋体"/>
                <w:color w:val="auto"/>
                <w:spacing w:val="0"/>
                <w:position w:val="0"/>
                <w:highlight w:val="none"/>
                <w:lang w:eastAsia="zh-CN"/>
              </w:rPr>
              <w:t>磋商小组</w:t>
            </w:r>
            <w:r>
              <w:rPr>
                <w:rFonts w:hint="eastAsia" w:ascii="宋体" w:hAnsi="宋体" w:eastAsia="宋体" w:cs="宋体"/>
                <w:color w:val="auto"/>
                <w:spacing w:val="0"/>
                <w:position w:val="0"/>
                <w:highlight w:val="none"/>
              </w:rPr>
              <w:t>在评审时，点击评分项可直接定位到该评分项内容。如对</w:t>
            </w:r>
            <w:r>
              <w:rPr>
                <w:rFonts w:hint="eastAsia" w:ascii="宋体" w:hAnsi="宋体" w:eastAsia="宋体" w:cs="宋体"/>
                <w:color w:val="auto"/>
                <w:spacing w:val="0"/>
                <w:position w:val="0"/>
                <w:highlight w:val="none"/>
                <w:lang w:eastAsia="zh-CN"/>
              </w:rPr>
              <w:t>竞争性磋商文件</w:t>
            </w:r>
            <w:r>
              <w:rPr>
                <w:rFonts w:hint="eastAsia" w:ascii="宋体" w:hAnsi="宋体" w:eastAsia="宋体" w:cs="宋体"/>
                <w:color w:val="auto"/>
                <w:spacing w:val="0"/>
                <w:position w:val="0"/>
                <w:highlight w:val="none"/>
              </w:rPr>
              <w:t>的某项要求，供应商的</w:t>
            </w:r>
            <w:r>
              <w:rPr>
                <w:rFonts w:hint="eastAsia" w:ascii="宋体" w:hAnsi="宋体" w:eastAsia="宋体" w:cs="宋体"/>
                <w:color w:val="auto"/>
                <w:spacing w:val="0"/>
                <w:position w:val="0"/>
                <w:highlight w:val="none"/>
                <w:lang w:eastAsia="zh-CN"/>
              </w:rPr>
              <w:t>响应文件</w:t>
            </w:r>
            <w:r>
              <w:rPr>
                <w:rFonts w:hint="eastAsia" w:ascii="宋体" w:hAnsi="宋体" w:eastAsia="宋体" w:cs="宋体"/>
                <w:color w:val="auto"/>
                <w:spacing w:val="0"/>
                <w:position w:val="0"/>
                <w:highlight w:val="none"/>
              </w:rPr>
              <w:t>未能关联定位提供相应的内容与其对应，</w:t>
            </w:r>
            <w:r>
              <w:rPr>
                <w:rFonts w:hint="eastAsia" w:ascii="宋体" w:hAnsi="宋体" w:eastAsia="宋体" w:cs="宋体"/>
                <w:color w:val="auto"/>
                <w:spacing w:val="0"/>
                <w:position w:val="0"/>
                <w:highlight w:val="none"/>
                <w:lang w:eastAsia="zh-CN"/>
              </w:rPr>
              <w:t>则磋商小组在评审时如做出对供应商不利的评审由供应商自行承担。响应文件如内容不完整、编排混乱导致响应文件被误读、漏读，或者在按磋商文件规定的部位查找不到相关内容的，由供应商自行承担。</w:t>
            </w:r>
          </w:p>
          <w:p w14:paraId="459C0AAA">
            <w:pPr>
              <w:pStyle w:val="15"/>
              <w:keepNext w:val="0"/>
              <w:keepLines w:val="0"/>
              <w:pageBreakBefore w:val="0"/>
              <w:widowControl w:val="0"/>
              <w:kinsoku/>
              <w:wordWrap w:val="0"/>
              <w:overflowPunct/>
              <w:topLinePunct/>
              <w:autoSpaceDE/>
              <w:autoSpaceDN/>
              <w:bidi w:val="0"/>
              <w:adjustRightInd/>
              <w:snapToGrid/>
              <w:spacing w:line="360" w:lineRule="auto"/>
              <w:jc w:val="left"/>
              <w:textAlignment w:val="auto"/>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eastAsia="zh-CN"/>
              </w:rPr>
              <w:t>（2）采购文件要求法定代表人（负责人）或委托代理人签字的部分必须打印签字后扫描或拍照做成PDF格式上传，如供应商有广西政府采购云平台法定代表人CA证书或个人签名CA证书的也可直接使用，否则视为竞标无效</w:t>
            </w:r>
            <w:r>
              <w:rPr>
                <w:rFonts w:hint="eastAsia" w:ascii="宋体" w:hAnsi="宋体" w:eastAsia="宋体" w:cs="宋体"/>
                <w:color w:val="auto"/>
                <w:spacing w:val="0"/>
                <w:position w:val="0"/>
                <w:highlight w:val="none"/>
              </w:rPr>
              <w:t>。</w:t>
            </w:r>
          </w:p>
        </w:tc>
      </w:tr>
      <w:tr w14:paraId="55AB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1DDA3B3A">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bookmarkStart w:id="72" w:name="_Toc8441"/>
            <w:bookmarkStart w:id="73" w:name="_Toc16298"/>
            <w:r>
              <w:rPr>
                <w:rFonts w:hint="eastAsia" w:ascii="宋体" w:hAnsi="宋体" w:eastAsia="宋体" w:cs="宋体"/>
                <w:color w:val="auto"/>
                <w:spacing w:val="0"/>
                <w:position w:val="0"/>
                <w:szCs w:val="21"/>
                <w:highlight w:val="none"/>
                <w:lang w:val="en-US" w:eastAsia="zh-CN"/>
              </w:rPr>
              <w:t>22</w:t>
            </w:r>
          </w:p>
        </w:tc>
        <w:tc>
          <w:tcPr>
            <w:tcW w:w="1602" w:type="dxa"/>
            <w:tcBorders>
              <w:top w:val="single" w:color="auto" w:sz="4" w:space="0"/>
              <w:left w:val="single" w:color="auto" w:sz="4" w:space="0"/>
              <w:bottom w:val="single" w:color="auto" w:sz="4" w:space="0"/>
              <w:right w:val="single" w:color="auto" w:sz="4" w:space="0"/>
            </w:tcBorders>
            <w:vAlign w:val="center"/>
          </w:tcPr>
          <w:p w14:paraId="6B8DB785">
            <w:pPr>
              <w:keepNext w:val="0"/>
              <w:keepLines w:val="0"/>
              <w:pageBreakBefore w:val="0"/>
              <w:widowControl w:val="0"/>
              <w:kinsoku/>
              <w:wordWrap w:val="0"/>
              <w:overflowPunct/>
              <w:topLinePunct/>
              <w:autoSpaceDE/>
              <w:autoSpaceDN/>
              <w:bidi w:val="0"/>
              <w:adjustRightInd/>
              <w:snapToGrid/>
              <w:spacing w:line="360" w:lineRule="auto"/>
              <w:ind w:left="0" w:leftChars="0"/>
              <w:jc w:val="center"/>
              <w:textAlignment w:val="auto"/>
              <w:rPr>
                <w:rFonts w:hint="eastAsia" w:ascii="宋体" w:hAnsi="宋体" w:eastAsia="宋体" w:cs="宋体"/>
                <w:b/>
                <w:color w:val="auto"/>
                <w:spacing w:val="0"/>
                <w:position w:val="0"/>
                <w:szCs w:val="21"/>
                <w:highlight w:val="none"/>
              </w:rPr>
            </w:pPr>
            <w:r>
              <w:rPr>
                <w:rFonts w:hint="eastAsia" w:ascii="宋体" w:hAnsi="宋体" w:eastAsia="宋体" w:cs="宋体"/>
                <w:b/>
                <w:color w:val="auto"/>
                <w:spacing w:val="0"/>
                <w:position w:val="0"/>
                <w:szCs w:val="21"/>
                <w:highlight w:val="none"/>
              </w:rPr>
              <w:t>政府采购电子保函</w:t>
            </w:r>
          </w:p>
        </w:tc>
        <w:tc>
          <w:tcPr>
            <w:tcW w:w="7399" w:type="dxa"/>
            <w:tcBorders>
              <w:top w:val="single" w:color="auto" w:sz="4" w:space="0"/>
              <w:left w:val="single" w:color="auto" w:sz="4" w:space="0"/>
              <w:bottom w:val="single" w:color="auto" w:sz="4" w:space="0"/>
              <w:right w:val="single" w:color="auto" w:sz="4" w:space="0"/>
            </w:tcBorders>
            <w:vAlign w:val="center"/>
          </w:tcPr>
          <w:p w14:paraId="5CEA3B2F">
            <w:pPr>
              <w:pStyle w:val="39"/>
              <w:keepNext w:val="0"/>
              <w:keepLines w:val="0"/>
              <w:pageBreakBefore w:val="0"/>
              <w:widowControl w:val="0"/>
              <w:kinsoku/>
              <w:wordWrap w:val="0"/>
              <w:overflowPunct/>
              <w:topLinePunct/>
              <w:autoSpaceDE/>
              <w:autoSpaceDN/>
              <w:bidi w:val="0"/>
              <w:adjustRightInd/>
              <w:snapToGrid/>
              <w:spacing w:before="0" w:after="0" w:line="360" w:lineRule="auto"/>
              <w:ind w:left="0" w:leftChars="0" w:firstLine="0" w:firstLineChars="0"/>
              <w:textAlignment w:val="auto"/>
              <w:rPr>
                <w:rFonts w:hint="eastAsia" w:ascii="宋体" w:hAnsi="宋体" w:eastAsia="宋体" w:cs="宋体"/>
                <w:bCs w:val="0"/>
                <w:color w:val="auto"/>
                <w:spacing w:val="0"/>
                <w:kern w:val="2"/>
                <w:position w:val="0"/>
                <w:sz w:val="21"/>
                <w:szCs w:val="24"/>
                <w:highlight w:val="none"/>
                <w:lang w:val="en-US" w:eastAsia="zh-CN" w:bidi="ar-SA"/>
              </w:rPr>
            </w:pPr>
            <w:r>
              <w:rPr>
                <w:rFonts w:hint="eastAsia" w:ascii="宋体" w:hAnsi="宋体" w:eastAsia="宋体" w:cs="宋体"/>
                <w:bCs w:val="0"/>
                <w:color w:val="auto"/>
                <w:spacing w:val="0"/>
                <w:kern w:val="2"/>
                <w:position w:val="0"/>
                <w:sz w:val="21"/>
                <w:szCs w:val="24"/>
                <w:highlight w:val="none"/>
                <w:lang w:val="en-US" w:eastAsia="zh-CN" w:bidi="ar-SA"/>
              </w:rPr>
              <w:t>供应商可通过“广西政府采购金融服务平台”（https://jinrong.zcygov.cn/finance/gx）在线方式完成投标保证金、履约保证金和预付款保函申请、递交、验收和索赔等全流程电子化操作，电子保函有关业务操作流程和手册可从“广西政府采购金融服务平台”查阅下载，供应商在电子保函的申请、使用、查看应用过程中遇到问题可咨询技术支撑方：400-903-9583。</w:t>
            </w:r>
          </w:p>
        </w:tc>
      </w:tr>
    </w:tbl>
    <w:p w14:paraId="11CD19BA">
      <w:pPr>
        <w:pageBreakBefore w:val="0"/>
        <w:kinsoku/>
        <w:wordWrap w:val="0"/>
        <w:overflowPunct/>
        <w:topLinePunct/>
        <w:autoSpaceDE/>
        <w:autoSpaceDN/>
        <w:bidi w:val="0"/>
        <w:rPr>
          <w:rFonts w:hint="eastAsia" w:ascii="宋体" w:hAnsi="宋体" w:eastAsia="宋体" w:cs="宋体"/>
          <w:color w:val="auto"/>
          <w:spacing w:val="0"/>
          <w:position w:val="0"/>
          <w:highlight w:val="none"/>
          <w:lang w:val="en-US" w:eastAsia="zh-CN"/>
        </w:rPr>
      </w:pPr>
    </w:p>
    <w:p w14:paraId="0D1E6CBE">
      <w:pPr>
        <w:pStyle w:val="3"/>
        <w:keepNext/>
        <w:keepLines/>
        <w:pageBreakBefore w:val="0"/>
        <w:widowControl w:val="0"/>
        <w:kinsoku/>
        <w:wordWrap w:val="0"/>
        <w:overflowPunct/>
        <w:topLinePunct/>
        <w:autoSpaceDE/>
        <w:autoSpaceDN/>
        <w:bidi w:val="0"/>
        <w:adjustRightInd/>
        <w:snapToGrid/>
        <w:spacing w:before="0" w:beforeLines="50" w:after="0" w:line="600" w:lineRule="exact"/>
        <w:jc w:val="center"/>
        <w:textAlignment w:val="auto"/>
        <w:rPr>
          <w:rFonts w:hint="eastAsia" w:ascii="宋体" w:hAnsi="宋体" w:eastAsia="宋体" w:cs="宋体"/>
          <w:b/>
          <w:bCs w:val="0"/>
          <w:color w:val="auto"/>
          <w:spacing w:val="0"/>
          <w:position w:val="0"/>
          <w:sz w:val="32"/>
          <w:szCs w:val="32"/>
          <w:highlight w:val="none"/>
          <w:lang w:val="en-US" w:eastAsia="zh-CN"/>
        </w:rPr>
      </w:pPr>
    </w:p>
    <w:p w14:paraId="155FF814">
      <w:pPr>
        <w:pageBreakBefore w:val="0"/>
        <w:kinsoku/>
        <w:wordWrap w:val="0"/>
        <w:overflowPunct/>
        <w:topLinePunct/>
        <w:autoSpaceDE/>
        <w:autoSpaceDN/>
        <w:bidi w:val="0"/>
        <w:rPr>
          <w:rFonts w:hint="eastAsia" w:ascii="宋体" w:hAnsi="宋体" w:eastAsia="宋体" w:cs="宋体"/>
          <w:color w:val="auto"/>
          <w:spacing w:val="0"/>
          <w:position w:val="0"/>
          <w:highlight w:val="none"/>
          <w:lang w:val="en-US" w:eastAsia="zh-CN"/>
        </w:rPr>
        <w:sectPr>
          <w:pgSz w:w="11906" w:h="16838"/>
          <w:pgMar w:top="1440" w:right="1080" w:bottom="1440" w:left="1080" w:header="851" w:footer="992" w:gutter="0"/>
          <w:cols w:space="0" w:num="1"/>
          <w:docGrid w:type="lines" w:linePitch="312" w:charSpace="0"/>
        </w:sectPr>
      </w:pPr>
    </w:p>
    <w:p w14:paraId="2F53F257">
      <w:pPr>
        <w:pStyle w:val="3"/>
        <w:keepNext/>
        <w:keepLines/>
        <w:pageBreakBefore w:val="0"/>
        <w:widowControl w:val="0"/>
        <w:kinsoku/>
        <w:wordWrap w:val="0"/>
        <w:overflowPunct/>
        <w:topLinePunct/>
        <w:autoSpaceDE/>
        <w:autoSpaceDN/>
        <w:bidi w:val="0"/>
        <w:adjustRightInd/>
        <w:snapToGrid/>
        <w:spacing w:before="0" w:beforeLines="50" w:after="0" w:line="600" w:lineRule="exact"/>
        <w:jc w:val="center"/>
        <w:textAlignment w:val="auto"/>
        <w:rPr>
          <w:rFonts w:hint="eastAsia" w:ascii="宋体" w:hAnsi="宋体" w:eastAsia="宋体" w:cs="宋体"/>
          <w:b/>
          <w:bCs w:val="0"/>
          <w:color w:val="auto"/>
          <w:spacing w:val="0"/>
          <w:position w:val="0"/>
          <w:szCs w:val="21"/>
          <w:highlight w:val="none"/>
        </w:rPr>
      </w:pPr>
      <w:bookmarkStart w:id="74" w:name="_Toc32050"/>
      <w:r>
        <w:rPr>
          <w:rFonts w:hint="eastAsia" w:ascii="宋体" w:hAnsi="宋体" w:eastAsia="宋体" w:cs="宋体"/>
          <w:b/>
          <w:bCs w:val="0"/>
          <w:color w:val="auto"/>
          <w:spacing w:val="0"/>
          <w:position w:val="0"/>
          <w:sz w:val="32"/>
          <w:szCs w:val="32"/>
          <w:highlight w:val="none"/>
          <w:lang w:val="en-US" w:eastAsia="zh-CN"/>
        </w:rPr>
        <w:t>供应商</w:t>
      </w:r>
      <w:r>
        <w:rPr>
          <w:rFonts w:hint="eastAsia" w:ascii="宋体" w:hAnsi="宋体" w:eastAsia="宋体" w:cs="宋体"/>
          <w:b/>
          <w:bCs w:val="0"/>
          <w:color w:val="auto"/>
          <w:spacing w:val="0"/>
          <w:position w:val="0"/>
          <w:sz w:val="32"/>
          <w:szCs w:val="32"/>
          <w:highlight w:val="none"/>
        </w:rPr>
        <w:t>须知</w:t>
      </w:r>
      <w:bookmarkEnd w:id="72"/>
      <w:bookmarkEnd w:id="73"/>
      <w:bookmarkEnd w:id="74"/>
    </w:p>
    <w:p w14:paraId="51013D2D">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b/>
          <w:color w:val="auto"/>
          <w:spacing w:val="0"/>
          <w:position w:val="0"/>
          <w:szCs w:val="21"/>
          <w:highlight w:val="none"/>
        </w:rPr>
      </w:pPr>
      <w:r>
        <w:rPr>
          <w:rFonts w:hint="eastAsia" w:ascii="宋体" w:hAnsi="宋体" w:eastAsia="宋体" w:cs="宋体"/>
          <w:b/>
          <w:color w:val="auto"/>
          <w:spacing w:val="0"/>
          <w:position w:val="0"/>
          <w:szCs w:val="21"/>
          <w:highlight w:val="none"/>
        </w:rPr>
        <w:t>一、总则</w:t>
      </w:r>
    </w:p>
    <w:p w14:paraId="1E5DACF7">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1.适用范围</w:t>
      </w:r>
    </w:p>
    <w:p w14:paraId="0300E909">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A747C83">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1.2本竞争性磋商文件适用于本项目的所有采购程序和环节</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法律、法规另有规定的，从其规定</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w:t>
      </w:r>
    </w:p>
    <w:p w14:paraId="28B65D22">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2.定义</w:t>
      </w:r>
    </w:p>
    <w:p w14:paraId="79696FB2">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2.1“采购人”是指依法进行采购的国家机关、事业单位、团体组织。</w:t>
      </w:r>
    </w:p>
    <w:p w14:paraId="6DC87E5D">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2.2“采购代理机构”是指政府采购代理机构</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以下简称采购代理机构</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是指集中采购机构以外、受采购人委托从事政府采购代理业务的社会中介机构。</w:t>
      </w:r>
    </w:p>
    <w:p w14:paraId="3CC4FFC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2.3“供应商”是指向采购人提供货物、工程或者服务的法人、其他组织或者自然人。</w:t>
      </w:r>
    </w:p>
    <w:p w14:paraId="6AEA6C6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2.4“工程”是指建设工程，包括建筑物和构筑物的新建、改建、扩建、装修、拆除、修缮等。</w:t>
      </w:r>
    </w:p>
    <w:p w14:paraId="78F3B18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2.5“竞标”是指供应商按照本项目竞争性磋商公告规定的方式获取竞争性磋商文件、提交响应文件并希望获得标的的行为。</w:t>
      </w:r>
    </w:p>
    <w:p w14:paraId="42BAF30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2.6“响应文件”是指：供应商根据本竞争性磋商文件要求，编制包含资格证明、报价</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商务技术等所有内容的文件。</w:t>
      </w:r>
    </w:p>
    <w:p w14:paraId="53078E7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2.7“实质性要求”是指竞争性磋商文件中已经指明不满足则响应文件按无效响应处理的条款，或不能负偏离的条款，或采购需求中带“▲”的条款。</w:t>
      </w:r>
    </w:p>
    <w:p w14:paraId="70E6224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2.8“正偏离”，是指响应文件对竞争性磋商文件“采购需求”中有关条款作出的响应优于条款要求并有利于采购人的情形。</w:t>
      </w:r>
    </w:p>
    <w:p w14:paraId="6AD0352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2.9“负偏离”，是指响应文件对竞争性磋商文件“采购需求”中有关条款作出的响应不满足条款要求导致采购人要求不能得到满足的情形。</w:t>
      </w:r>
    </w:p>
    <w:p w14:paraId="36B9C2C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2.10“允许负偏离的条款”是指采购需求中的不属于“实质性要求”的条款。</w:t>
      </w:r>
    </w:p>
    <w:p w14:paraId="478CF94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2.11“书面形式”是指合同书、信件和数据电文</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包括电报、电传、传真、电子数据交换和电子邮件</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等可以有形地表现所载内容的形式。</w:t>
      </w:r>
    </w:p>
    <w:p w14:paraId="497F810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2.12“首次报价”是指供应商提交的首次响应文件中的报价。</w:t>
      </w:r>
    </w:p>
    <w:p w14:paraId="5FFD5D1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2.13“评审价”是指供应商提交的最后报价并经修正和政策功能价格扣除后的价格。</w:t>
      </w:r>
    </w:p>
    <w:p w14:paraId="2E6B3D75">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3.供应商的资格条件</w:t>
      </w:r>
    </w:p>
    <w:p w14:paraId="146F08D9">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供应商的资格条件详见“供应商须知前附表”。</w:t>
      </w:r>
    </w:p>
    <w:p w14:paraId="5B849791">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4.竞标费用</w:t>
      </w:r>
    </w:p>
    <w:p w14:paraId="72DE5FFB">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供应商应承担参与本次采购活动有关的所有费用，包括但不限于获取磋商文件、勘查现场、编制和提交响应文件、参加磋商与应答、签订合同等，不论磋商结果如何，均应自行承担。</w:t>
      </w:r>
    </w:p>
    <w:p w14:paraId="32BECF48">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5.联合体竞标</w:t>
      </w:r>
    </w:p>
    <w:p w14:paraId="5FBDC8F8">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5.1本项目不接受联合体竞标。</w:t>
      </w:r>
    </w:p>
    <w:p w14:paraId="6A195BAE">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6.转包与分包</w:t>
      </w:r>
    </w:p>
    <w:p w14:paraId="0C8C506F">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6.1本项目不允许转包。</w:t>
      </w:r>
    </w:p>
    <w:p w14:paraId="168DA847">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7.特别说明</w:t>
      </w:r>
    </w:p>
    <w:p w14:paraId="70B7D7D8">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7.1如果本磋商文件要求供应商提供资格、信誉、荣誉、业绩与企业认证等材料的，则供应商所提供的以上材料必须为供应商所拥有。</w:t>
      </w:r>
    </w:p>
    <w:p w14:paraId="738500C8">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7.2供应商应仔细阅读竞争性磋商文件的所有内容，按照竞争性磋商文件的要求提交响应文件，并对所提供的全部资料的真实性承担法律责任。</w:t>
      </w:r>
    </w:p>
    <w:p w14:paraId="1E4050B8">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7.3供应商在磋商活动中提供任何疑似虚假材料，将报监管部门查处；签订合同后发现的，成交供应商须依照《中华人民共和国消费者权益保护法》规定赔偿采购人，且民事赔偿并不免除违法供应商的行政与刑事责任。</w:t>
      </w:r>
    </w:p>
    <w:p w14:paraId="10BA39F8">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7.4在政府采购活动中，采购人员及相关人员与供应商有下列利害关系之一的，应当回避：</w:t>
      </w:r>
    </w:p>
    <w:p w14:paraId="233EAE8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参加采购活动前3年内与供应商存在劳动关系；</w:t>
      </w:r>
    </w:p>
    <w:p w14:paraId="1977C6C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参加采购活动前3年内担任供应商的董事、监事；</w:t>
      </w:r>
    </w:p>
    <w:p w14:paraId="1864E06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参加采购活动前3年内是供应商的控股股东或者实际控制人；</w:t>
      </w:r>
    </w:p>
    <w:p w14:paraId="4EEB9D8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与供应商的法定代表人或负责人有夫妻、直系血亲、三代以内旁系血亲或者近姻亲关系；</w:t>
      </w:r>
    </w:p>
    <w:p w14:paraId="6D6B06E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5</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与供应商有其他可能影响政府采购活动公平、公正进行的关系。</w:t>
      </w:r>
    </w:p>
    <w:p w14:paraId="27BFBF1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0DA4249">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7.5有下列情形之一的视为供应商相互串通竞标，响应文件将被视为无效：</w:t>
      </w:r>
    </w:p>
    <w:p w14:paraId="48CCED5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不同供应商的响应文件由同一单位或者个人编制；或者不同供应商报名的IP地址一致的；</w:t>
      </w:r>
    </w:p>
    <w:p w14:paraId="32AB993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不同供应商委托同一单位或者个人办理磋商事宜；</w:t>
      </w:r>
    </w:p>
    <w:p w14:paraId="54E639F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不同的供应商的响应文件载明的项目管理员为同一个人；</w:t>
      </w:r>
    </w:p>
    <w:p w14:paraId="3B8F7E7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不同供应商的响应文件异常一致或者报价呈规律性差异；</w:t>
      </w:r>
    </w:p>
    <w:p w14:paraId="6AF1D34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5</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不同供应商的响应文件相互混装；</w:t>
      </w:r>
    </w:p>
    <w:p w14:paraId="132FC57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6</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不同供应商的磋商保证金从同一单位或者个人账户转出。</w:t>
      </w:r>
    </w:p>
    <w:p w14:paraId="130B6CB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7.6供应商有下列情形之一的，属于恶意串通行为：</w:t>
      </w:r>
    </w:p>
    <w:p w14:paraId="617EA0D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供应商直接或者间接从采购人或者采购代理机构处获得其他供应商的相关信息并修改其响应文件；</w:t>
      </w:r>
    </w:p>
    <w:p w14:paraId="4DCA7F2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供应商按照采购人或者采购代理机构的授意撤换、修改响应文件；</w:t>
      </w:r>
    </w:p>
    <w:p w14:paraId="1D89C6E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供应商之间协商报价、技术方案等响应文件或者响应文件的实质性内容；</w:t>
      </w:r>
    </w:p>
    <w:p w14:paraId="368D2CA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属于同一集团、协会、商会等组织成员的供应商按照该组织要求协同参加政府采购活动；</w:t>
      </w:r>
    </w:p>
    <w:p w14:paraId="0D52835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5</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供应商之间事先约定一致抬高或者压低报价，或者在政府采购活动中事先约定轮流以高价位或者低价位成交，或者事先约定由某一特定供应商成交，然后再参加竞标；</w:t>
      </w:r>
    </w:p>
    <w:p w14:paraId="5BAB486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6</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供应商之间商定部分供应商放弃参加政府采购活动或者放弃成交；</w:t>
      </w:r>
    </w:p>
    <w:p w14:paraId="5D3CC19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7</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供应商与采购人或者采购代理机构之间、供应商相互之间，为谋求特定供应商成交或者排斥其他供应商的其他串通行为。</w:t>
      </w:r>
    </w:p>
    <w:p w14:paraId="3B3677C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7.7关联供应商不得参加同一合同项下政府采购活动，否则响应文件将被视为无效：</w:t>
      </w:r>
    </w:p>
    <w:p w14:paraId="69EA281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单位负责人为同一人或者存在直接控股、管理关系的不同的供应商，不得参加同一合同项下的政府采购活动。</w:t>
      </w:r>
    </w:p>
    <w:p w14:paraId="293C0ACC">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color w:val="auto"/>
          <w:spacing w:val="0"/>
          <w:position w:val="0"/>
          <w:szCs w:val="21"/>
          <w:highlight w:val="none"/>
          <w:lang w:val="en-US" w:eastAsia="zh-CN"/>
        </w:rPr>
      </w:pPr>
      <w:r>
        <w:rPr>
          <w:rFonts w:hint="eastAsia" w:ascii="宋体" w:hAnsi="宋体" w:eastAsia="宋体" w:cs="宋体"/>
          <w:b/>
          <w:bCs/>
          <w:color w:val="auto"/>
          <w:spacing w:val="0"/>
          <w:position w:val="0"/>
          <w:szCs w:val="21"/>
          <w:highlight w:val="none"/>
          <w:lang w:val="en-US" w:eastAsia="zh-CN"/>
        </w:rPr>
        <w:t>二、响应文件的编制</w:t>
      </w:r>
    </w:p>
    <w:p w14:paraId="7274659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8.响应文件的编制原则</w:t>
      </w:r>
    </w:p>
    <w:p w14:paraId="18D17B7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供应商应当按照竞争性磋商文件的要求编制响应文件，并对其提交的响应文件的真实性、合法性承担法律责任。响应文件应当对竞争性磋商文件作出实质性响应。</w:t>
      </w:r>
    </w:p>
    <w:p w14:paraId="780AC85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9.响应文件编制基本要求</w:t>
      </w:r>
    </w:p>
    <w:p w14:paraId="264592DF">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9.1本项目实行电子开评标，供应商应准备电子磋商响应文件。供应商应仔细阅读竞争性磋商采购文件，在充分了解采购的内容、服务要求和商务条款以及实质性要求和条件后，编写响应文件。电子响应文件按</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要求及本竞争性磋商采购文件要求制作、加密并递交。具体操作流程</w:t>
      </w:r>
      <w:r>
        <w:rPr>
          <w:rFonts w:hint="eastAsia" w:ascii="宋体" w:hAnsi="宋体" w:eastAsia="宋体" w:cs="宋体"/>
          <w:b w:val="0"/>
          <w:bCs/>
          <w:color w:val="auto"/>
          <w:spacing w:val="0"/>
          <w:position w:val="0"/>
          <w:szCs w:val="21"/>
          <w:highlight w:val="none"/>
          <w:lang w:eastAsia="zh-CN"/>
        </w:rPr>
        <w:t>可参考广西政府采购云平台电子卖场首页右上角https://www.gcy.zfcg.gxzf.gov.cn/?utm=web-login-front.509b3709.c242364.d5111155.d022fc50004211ef9d39911bb4a2f390</w:t>
      </w:r>
      <w:r>
        <w:rPr>
          <w:rFonts w:hint="eastAsia" w:ascii="宋体" w:hAnsi="宋体" w:eastAsia="宋体" w:cs="宋体"/>
          <w:b w:val="0"/>
          <w:bCs/>
          <w:color w:val="auto"/>
          <w:spacing w:val="0"/>
          <w:position w:val="0"/>
          <w:szCs w:val="21"/>
          <w:highlight w:val="none"/>
          <w:lang w:val="en-US" w:eastAsia="zh-CN"/>
        </w:rPr>
        <w:t>[</w:t>
      </w:r>
      <w:r>
        <w:rPr>
          <w:rFonts w:hint="eastAsia" w:ascii="宋体" w:hAnsi="宋体" w:eastAsia="宋体" w:cs="宋体"/>
          <w:b w:val="0"/>
          <w:bCs/>
          <w:color w:val="auto"/>
          <w:spacing w:val="0"/>
          <w:position w:val="0"/>
          <w:szCs w:val="21"/>
          <w:highlight w:val="none"/>
          <w:lang w:eastAsia="zh-CN"/>
        </w:rPr>
        <w:t>服务中心</w:t>
      </w:r>
      <w:r>
        <w:rPr>
          <w:rFonts w:hint="eastAsia" w:ascii="宋体" w:hAnsi="宋体" w:eastAsia="宋体" w:cs="宋体"/>
          <w:b w:val="0"/>
          <w:bCs/>
          <w:color w:val="auto"/>
          <w:spacing w:val="0"/>
          <w:position w:val="0"/>
          <w:szCs w:val="21"/>
          <w:highlight w:val="none"/>
          <w:lang w:val="en-US" w:eastAsia="zh-CN"/>
        </w:rPr>
        <w:t>-帮助中心-项目采购-广西电子招投标（公开招标）-供应商投标文件管理]</w:t>
      </w:r>
      <w:r>
        <w:rPr>
          <w:rFonts w:hint="eastAsia" w:ascii="宋体" w:hAnsi="宋体" w:eastAsia="宋体" w:cs="宋体"/>
          <w:b w:val="0"/>
          <w:bCs/>
          <w:color w:val="auto"/>
          <w:spacing w:val="0"/>
          <w:position w:val="0"/>
          <w:szCs w:val="21"/>
          <w:highlight w:val="none"/>
        </w:rPr>
        <w:t>。</w:t>
      </w:r>
    </w:p>
    <w:p w14:paraId="3619B36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9.2供应商提交的竞争性磋商响应文件以及供应商与</w:t>
      </w:r>
      <w:r>
        <w:rPr>
          <w:rFonts w:hint="eastAsia" w:ascii="宋体" w:hAnsi="宋体" w:eastAsia="宋体" w:cs="宋体"/>
          <w:b w:val="0"/>
          <w:bCs/>
          <w:color w:val="auto"/>
          <w:spacing w:val="0"/>
          <w:position w:val="0"/>
          <w:szCs w:val="21"/>
          <w:highlight w:val="none"/>
          <w:lang w:eastAsia="zh-CN"/>
        </w:rPr>
        <w:t>广西</w:t>
      </w:r>
      <w:r>
        <w:rPr>
          <w:rFonts w:hint="eastAsia" w:ascii="宋体" w:hAnsi="宋体" w:cs="宋体"/>
          <w:b w:val="0"/>
          <w:bCs/>
          <w:color w:val="auto"/>
          <w:spacing w:val="0"/>
          <w:position w:val="0"/>
          <w:szCs w:val="21"/>
          <w:highlight w:val="none"/>
          <w:lang w:eastAsia="zh-CN"/>
        </w:rPr>
        <w:t>至胜</w:t>
      </w:r>
      <w:r>
        <w:rPr>
          <w:rFonts w:hint="eastAsia" w:ascii="宋体" w:hAnsi="宋体" w:eastAsia="宋体" w:cs="宋体"/>
          <w:b w:val="0"/>
          <w:bCs/>
          <w:color w:val="auto"/>
          <w:spacing w:val="0"/>
          <w:position w:val="0"/>
          <w:szCs w:val="21"/>
          <w:highlight w:val="none"/>
          <w:lang w:eastAsia="zh-CN"/>
        </w:rPr>
        <w:t>招标有限公司</w:t>
      </w:r>
      <w:r>
        <w:rPr>
          <w:rFonts w:hint="eastAsia" w:ascii="宋体" w:hAnsi="宋体" w:eastAsia="宋体" w:cs="宋体"/>
          <w:b w:val="0"/>
          <w:bCs/>
          <w:color w:val="auto"/>
          <w:spacing w:val="0"/>
          <w:position w:val="0"/>
          <w:szCs w:val="21"/>
          <w:highlight w:val="none"/>
        </w:rPr>
        <w:t>和采购人就有关磋商的所有来往函电均应使用中文。供应商提交的支持文件和印刷的文献可以使用别的语言，但其相应内容必须附有中文翻译文本，在解释竞争性磋商响应文件时以翻译文本为准。</w:t>
      </w:r>
    </w:p>
    <w:p w14:paraId="618B0B0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9.3供应商应认真阅读、并充分理解本文件的全部内容</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包括所有的补充、修改内容</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，承诺并履行本文件中各项条款规定及要求。</w:t>
      </w:r>
    </w:p>
    <w:p w14:paraId="48B2DFD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9.4竞争性磋商响应文件必须按本文件的全部内容，包括所有的补充通知及附件进行编制。</w:t>
      </w:r>
    </w:p>
    <w:p w14:paraId="12545F1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9.5如因供应商只填写和提供了本文件要求的部分内容和附件，而给评审造成困难，其可能导致的结果和责任由供应商自行承担。</w:t>
      </w:r>
    </w:p>
    <w:p w14:paraId="19FCBC36">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b w:val="0"/>
          <w:bCs/>
          <w:color w:val="auto"/>
          <w:spacing w:val="0"/>
          <w:position w:val="0"/>
          <w:szCs w:val="21"/>
          <w:highlight w:val="none"/>
        </w:rPr>
        <w:t>9.6响应文件的组成：响应文件应分为资格证明文件、报价文件、商务技术文件三个部分组成</w:t>
      </w:r>
      <w:r>
        <w:rPr>
          <w:rFonts w:hint="eastAsia" w:ascii="宋体" w:hAnsi="宋体" w:eastAsia="宋体" w:cs="宋体"/>
          <w:b w:val="0"/>
          <w:bCs/>
          <w:color w:val="auto"/>
          <w:spacing w:val="0"/>
          <w:position w:val="0"/>
          <w:szCs w:val="21"/>
          <w:highlight w:val="none"/>
          <w:lang w:eastAsia="zh-CN"/>
        </w:rPr>
        <w:t>。</w:t>
      </w:r>
    </w:p>
    <w:p w14:paraId="38D11373">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lang w:eastAsia="zh-CN"/>
        </w:rPr>
      </w:pPr>
      <w:r>
        <w:rPr>
          <w:rFonts w:hint="eastAsia" w:ascii="宋体" w:hAnsi="宋体" w:eastAsia="宋体" w:cs="宋体"/>
          <w:b/>
          <w:bCs w:val="0"/>
          <w:color w:val="auto"/>
          <w:spacing w:val="0"/>
          <w:position w:val="0"/>
          <w:szCs w:val="21"/>
          <w:highlight w:val="none"/>
          <w:lang w:eastAsia="zh-CN"/>
        </w:rPr>
        <w:t>以下注明“</w:t>
      </w:r>
      <w:r>
        <w:rPr>
          <w:rFonts w:hint="eastAsia" w:ascii="宋体" w:hAnsi="宋体" w:eastAsia="宋体" w:cs="宋体"/>
          <w:color w:val="auto"/>
          <w:spacing w:val="0"/>
          <w:position w:val="0"/>
          <w:szCs w:val="21"/>
          <w:highlight w:val="none"/>
        </w:rPr>
        <w:t>▲</w:t>
      </w:r>
      <w:r>
        <w:rPr>
          <w:rFonts w:hint="eastAsia" w:ascii="宋体" w:hAnsi="宋体" w:eastAsia="宋体" w:cs="宋体"/>
          <w:b/>
          <w:bCs w:val="0"/>
          <w:color w:val="auto"/>
          <w:spacing w:val="0"/>
          <w:position w:val="0"/>
          <w:szCs w:val="21"/>
          <w:highlight w:val="none"/>
          <w:lang w:eastAsia="zh-CN"/>
        </w:rPr>
        <w:t>”的必须提供，否则竞标无效。</w:t>
      </w:r>
    </w:p>
    <w:p w14:paraId="5ECBA2EA">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val="en-US" w:eastAsia="zh-CN"/>
        </w:rPr>
        <w:t>9.6.1</w:t>
      </w:r>
      <w:r>
        <w:rPr>
          <w:rFonts w:hint="eastAsia" w:ascii="宋体" w:hAnsi="宋体" w:eastAsia="宋体" w:cs="宋体"/>
          <w:b/>
          <w:bCs w:val="0"/>
          <w:color w:val="auto"/>
          <w:spacing w:val="0"/>
          <w:position w:val="0"/>
          <w:szCs w:val="21"/>
          <w:highlight w:val="none"/>
        </w:rPr>
        <w:t>资格证明文件</w:t>
      </w:r>
    </w:p>
    <w:p w14:paraId="4AA8110D">
      <w:pPr>
        <w:pStyle w:val="10"/>
        <w:keepNext w:val="0"/>
        <w:keepLines w:val="0"/>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lang w:val="en-US" w:eastAsia="zh-CN"/>
        </w:rPr>
        <w:t>供应商为法人或者其他组织的提供其营业执照等证明文件复印件（如营业执照或者事业单位法人证书或者执业许可证或者登记证书等）</w:t>
      </w:r>
      <w:r>
        <w:rPr>
          <w:rFonts w:hint="eastAsia" w:ascii="宋体" w:hAnsi="宋体" w:cs="宋体"/>
          <w:color w:val="auto"/>
          <w:spacing w:val="0"/>
          <w:position w:val="0"/>
          <w:szCs w:val="21"/>
          <w:highlight w:val="none"/>
          <w:lang w:val="en-US" w:eastAsia="zh-CN"/>
        </w:rPr>
        <w:t>；</w:t>
      </w:r>
    </w:p>
    <w:p w14:paraId="2BB3FEA4">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供应商依法缴纳税收的相关材料（</w:t>
      </w:r>
      <w:r>
        <w:rPr>
          <w:rFonts w:hint="eastAsia" w:ascii="宋体" w:hAnsi="宋体" w:eastAsia="宋体" w:cs="宋体"/>
          <w:color w:val="auto"/>
          <w:spacing w:val="0"/>
          <w:position w:val="0"/>
          <w:szCs w:val="21"/>
          <w:highlight w:val="none"/>
          <w:u w:val="single"/>
          <w:lang w:eastAsia="zh-CN"/>
        </w:rPr>
        <w:t>202</w:t>
      </w:r>
      <w:r>
        <w:rPr>
          <w:rFonts w:hint="eastAsia" w:ascii="宋体" w:hAnsi="宋体" w:cs="宋体"/>
          <w:color w:val="auto"/>
          <w:spacing w:val="0"/>
          <w:position w:val="0"/>
          <w:szCs w:val="21"/>
          <w:highlight w:val="none"/>
          <w:u w:val="single"/>
          <w:lang w:val="en-US" w:eastAsia="zh-CN"/>
        </w:rPr>
        <w:t>5</w:t>
      </w:r>
      <w:r>
        <w:rPr>
          <w:rFonts w:hint="eastAsia" w:ascii="宋体" w:hAnsi="宋体" w:eastAsia="宋体" w:cs="宋体"/>
          <w:color w:val="auto"/>
          <w:spacing w:val="0"/>
          <w:position w:val="0"/>
          <w:szCs w:val="21"/>
          <w:highlight w:val="none"/>
          <w:u w:val="single"/>
          <w:lang w:eastAsia="zh-CN"/>
        </w:rPr>
        <w:t>年</w:t>
      </w:r>
      <w:r>
        <w:rPr>
          <w:rFonts w:hint="eastAsia" w:ascii="宋体" w:hAnsi="宋体" w:cs="宋体"/>
          <w:color w:val="auto"/>
          <w:spacing w:val="0"/>
          <w:position w:val="0"/>
          <w:szCs w:val="21"/>
          <w:highlight w:val="none"/>
          <w:u w:val="single"/>
          <w:lang w:val="en-US" w:eastAsia="zh-CN"/>
        </w:rPr>
        <w:t>04</w:t>
      </w:r>
      <w:r>
        <w:rPr>
          <w:rFonts w:hint="eastAsia" w:ascii="宋体" w:hAnsi="宋体" w:eastAsia="宋体" w:cs="宋体"/>
          <w:color w:val="auto"/>
          <w:spacing w:val="0"/>
          <w:position w:val="0"/>
          <w:szCs w:val="21"/>
          <w:highlight w:val="none"/>
          <w:u w:val="single"/>
          <w:lang w:eastAsia="zh-CN"/>
        </w:rPr>
        <w:t>月</w:t>
      </w:r>
      <w:r>
        <w:rPr>
          <w:rFonts w:hint="eastAsia" w:ascii="宋体" w:hAnsi="宋体" w:eastAsia="宋体" w:cs="宋体"/>
          <w:color w:val="auto"/>
          <w:spacing w:val="0"/>
          <w:position w:val="0"/>
          <w:szCs w:val="21"/>
          <w:highlight w:val="none"/>
          <w:lang w:eastAsia="zh-CN"/>
        </w:rPr>
        <w:t>以来</w:t>
      </w:r>
      <w:r>
        <w:rPr>
          <w:rFonts w:hint="eastAsia" w:ascii="宋体" w:hAnsi="宋体" w:eastAsia="宋体" w:cs="宋体"/>
          <w:color w:val="auto"/>
          <w:spacing w:val="0"/>
          <w:position w:val="0"/>
          <w:szCs w:val="21"/>
          <w:highlight w:val="none"/>
        </w:rPr>
        <w:t>任意</w:t>
      </w:r>
      <w:r>
        <w:rPr>
          <w:rFonts w:hint="eastAsia" w:ascii="宋体" w:hAnsi="宋体" w:eastAsia="宋体" w:cs="宋体"/>
          <w:color w:val="auto"/>
          <w:spacing w:val="0"/>
          <w:position w:val="0"/>
          <w:szCs w:val="21"/>
          <w:highlight w:val="none"/>
          <w:u w:val="single"/>
        </w:rPr>
        <w:t>1</w:t>
      </w:r>
      <w:r>
        <w:rPr>
          <w:rFonts w:hint="eastAsia" w:ascii="宋体" w:hAnsi="宋体" w:eastAsia="宋体" w:cs="宋体"/>
          <w:color w:val="auto"/>
          <w:spacing w:val="0"/>
          <w:position w:val="0"/>
          <w:szCs w:val="21"/>
          <w:highlight w:val="none"/>
        </w:rPr>
        <w:t>个月的依法缴纳税收的凭据复印件；</w:t>
      </w:r>
      <w:r>
        <w:rPr>
          <w:rFonts w:hint="eastAsia" w:ascii="宋体" w:hAnsi="宋体" w:eastAsia="宋体" w:cs="宋体"/>
          <w:color w:val="auto"/>
          <w:spacing w:val="0"/>
          <w:position w:val="0"/>
          <w:highlight w:val="none"/>
        </w:rPr>
        <w:t>依法免税的，必须提供相应文件证明其依法免税。</w:t>
      </w:r>
      <w:r>
        <w:rPr>
          <w:rFonts w:hint="eastAsia" w:ascii="宋体" w:hAnsi="宋体" w:eastAsia="宋体" w:cs="宋体"/>
          <w:color w:val="auto"/>
          <w:spacing w:val="0"/>
          <w:position w:val="0"/>
          <w:szCs w:val="21"/>
          <w:highlight w:val="none"/>
        </w:rPr>
        <w:t>从成立之日起到响应文件提交截止时间止不足要求月数的，只需提供从成立之日起的依法缴纳税收</w:t>
      </w:r>
      <w:r>
        <w:rPr>
          <w:rFonts w:hint="eastAsia" w:ascii="宋体" w:hAnsi="宋体" w:eastAsia="宋体" w:cs="宋体"/>
          <w:color w:val="auto"/>
          <w:spacing w:val="0"/>
          <w:position w:val="0"/>
          <w:highlight w:val="none"/>
        </w:rPr>
        <w:t>相应证明文件</w:t>
      </w:r>
      <w:r>
        <w:rPr>
          <w:rFonts w:hint="eastAsia" w:ascii="宋体" w:hAnsi="宋体" w:eastAsia="宋体" w:cs="宋体"/>
          <w:color w:val="auto"/>
          <w:spacing w:val="0"/>
          <w:position w:val="0"/>
          <w:szCs w:val="21"/>
          <w:highlight w:val="none"/>
        </w:rPr>
        <w:t>）；</w:t>
      </w:r>
    </w:p>
    <w:p w14:paraId="550E12B7">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供应商依法缴纳社会保障资金的相关材料</w:t>
      </w:r>
      <w:r>
        <w:rPr>
          <w:rFonts w:hint="eastAsia" w:ascii="宋体" w:hAnsi="宋体" w:eastAsia="宋体" w:cs="宋体"/>
          <w:color w:val="auto"/>
          <w:spacing w:val="0"/>
          <w:position w:val="0"/>
          <w:szCs w:val="21"/>
          <w:highlight w:val="none"/>
          <w:u w:val="single"/>
          <w:lang w:eastAsia="zh-CN"/>
        </w:rPr>
        <w:t>202</w:t>
      </w:r>
      <w:r>
        <w:rPr>
          <w:rFonts w:hint="eastAsia" w:ascii="宋体" w:hAnsi="宋体" w:cs="宋体"/>
          <w:color w:val="auto"/>
          <w:spacing w:val="0"/>
          <w:position w:val="0"/>
          <w:szCs w:val="21"/>
          <w:highlight w:val="none"/>
          <w:u w:val="single"/>
          <w:lang w:val="en-US" w:eastAsia="zh-CN"/>
        </w:rPr>
        <w:t>5</w:t>
      </w:r>
      <w:r>
        <w:rPr>
          <w:rFonts w:hint="eastAsia" w:ascii="宋体" w:hAnsi="宋体" w:eastAsia="宋体" w:cs="宋体"/>
          <w:color w:val="auto"/>
          <w:spacing w:val="0"/>
          <w:position w:val="0"/>
          <w:szCs w:val="21"/>
          <w:highlight w:val="none"/>
          <w:u w:val="single"/>
          <w:lang w:eastAsia="zh-CN"/>
        </w:rPr>
        <w:t>年</w:t>
      </w:r>
      <w:r>
        <w:rPr>
          <w:rFonts w:hint="eastAsia" w:ascii="宋体" w:hAnsi="宋体" w:cs="宋体"/>
          <w:color w:val="auto"/>
          <w:spacing w:val="0"/>
          <w:position w:val="0"/>
          <w:szCs w:val="21"/>
          <w:highlight w:val="none"/>
          <w:u w:val="single"/>
          <w:lang w:val="en-US" w:eastAsia="zh-CN"/>
        </w:rPr>
        <w:t>04</w:t>
      </w:r>
      <w:r>
        <w:rPr>
          <w:rFonts w:hint="eastAsia" w:ascii="宋体" w:hAnsi="宋体" w:eastAsia="宋体" w:cs="宋体"/>
          <w:color w:val="auto"/>
          <w:spacing w:val="0"/>
          <w:position w:val="0"/>
          <w:szCs w:val="21"/>
          <w:highlight w:val="none"/>
          <w:u w:val="single"/>
          <w:lang w:eastAsia="zh-CN"/>
        </w:rPr>
        <w:t>月</w:t>
      </w:r>
      <w:r>
        <w:rPr>
          <w:rFonts w:hint="eastAsia" w:ascii="宋体" w:hAnsi="宋体" w:eastAsia="宋体" w:cs="宋体"/>
          <w:color w:val="auto"/>
          <w:spacing w:val="0"/>
          <w:position w:val="0"/>
          <w:szCs w:val="21"/>
          <w:highlight w:val="none"/>
          <w:lang w:eastAsia="zh-CN"/>
        </w:rPr>
        <w:t>以来</w:t>
      </w:r>
      <w:r>
        <w:rPr>
          <w:rFonts w:hint="eastAsia" w:ascii="宋体" w:hAnsi="宋体" w:eastAsia="宋体" w:cs="宋体"/>
          <w:color w:val="auto"/>
          <w:spacing w:val="0"/>
          <w:position w:val="0"/>
          <w:szCs w:val="21"/>
          <w:highlight w:val="none"/>
        </w:rPr>
        <w:t>任意</w:t>
      </w:r>
      <w:r>
        <w:rPr>
          <w:rFonts w:hint="eastAsia" w:ascii="宋体" w:hAnsi="宋体" w:eastAsia="宋体" w:cs="宋体"/>
          <w:color w:val="auto"/>
          <w:spacing w:val="0"/>
          <w:position w:val="0"/>
          <w:szCs w:val="21"/>
          <w:highlight w:val="none"/>
          <w:u w:val="single"/>
        </w:rPr>
        <w:t>1</w:t>
      </w:r>
      <w:r>
        <w:rPr>
          <w:rFonts w:hint="eastAsia" w:ascii="宋体" w:hAnsi="宋体" w:eastAsia="宋体" w:cs="宋体"/>
          <w:color w:val="auto"/>
          <w:spacing w:val="0"/>
          <w:position w:val="0"/>
          <w:szCs w:val="21"/>
          <w:highlight w:val="none"/>
        </w:rPr>
        <w:t>个月的依法缴纳社会保障资金的缴费凭证（专用收据或者社会保险缴纳清单）复印件；</w:t>
      </w:r>
      <w:r>
        <w:rPr>
          <w:rFonts w:hint="eastAsia" w:ascii="宋体" w:hAnsi="宋体" w:eastAsia="宋体" w:cs="宋体"/>
          <w:color w:val="auto"/>
          <w:spacing w:val="0"/>
          <w:position w:val="0"/>
          <w:highlight w:val="none"/>
        </w:rPr>
        <w:t>依法不需要缴纳社会保障资金的，必须提供相应文件证明不需要缴纳社会保障资金。</w:t>
      </w:r>
      <w:r>
        <w:rPr>
          <w:rFonts w:hint="eastAsia" w:ascii="宋体" w:hAnsi="宋体" w:eastAsia="宋体" w:cs="宋体"/>
          <w:color w:val="auto"/>
          <w:spacing w:val="0"/>
          <w:position w:val="0"/>
          <w:szCs w:val="21"/>
          <w:highlight w:val="none"/>
        </w:rPr>
        <w:t>从成立之日起到响应文件提交截止时间止不足要求月数的只需提供从成立之日起的依法缴纳社会保障资金的</w:t>
      </w:r>
      <w:r>
        <w:rPr>
          <w:rFonts w:hint="eastAsia" w:ascii="宋体" w:hAnsi="宋体" w:eastAsia="宋体" w:cs="宋体"/>
          <w:color w:val="auto"/>
          <w:spacing w:val="0"/>
          <w:position w:val="0"/>
          <w:highlight w:val="none"/>
        </w:rPr>
        <w:t>相应证明文件</w:t>
      </w:r>
      <w:r>
        <w:rPr>
          <w:rFonts w:hint="eastAsia" w:ascii="宋体" w:hAnsi="宋体" w:eastAsia="宋体" w:cs="宋体"/>
          <w:color w:val="auto"/>
          <w:spacing w:val="0"/>
          <w:position w:val="0"/>
          <w:szCs w:val="21"/>
          <w:highlight w:val="none"/>
        </w:rPr>
        <w:t>]；</w:t>
      </w:r>
    </w:p>
    <w:p w14:paraId="31509274">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供应商财务状况报告（</w:t>
      </w:r>
      <w:r>
        <w:rPr>
          <w:rFonts w:hint="eastAsia" w:ascii="宋体" w:hAnsi="宋体" w:cs="宋体"/>
          <w:color w:val="auto"/>
          <w:spacing w:val="0"/>
          <w:position w:val="0"/>
          <w:szCs w:val="21"/>
          <w:highlight w:val="none"/>
          <w:u w:val="single"/>
          <w:lang w:val="en-US" w:eastAsia="zh-CN"/>
        </w:rPr>
        <w:t>2024年度</w:t>
      </w:r>
      <w:r>
        <w:rPr>
          <w:rFonts w:hint="eastAsia" w:ascii="宋体" w:hAnsi="宋体" w:eastAsia="宋体" w:cs="宋体"/>
          <w:color w:val="auto"/>
          <w:spacing w:val="0"/>
          <w:position w:val="0"/>
          <w:szCs w:val="21"/>
          <w:highlight w:val="none"/>
        </w:rPr>
        <w:t>财务报表复印件，或者银行出具的资信证明，或者中国人民银行征信中心出具的信用报告；供应商属于</w:t>
      </w:r>
      <w:r>
        <w:rPr>
          <w:rFonts w:hint="eastAsia" w:ascii="宋体" w:hAnsi="宋体" w:eastAsia="宋体" w:cs="宋体"/>
          <w:color w:val="auto"/>
          <w:spacing w:val="0"/>
          <w:position w:val="0"/>
          <w:highlight w:val="none"/>
        </w:rPr>
        <w:t>成立时间</w:t>
      </w:r>
      <w:r>
        <w:rPr>
          <w:rFonts w:hint="eastAsia" w:ascii="宋体" w:hAnsi="宋体" w:eastAsia="宋体" w:cs="宋体"/>
          <w:color w:val="auto"/>
          <w:spacing w:val="0"/>
          <w:kern w:val="0"/>
          <w:position w:val="0"/>
          <w:highlight w:val="none"/>
        </w:rPr>
        <w:t>在规定年度之后</w:t>
      </w:r>
      <w:r>
        <w:rPr>
          <w:rFonts w:hint="eastAsia" w:ascii="宋体" w:hAnsi="宋体" w:eastAsia="宋体" w:cs="宋体"/>
          <w:color w:val="auto"/>
          <w:spacing w:val="0"/>
          <w:position w:val="0"/>
          <w:highlight w:val="none"/>
        </w:rPr>
        <w:t>的</w:t>
      </w:r>
      <w:r>
        <w:rPr>
          <w:rFonts w:hint="eastAsia" w:ascii="宋体" w:hAnsi="宋体" w:eastAsia="宋体" w:cs="宋体"/>
          <w:color w:val="auto"/>
          <w:spacing w:val="0"/>
          <w:position w:val="0"/>
          <w:szCs w:val="21"/>
          <w:highlight w:val="none"/>
        </w:rPr>
        <w:t>法人或其他组织</w:t>
      </w:r>
      <w:r>
        <w:rPr>
          <w:rFonts w:hint="eastAsia" w:ascii="宋体" w:hAnsi="宋体" w:eastAsia="宋体" w:cs="宋体"/>
          <w:color w:val="auto"/>
          <w:spacing w:val="0"/>
          <w:position w:val="0"/>
          <w:highlight w:val="none"/>
        </w:rPr>
        <w:t>，需提供成立之日起至响应文件提交截止时间前的月报表</w:t>
      </w:r>
      <w:r>
        <w:rPr>
          <w:rFonts w:hint="eastAsia" w:ascii="宋体" w:hAnsi="宋体" w:eastAsia="宋体" w:cs="宋体"/>
          <w:color w:val="auto"/>
          <w:spacing w:val="0"/>
          <w:position w:val="0"/>
          <w:szCs w:val="21"/>
          <w:highlight w:val="none"/>
        </w:rPr>
        <w:t>或银行出具的资信证明或者中国人民银行征信中心出具的企业信用报告；资信证明应在有效期内，未注明有效期的，银行出具时间至响应文件提交截止时间不得超过一年）；</w:t>
      </w:r>
    </w:p>
    <w:p w14:paraId="03F43A6C">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5</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竞标声明（格式后附）；</w:t>
      </w:r>
    </w:p>
    <w:p w14:paraId="077A3A14">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6</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供应商直接控股、管理关系信息表（格式后附）；</w:t>
      </w:r>
    </w:p>
    <w:p w14:paraId="502E5F92">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7</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lang w:eastAsia="zh-CN"/>
        </w:rPr>
        <w:t>本项目属于专门面向中小企业采购的项目，供应商须为中小企业或监狱企业或残疾人福利性单位。</w:t>
      </w:r>
      <w:r>
        <w:rPr>
          <w:rFonts w:hint="eastAsia" w:ascii="宋体" w:hAnsi="宋体" w:eastAsia="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rPr>
        <w:t>供应商必须在响应文件中提供《</w:t>
      </w:r>
      <w:r>
        <w:rPr>
          <w:rFonts w:hint="eastAsia" w:ascii="宋体" w:hAnsi="宋体" w:eastAsia="宋体" w:cs="宋体"/>
          <w:bCs/>
          <w:color w:val="auto"/>
          <w:spacing w:val="0"/>
          <w:position w:val="0"/>
          <w:szCs w:val="21"/>
          <w:highlight w:val="none"/>
        </w:rPr>
        <w:t>中小企业声明函（工程）</w:t>
      </w:r>
      <w:r>
        <w:rPr>
          <w:rFonts w:hint="eastAsia" w:ascii="宋体" w:hAnsi="宋体" w:eastAsia="宋体" w:cs="宋体"/>
          <w:color w:val="auto"/>
          <w:spacing w:val="0"/>
          <w:position w:val="0"/>
          <w:szCs w:val="21"/>
          <w:highlight w:val="none"/>
        </w:rPr>
        <w:t>》</w:t>
      </w:r>
      <w:r>
        <w:rPr>
          <w:rFonts w:hint="eastAsia" w:ascii="宋体" w:hAnsi="宋体" w:eastAsia="宋体" w:cs="宋体"/>
          <w:color w:val="auto"/>
          <w:spacing w:val="0"/>
          <w:position w:val="0"/>
          <w:szCs w:val="22"/>
          <w:highlight w:val="none"/>
        </w:rPr>
        <w:t>或残疾人福利性单位声明函或监狱企业证明材料</w:t>
      </w:r>
      <w:r>
        <w:rPr>
          <w:rFonts w:hint="eastAsia" w:ascii="宋体" w:hAnsi="宋体" w:eastAsia="宋体" w:cs="宋体"/>
          <w:color w:val="auto"/>
          <w:spacing w:val="0"/>
          <w:position w:val="0"/>
          <w:szCs w:val="22"/>
          <w:highlight w:val="none"/>
          <w:lang w:val="en-US" w:eastAsia="zh-CN"/>
        </w:rPr>
        <w:t>]；</w:t>
      </w:r>
    </w:p>
    <w:p w14:paraId="656EEDCF">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8</w:t>
      </w:r>
      <w:r>
        <w:rPr>
          <w:rFonts w:hint="eastAsia" w:ascii="宋体" w:hAnsi="宋体" w:eastAsia="宋体" w:cs="宋体"/>
          <w:b w:val="0"/>
          <w:bCs/>
          <w:color w:val="auto"/>
          <w:spacing w:val="0"/>
          <w:position w:val="0"/>
          <w:szCs w:val="21"/>
          <w:highlight w:val="none"/>
          <w:lang w:eastAsia="zh-CN"/>
        </w:rPr>
        <w:t>）本项目的特定资格要求：（</w:t>
      </w:r>
      <w:r>
        <w:rPr>
          <w:rFonts w:hint="eastAsia" w:ascii="宋体" w:hAnsi="宋体" w:eastAsia="宋体" w:cs="宋体"/>
          <w:b w:val="0"/>
          <w:bCs/>
          <w:color w:val="auto"/>
          <w:spacing w:val="0"/>
          <w:position w:val="0"/>
          <w:szCs w:val="21"/>
          <w:highlight w:val="none"/>
          <w:lang w:val="en-US" w:eastAsia="zh-CN"/>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 w:val="21"/>
          <w:szCs w:val="21"/>
          <w:highlight w:val="none"/>
          <w:lang w:eastAsia="zh-CN"/>
        </w:rPr>
        <w:t>竞标人须具备</w:t>
      </w:r>
      <w:r>
        <w:rPr>
          <w:rFonts w:hint="eastAsia" w:ascii="宋体" w:hAnsi="宋体" w:cs="宋体"/>
          <w:color w:val="auto"/>
          <w:spacing w:val="0"/>
          <w:position w:val="0"/>
          <w:sz w:val="21"/>
          <w:szCs w:val="21"/>
          <w:highlight w:val="none"/>
          <w:lang w:eastAsia="zh-CN"/>
        </w:rPr>
        <w:t>公路工程或市政公用工程</w:t>
      </w:r>
      <w:r>
        <w:rPr>
          <w:rFonts w:hint="eastAsia" w:ascii="宋体" w:hAnsi="宋体" w:eastAsia="宋体" w:cs="宋体"/>
          <w:color w:val="auto"/>
          <w:spacing w:val="0"/>
          <w:position w:val="0"/>
          <w:sz w:val="21"/>
          <w:szCs w:val="21"/>
          <w:highlight w:val="none"/>
          <w:lang w:eastAsia="zh-CN"/>
        </w:rPr>
        <w:t>施工总承包三级（含三级）以上资质以及有效的安全生产许可证，在人员、设备、资金等方面具备相应的施工能力</w:t>
      </w:r>
      <w:r>
        <w:rPr>
          <w:rFonts w:hint="eastAsia" w:ascii="宋体" w:hAnsi="宋体" w:eastAsia="宋体" w:cs="宋体"/>
          <w:color w:val="auto"/>
          <w:spacing w:val="0"/>
          <w:position w:val="0"/>
          <w:sz w:val="21"/>
          <w:szCs w:val="21"/>
          <w:highlight w:val="none"/>
          <w:lang w:val="en-US" w:eastAsia="zh-CN"/>
        </w:rPr>
        <w:t>。</w:t>
      </w:r>
      <w:r>
        <w:rPr>
          <w:rFonts w:hint="eastAsia" w:ascii="宋体" w:hAnsi="宋体" w:eastAsia="宋体" w:cs="宋体"/>
          <w:color w:val="auto"/>
          <w:spacing w:val="0"/>
          <w:kern w:val="0"/>
          <w:position w:val="0"/>
          <w:sz w:val="21"/>
          <w:szCs w:val="21"/>
          <w:highlight w:val="none"/>
          <w:lang w:val="en-US" w:eastAsia="zh-CN" w:bidi="ar-SA"/>
        </w:rPr>
        <w:t>（2）</w:t>
      </w:r>
      <w:r>
        <w:rPr>
          <w:rFonts w:hint="eastAsia" w:ascii="宋体" w:hAnsi="宋体" w:eastAsia="宋体" w:cs="宋体"/>
          <w:color w:val="auto"/>
          <w:spacing w:val="0"/>
          <w:position w:val="0"/>
          <w:sz w:val="21"/>
          <w:szCs w:val="21"/>
          <w:highlight w:val="none"/>
          <w:lang w:val="en-US" w:eastAsia="zh-CN"/>
        </w:rPr>
        <w:t>拟投入本工程的项目经理必须</w:t>
      </w:r>
      <w:r>
        <w:rPr>
          <w:rFonts w:hint="eastAsia" w:ascii="宋体" w:hAnsi="宋体" w:eastAsia="宋体" w:cs="宋体"/>
          <w:color w:val="auto"/>
          <w:spacing w:val="0"/>
          <w:position w:val="0"/>
          <w:sz w:val="21"/>
          <w:szCs w:val="21"/>
          <w:highlight w:val="none"/>
          <w:lang w:eastAsia="zh-CN"/>
        </w:rPr>
        <w:t>具备</w:t>
      </w:r>
      <w:r>
        <w:rPr>
          <w:rFonts w:hint="eastAsia" w:ascii="宋体" w:hAnsi="宋体" w:cs="宋体"/>
          <w:color w:val="auto"/>
          <w:spacing w:val="0"/>
          <w:position w:val="0"/>
          <w:sz w:val="21"/>
          <w:szCs w:val="21"/>
          <w:highlight w:val="none"/>
          <w:lang w:eastAsia="zh-CN"/>
        </w:rPr>
        <w:t>公路工程或市政公用工程</w:t>
      </w:r>
      <w:r>
        <w:rPr>
          <w:rFonts w:hint="eastAsia" w:ascii="宋体" w:hAnsi="宋体" w:eastAsia="宋体" w:cs="宋体"/>
          <w:color w:val="auto"/>
          <w:spacing w:val="0"/>
          <w:position w:val="0"/>
          <w:sz w:val="21"/>
          <w:szCs w:val="21"/>
          <w:highlight w:val="none"/>
          <w:lang w:eastAsia="zh-CN"/>
        </w:rPr>
        <w:t>专业二级（含二级）以上注册建造师执业资格，具备有效的安全生产考核合格证书（B类），且未担任超过两个在建或中标未开工项目的任何管理职务。（</w:t>
      </w:r>
      <w:r>
        <w:rPr>
          <w:rFonts w:hint="eastAsia" w:ascii="宋体" w:hAnsi="宋体" w:eastAsia="宋体" w:cs="宋体"/>
          <w:color w:val="auto"/>
          <w:spacing w:val="0"/>
          <w:position w:val="0"/>
          <w:szCs w:val="21"/>
          <w:highlight w:val="none"/>
          <w:lang w:eastAsia="zh-CN"/>
        </w:rPr>
        <w:t>供应商必须在响应文件中提供竞标人有效的资质证书、安全生产许可证、项目经理注册建造师证书及安全生产考核合格证书复印件及</w:t>
      </w:r>
      <w:r>
        <w:rPr>
          <w:rFonts w:hint="eastAsia" w:ascii="宋体" w:hAnsi="宋体" w:cs="宋体"/>
          <w:color w:val="auto"/>
          <w:spacing w:val="0"/>
          <w:position w:val="0"/>
          <w:szCs w:val="21"/>
          <w:highlight w:val="none"/>
          <w:lang w:eastAsia="zh-CN"/>
        </w:rPr>
        <w:t>在建工程</w:t>
      </w:r>
      <w:r>
        <w:rPr>
          <w:rFonts w:hint="eastAsia" w:ascii="宋体" w:hAnsi="宋体" w:eastAsia="宋体" w:cs="宋体"/>
          <w:color w:val="auto"/>
          <w:spacing w:val="0"/>
          <w:position w:val="0"/>
          <w:szCs w:val="21"/>
          <w:highlight w:val="none"/>
          <w:lang w:eastAsia="zh-CN"/>
        </w:rPr>
        <w:t>承诺书）。</w:t>
      </w:r>
    </w:p>
    <w:p w14:paraId="0175E790">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val="en-US" w:eastAsia="zh-CN"/>
        </w:rPr>
        <w:t>9.6.2</w:t>
      </w:r>
      <w:r>
        <w:rPr>
          <w:rFonts w:hint="eastAsia" w:ascii="宋体" w:hAnsi="宋体" w:eastAsia="宋体" w:cs="宋体"/>
          <w:b/>
          <w:bCs w:val="0"/>
          <w:color w:val="auto"/>
          <w:spacing w:val="0"/>
          <w:position w:val="0"/>
          <w:szCs w:val="21"/>
          <w:highlight w:val="none"/>
        </w:rPr>
        <w:t>报价文件</w:t>
      </w:r>
    </w:p>
    <w:p w14:paraId="0CC54730">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磋商函；</w:t>
      </w:r>
    </w:p>
    <w:p w14:paraId="2897FF94">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b/>
          <w:bCs w:val="0"/>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磋商函附录</w:t>
      </w:r>
      <w:r>
        <w:rPr>
          <w:rFonts w:hint="eastAsia" w:ascii="宋体" w:hAnsi="宋体" w:eastAsia="宋体" w:cs="宋体"/>
          <w:b/>
          <w:bCs w:val="0"/>
          <w:color w:val="auto"/>
          <w:spacing w:val="0"/>
          <w:position w:val="0"/>
          <w:szCs w:val="21"/>
          <w:highlight w:val="none"/>
          <w:lang w:eastAsia="zh-CN"/>
        </w:rPr>
        <w:t>；</w:t>
      </w:r>
    </w:p>
    <w:p w14:paraId="7243918C">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竞标报价表</w:t>
      </w:r>
      <w:r>
        <w:rPr>
          <w:rFonts w:hint="eastAsia" w:ascii="宋体" w:hAnsi="宋体" w:eastAsia="宋体" w:cs="宋体"/>
          <w:b w:val="0"/>
          <w:bCs/>
          <w:color w:val="auto"/>
          <w:spacing w:val="0"/>
          <w:position w:val="0"/>
          <w:szCs w:val="21"/>
          <w:highlight w:val="none"/>
          <w:lang w:eastAsia="zh-CN"/>
        </w:rPr>
        <w:t>；</w:t>
      </w:r>
    </w:p>
    <w:p w14:paraId="0FCC4FC7">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已标价工程量清单；</w:t>
      </w:r>
    </w:p>
    <w:p w14:paraId="171E62D8">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5</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针对报价需要说明的其他文件和说明</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格式自拟</w:t>
      </w:r>
      <w:r>
        <w:rPr>
          <w:rFonts w:hint="eastAsia" w:ascii="宋体" w:hAnsi="宋体" w:eastAsia="宋体" w:cs="宋体"/>
          <w:b w:val="0"/>
          <w:bCs/>
          <w:color w:val="auto"/>
          <w:spacing w:val="0"/>
          <w:position w:val="0"/>
          <w:szCs w:val="21"/>
          <w:highlight w:val="none"/>
          <w:lang w:eastAsia="zh-CN"/>
        </w:rPr>
        <w:t>）。</w:t>
      </w:r>
    </w:p>
    <w:p w14:paraId="21C609BD">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val="en-US" w:eastAsia="zh-CN"/>
        </w:rPr>
        <w:t>9.6.3</w:t>
      </w:r>
      <w:r>
        <w:rPr>
          <w:rFonts w:hint="eastAsia" w:ascii="宋体" w:hAnsi="宋体" w:eastAsia="宋体" w:cs="宋体"/>
          <w:b/>
          <w:bCs w:val="0"/>
          <w:color w:val="auto"/>
          <w:spacing w:val="0"/>
          <w:position w:val="0"/>
          <w:szCs w:val="21"/>
          <w:highlight w:val="none"/>
        </w:rPr>
        <w:t>商务技术文件</w:t>
      </w:r>
    </w:p>
    <w:p w14:paraId="4958C4CC">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lang w:val="en-US" w:eastAsia="zh-CN"/>
        </w:rPr>
      </w:pPr>
      <w:r>
        <w:rPr>
          <w:rFonts w:hint="eastAsia" w:ascii="宋体" w:hAnsi="宋体" w:eastAsia="宋体" w:cs="宋体"/>
          <w:b/>
          <w:bCs w:val="0"/>
          <w:color w:val="auto"/>
          <w:spacing w:val="0"/>
          <w:position w:val="0"/>
          <w:szCs w:val="21"/>
          <w:highlight w:val="none"/>
          <w:lang w:val="en-US" w:eastAsia="zh-CN"/>
        </w:rPr>
        <w:t>9.6.3.1商务文件</w:t>
      </w:r>
    </w:p>
    <w:p w14:paraId="5820027B">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▲（1）无串通竞标行为的承诺函（格式后附）；</w:t>
      </w:r>
    </w:p>
    <w:p w14:paraId="2AEF9870">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▲（2）法定代表人身份证明书及法定代表人有效身份证正反面复印件（格式后附）；</w:t>
      </w:r>
    </w:p>
    <w:p w14:paraId="7DE274ED">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▲（3）授权委托书及委托代理人有效身份证正反面复印件（格式后附）；（委托时必须提供）</w:t>
      </w:r>
    </w:p>
    <w:p w14:paraId="3C9433EC">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▲（4）农民工工资保证金承诺书（格式后附）</w:t>
      </w:r>
      <w:r>
        <w:rPr>
          <w:rFonts w:hint="eastAsia" w:ascii="宋体" w:hAnsi="宋体" w:cs="宋体"/>
          <w:color w:val="auto"/>
          <w:spacing w:val="0"/>
          <w:position w:val="0"/>
          <w:szCs w:val="21"/>
          <w:highlight w:val="none"/>
          <w:lang w:val="en-US" w:eastAsia="zh-CN"/>
        </w:rPr>
        <w:t>。</w:t>
      </w:r>
    </w:p>
    <w:p w14:paraId="05889A4E">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lang w:val="en-US" w:eastAsia="zh-CN"/>
        </w:rPr>
      </w:pPr>
      <w:r>
        <w:rPr>
          <w:rFonts w:hint="eastAsia" w:ascii="宋体" w:hAnsi="宋体" w:eastAsia="宋体" w:cs="宋体"/>
          <w:b/>
          <w:bCs w:val="0"/>
          <w:color w:val="auto"/>
          <w:spacing w:val="0"/>
          <w:position w:val="0"/>
          <w:szCs w:val="21"/>
          <w:highlight w:val="none"/>
          <w:lang w:val="en-US" w:eastAsia="zh-CN"/>
        </w:rPr>
        <w:t>9.6.3.2技术文件</w:t>
      </w:r>
    </w:p>
    <w:p w14:paraId="6FE01BB6">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w:t>
      </w:r>
      <w:r>
        <w:rPr>
          <w:rFonts w:hint="eastAsia" w:ascii="宋体" w:hAnsi="宋体" w:cs="宋体"/>
          <w:color w:val="auto"/>
          <w:spacing w:val="0"/>
          <w:position w:val="0"/>
          <w:szCs w:val="21"/>
          <w:highlight w:val="none"/>
          <w:lang w:val="en-US" w:eastAsia="zh-CN"/>
        </w:rPr>
        <w:t>1</w:t>
      </w:r>
      <w:r>
        <w:rPr>
          <w:rFonts w:hint="eastAsia" w:ascii="宋体" w:hAnsi="宋体" w:eastAsia="宋体" w:cs="宋体"/>
          <w:color w:val="auto"/>
          <w:spacing w:val="0"/>
          <w:position w:val="0"/>
          <w:szCs w:val="21"/>
          <w:highlight w:val="none"/>
          <w:lang w:val="en-US" w:eastAsia="zh-CN"/>
        </w:rPr>
        <w:t>）施工组织设计；</w:t>
      </w:r>
    </w:p>
    <w:p w14:paraId="0B6C407B">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w:t>
      </w:r>
      <w:r>
        <w:rPr>
          <w:rFonts w:hint="eastAsia" w:ascii="宋体" w:hAnsi="宋体" w:cs="宋体"/>
          <w:color w:val="auto"/>
          <w:spacing w:val="0"/>
          <w:position w:val="0"/>
          <w:szCs w:val="21"/>
          <w:highlight w:val="none"/>
          <w:lang w:val="en-US" w:eastAsia="zh-CN"/>
        </w:rPr>
        <w:t>2</w:t>
      </w:r>
      <w:r>
        <w:rPr>
          <w:rFonts w:hint="eastAsia" w:ascii="宋体" w:hAnsi="宋体" w:eastAsia="宋体" w:cs="宋体"/>
          <w:color w:val="auto"/>
          <w:spacing w:val="0"/>
          <w:position w:val="0"/>
          <w:szCs w:val="21"/>
          <w:highlight w:val="none"/>
          <w:lang w:val="en-US" w:eastAsia="zh-CN"/>
        </w:rPr>
        <w:t>）项目管理机构配备情况表；</w:t>
      </w:r>
    </w:p>
    <w:p w14:paraId="337EF5DE">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w:t>
      </w:r>
      <w:r>
        <w:rPr>
          <w:rFonts w:hint="eastAsia" w:ascii="宋体" w:hAnsi="宋体" w:cs="宋体"/>
          <w:color w:val="auto"/>
          <w:spacing w:val="0"/>
          <w:position w:val="0"/>
          <w:szCs w:val="21"/>
          <w:highlight w:val="none"/>
          <w:lang w:val="en-US" w:eastAsia="zh-CN"/>
        </w:rPr>
        <w:t>3</w:t>
      </w:r>
      <w:r>
        <w:rPr>
          <w:rFonts w:hint="eastAsia" w:ascii="宋体" w:hAnsi="宋体" w:eastAsia="宋体" w:cs="宋体"/>
          <w:color w:val="auto"/>
          <w:spacing w:val="0"/>
          <w:position w:val="0"/>
          <w:szCs w:val="21"/>
          <w:highlight w:val="none"/>
          <w:lang w:val="en-US" w:eastAsia="zh-CN"/>
        </w:rPr>
        <w:t>）供应商针对商务技术需要说明的其他文件和说明（格式自拟）。</w:t>
      </w:r>
    </w:p>
    <w:p w14:paraId="7F3FFF27">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特别说明：</w:t>
      </w:r>
      <w:r>
        <w:rPr>
          <w:rFonts w:hint="eastAsia" w:ascii="宋体" w:hAnsi="宋体" w:eastAsia="宋体" w:cs="宋体"/>
          <w:b/>
          <w:bCs w:val="0"/>
          <w:color w:val="auto"/>
          <w:spacing w:val="0"/>
          <w:position w:val="0"/>
          <w:szCs w:val="21"/>
          <w:highlight w:val="none"/>
          <w:lang w:eastAsia="zh-CN"/>
        </w:rPr>
        <w:t>①</w:t>
      </w:r>
      <w:r>
        <w:rPr>
          <w:rFonts w:hint="eastAsia" w:ascii="宋体" w:hAnsi="宋体" w:eastAsia="宋体" w:cs="宋体"/>
          <w:b/>
          <w:bCs w:val="0"/>
          <w:color w:val="auto"/>
          <w:spacing w:val="0"/>
          <w:position w:val="0"/>
          <w:szCs w:val="21"/>
          <w:highlight w:val="none"/>
        </w:rPr>
        <w:t>电子磋商响应文件中所</w:t>
      </w:r>
      <w:r>
        <w:rPr>
          <w:rFonts w:hint="eastAsia" w:ascii="宋体" w:hAnsi="宋体" w:eastAsia="宋体" w:cs="宋体"/>
          <w:b/>
          <w:bCs w:val="0"/>
          <w:i w:val="0"/>
          <w:iCs w:val="0"/>
          <w:color w:val="auto"/>
          <w:spacing w:val="0"/>
          <w:position w:val="0"/>
          <w:szCs w:val="21"/>
          <w:highlight w:val="none"/>
        </w:rPr>
        <w:t>须加盖公章部分均采用CA签章</w:t>
      </w:r>
      <w:r>
        <w:rPr>
          <w:rFonts w:hint="eastAsia" w:ascii="宋体" w:hAnsi="宋体" w:eastAsia="宋体" w:cs="宋体"/>
          <w:b/>
          <w:bCs w:val="0"/>
          <w:color w:val="auto"/>
          <w:spacing w:val="0"/>
          <w:position w:val="0"/>
          <w:szCs w:val="21"/>
          <w:highlight w:val="none"/>
        </w:rPr>
        <w:t>。若竞争性磋商响应文件中有专门标注的某关联点，并要求供应商在电子投标系统中作出磋商响应的，如供应商未对关联点进行响应或者在响应文件其它内容进行描述，造成电子评审不能查询的责任由供应商自行承担。</w:t>
      </w:r>
    </w:p>
    <w:p w14:paraId="02CDD3DF">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eastAsia="zh-CN"/>
        </w:rPr>
        <w:t>②采购文件要求法定代表人（负责人）或委托代理人签字的部分必须打印签字后扫描或拍照做成PDF格式上传，如供应商有广西政府采购云平台法定代表人CA证书或个人签名CA证书的也可直接使用，否则视为竞标无效</w:t>
      </w:r>
      <w:r>
        <w:rPr>
          <w:rFonts w:hint="eastAsia" w:ascii="宋体" w:hAnsi="宋体" w:eastAsia="宋体" w:cs="宋体"/>
          <w:b/>
          <w:bCs w:val="0"/>
          <w:color w:val="auto"/>
          <w:spacing w:val="0"/>
          <w:position w:val="0"/>
          <w:szCs w:val="21"/>
          <w:highlight w:val="none"/>
        </w:rPr>
        <w:t>。</w:t>
      </w:r>
    </w:p>
    <w:p w14:paraId="3B505746">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eastAsia="zh-CN"/>
        </w:rPr>
        <w:t>③</w:t>
      </w:r>
      <w:r>
        <w:rPr>
          <w:rFonts w:hint="eastAsia" w:ascii="宋体" w:hAnsi="宋体" w:eastAsia="宋体" w:cs="宋体"/>
          <w:b/>
          <w:bCs w:val="0"/>
          <w:color w:val="auto"/>
          <w:spacing w:val="0"/>
          <w:position w:val="0"/>
          <w:szCs w:val="21"/>
          <w:highlight w:val="none"/>
        </w:rPr>
        <w:t>竞争性磋商采购文件要求提供的各种复印件，须加盖供应商CA签章，否则其磋商无效。</w:t>
      </w:r>
    </w:p>
    <w:p w14:paraId="2A45F8E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9.7响应文件有效期：见</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须知前附表。</w:t>
      </w:r>
    </w:p>
    <w:p w14:paraId="1FA6120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9.8磋商保证金：见</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须知前附表。</w:t>
      </w:r>
    </w:p>
    <w:p w14:paraId="7896FA1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10.计量单位</w:t>
      </w:r>
    </w:p>
    <w:p w14:paraId="397B546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10.1磋商文件已有明确规定的，使用磋商文件规定的计量单位；磋商文件没有规定的，应采用</w:t>
      </w:r>
      <w:r>
        <w:rPr>
          <w:rFonts w:hint="eastAsia" w:ascii="宋体" w:hAnsi="宋体" w:eastAsia="宋体" w:cs="宋体"/>
          <w:b w:val="0"/>
          <w:bCs/>
          <w:color w:val="auto"/>
          <w:spacing w:val="0"/>
          <w:position w:val="0"/>
          <w:szCs w:val="21"/>
          <w:highlight w:val="none"/>
          <w:lang w:eastAsia="zh-CN"/>
        </w:rPr>
        <w:t>国家</w:t>
      </w:r>
      <w:r>
        <w:rPr>
          <w:rFonts w:hint="eastAsia" w:ascii="宋体" w:hAnsi="宋体" w:eastAsia="宋体" w:cs="宋体"/>
          <w:b w:val="0"/>
          <w:bCs/>
          <w:color w:val="auto"/>
          <w:spacing w:val="0"/>
          <w:position w:val="0"/>
          <w:szCs w:val="21"/>
          <w:highlight w:val="none"/>
        </w:rPr>
        <w:t>法定计量单位，货币种类为人民币，否则视同未响应。</w:t>
      </w:r>
    </w:p>
    <w:p w14:paraId="62860C54">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三、磋商报价及采购预算</w:t>
      </w:r>
    </w:p>
    <w:p w14:paraId="3A0395D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11.1对于本文件中未列明，而供应商认为必需的费用也需列入总报价。在合同实施时，采购人将不予支付成交供应商没有列入的项目费用，并认为此项目的费用已包括在总报价中。</w:t>
      </w:r>
    </w:p>
    <w:p w14:paraId="715119C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11.2供应商必须就所磋商的采购项目的全部内容作完整唯一报价，漏项报价的或有选择的或有条件的报价，其竞标将视为无效。</w:t>
      </w:r>
    </w:p>
    <w:p w14:paraId="414500B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11.3本项目磋商报价费用指按照采购需求完成该项目的所有服务工作的费用总和。</w:t>
      </w:r>
    </w:p>
    <w:p w14:paraId="5390F0A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11.4供应商应在磋商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供应商原因引起的报价失误，并在磋商时被接受，其后果由供应商自负。</w:t>
      </w:r>
    </w:p>
    <w:p w14:paraId="4B5128EE">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四、响应文件的份数、封装和递交</w:t>
      </w:r>
    </w:p>
    <w:p w14:paraId="02A9508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12.竞争性磋商响应文件的份数：电子</w:t>
      </w:r>
      <w:r>
        <w:rPr>
          <w:rFonts w:hint="eastAsia" w:ascii="宋体" w:hAnsi="宋体" w:eastAsia="宋体" w:cs="宋体"/>
          <w:b w:val="0"/>
          <w:bCs/>
          <w:color w:val="auto"/>
          <w:spacing w:val="0"/>
          <w:position w:val="0"/>
          <w:szCs w:val="21"/>
          <w:highlight w:val="none"/>
          <w:lang w:eastAsia="zh-CN"/>
        </w:rPr>
        <w:t>加密</w:t>
      </w:r>
      <w:r>
        <w:rPr>
          <w:rFonts w:hint="eastAsia" w:ascii="宋体" w:hAnsi="宋体" w:eastAsia="宋体" w:cs="宋体"/>
          <w:b w:val="0"/>
          <w:bCs/>
          <w:color w:val="auto"/>
          <w:spacing w:val="0"/>
          <w:position w:val="0"/>
          <w:szCs w:val="21"/>
          <w:highlight w:val="none"/>
        </w:rPr>
        <w:t>响应文件一份。</w:t>
      </w:r>
    </w:p>
    <w:p w14:paraId="6467141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12.1电子磋商响应文件中须加盖供应商公章位置均采用CA签章</w:t>
      </w:r>
      <w:r>
        <w:rPr>
          <w:rFonts w:hint="eastAsia" w:ascii="宋体" w:hAnsi="宋体" w:eastAsia="宋体" w:cs="宋体"/>
          <w:b w:val="0"/>
          <w:bCs/>
          <w:color w:val="auto"/>
          <w:spacing w:val="0"/>
          <w:position w:val="0"/>
          <w:szCs w:val="21"/>
          <w:highlight w:val="none"/>
          <w:lang w:eastAsia="zh-CN"/>
        </w:rPr>
        <w:t>及本竞争性磋商采购文件规</w:t>
      </w:r>
      <w:r>
        <w:rPr>
          <w:rFonts w:hint="eastAsia" w:ascii="宋体" w:hAnsi="宋体" w:eastAsia="宋体" w:cs="宋体"/>
          <w:b w:val="0"/>
          <w:bCs/>
          <w:color w:val="auto"/>
          <w:spacing w:val="0"/>
          <w:position w:val="0"/>
          <w:szCs w:val="21"/>
          <w:highlight w:val="none"/>
        </w:rPr>
        <w:t>定的格式和顺序编制电子磋商</w:t>
      </w:r>
      <w:r>
        <w:rPr>
          <w:rFonts w:hint="eastAsia" w:ascii="宋体" w:hAnsi="宋体" w:eastAsia="宋体" w:cs="宋体"/>
          <w:b w:val="0"/>
          <w:bCs/>
          <w:color w:val="auto"/>
          <w:spacing w:val="0"/>
          <w:position w:val="0"/>
          <w:szCs w:val="21"/>
          <w:highlight w:val="none"/>
          <w:lang w:eastAsia="zh-CN"/>
        </w:rPr>
        <w:t>响应</w:t>
      </w:r>
      <w:r>
        <w:rPr>
          <w:rFonts w:hint="eastAsia" w:ascii="宋体" w:hAnsi="宋体" w:eastAsia="宋体" w:cs="宋体"/>
          <w:b w:val="0"/>
          <w:bCs/>
          <w:color w:val="auto"/>
          <w:spacing w:val="0"/>
          <w:position w:val="0"/>
          <w:szCs w:val="21"/>
          <w:highlight w:val="none"/>
        </w:rPr>
        <w:t>文件并进行关联定位，以便磋商小组在评审时，点击评分项可直接定位到该评分项内容。如对竞争性磋商采购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30B37BD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13.响应文件的递交</w:t>
      </w:r>
    </w:p>
    <w:p w14:paraId="735ED8E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13.1所有竞争性响应文件应于“第二章磋商须知及前附表”中规定的截止时间前递交到规定地点。</w:t>
      </w:r>
    </w:p>
    <w:p w14:paraId="7298454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进行电子投标应安装客户端软件，并按照采购文件和电子交易平台的要求编制并加密响应文件。供应商未按规定加密的磋商响应文件，电子交易平台将拒收。供应商应当在递交截止时间前完成磋商响应文件的传输递交，并可以补充、修改或者撤回磋商响应文件。补充或者修改磋商响应文件的，应当先行撤回原文件，补充、修改后重新传输递交。递交截止时间前未完成传输的，视为撤回磋商响应文件。递交截止时间后递交的磋商响应文件，电子交易平台将拒收。</w:t>
      </w:r>
    </w:p>
    <w:p w14:paraId="0303979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13.2迟交的响应文件</w:t>
      </w:r>
    </w:p>
    <w:p w14:paraId="42C96FE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采购人或采购代理人按照规定有权拒绝或原封退回在其规定的递交响应文件截止时间之后收到的任何响应文件。</w:t>
      </w:r>
    </w:p>
    <w:p w14:paraId="01D1A68B">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五、竞争性磋商</w:t>
      </w:r>
      <w:r>
        <w:rPr>
          <w:rFonts w:hint="eastAsia" w:ascii="宋体" w:hAnsi="宋体" w:eastAsia="宋体" w:cs="宋体"/>
          <w:b/>
          <w:bCs w:val="0"/>
          <w:color w:val="auto"/>
          <w:spacing w:val="0"/>
          <w:position w:val="0"/>
          <w:szCs w:val="21"/>
          <w:highlight w:val="none"/>
          <w:lang w:eastAsia="zh-CN"/>
        </w:rPr>
        <w:t>（</w:t>
      </w:r>
      <w:r>
        <w:rPr>
          <w:rFonts w:hint="eastAsia" w:ascii="宋体" w:hAnsi="宋体" w:eastAsia="宋体" w:cs="宋体"/>
          <w:b/>
          <w:bCs w:val="0"/>
          <w:color w:val="auto"/>
          <w:spacing w:val="0"/>
          <w:position w:val="0"/>
          <w:szCs w:val="21"/>
          <w:highlight w:val="none"/>
        </w:rPr>
        <w:t>简称磋商</w:t>
      </w:r>
      <w:r>
        <w:rPr>
          <w:rFonts w:hint="eastAsia" w:ascii="宋体" w:hAnsi="宋体" w:eastAsia="宋体" w:cs="宋体"/>
          <w:b/>
          <w:bCs w:val="0"/>
          <w:color w:val="auto"/>
          <w:spacing w:val="0"/>
          <w:position w:val="0"/>
          <w:szCs w:val="21"/>
          <w:highlight w:val="none"/>
          <w:lang w:eastAsia="zh-CN"/>
        </w:rPr>
        <w:t>）</w:t>
      </w:r>
      <w:r>
        <w:rPr>
          <w:rFonts w:hint="eastAsia" w:ascii="宋体" w:hAnsi="宋体" w:eastAsia="宋体" w:cs="宋体"/>
          <w:b/>
          <w:bCs w:val="0"/>
          <w:color w:val="auto"/>
          <w:spacing w:val="0"/>
          <w:position w:val="0"/>
          <w:szCs w:val="21"/>
          <w:highlight w:val="none"/>
        </w:rPr>
        <w:t>与评审</w:t>
      </w:r>
    </w:p>
    <w:p w14:paraId="5D998B8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14.磋商小组成立及响应文件的开启</w:t>
      </w:r>
    </w:p>
    <w:p w14:paraId="010EFF1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14.1磋商小组由采购人代表和评审专家共3人以上单数组成，具体人数见“供应商须知前附表”，其中评审专家人数不得少于磋商小组成员总数的2/3。采购人代表不得以评审专家身份参加本部门或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FB3DA3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6CE73C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14.3响应文件的开启：具体详见“供应商须知前附表”。</w:t>
      </w:r>
    </w:p>
    <w:p w14:paraId="294206B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15.响应文件评审程序</w:t>
      </w:r>
    </w:p>
    <w:p w14:paraId="764A461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15.1资格审查</w:t>
      </w:r>
    </w:p>
    <w:p w14:paraId="1210DD6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15.1.1响应文件开启后，由磋商小组依法对供应商的资格证明文件进行审查。</w:t>
      </w:r>
    </w:p>
    <w:p w14:paraId="29614CF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15.1.2通过资格审查的合格供应商不足3家的，不得进入符合性审查环节，采购人或采购代理机构应当重新开展采购活动。</w:t>
      </w:r>
    </w:p>
    <w:p w14:paraId="57F3C92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15.2符合性审查</w:t>
      </w:r>
    </w:p>
    <w:p w14:paraId="7BAF106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15.2.1由磋商小组通过资格审查的合格供应商的响应文件的竞标报价、商务、技术等实质性要求进行符合性审查，以确定其是否满足竞争性磋商文件的实质性要求。</w:t>
      </w:r>
    </w:p>
    <w:p w14:paraId="659C781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8FD12E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15.2.3磋商小组要求供应商澄清、说明或者更正响应文件应当要求供应商在合理时间</w:t>
      </w:r>
      <w:r>
        <w:rPr>
          <w:rFonts w:hint="eastAsia" w:ascii="宋体" w:hAnsi="宋体" w:eastAsia="宋体" w:cs="宋体"/>
          <w:b w:val="0"/>
          <w:bCs/>
          <w:color w:val="auto"/>
          <w:spacing w:val="0"/>
          <w:position w:val="0"/>
          <w:szCs w:val="21"/>
          <w:highlight w:val="none"/>
          <w:lang w:eastAsia="zh-CN"/>
        </w:rPr>
        <w:t>内通</w:t>
      </w:r>
      <w:r>
        <w:rPr>
          <w:rFonts w:hint="eastAsia" w:ascii="宋体" w:hAnsi="宋体" w:eastAsia="宋体" w:cs="宋体"/>
          <w:b w:val="0"/>
          <w:bCs/>
          <w:color w:val="auto"/>
          <w:spacing w:val="0"/>
          <w:position w:val="0"/>
          <w:szCs w:val="21"/>
          <w:highlight w:val="none"/>
        </w:rPr>
        <w:t>过</w:t>
      </w:r>
      <w:r>
        <w:rPr>
          <w:rFonts w:hint="eastAsia" w:ascii="宋体" w:hAnsi="宋体" w:eastAsia="宋体" w:cs="宋体"/>
          <w:b w:val="0"/>
          <w:bCs/>
          <w:color w:val="auto"/>
          <w:spacing w:val="0"/>
          <w:position w:val="0"/>
          <w:szCs w:val="21"/>
          <w:highlight w:val="none"/>
          <w:lang w:eastAsia="zh-CN"/>
        </w:rPr>
        <w:t>广西政府采购云平台（https://www.gcy.zfcg.gxzf.gov.cn/）</w:t>
      </w:r>
      <w:r>
        <w:rPr>
          <w:rFonts w:hint="eastAsia" w:ascii="宋体" w:hAnsi="宋体" w:eastAsia="宋体" w:cs="宋体"/>
          <w:b w:val="0"/>
          <w:bCs/>
          <w:color w:val="auto"/>
          <w:spacing w:val="0"/>
          <w:position w:val="0"/>
          <w:szCs w:val="21"/>
          <w:highlight w:val="none"/>
        </w:rPr>
        <w:t>的方式形式作出。供应商的澄清、说明或者更正必须通过</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28B505A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15.2.4首次响应文件中报价出现前后不一致的，按照下列规定修正：</w:t>
      </w:r>
    </w:p>
    <w:p w14:paraId="11D4278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响应文件中报价表内容与响应文件中相应内容不一致的，以报价表为准；</w:t>
      </w:r>
    </w:p>
    <w:p w14:paraId="474D4E5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大写金额和小写金额不一致的，以大写金额为准；</w:t>
      </w:r>
    </w:p>
    <w:p w14:paraId="6559926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单价金额小数点或者百分比有明显错位的，以报价表的总价为准，并修改单价；</w:t>
      </w:r>
    </w:p>
    <w:p w14:paraId="3F833B4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总价金额与按单价汇总金额不一致的，以单价金额计算结果为准。</w:t>
      </w:r>
    </w:p>
    <w:p w14:paraId="7C70B3E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同时出现两种以上不一致的，按照以上</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规定的顺序逐条进行修正。修正后的报价经供应商确认后产生约束力，供应商不确认的，其响应文件按无效响应处理。</w:t>
      </w:r>
    </w:p>
    <w:p w14:paraId="033A770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15.2.5磋商小组成员应当按照客观、公正、审慎的原则，根据第四章“评审程序、评审方法和评审标准”进行独立评审。磋商小组对响应文件进行评审，未实质性响应竞争性磋商文件的响应文件按无效响应处理，由磋商小组告知提交响应文件的供应商。</w:t>
      </w:r>
    </w:p>
    <w:p w14:paraId="4D75842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15.2.6通过符合性审查的合格供应商不足3家的，不得进入磋商环节，采购人或采购代理机构应当重新开展采购活动。</w:t>
      </w:r>
    </w:p>
    <w:p w14:paraId="6387B0D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16.磋商</w:t>
      </w:r>
    </w:p>
    <w:p w14:paraId="4F6B21A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16.1磋商小组按照“供应商须知前附表”确定的顺序，集中与单一供应商分别进行磋商，并予所有参加磋商的供应商平等的磋商机会。符合磋商资格的供应商必须实时关注</w:t>
      </w:r>
      <w:r>
        <w:rPr>
          <w:rFonts w:hint="eastAsia" w:ascii="宋体" w:hAnsi="宋体" w:eastAsia="宋体" w:cs="宋体"/>
          <w:b w:val="0"/>
          <w:bCs/>
          <w:color w:val="auto"/>
          <w:spacing w:val="0"/>
          <w:position w:val="0"/>
          <w:szCs w:val="21"/>
          <w:highlight w:val="none"/>
          <w:lang w:eastAsia="zh-CN"/>
        </w:rPr>
        <w:t>广西政府采购云平台（https://www.gcy.zfcg.gxzf.gov.cn/）</w:t>
      </w:r>
      <w:r>
        <w:rPr>
          <w:rFonts w:hint="eastAsia" w:ascii="宋体" w:hAnsi="宋体" w:eastAsia="宋体" w:cs="宋体"/>
          <w:b w:val="0"/>
          <w:bCs/>
          <w:color w:val="auto"/>
          <w:spacing w:val="0"/>
          <w:position w:val="0"/>
          <w:szCs w:val="21"/>
          <w:highlight w:val="none"/>
        </w:rPr>
        <w:t>开标信息，在接到磋商通知后规定时间内参加磋商，未在规定时间内参加磋商的视同放弃参加磋商权利，其响应文件按无效响应处理。</w:t>
      </w:r>
    </w:p>
    <w:p w14:paraId="519696E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16.2在磋商过程中，磋商小组可以根据磋商文件和磋商情况实质性变动采购需求中的技术、服务要求以及合同草案条款，但不得变动磋商文件中的其他内容。实质性变动的内容，须经采购人代表确认。可能实质性变动的内容详见“供应商须知前附表”。</w:t>
      </w:r>
    </w:p>
    <w:p w14:paraId="4944D22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16.3对竞争性磋商文件作出的实质性变动是竞争性磋商文件的有效组成部分，由磋商小组及时以书面形式同时通知所有参加磋商的供应商。</w:t>
      </w:r>
    </w:p>
    <w:p w14:paraId="061C44D4">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16.4供应商必须按照磋商文件的变动情况和磋商小组的要求重新提交响应文件，并由其法定代表人或者授权代表签字或者加盖CA签章在</w:t>
      </w:r>
      <w:r>
        <w:rPr>
          <w:rFonts w:hint="eastAsia" w:ascii="宋体" w:hAnsi="宋体" w:eastAsia="宋体" w:cs="宋体"/>
          <w:b w:val="0"/>
          <w:bCs/>
          <w:color w:val="auto"/>
          <w:spacing w:val="0"/>
          <w:position w:val="0"/>
          <w:szCs w:val="21"/>
          <w:highlight w:val="none"/>
          <w:lang w:eastAsia="zh-CN"/>
        </w:rPr>
        <w:t>广西政府采购云平台（https://www.gcy.zfcg.gxzf.gov.cn/）</w:t>
      </w:r>
      <w:r>
        <w:rPr>
          <w:rFonts w:hint="eastAsia" w:ascii="宋体" w:hAnsi="宋体" w:eastAsia="宋体" w:cs="宋体"/>
          <w:b w:val="0"/>
          <w:bCs/>
          <w:color w:val="auto"/>
          <w:spacing w:val="0"/>
          <w:position w:val="0"/>
          <w:szCs w:val="21"/>
          <w:highlight w:val="none"/>
        </w:rPr>
        <w:t>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0367164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16.5磋商中，磋商的任何一方不得透露与磋商有关的其他供应商的技术资料、价格和其他信息。</w:t>
      </w:r>
    </w:p>
    <w:p w14:paraId="5B54E63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16.6采购代理机构对磋商过程和重要磋商内容进行记录，磋商双方应在记录上签字确认。</w:t>
      </w:r>
    </w:p>
    <w:p w14:paraId="1A04C26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16.7磋商过程中重新提交的响应文件，供应商可以在开启前补充、修改。</w:t>
      </w:r>
    </w:p>
    <w:p w14:paraId="7CB6B56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16.8根据《财政部关于政府采购竞争性磋商采购方式管理暂行办法有关问题的补充通知》</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财库〔2015〕124号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的规定，采用竞争性磋商采购方式采购的政府购买服务项目</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含政府和社会资本合作项目</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，在采购过程中符合要求的供应商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社会资本</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只有2家的，竞争性磋商采购活动可以继续进行。采购过程中符合要求的供应商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社会资本</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只有1家的，采购人</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项目实施机构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或者采购代理机构应当终止竞争性磋商采购活动，发布项目终止公告并说明原因，重新开展采购活动。</w:t>
      </w:r>
    </w:p>
    <w:p w14:paraId="38C9070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16.9对磋商过程提交的响应文件进行有效性、完整性和响应程度审查，通过审查的合格供应商不足3家的，除本须知正文第16.8条的情形外，采购人或采购代理机构应当重新开展采购活动。</w:t>
      </w:r>
    </w:p>
    <w:p w14:paraId="165FBEE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16.10本项目所有响应文件的首次报价及所有磋商报价均不公布。最后磋商结束后，磋商小组不得再与供应商进行任何形式的商谈。</w:t>
      </w:r>
    </w:p>
    <w:p w14:paraId="0176703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17.最后报价</w:t>
      </w:r>
    </w:p>
    <w:p w14:paraId="2C4EDA5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17.1磋商文件能够详细列明采购标的的技术、服务要求的，磋商结束后，由磋商小组要求所有继续参加磋商的供应商在规定时间内在</w:t>
      </w:r>
      <w:r>
        <w:rPr>
          <w:rFonts w:hint="eastAsia" w:ascii="宋体" w:hAnsi="宋体" w:eastAsia="宋体" w:cs="宋体"/>
          <w:b w:val="0"/>
          <w:bCs/>
          <w:color w:val="auto"/>
          <w:spacing w:val="0"/>
          <w:position w:val="0"/>
          <w:szCs w:val="21"/>
          <w:highlight w:val="none"/>
          <w:lang w:eastAsia="zh-CN"/>
        </w:rPr>
        <w:t>广西政府采购云平台（https://www.gcy.zfcg.gxzf.gov.cn/）</w:t>
      </w:r>
      <w:r>
        <w:rPr>
          <w:rFonts w:hint="eastAsia" w:ascii="宋体" w:hAnsi="宋体" w:eastAsia="宋体" w:cs="宋体"/>
          <w:b w:val="0"/>
          <w:bCs/>
          <w:color w:val="auto"/>
          <w:spacing w:val="0"/>
          <w:position w:val="0"/>
          <w:szCs w:val="21"/>
          <w:highlight w:val="none"/>
        </w:rPr>
        <w:t>提交最后报价，提交最后报价的供应商不得少于3家，除本章第4.3条外，否则必须重新采购。</w:t>
      </w:r>
    </w:p>
    <w:p w14:paraId="5A8CFA1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17.2磋商文件不能详细列明采购标的的技术、服务要求，需经磋商由供应商提供最后设计方案或者解决方案的，磋商结束后，由磋商小组按照少数服从多数的原则投票推荐3家以上供应商的设计方案或者解决方案</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并要求其在规定时间内在</w:t>
      </w:r>
      <w:r>
        <w:rPr>
          <w:rFonts w:hint="eastAsia" w:ascii="宋体" w:hAnsi="宋体" w:eastAsia="宋体" w:cs="宋体"/>
          <w:b w:val="0"/>
          <w:bCs/>
          <w:color w:val="auto"/>
          <w:spacing w:val="0"/>
          <w:position w:val="0"/>
          <w:szCs w:val="21"/>
          <w:highlight w:val="none"/>
          <w:lang w:eastAsia="zh-CN"/>
        </w:rPr>
        <w:t>广西政府采购云平台（https://www.gcy.zfcg.gxzf.gov.cn/）</w:t>
      </w:r>
      <w:r>
        <w:rPr>
          <w:rFonts w:hint="eastAsia" w:ascii="宋体" w:hAnsi="宋体" w:eastAsia="宋体" w:cs="宋体"/>
          <w:b w:val="0"/>
          <w:bCs/>
          <w:color w:val="auto"/>
          <w:spacing w:val="0"/>
          <w:position w:val="0"/>
          <w:szCs w:val="21"/>
          <w:highlight w:val="none"/>
        </w:rPr>
        <w:t>提交最后报价。</w:t>
      </w:r>
    </w:p>
    <w:p w14:paraId="3FF794D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b w:val="0"/>
          <w:bCs/>
          <w:color w:val="auto"/>
          <w:spacing w:val="0"/>
          <w:position w:val="0"/>
          <w:szCs w:val="21"/>
          <w:highlight w:val="none"/>
        </w:rPr>
        <w:t>最后报价与首次报价相比有调整的：供应商提交的最后报价必须包含已标价的工程量清单，即最后报价是工程量清单全部工作内容的价格体现，具体包括供应商部分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分部分项工程量清单费用、措施项目清单费用、规费、税金、其它项目</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和采购人部分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暂列金、材料购置费</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如有</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等完成本工程并经验收合格至达到质量保修期限所需的费用、合理利润及风险。如磋商文件或磋商程中明确供应商应提供技术服务及其它服务的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如检测费、验收发生的费用</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，相应费用也应包括在最后报价中。最后报价不允许采用汇总后优惠、打折的形式，否则其报价无效并作无效响应处理。供应商在报价时可只报总价，但必须将包含已标价工程量清单的最后报价在规定时间内在</w:t>
      </w:r>
      <w:r>
        <w:rPr>
          <w:rFonts w:hint="eastAsia" w:ascii="宋体" w:hAnsi="宋体" w:eastAsia="宋体" w:cs="宋体"/>
          <w:b w:val="0"/>
          <w:bCs/>
          <w:color w:val="auto"/>
          <w:spacing w:val="0"/>
          <w:position w:val="0"/>
          <w:szCs w:val="21"/>
          <w:highlight w:val="none"/>
          <w:lang w:eastAsia="zh-CN"/>
        </w:rPr>
        <w:t>广西政府采购云平台（https://www.gcy.zfcg.gxzf.gov.cn/）</w:t>
      </w:r>
      <w:r>
        <w:rPr>
          <w:rFonts w:hint="eastAsia" w:ascii="宋体" w:hAnsi="宋体" w:eastAsia="宋体" w:cs="宋体"/>
          <w:b w:val="0"/>
          <w:bCs/>
          <w:color w:val="auto"/>
          <w:spacing w:val="0"/>
          <w:position w:val="0"/>
          <w:szCs w:val="21"/>
          <w:highlight w:val="none"/>
        </w:rPr>
        <w:t>提交，</w:t>
      </w:r>
      <w:r>
        <w:rPr>
          <w:rFonts w:hint="eastAsia" w:ascii="宋体" w:hAnsi="宋体" w:eastAsia="宋体" w:cs="宋体"/>
          <w:b w:val="0"/>
          <w:bCs/>
          <w:color w:val="auto"/>
          <w:spacing w:val="0"/>
          <w:position w:val="0"/>
          <w:szCs w:val="21"/>
          <w:highlight w:val="none"/>
          <w:lang w:eastAsia="zh-CN"/>
        </w:rPr>
        <w:t>逾期视为放弃磋商资格、退出磋商。</w:t>
      </w:r>
    </w:p>
    <w:p w14:paraId="4FDB93C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17.3最后报价是供应商响应文件的有效组成部分。符合《政府采购竞争性磋商采购方式管理暂行办法》</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财库〔2014〕214号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第三条第四项“市场竞争不充分的科研项目，以及需要扶持的科技成果转化项目”的，提交最后报价的供应商可以为2家。</w:t>
      </w:r>
    </w:p>
    <w:p w14:paraId="3E1A755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17.4已经提交响应文件的供应商，在提交最后报价之前，可以根据磋商情况退出磋商，退出磋商的供应商的响应文件按无效响应处理。采购人、采购代理机构将退还退出磋商的供应商的保证金。</w:t>
      </w:r>
    </w:p>
    <w:p w14:paraId="126179E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17.5供应商未在规定时间内提交最后报价的，视同退出磋商。</w:t>
      </w:r>
    </w:p>
    <w:p w14:paraId="38E351D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17.6磋商小组收齐某一分标最后报价后统一开启，磋商小组对最后报价进行有效性、完整性和响应程度的审查。</w:t>
      </w:r>
    </w:p>
    <w:p w14:paraId="60B47F0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17.7响应文件最后报价出现前后不一致的，按照本正文第25.2.4条的规定修正。</w:t>
      </w:r>
    </w:p>
    <w:p w14:paraId="78A6779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17.8修正后的报价出现下列情形的，按无效响应处理：</w:t>
      </w:r>
    </w:p>
    <w:p w14:paraId="63C1F84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供应商不确认的；</w:t>
      </w:r>
    </w:p>
    <w:p w14:paraId="1925D2F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经供应商确认修正后的竞标报价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包含首次报价、最后报价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超过所竞标规定的采购预算金额或者最高限价的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如本项目公布了最高限价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56CE06A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经供应商确认修正后的竞标报价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包含首次报价、最后报价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超过分项采购预算金额或者最高限价的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如本项目公布了最高限价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6D7F27B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17.9经供应商确认修正后的最后报价作为评审及签订合同的依据。</w:t>
      </w:r>
    </w:p>
    <w:p w14:paraId="36B2DC6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b w:val="0"/>
          <w:bCs/>
          <w:color w:val="auto"/>
          <w:spacing w:val="0"/>
          <w:position w:val="0"/>
          <w:szCs w:val="21"/>
          <w:highlight w:val="none"/>
        </w:rPr>
        <w:t>17.10最后报价结束后，磋商小组不得再与供应商进行任何形式的商谈。</w:t>
      </w:r>
    </w:p>
    <w:p w14:paraId="7A20FAC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18.比较与评价</w:t>
      </w:r>
    </w:p>
    <w:p w14:paraId="1E85AA4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18.1评审方法：综合评分法。</w:t>
      </w:r>
    </w:p>
    <w:p w14:paraId="3CA44ED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18.2经磋商确定最终采购需求和提交最后报价的供应商后，由磋商小组采用综合评分法对提交最后报价的供应商的响应文件和最后报价进行综合评分。详见第四章“评审程序、评审方法和评审标准”。</w:t>
      </w:r>
    </w:p>
    <w:p w14:paraId="7E7F205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18.3评审时，磋商小组各成员应当独立对每个有效的响应文件进行评价、打分，然后汇总每个供应商每项评分因素的得分。</w:t>
      </w:r>
    </w:p>
    <w:p w14:paraId="7D1258F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磋商小组按照竞争性磋商文件中规定的评审标准计算各供应商的报价得分。项目评审过程中，不得去掉最后报价中的最高报价和最低报价。</w:t>
      </w:r>
    </w:p>
    <w:p w14:paraId="7BF0A04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各供应商的得分为磋商小组所有成员的有效评分的算术平均数。</w:t>
      </w:r>
    </w:p>
    <w:p w14:paraId="52AAA28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18.4评审价为供应商的最后报价进行政策性扣除后的价格，评审价只是作为评审时使用。最终成交供应商的成交金额等于最后报价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如有修正，以确认修正后的最后报价为准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795994F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18.5由磋商小组根据综合评分情况，按照评审得分由高到低顺序推荐3名以上成交候选供应商，并编写评审报告。符合本须知正文第17.3条情形的，可以推荐2家成交候选供应商。评审得分相同的，按照最后报价由低到高的顺序推荐。评审得分且最后报价相同的，按照技术指标优劣顺序推荐。</w:t>
      </w:r>
    </w:p>
    <w:p w14:paraId="255F8B3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B7AF7F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特别说明：</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公司如对电子化磋商及评审程序有调整的，按调整后的程序操作。</w:t>
      </w:r>
    </w:p>
    <w:p w14:paraId="4D4C7B2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18.6采购过程中出现以下情形，导致电子交易平台无法正常运行，或者无法保证电子交易的公平、公正和安全时，采购组织机构可中止电子交易活动：</w:t>
      </w:r>
    </w:p>
    <w:p w14:paraId="4A65FFD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18.6.1电子交易平台发生故障而无法登录访问的；</w:t>
      </w:r>
    </w:p>
    <w:p w14:paraId="0F22369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18.6.2电子交易平台应用或数据库出现错误，不能进行正常操作的；</w:t>
      </w:r>
    </w:p>
    <w:p w14:paraId="047840B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18.6.3电子交易平台发现严重安全漏洞，有潜在泄密危险的；</w:t>
      </w:r>
    </w:p>
    <w:p w14:paraId="600F0F8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18.6.4病毒发作导致不能进行正常操作的；</w:t>
      </w:r>
    </w:p>
    <w:p w14:paraId="7F70BF9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18.6.5其他无法保证电子交易的公平、公正和安全的情况。</w:t>
      </w:r>
    </w:p>
    <w:p w14:paraId="276E067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18.6.6出现前款规定情形，不影响采购公平、公正性的，采购组织机构可以待上述情形消除后继续组织电子交易活动，也可以决定某些环节以纸质形式进行；影响或可能影响采购公平、公正性的，应当重新采购。</w:t>
      </w:r>
    </w:p>
    <w:p w14:paraId="7F085118">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六、确定成交供应商办法及结果公告</w:t>
      </w:r>
    </w:p>
    <w:p w14:paraId="149B521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D6E4DD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19.2采购代理机构应当在成交供应商确定后2个工作日内，在省级以上财政部门指定的媒体上公告成交结果，同时向成交供应商发出成交通知书。采购人或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p>
    <w:p w14:paraId="4F616F2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19.3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1C0275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01CADB62">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七、履约保证金</w:t>
      </w:r>
    </w:p>
    <w:p w14:paraId="1E5E299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20.履约保证金：</w:t>
      </w:r>
      <w:r>
        <w:rPr>
          <w:rFonts w:hint="eastAsia" w:ascii="宋体" w:hAnsi="宋体" w:eastAsia="宋体" w:cs="宋体"/>
          <w:b w:val="0"/>
          <w:bCs/>
          <w:color w:val="auto"/>
          <w:spacing w:val="0"/>
          <w:position w:val="0"/>
          <w:szCs w:val="21"/>
          <w:highlight w:val="none"/>
          <w:lang w:val="en-US" w:eastAsia="zh-CN"/>
        </w:rPr>
        <w:t>详见须知前附表</w:t>
      </w:r>
      <w:r>
        <w:rPr>
          <w:rFonts w:hint="eastAsia" w:ascii="宋体" w:hAnsi="宋体" w:eastAsia="宋体" w:cs="宋体"/>
          <w:b w:val="0"/>
          <w:bCs/>
          <w:color w:val="auto"/>
          <w:spacing w:val="0"/>
          <w:position w:val="0"/>
          <w:szCs w:val="21"/>
          <w:highlight w:val="none"/>
        </w:rPr>
        <w:t>。</w:t>
      </w:r>
    </w:p>
    <w:p w14:paraId="5D1C3D99">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八、签订合同</w:t>
      </w:r>
    </w:p>
    <w:p w14:paraId="0066AC6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b w:val="0"/>
          <w:bCs/>
          <w:color w:val="auto"/>
          <w:spacing w:val="0"/>
          <w:position w:val="0"/>
          <w:szCs w:val="21"/>
          <w:highlight w:val="none"/>
        </w:rPr>
        <w:t>21.1成交供应商在收到成交通知书后，按规定与采购人签订采购合同。采购代理机构将在评标结束2个工作日内将评标结果送采购人，采购人在2个工作日内按照采购结果报告中推荐的排名第一的成交候选供应商为成交人。对中标、成交结果公告无异议的项目在中标、成交通知书发出之日起25日内和中标、成交供应商签订政府采购合同，倡导各采购人尽量压缩合同签订时间。</w:t>
      </w:r>
    </w:p>
    <w:p w14:paraId="4DB7407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21.2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5D774C62">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九、政府采购合同公告</w:t>
      </w:r>
    </w:p>
    <w:p w14:paraId="3554F42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22.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BE22959">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十、适用法律</w:t>
      </w:r>
    </w:p>
    <w:p w14:paraId="0C22B9BA">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distribute"/>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23.本项目适用于《中华人民共和国政府采购法》《中华人民共和国政府采购法实施条例》</w:t>
      </w:r>
    </w:p>
    <w:p w14:paraId="6290CFAB">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《政府采购竞争性磋商采购方式管理暂行办法》《财政部关于政府采购竞争性磋商采购方式管理暂行办法有关问题的补充通知》及本项目本级和上级财政部门政府采购有关规定。</w:t>
      </w:r>
    </w:p>
    <w:p w14:paraId="33E4254B">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十一、其他事项</w:t>
      </w:r>
    </w:p>
    <w:p w14:paraId="68A493F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24.1招标代理服务费</w:t>
      </w:r>
    </w:p>
    <w:p w14:paraId="5A29EBEB">
      <w:pPr>
        <w:pStyle w:val="15"/>
        <w:keepNext w:val="0"/>
        <w:keepLines w:val="0"/>
        <w:pageBreakBefore w:val="0"/>
        <w:widowControl w:val="0"/>
        <w:kinsoku/>
        <w:wordWrap w:val="0"/>
        <w:overflowPunct/>
        <w:topLinePunct/>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本项目的招标代理服务费按</w:t>
      </w:r>
      <w:r>
        <w:rPr>
          <w:rFonts w:hint="eastAsia" w:ascii="宋体" w:hAnsi="宋体" w:eastAsia="宋体" w:cs="宋体"/>
          <w:color w:val="auto"/>
          <w:spacing w:val="0"/>
          <w:position w:val="0"/>
          <w:sz w:val="21"/>
          <w:highlight w:val="none"/>
          <w:lang w:val="en-US" w:eastAsia="zh-CN"/>
        </w:rPr>
        <w:t>成交金额为计费额，按收费计算标准（工程类）采用差额定率累进法计算出收费基准价格，采购代理收费以收费基准价格计取，</w:t>
      </w:r>
      <w:r>
        <w:rPr>
          <w:rFonts w:hint="eastAsia" w:ascii="宋体" w:hAnsi="宋体" w:eastAsia="宋体" w:cs="宋体"/>
          <w:b w:val="0"/>
          <w:bCs/>
          <w:color w:val="auto"/>
          <w:spacing w:val="0"/>
          <w:position w:val="0"/>
          <w:szCs w:val="21"/>
          <w:highlight w:val="none"/>
        </w:rPr>
        <w:t>由成交人向代理机构一次性付清。</w:t>
      </w:r>
    </w:p>
    <w:p w14:paraId="5657B003">
      <w:pPr>
        <w:pStyle w:val="15"/>
        <w:keepNext w:val="0"/>
        <w:keepLines w:val="0"/>
        <w:pageBreakBefore w:val="0"/>
        <w:widowControl w:val="0"/>
        <w:kinsoku/>
        <w:wordWrap w:val="0"/>
        <w:overflowPunct/>
        <w:topLinePunct/>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代理服务费专用</w:t>
      </w:r>
      <w:r>
        <w:rPr>
          <w:rFonts w:hint="eastAsia" w:ascii="宋体" w:hAnsi="宋体" w:eastAsia="宋体" w:cs="宋体"/>
          <w:b w:val="0"/>
          <w:bCs/>
          <w:color w:val="auto"/>
          <w:spacing w:val="0"/>
          <w:position w:val="0"/>
          <w:szCs w:val="21"/>
          <w:highlight w:val="none"/>
          <w:lang w:eastAsia="zh-CN"/>
        </w:rPr>
        <w:t>账</w:t>
      </w:r>
      <w:r>
        <w:rPr>
          <w:rFonts w:hint="eastAsia" w:ascii="宋体" w:hAnsi="宋体" w:eastAsia="宋体" w:cs="宋体"/>
          <w:b w:val="0"/>
          <w:bCs/>
          <w:color w:val="auto"/>
          <w:spacing w:val="0"/>
          <w:position w:val="0"/>
          <w:szCs w:val="21"/>
          <w:highlight w:val="none"/>
        </w:rPr>
        <w:t>户：</w:t>
      </w:r>
    </w:p>
    <w:p w14:paraId="76F5A4D7">
      <w:pPr>
        <w:pStyle w:val="15"/>
        <w:keepNext w:val="0"/>
        <w:keepLines w:val="0"/>
        <w:pageBreakBefore w:val="0"/>
        <w:widowControl w:val="0"/>
        <w:kinsoku/>
        <w:wordWrap w:val="0"/>
        <w:overflowPunct/>
        <w:topLinePunct/>
        <w:autoSpaceDE/>
        <w:autoSpaceDN/>
        <w:bidi w:val="0"/>
        <w:adjustRightInd/>
        <w:snapToGrid w:val="0"/>
        <w:spacing w:line="360" w:lineRule="auto"/>
        <w:ind w:left="0" w:firstLine="420" w:firstLineChars="20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开户名称：广西</w:t>
      </w:r>
      <w:r>
        <w:rPr>
          <w:rFonts w:hint="eastAsia" w:hAnsi="宋体" w:cs="宋体"/>
          <w:color w:val="auto"/>
          <w:spacing w:val="0"/>
          <w:position w:val="0"/>
          <w:sz w:val="21"/>
          <w:highlight w:val="none"/>
          <w:lang w:val="en-US" w:eastAsia="zh-CN"/>
        </w:rPr>
        <w:t>至胜</w:t>
      </w:r>
      <w:r>
        <w:rPr>
          <w:rFonts w:hint="eastAsia" w:ascii="宋体" w:hAnsi="宋体" w:eastAsia="宋体" w:cs="宋体"/>
          <w:color w:val="auto"/>
          <w:spacing w:val="0"/>
          <w:position w:val="0"/>
          <w:sz w:val="21"/>
          <w:highlight w:val="none"/>
          <w:lang w:val="en-US" w:eastAsia="zh-CN"/>
        </w:rPr>
        <w:t>招标有限公司</w:t>
      </w:r>
    </w:p>
    <w:p w14:paraId="46A1BD5A">
      <w:pPr>
        <w:pStyle w:val="15"/>
        <w:keepNext w:val="0"/>
        <w:keepLines w:val="0"/>
        <w:pageBreakBefore w:val="0"/>
        <w:widowControl w:val="0"/>
        <w:kinsoku/>
        <w:wordWrap w:val="0"/>
        <w:overflowPunct/>
        <w:topLinePunct/>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开户银行：广西浦北农村商业银行股份公司东风分理处</w:t>
      </w:r>
    </w:p>
    <w:p w14:paraId="34CE0765">
      <w:pPr>
        <w:pStyle w:val="15"/>
        <w:keepNext w:val="0"/>
        <w:keepLines w:val="0"/>
        <w:pageBreakBefore w:val="0"/>
        <w:widowControl w:val="0"/>
        <w:kinsoku/>
        <w:wordWrap w:val="0"/>
        <w:overflowPunct/>
        <w:topLinePunct/>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银行账号：827712010114639167096</w:t>
      </w:r>
    </w:p>
    <w:p w14:paraId="427DA204">
      <w:pPr>
        <w:pStyle w:val="15"/>
        <w:keepNext w:val="0"/>
        <w:keepLines w:val="0"/>
        <w:pageBreakBefore w:val="0"/>
        <w:widowControl w:val="0"/>
        <w:kinsoku/>
        <w:wordWrap w:val="0"/>
        <w:overflowPunct/>
        <w:topLinePunct/>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代理服务费收费计算标准：</w:t>
      </w:r>
    </w:p>
    <w:tbl>
      <w:tblPr>
        <w:tblStyle w:val="52"/>
        <w:tblW w:w="82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579"/>
        <w:gridCol w:w="1579"/>
        <w:gridCol w:w="1581"/>
      </w:tblGrid>
      <w:tr w14:paraId="3A510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3474" w:type="dxa"/>
            <w:tcBorders>
              <w:tl2br w:val="single" w:color="000000" w:sz="4" w:space="0"/>
            </w:tcBorders>
            <w:vAlign w:val="center"/>
          </w:tcPr>
          <w:p w14:paraId="0253E53F">
            <w:pPr>
              <w:keepNext w:val="0"/>
              <w:keepLines w:val="0"/>
              <w:pageBreakBefore w:val="0"/>
              <w:widowControl w:val="0"/>
              <w:kinsoku/>
              <w:wordWrap w:val="0"/>
              <w:overflowPunct/>
              <w:topLinePunct/>
              <w:autoSpaceDE/>
              <w:autoSpaceDN/>
              <w:bidi w:val="0"/>
              <w:adjustRightInd/>
              <w:snapToGrid/>
              <w:spacing w:line="360" w:lineRule="auto"/>
              <w:ind w:left="1702"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费率</w:t>
            </w:r>
          </w:p>
          <w:p w14:paraId="30E384C4">
            <w:pPr>
              <w:keepNext w:val="0"/>
              <w:keepLines w:val="0"/>
              <w:pageBreakBefore w:val="0"/>
              <w:widowControl w:val="0"/>
              <w:kinsoku/>
              <w:wordWrap w:val="0"/>
              <w:overflowPunct/>
              <w:topLinePunct/>
              <w:autoSpaceDE/>
              <w:autoSpaceDN/>
              <w:bidi w:val="0"/>
              <w:adjustRightInd/>
              <w:snapToGrid/>
              <w:spacing w:line="360" w:lineRule="auto"/>
              <w:ind w:left="118"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金额</w:t>
            </w:r>
          </w:p>
        </w:tc>
        <w:tc>
          <w:tcPr>
            <w:tcW w:w="1579" w:type="dxa"/>
            <w:vAlign w:val="center"/>
          </w:tcPr>
          <w:p w14:paraId="2D6A9701">
            <w:pPr>
              <w:keepNext w:val="0"/>
              <w:keepLines w:val="0"/>
              <w:pageBreakBefore w:val="0"/>
              <w:widowControl w:val="0"/>
              <w:kinsoku/>
              <w:wordWrap w:val="0"/>
              <w:overflowPunct/>
              <w:topLinePunct/>
              <w:autoSpaceDE/>
              <w:autoSpaceDN/>
              <w:bidi w:val="0"/>
              <w:adjustRightInd/>
              <w:snapToGrid/>
              <w:spacing w:line="360" w:lineRule="auto"/>
              <w:ind w:left="578" w:firstLine="0" w:firstLineChars="0"/>
              <w:jc w:val="both"/>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货物类</w:t>
            </w:r>
          </w:p>
        </w:tc>
        <w:tc>
          <w:tcPr>
            <w:tcW w:w="1579" w:type="dxa"/>
            <w:vAlign w:val="center"/>
          </w:tcPr>
          <w:p w14:paraId="3E7C2612">
            <w:pPr>
              <w:keepNext w:val="0"/>
              <w:keepLines w:val="0"/>
              <w:pageBreakBefore w:val="0"/>
              <w:widowControl w:val="0"/>
              <w:kinsoku/>
              <w:wordWrap w:val="0"/>
              <w:overflowPunct/>
              <w:topLinePunct/>
              <w:autoSpaceDE/>
              <w:autoSpaceDN/>
              <w:bidi w:val="0"/>
              <w:adjustRightInd/>
              <w:snapToGrid/>
              <w:spacing w:line="360" w:lineRule="auto"/>
              <w:ind w:left="458" w:firstLine="0" w:firstLineChars="0"/>
              <w:jc w:val="both"/>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服务类</w:t>
            </w:r>
          </w:p>
        </w:tc>
        <w:tc>
          <w:tcPr>
            <w:tcW w:w="1581" w:type="dxa"/>
            <w:vAlign w:val="center"/>
          </w:tcPr>
          <w:p w14:paraId="0856D72A">
            <w:pPr>
              <w:keepNext w:val="0"/>
              <w:keepLines w:val="0"/>
              <w:pageBreakBefore w:val="0"/>
              <w:widowControl w:val="0"/>
              <w:kinsoku/>
              <w:wordWrap w:val="0"/>
              <w:overflowPunct/>
              <w:topLinePunct/>
              <w:autoSpaceDE/>
              <w:autoSpaceDN/>
              <w:bidi w:val="0"/>
              <w:adjustRightInd/>
              <w:snapToGrid/>
              <w:spacing w:line="360" w:lineRule="auto"/>
              <w:ind w:left="468" w:firstLine="0" w:firstLineChars="0"/>
              <w:jc w:val="both"/>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工程类</w:t>
            </w:r>
          </w:p>
        </w:tc>
      </w:tr>
      <w:tr w14:paraId="23B25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78946A36">
            <w:pPr>
              <w:keepNext w:val="0"/>
              <w:keepLines w:val="0"/>
              <w:pageBreakBefore w:val="0"/>
              <w:widowControl w:val="0"/>
              <w:kinsoku/>
              <w:wordWrap w:val="0"/>
              <w:overflowPunct/>
              <w:topLinePunct/>
              <w:autoSpaceDE/>
              <w:autoSpaceDN/>
              <w:bidi w:val="0"/>
              <w:adjustRightInd/>
              <w:snapToGrid/>
              <w:spacing w:line="360" w:lineRule="auto"/>
              <w:ind w:left="131"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100万元以下</w:t>
            </w:r>
          </w:p>
        </w:tc>
        <w:tc>
          <w:tcPr>
            <w:tcW w:w="1579" w:type="dxa"/>
            <w:vAlign w:val="center"/>
          </w:tcPr>
          <w:p w14:paraId="29251899">
            <w:pPr>
              <w:keepNext w:val="0"/>
              <w:keepLines w:val="0"/>
              <w:pageBreakBefore w:val="0"/>
              <w:widowControl w:val="0"/>
              <w:kinsoku/>
              <w:wordWrap w:val="0"/>
              <w:overflowPunct/>
              <w:topLinePunct/>
              <w:autoSpaceDE/>
              <w:autoSpaceDN/>
              <w:bidi w:val="0"/>
              <w:adjustRightInd/>
              <w:snapToGrid/>
              <w:spacing w:line="360" w:lineRule="auto"/>
              <w:ind w:left="339"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1.5%</w:t>
            </w:r>
          </w:p>
        </w:tc>
        <w:tc>
          <w:tcPr>
            <w:tcW w:w="1579" w:type="dxa"/>
            <w:vAlign w:val="center"/>
          </w:tcPr>
          <w:p w14:paraId="3192FA0E">
            <w:pPr>
              <w:keepNext w:val="0"/>
              <w:keepLines w:val="0"/>
              <w:pageBreakBefore w:val="0"/>
              <w:widowControl w:val="0"/>
              <w:kinsoku/>
              <w:wordWrap w:val="0"/>
              <w:overflowPunct/>
              <w:topLinePunct/>
              <w:autoSpaceDE/>
              <w:autoSpaceDN/>
              <w:bidi w:val="0"/>
              <w:adjustRightInd/>
              <w:snapToGrid/>
              <w:spacing w:line="360" w:lineRule="auto"/>
              <w:ind w:left="339"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1.5%</w:t>
            </w:r>
          </w:p>
        </w:tc>
        <w:tc>
          <w:tcPr>
            <w:tcW w:w="1581" w:type="dxa"/>
            <w:vAlign w:val="center"/>
          </w:tcPr>
          <w:p w14:paraId="309E55FE">
            <w:pPr>
              <w:keepNext w:val="0"/>
              <w:keepLines w:val="0"/>
              <w:pageBreakBefore w:val="0"/>
              <w:widowControl w:val="0"/>
              <w:kinsoku/>
              <w:wordWrap w:val="0"/>
              <w:overflowPunct/>
              <w:topLinePunct/>
              <w:autoSpaceDE/>
              <w:autoSpaceDN/>
              <w:bidi w:val="0"/>
              <w:adjustRightInd/>
              <w:snapToGrid/>
              <w:spacing w:line="360" w:lineRule="auto"/>
              <w:ind w:left="342"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1.0%</w:t>
            </w:r>
          </w:p>
        </w:tc>
      </w:tr>
      <w:tr w14:paraId="4A45D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74724801">
            <w:pPr>
              <w:keepNext w:val="0"/>
              <w:keepLines w:val="0"/>
              <w:pageBreakBefore w:val="0"/>
              <w:widowControl w:val="0"/>
              <w:kinsoku/>
              <w:wordWrap w:val="0"/>
              <w:overflowPunct/>
              <w:topLinePunct/>
              <w:autoSpaceDE/>
              <w:autoSpaceDN/>
              <w:bidi w:val="0"/>
              <w:adjustRightInd/>
              <w:snapToGrid/>
              <w:spacing w:line="360" w:lineRule="auto"/>
              <w:ind w:left="131"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100</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500万元</w:t>
            </w:r>
          </w:p>
        </w:tc>
        <w:tc>
          <w:tcPr>
            <w:tcW w:w="1579" w:type="dxa"/>
            <w:vAlign w:val="center"/>
          </w:tcPr>
          <w:p w14:paraId="0B7AFDD3">
            <w:pPr>
              <w:keepNext w:val="0"/>
              <w:keepLines w:val="0"/>
              <w:pageBreakBefore w:val="0"/>
              <w:widowControl w:val="0"/>
              <w:kinsoku/>
              <w:wordWrap w:val="0"/>
              <w:overflowPunct/>
              <w:topLinePunct/>
              <w:autoSpaceDE/>
              <w:autoSpaceDN/>
              <w:bidi w:val="0"/>
              <w:adjustRightInd/>
              <w:snapToGrid/>
              <w:spacing w:line="360" w:lineRule="auto"/>
              <w:ind w:left="339"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1.1%</w:t>
            </w:r>
          </w:p>
        </w:tc>
        <w:tc>
          <w:tcPr>
            <w:tcW w:w="1579" w:type="dxa"/>
            <w:vAlign w:val="center"/>
          </w:tcPr>
          <w:p w14:paraId="1A1D2036">
            <w:pPr>
              <w:keepNext w:val="0"/>
              <w:keepLines w:val="0"/>
              <w:pageBreakBefore w:val="0"/>
              <w:widowControl w:val="0"/>
              <w:kinsoku/>
              <w:wordWrap w:val="0"/>
              <w:overflowPunct/>
              <w:topLinePunct/>
              <w:autoSpaceDE/>
              <w:autoSpaceDN/>
              <w:bidi w:val="0"/>
              <w:adjustRightInd/>
              <w:snapToGrid/>
              <w:spacing w:line="360" w:lineRule="auto"/>
              <w:ind w:left="326"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0.8%</w:t>
            </w:r>
          </w:p>
        </w:tc>
        <w:tc>
          <w:tcPr>
            <w:tcW w:w="1581" w:type="dxa"/>
            <w:vAlign w:val="center"/>
          </w:tcPr>
          <w:p w14:paraId="68348AAF">
            <w:pPr>
              <w:keepNext w:val="0"/>
              <w:keepLines w:val="0"/>
              <w:pageBreakBefore w:val="0"/>
              <w:widowControl w:val="0"/>
              <w:kinsoku/>
              <w:wordWrap w:val="0"/>
              <w:overflowPunct/>
              <w:topLinePunct/>
              <w:autoSpaceDE/>
              <w:autoSpaceDN/>
              <w:bidi w:val="0"/>
              <w:adjustRightInd/>
              <w:snapToGrid/>
              <w:spacing w:line="360" w:lineRule="auto"/>
              <w:ind w:left="328"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0.7%</w:t>
            </w:r>
          </w:p>
        </w:tc>
      </w:tr>
      <w:tr w14:paraId="1D5DA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0DC6E4DA">
            <w:pPr>
              <w:keepNext w:val="0"/>
              <w:keepLines w:val="0"/>
              <w:pageBreakBefore w:val="0"/>
              <w:widowControl w:val="0"/>
              <w:kinsoku/>
              <w:wordWrap w:val="0"/>
              <w:overflowPunct/>
              <w:topLinePunct/>
              <w:autoSpaceDE/>
              <w:autoSpaceDN/>
              <w:bidi w:val="0"/>
              <w:adjustRightInd/>
              <w:snapToGrid/>
              <w:spacing w:line="360" w:lineRule="auto"/>
              <w:ind w:left="12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500</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1000万元</w:t>
            </w:r>
          </w:p>
        </w:tc>
        <w:tc>
          <w:tcPr>
            <w:tcW w:w="1579" w:type="dxa"/>
            <w:vAlign w:val="center"/>
          </w:tcPr>
          <w:p w14:paraId="1875BB30">
            <w:pPr>
              <w:keepNext w:val="0"/>
              <w:keepLines w:val="0"/>
              <w:pageBreakBefore w:val="0"/>
              <w:widowControl w:val="0"/>
              <w:kinsoku/>
              <w:wordWrap w:val="0"/>
              <w:overflowPunct/>
              <w:topLinePunct/>
              <w:autoSpaceDE/>
              <w:autoSpaceDN/>
              <w:bidi w:val="0"/>
              <w:adjustRightInd/>
              <w:snapToGrid/>
              <w:spacing w:line="360" w:lineRule="auto"/>
              <w:ind w:left="325"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0.8%</w:t>
            </w:r>
          </w:p>
        </w:tc>
        <w:tc>
          <w:tcPr>
            <w:tcW w:w="1579" w:type="dxa"/>
            <w:vAlign w:val="center"/>
          </w:tcPr>
          <w:p w14:paraId="5B654CAA">
            <w:pPr>
              <w:keepNext w:val="0"/>
              <w:keepLines w:val="0"/>
              <w:pageBreakBefore w:val="0"/>
              <w:widowControl w:val="0"/>
              <w:kinsoku/>
              <w:wordWrap w:val="0"/>
              <w:overflowPunct/>
              <w:topLinePunct/>
              <w:autoSpaceDE/>
              <w:autoSpaceDN/>
              <w:bidi w:val="0"/>
              <w:adjustRightInd/>
              <w:snapToGrid/>
              <w:spacing w:line="360" w:lineRule="auto"/>
              <w:ind w:left="326"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0.45%</w:t>
            </w:r>
          </w:p>
        </w:tc>
        <w:tc>
          <w:tcPr>
            <w:tcW w:w="1581" w:type="dxa"/>
            <w:vAlign w:val="center"/>
          </w:tcPr>
          <w:p w14:paraId="1EBDD8A5">
            <w:pPr>
              <w:keepNext w:val="0"/>
              <w:keepLines w:val="0"/>
              <w:pageBreakBefore w:val="0"/>
              <w:widowControl w:val="0"/>
              <w:kinsoku/>
              <w:wordWrap w:val="0"/>
              <w:overflowPunct/>
              <w:topLinePunct/>
              <w:autoSpaceDE/>
              <w:autoSpaceDN/>
              <w:bidi w:val="0"/>
              <w:adjustRightInd/>
              <w:snapToGrid/>
              <w:spacing w:line="360" w:lineRule="auto"/>
              <w:ind w:left="328"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0.55%</w:t>
            </w:r>
          </w:p>
        </w:tc>
      </w:tr>
      <w:tr w14:paraId="113AE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3D417797">
            <w:pPr>
              <w:keepNext w:val="0"/>
              <w:keepLines w:val="0"/>
              <w:pageBreakBefore w:val="0"/>
              <w:widowControl w:val="0"/>
              <w:kinsoku/>
              <w:wordWrap w:val="0"/>
              <w:overflowPunct/>
              <w:topLinePunct/>
              <w:autoSpaceDE/>
              <w:autoSpaceDN/>
              <w:bidi w:val="0"/>
              <w:adjustRightInd/>
              <w:snapToGrid/>
              <w:spacing w:line="360" w:lineRule="auto"/>
              <w:ind w:left="131"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1000</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5000万元</w:t>
            </w:r>
          </w:p>
        </w:tc>
        <w:tc>
          <w:tcPr>
            <w:tcW w:w="1579" w:type="dxa"/>
            <w:vAlign w:val="center"/>
          </w:tcPr>
          <w:p w14:paraId="5043B125">
            <w:pPr>
              <w:keepNext w:val="0"/>
              <w:keepLines w:val="0"/>
              <w:pageBreakBefore w:val="0"/>
              <w:widowControl w:val="0"/>
              <w:kinsoku/>
              <w:wordWrap w:val="0"/>
              <w:overflowPunct/>
              <w:topLinePunct/>
              <w:autoSpaceDE/>
              <w:autoSpaceDN/>
              <w:bidi w:val="0"/>
              <w:adjustRightInd/>
              <w:snapToGrid/>
              <w:spacing w:line="360" w:lineRule="auto"/>
              <w:ind w:left="325"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0.5%</w:t>
            </w:r>
          </w:p>
        </w:tc>
        <w:tc>
          <w:tcPr>
            <w:tcW w:w="1579" w:type="dxa"/>
            <w:vAlign w:val="center"/>
          </w:tcPr>
          <w:p w14:paraId="2D522217">
            <w:pPr>
              <w:keepNext w:val="0"/>
              <w:keepLines w:val="0"/>
              <w:pageBreakBefore w:val="0"/>
              <w:widowControl w:val="0"/>
              <w:kinsoku/>
              <w:wordWrap w:val="0"/>
              <w:overflowPunct/>
              <w:topLinePunct/>
              <w:autoSpaceDE/>
              <w:autoSpaceDN/>
              <w:bidi w:val="0"/>
              <w:adjustRightInd/>
              <w:snapToGrid/>
              <w:spacing w:line="360" w:lineRule="auto"/>
              <w:ind w:left="326"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0.25%</w:t>
            </w:r>
          </w:p>
        </w:tc>
        <w:tc>
          <w:tcPr>
            <w:tcW w:w="1581" w:type="dxa"/>
            <w:vAlign w:val="center"/>
          </w:tcPr>
          <w:p w14:paraId="364238B5">
            <w:pPr>
              <w:keepNext w:val="0"/>
              <w:keepLines w:val="0"/>
              <w:pageBreakBefore w:val="0"/>
              <w:widowControl w:val="0"/>
              <w:kinsoku/>
              <w:wordWrap w:val="0"/>
              <w:overflowPunct/>
              <w:topLinePunct/>
              <w:autoSpaceDE/>
              <w:autoSpaceDN/>
              <w:bidi w:val="0"/>
              <w:adjustRightInd/>
              <w:snapToGrid/>
              <w:spacing w:line="360" w:lineRule="auto"/>
              <w:ind w:left="328"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0.35%</w:t>
            </w:r>
          </w:p>
        </w:tc>
      </w:tr>
      <w:tr w14:paraId="395FF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1000C06F">
            <w:pPr>
              <w:keepNext w:val="0"/>
              <w:keepLines w:val="0"/>
              <w:pageBreakBefore w:val="0"/>
              <w:widowControl w:val="0"/>
              <w:kinsoku/>
              <w:wordWrap w:val="0"/>
              <w:overflowPunct/>
              <w:topLinePunct/>
              <w:autoSpaceDE/>
              <w:autoSpaceDN/>
              <w:bidi w:val="0"/>
              <w:adjustRightInd/>
              <w:snapToGrid/>
              <w:spacing w:line="360" w:lineRule="auto"/>
              <w:ind w:left="12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5000万元</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1亿元</w:t>
            </w:r>
          </w:p>
        </w:tc>
        <w:tc>
          <w:tcPr>
            <w:tcW w:w="1579" w:type="dxa"/>
            <w:vAlign w:val="center"/>
          </w:tcPr>
          <w:p w14:paraId="26AF1E5A">
            <w:pPr>
              <w:keepNext w:val="0"/>
              <w:keepLines w:val="0"/>
              <w:pageBreakBefore w:val="0"/>
              <w:widowControl w:val="0"/>
              <w:kinsoku/>
              <w:wordWrap w:val="0"/>
              <w:overflowPunct/>
              <w:topLinePunct/>
              <w:autoSpaceDE/>
              <w:autoSpaceDN/>
              <w:bidi w:val="0"/>
              <w:adjustRightInd/>
              <w:snapToGrid/>
              <w:spacing w:line="360" w:lineRule="auto"/>
              <w:ind w:left="325"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0.25%</w:t>
            </w:r>
          </w:p>
        </w:tc>
        <w:tc>
          <w:tcPr>
            <w:tcW w:w="1579" w:type="dxa"/>
            <w:vAlign w:val="center"/>
          </w:tcPr>
          <w:p w14:paraId="321F8580">
            <w:pPr>
              <w:keepNext w:val="0"/>
              <w:keepLines w:val="0"/>
              <w:pageBreakBefore w:val="0"/>
              <w:widowControl w:val="0"/>
              <w:kinsoku/>
              <w:wordWrap w:val="0"/>
              <w:overflowPunct/>
              <w:topLinePunct/>
              <w:autoSpaceDE/>
              <w:autoSpaceDN/>
              <w:bidi w:val="0"/>
              <w:adjustRightInd/>
              <w:snapToGrid/>
              <w:spacing w:line="360" w:lineRule="auto"/>
              <w:ind w:left="326"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0.1%</w:t>
            </w:r>
          </w:p>
        </w:tc>
        <w:tc>
          <w:tcPr>
            <w:tcW w:w="1581" w:type="dxa"/>
            <w:vAlign w:val="center"/>
          </w:tcPr>
          <w:p w14:paraId="3BFD1110">
            <w:pPr>
              <w:keepNext w:val="0"/>
              <w:keepLines w:val="0"/>
              <w:pageBreakBefore w:val="0"/>
              <w:widowControl w:val="0"/>
              <w:kinsoku/>
              <w:wordWrap w:val="0"/>
              <w:overflowPunct/>
              <w:topLinePunct/>
              <w:autoSpaceDE/>
              <w:autoSpaceDN/>
              <w:bidi w:val="0"/>
              <w:adjustRightInd/>
              <w:snapToGrid/>
              <w:spacing w:line="360" w:lineRule="auto"/>
              <w:ind w:left="328"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0.2%</w:t>
            </w:r>
          </w:p>
        </w:tc>
      </w:tr>
      <w:tr w14:paraId="09E1A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3474" w:type="dxa"/>
            <w:vAlign w:val="center"/>
          </w:tcPr>
          <w:p w14:paraId="03325A8E">
            <w:pPr>
              <w:keepNext w:val="0"/>
              <w:keepLines w:val="0"/>
              <w:pageBreakBefore w:val="0"/>
              <w:widowControl w:val="0"/>
              <w:kinsoku/>
              <w:wordWrap w:val="0"/>
              <w:overflowPunct/>
              <w:topLinePunct/>
              <w:autoSpaceDE/>
              <w:autoSpaceDN/>
              <w:bidi w:val="0"/>
              <w:adjustRightInd/>
              <w:snapToGrid/>
              <w:spacing w:line="360" w:lineRule="auto"/>
              <w:ind w:left="131"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5亿元</w:t>
            </w:r>
          </w:p>
        </w:tc>
        <w:tc>
          <w:tcPr>
            <w:tcW w:w="1579" w:type="dxa"/>
            <w:vAlign w:val="center"/>
          </w:tcPr>
          <w:p w14:paraId="5856D0A1">
            <w:pPr>
              <w:keepNext w:val="0"/>
              <w:keepLines w:val="0"/>
              <w:pageBreakBefore w:val="0"/>
              <w:widowControl w:val="0"/>
              <w:kinsoku/>
              <w:wordWrap w:val="0"/>
              <w:overflowPunct/>
              <w:topLinePunct/>
              <w:autoSpaceDE/>
              <w:autoSpaceDN/>
              <w:bidi w:val="0"/>
              <w:adjustRightInd/>
              <w:snapToGrid/>
              <w:spacing w:line="360" w:lineRule="auto"/>
              <w:ind w:left="325"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0.05%</w:t>
            </w:r>
          </w:p>
        </w:tc>
        <w:tc>
          <w:tcPr>
            <w:tcW w:w="1579" w:type="dxa"/>
            <w:vAlign w:val="center"/>
          </w:tcPr>
          <w:p w14:paraId="25D4FAB5">
            <w:pPr>
              <w:keepNext w:val="0"/>
              <w:keepLines w:val="0"/>
              <w:pageBreakBefore w:val="0"/>
              <w:widowControl w:val="0"/>
              <w:kinsoku/>
              <w:wordWrap w:val="0"/>
              <w:overflowPunct/>
              <w:topLinePunct/>
              <w:autoSpaceDE/>
              <w:autoSpaceDN/>
              <w:bidi w:val="0"/>
              <w:adjustRightInd/>
              <w:snapToGrid/>
              <w:spacing w:line="360" w:lineRule="auto"/>
              <w:ind w:left="326"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0.05%</w:t>
            </w:r>
          </w:p>
        </w:tc>
        <w:tc>
          <w:tcPr>
            <w:tcW w:w="1581" w:type="dxa"/>
            <w:vAlign w:val="center"/>
          </w:tcPr>
          <w:p w14:paraId="2C391ED6">
            <w:pPr>
              <w:keepNext w:val="0"/>
              <w:keepLines w:val="0"/>
              <w:pageBreakBefore w:val="0"/>
              <w:widowControl w:val="0"/>
              <w:kinsoku/>
              <w:wordWrap w:val="0"/>
              <w:overflowPunct/>
              <w:topLinePunct/>
              <w:autoSpaceDE/>
              <w:autoSpaceDN/>
              <w:bidi w:val="0"/>
              <w:adjustRightInd/>
              <w:snapToGrid/>
              <w:spacing w:line="360" w:lineRule="auto"/>
              <w:ind w:left="328"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0.05%</w:t>
            </w:r>
          </w:p>
        </w:tc>
      </w:tr>
      <w:tr w14:paraId="347EB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3474" w:type="dxa"/>
            <w:vAlign w:val="center"/>
          </w:tcPr>
          <w:p w14:paraId="33561707">
            <w:pPr>
              <w:keepNext w:val="0"/>
              <w:keepLines w:val="0"/>
              <w:pageBreakBefore w:val="0"/>
              <w:widowControl w:val="0"/>
              <w:kinsoku/>
              <w:wordWrap w:val="0"/>
              <w:overflowPunct/>
              <w:topLinePunct/>
              <w:autoSpaceDE/>
              <w:autoSpaceDN/>
              <w:bidi w:val="0"/>
              <w:adjustRightInd/>
              <w:snapToGrid/>
              <w:spacing w:line="360" w:lineRule="auto"/>
              <w:ind w:left="12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10亿元</w:t>
            </w:r>
          </w:p>
        </w:tc>
        <w:tc>
          <w:tcPr>
            <w:tcW w:w="1579" w:type="dxa"/>
            <w:vAlign w:val="center"/>
          </w:tcPr>
          <w:p w14:paraId="78A233BE">
            <w:pPr>
              <w:keepNext w:val="0"/>
              <w:keepLines w:val="0"/>
              <w:pageBreakBefore w:val="0"/>
              <w:widowControl w:val="0"/>
              <w:kinsoku/>
              <w:wordWrap w:val="0"/>
              <w:overflowPunct/>
              <w:topLinePunct/>
              <w:autoSpaceDE/>
              <w:autoSpaceDN/>
              <w:bidi w:val="0"/>
              <w:adjustRightInd/>
              <w:snapToGrid/>
              <w:spacing w:line="360" w:lineRule="auto"/>
              <w:ind w:left="22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0.035%</w:t>
            </w:r>
          </w:p>
        </w:tc>
        <w:tc>
          <w:tcPr>
            <w:tcW w:w="1579" w:type="dxa"/>
            <w:vAlign w:val="center"/>
          </w:tcPr>
          <w:p w14:paraId="29D5EA0A">
            <w:pPr>
              <w:keepNext w:val="0"/>
              <w:keepLines w:val="0"/>
              <w:pageBreakBefore w:val="0"/>
              <w:widowControl w:val="0"/>
              <w:kinsoku/>
              <w:wordWrap w:val="0"/>
              <w:overflowPunct/>
              <w:topLinePunct/>
              <w:autoSpaceDE/>
              <w:autoSpaceDN/>
              <w:bidi w:val="0"/>
              <w:adjustRightInd/>
              <w:snapToGrid/>
              <w:spacing w:line="360" w:lineRule="auto"/>
              <w:ind w:left="326"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0.035%</w:t>
            </w:r>
          </w:p>
        </w:tc>
        <w:tc>
          <w:tcPr>
            <w:tcW w:w="1581" w:type="dxa"/>
            <w:vAlign w:val="center"/>
          </w:tcPr>
          <w:p w14:paraId="7BE66FDD">
            <w:pPr>
              <w:keepNext w:val="0"/>
              <w:keepLines w:val="0"/>
              <w:pageBreakBefore w:val="0"/>
              <w:widowControl w:val="0"/>
              <w:kinsoku/>
              <w:wordWrap w:val="0"/>
              <w:overflowPunct/>
              <w:topLinePunct/>
              <w:autoSpaceDE/>
              <w:autoSpaceDN/>
              <w:bidi w:val="0"/>
              <w:adjustRightInd/>
              <w:snapToGrid/>
              <w:spacing w:line="360" w:lineRule="auto"/>
              <w:ind w:left="223"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0.035%</w:t>
            </w:r>
          </w:p>
        </w:tc>
      </w:tr>
    </w:tbl>
    <w:p w14:paraId="6262222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注：招标代理服务收费按差额定率累进法计算。</w:t>
      </w:r>
    </w:p>
    <w:p w14:paraId="6F4A3A2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24.2.解释权</w:t>
      </w:r>
    </w:p>
    <w:p w14:paraId="2776DCD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解释权属本采购代理机构。</w:t>
      </w:r>
    </w:p>
    <w:p w14:paraId="22D38B3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24.3询问、质疑和投诉</w:t>
      </w:r>
    </w:p>
    <w:p w14:paraId="48F535C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24.3.1供应商对政府采购活动事项有疑问的，可以向采购人、采购代理机构提出询问，采购人或者采购代理机构应当在3个工作日内对供应商依法提出的询问作出答复。</w:t>
      </w:r>
    </w:p>
    <w:p w14:paraId="2B3705E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24.3.2供应商认为竞争性磋商文件、采购过程或成交结果使自己的合法权益受到损害的，应当在知道或者应知其权益受到损害之日起七个工作日内，以书面形式向采购人、采购代理机构提出质疑，接收质疑函的方式、联系部门、联系电话和通讯地址等信息详见“供应商须知前附表”。具体质疑起算时间如下：</w:t>
      </w:r>
    </w:p>
    <w:p w14:paraId="0013C3D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对可以质疑的竞争性磋商文件提出质疑的，为收到竞争性磋商文件之日或竞争性磋商公告期限届满之日；</w:t>
      </w:r>
    </w:p>
    <w:p w14:paraId="765B2BC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对采购过程提出质疑的，为各采购程序环节结束之日；</w:t>
      </w:r>
    </w:p>
    <w:p w14:paraId="15060F4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对成交结果提出质疑的，为成交结果公告期限届满之日。</w:t>
      </w:r>
    </w:p>
    <w:p w14:paraId="2613DF7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供应商对采购人或采购代理机构的质疑答复不满意或者采购人或采购代理机构未在规定时间内作出答复的，可以在答复期满后十五个工作日内向同级采购监管部门投诉。</w:t>
      </w:r>
    </w:p>
    <w:p w14:paraId="3ECF3B2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24.3.3供应商提出的询问或者质疑超出采购人对采购代理机构委托授权范围的，采购代理机构应当告知供应商向采购人提出。政府采购评审专家应当配合采购人或者采购代理机构答复供应商的询问和质疑。</w:t>
      </w:r>
    </w:p>
    <w:p w14:paraId="03D3184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24.3.4质疑、投诉应当采用书面形式，质疑函、投诉书均应明确阐述竞争性磋商文件、采购过程或成交结果中使自己合法权益受到损害的实质性内容，提供相关事实、法律依据和证据及其来源或线索，便于有关单位调查、答复和处理。</w:t>
      </w:r>
    </w:p>
    <w:p w14:paraId="78E284C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供应商提出质疑应当提交质疑函和必要的证明材料，针对同一采购程序环节的质疑必须在法定质疑期内一次性提出。质疑函应当包括下列内容：</w:t>
      </w:r>
    </w:p>
    <w:p w14:paraId="2026B4E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供应商的姓名或者名称、地址、邮编、联系人及联系电话；</w:t>
      </w:r>
    </w:p>
    <w:p w14:paraId="15BBD9B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质疑项目的名称、编号；</w:t>
      </w:r>
    </w:p>
    <w:p w14:paraId="2C4B5D2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具体、明确的质疑事项和与质疑事项相关的请求；</w:t>
      </w:r>
    </w:p>
    <w:p w14:paraId="08FC3B5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事实依据；</w:t>
      </w:r>
    </w:p>
    <w:p w14:paraId="6062135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5</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必要的法律依据；</w:t>
      </w:r>
    </w:p>
    <w:p w14:paraId="65B0705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6</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提出质疑的日期。</w:t>
      </w:r>
    </w:p>
    <w:p w14:paraId="11588C5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供应商为自然人的，应当由本人签字；供应商为法人或者其他组织的，应当由法定代表人、主要负责人，或者其委托代理人签字或者盖章，并加盖公章。</w:t>
      </w:r>
    </w:p>
    <w:p w14:paraId="540C9B0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24.3.5采购人、采购代理机构认为供应商质疑不成立，或者成立但未对成交结果构成影响的，继续开展采购活动；认为供应商质疑成立且影响或者可能影响成交结果的，按照下列情况处理：</w:t>
      </w:r>
    </w:p>
    <w:p w14:paraId="05E7D9D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对竞争性磋商文件提出的质疑，依法通过澄清或者修改可以继续开展采购活动的，澄清或者修改竞争性磋商文件后继续开展采购活动；否则应当在修改竞争性磋商文件后重新开展采购活动。</w:t>
      </w:r>
    </w:p>
    <w:p w14:paraId="5BFF20E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对采购过程、成交结果提出的质疑，合格供应商符合法定数量时，可以从合格的成交候选人中另行确定成交供应商的，应当依法另行确定成交供应商；否则应当重新开展采购活动。</w:t>
      </w:r>
    </w:p>
    <w:p w14:paraId="0D6D84C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质疑答复导致成交结果改变的，采购人或者采购代理机构应当将有关情况书面报告本级财政部门。</w:t>
      </w:r>
    </w:p>
    <w:p w14:paraId="2DA7818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24.3.6投诉的权利。质疑供应商对采购人、采购代理机构的答复不满意，或者采购人、采购代理机构未在规定时间内作出答复的，可以在答复期满后15个工作日内向《政府采购质疑和投诉办法》</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财政部令第94号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第六条规定的财政部门提起投诉。</w:t>
      </w:r>
    </w:p>
    <w:p w14:paraId="0B5FBB6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所有与本磋商文件有关的函件请按下列通讯地址联系：</w:t>
      </w:r>
    </w:p>
    <w:p w14:paraId="19B69A6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b w:val="0"/>
          <w:bCs/>
          <w:color w:val="auto"/>
          <w:spacing w:val="0"/>
          <w:position w:val="0"/>
          <w:szCs w:val="21"/>
          <w:highlight w:val="none"/>
        </w:rPr>
        <w:t>通讯地址：浦北县小江镇常青路18号(县城南区二级公路西向)</w:t>
      </w:r>
    </w:p>
    <w:p w14:paraId="2C6EB5B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val="en-US" w:eastAsia="zh-CN"/>
        </w:rPr>
      </w:pPr>
      <w:r>
        <w:rPr>
          <w:rFonts w:hint="eastAsia" w:ascii="宋体" w:hAnsi="宋体" w:eastAsia="宋体" w:cs="宋体"/>
          <w:b w:val="0"/>
          <w:bCs/>
          <w:color w:val="auto"/>
          <w:spacing w:val="0"/>
          <w:position w:val="0"/>
          <w:szCs w:val="21"/>
          <w:highlight w:val="none"/>
        </w:rPr>
        <w:t>电话：18897792557</w:t>
      </w:r>
    </w:p>
    <w:p w14:paraId="6A0B9CE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p>
    <w:p w14:paraId="3B849433">
      <w:pPr>
        <w:pStyle w:val="17"/>
        <w:pageBreakBefore w:val="0"/>
        <w:kinsoku/>
        <w:wordWrap w:val="0"/>
        <w:overflowPunct/>
        <w:topLinePunct/>
        <w:autoSpaceDE/>
        <w:autoSpaceDN/>
        <w:bidi w:val="0"/>
        <w:rPr>
          <w:rFonts w:hint="eastAsia" w:ascii="宋体" w:hAnsi="宋体" w:eastAsia="宋体" w:cs="宋体"/>
          <w:b w:val="0"/>
          <w:bCs/>
          <w:color w:val="auto"/>
          <w:spacing w:val="0"/>
          <w:position w:val="0"/>
          <w:szCs w:val="21"/>
          <w:highlight w:val="none"/>
        </w:rPr>
      </w:pPr>
    </w:p>
    <w:p w14:paraId="4AC8CEDA">
      <w:pPr>
        <w:pStyle w:val="17"/>
        <w:pageBreakBefore w:val="0"/>
        <w:kinsoku/>
        <w:wordWrap w:val="0"/>
        <w:overflowPunct/>
        <w:topLinePunct/>
        <w:autoSpaceDE/>
        <w:autoSpaceDN/>
        <w:bidi w:val="0"/>
        <w:rPr>
          <w:rFonts w:hint="eastAsia" w:ascii="宋体" w:hAnsi="宋体" w:eastAsia="宋体" w:cs="宋体"/>
          <w:b w:val="0"/>
          <w:bCs/>
          <w:color w:val="auto"/>
          <w:spacing w:val="0"/>
          <w:position w:val="0"/>
          <w:szCs w:val="21"/>
          <w:highlight w:val="none"/>
        </w:rPr>
      </w:pPr>
    </w:p>
    <w:p w14:paraId="2BE7941B">
      <w:pPr>
        <w:pageBreakBefore w:val="0"/>
        <w:kinsoku/>
        <w:wordWrap w:val="0"/>
        <w:overflowPunct/>
        <w:topLinePunct/>
        <w:autoSpaceDE/>
        <w:autoSpaceDN/>
        <w:bidi w:val="0"/>
        <w:jc w:val="center"/>
        <w:outlineLvl w:val="0"/>
        <w:rPr>
          <w:rFonts w:hint="eastAsia" w:ascii="宋体" w:hAnsi="宋体" w:eastAsia="宋体" w:cs="宋体"/>
          <w:b/>
          <w:bCs/>
          <w:color w:val="auto"/>
          <w:spacing w:val="0"/>
          <w:kern w:val="0"/>
          <w:position w:val="0"/>
          <w:sz w:val="36"/>
          <w:szCs w:val="36"/>
          <w:highlight w:val="none"/>
        </w:rPr>
        <w:sectPr>
          <w:pgSz w:w="11906" w:h="16838"/>
          <w:pgMar w:top="1440" w:right="1080" w:bottom="1440" w:left="1080" w:header="851" w:footer="992" w:gutter="0"/>
          <w:cols w:space="0" w:num="1"/>
          <w:docGrid w:type="lines" w:linePitch="312" w:charSpace="0"/>
        </w:sectPr>
      </w:pPr>
      <w:bookmarkStart w:id="75" w:name="_Toc26558"/>
    </w:p>
    <w:p w14:paraId="7640DCB2">
      <w:pPr>
        <w:pageBreakBefore w:val="0"/>
        <w:kinsoku/>
        <w:wordWrap w:val="0"/>
        <w:overflowPunct/>
        <w:topLinePunct/>
        <w:autoSpaceDE/>
        <w:autoSpaceDN/>
        <w:bidi w:val="0"/>
        <w:jc w:val="center"/>
        <w:outlineLvl w:val="0"/>
        <w:rPr>
          <w:rFonts w:hint="eastAsia" w:ascii="宋体" w:hAnsi="宋体" w:eastAsia="宋体" w:cs="宋体"/>
          <w:b/>
          <w:bCs/>
          <w:color w:val="auto"/>
          <w:spacing w:val="0"/>
          <w:kern w:val="0"/>
          <w:position w:val="0"/>
          <w:sz w:val="36"/>
          <w:szCs w:val="36"/>
          <w:highlight w:val="none"/>
        </w:rPr>
      </w:pPr>
      <w:bookmarkStart w:id="76" w:name="_Toc27370"/>
      <w:r>
        <w:rPr>
          <w:rFonts w:hint="eastAsia" w:ascii="宋体" w:hAnsi="宋体" w:eastAsia="宋体" w:cs="宋体"/>
          <w:b/>
          <w:bCs/>
          <w:color w:val="auto"/>
          <w:spacing w:val="0"/>
          <w:kern w:val="0"/>
          <w:position w:val="0"/>
          <w:sz w:val="36"/>
          <w:szCs w:val="36"/>
          <w:highlight w:val="none"/>
        </w:rPr>
        <w:t>第三章  项目基本情况及要求</w:t>
      </w:r>
      <w:bookmarkEnd w:id="75"/>
      <w:bookmarkEnd w:id="76"/>
    </w:p>
    <w:p w14:paraId="7718E343">
      <w:pPr>
        <w:pStyle w:val="39"/>
        <w:pageBreakBefore w:val="0"/>
        <w:kinsoku/>
        <w:wordWrap w:val="0"/>
        <w:overflowPunct/>
        <w:topLinePunct/>
        <w:autoSpaceDE/>
        <w:autoSpaceDN/>
        <w:bidi w:val="0"/>
        <w:ind w:firstLine="915"/>
        <w:rPr>
          <w:rFonts w:hint="eastAsia" w:ascii="宋体" w:hAnsi="宋体" w:eastAsia="宋体" w:cs="宋体"/>
          <w:color w:val="auto"/>
          <w:spacing w:val="0"/>
          <w:position w:val="0"/>
          <w:highlight w:val="none"/>
        </w:rPr>
      </w:pPr>
    </w:p>
    <w:p w14:paraId="1CB188FD">
      <w:pPr>
        <w:pageBreakBefore w:val="0"/>
        <w:kinsoku/>
        <w:wordWrap w:val="0"/>
        <w:overflowPunct/>
        <w:topLinePunct/>
        <w:autoSpaceDE/>
        <w:autoSpaceDN/>
        <w:bidi w:val="0"/>
        <w:spacing w:line="360" w:lineRule="auto"/>
        <w:jc w:val="left"/>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说明：</w:t>
      </w:r>
    </w:p>
    <w:p w14:paraId="1652E7B1">
      <w:pPr>
        <w:pageBreakBefore w:val="0"/>
        <w:kinsoku/>
        <w:wordWrap w:val="0"/>
        <w:overflowPunct/>
        <w:topLinePunct/>
        <w:autoSpaceDE/>
        <w:autoSpaceDN/>
        <w:bidi w:val="0"/>
        <w:spacing w:line="360" w:lineRule="auto"/>
        <w:ind w:firstLine="424" w:firstLineChars="202"/>
        <w:jc w:val="left"/>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1</w:t>
      </w:r>
      <w:r>
        <w:rPr>
          <w:rFonts w:hint="eastAsia" w:ascii="宋体" w:hAnsi="宋体" w:eastAsia="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lang w:eastAsia="zh-CN"/>
        </w:rPr>
        <w:t>供应商必须自行为其竞标产品侵犯他人的知识产权或者专利成果的行为承担相应法律责任。</w:t>
      </w:r>
    </w:p>
    <w:p w14:paraId="551C76E9">
      <w:pPr>
        <w:pageBreakBefore w:val="0"/>
        <w:kinsoku/>
        <w:wordWrap w:val="0"/>
        <w:overflowPunct/>
        <w:topLinePunct/>
        <w:autoSpaceDE/>
        <w:autoSpaceDN/>
        <w:bidi w:val="0"/>
        <w:spacing w:line="360" w:lineRule="auto"/>
        <w:ind w:firstLine="424" w:firstLineChars="202"/>
        <w:jc w:val="left"/>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2</w:t>
      </w:r>
      <w:r>
        <w:rPr>
          <w:rFonts w:hint="eastAsia" w:ascii="宋体" w:hAnsi="宋体" w:eastAsia="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lang w:eastAsia="zh-CN"/>
        </w:rPr>
        <w:t>本项目所属行业：建筑业。</w:t>
      </w:r>
    </w:p>
    <w:tbl>
      <w:tblPr>
        <w:tblStyle w:val="31"/>
        <w:tblW w:w="91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9"/>
        <w:gridCol w:w="1508"/>
        <w:gridCol w:w="941"/>
        <w:gridCol w:w="5151"/>
        <w:gridCol w:w="1190"/>
      </w:tblGrid>
      <w:tr w14:paraId="5FD25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89" w:type="dxa"/>
            <w:noWrap w:val="0"/>
            <w:vAlign w:val="center"/>
          </w:tcPr>
          <w:p w14:paraId="7B7BFEE7">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序号</w:t>
            </w:r>
          </w:p>
        </w:tc>
        <w:tc>
          <w:tcPr>
            <w:tcW w:w="1508" w:type="dxa"/>
            <w:noWrap w:val="0"/>
            <w:vAlign w:val="center"/>
          </w:tcPr>
          <w:p w14:paraId="30EAE46F">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标的名称</w:t>
            </w:r>
          </w:p>
        </w:tc>
        <w:tc>
          <w:tcPr>
            <w:tcW w:w="941" w:type="dxa"/>
            <w:noWrap w:val="0"/>
            <w:vAlign w:val="center"/>
          </w:tcPr>
          <w:p w14:paraId="1A627450">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数量及单位</w:t>
            </w:r>
          </w:p>
        </w:tc>
        <w:tc>
          <w:tcPr>
            <w:tcW w:w="5151" w:type="dxa"/>
            <w:noWrap w:val="0"/>
            <w:vAlign w:val="center"/>
          </w:tcPr>
          <w:p w14:paraId="5C57772C">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具体</w:t>
            </w:r>
            <w:r>
              <w:rPr>
                <w:rFonts w:hint="eastAsia" w:ascii="宋体" w:hAnsi="宋体" w:eastAsia="宋体" w:cs="宋体"/>
                <w:color w:val="auto"/>
                <w:spacing w:val="0"/>
                <w:position w:val="0"/>
                <w:szCs w:val="21"/>
                <w:highlight w:val="none"/>
              </w:rPr>
              <w:t>要求</w:t>
            </w:r>
          </w:p>
        </w:tc>
        <w:tc>
          <w:tcPr>
            <w:tcW w:w="1190" w:type="dxa"/>
            <w:noWrap w:val="0"/>
            <w:vAlign w:val="center"/>
          </w:tcPr>
          <w:p w14:paraId="680ED90A">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lang w:eastAsia="zh-CN"/>
              </w:rPr>
              <w:t>最高限价（元）</w:t>
            </w:r>
          </w:p>
        </w:tc>
      </w:tr>
      <w:tr w14:paraId="4417E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7" w:hRule="atLeast"/>
          <w:jc w:val="center"/>
        </w:trPr>
        <w:tc>
          <w:tcPr>
            <w:tcW w:w="389" w:type="dxa"/>
            <w:noWrap w:val="0"/>
            <w:vAlign w:val="center"/>
          </w:tcPr>
          <w:p w14:paraId="0296A4E8">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w:t>
            </w:r>
          </w:p>
        </w:tc>
        <w:tc>
          <w:tcPr>
            <w:tcW w:w="1508" w:type="dxa"/>
            <w:noWrap w:val="0"/>
            <w:vAlign w:val="center"/>
          </w:tcPr>
          <w:p w14:paraId="70689192">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cs="宋体"/>
                <w:b w:val="0"/>
                <w:bCs w:val="0"/>
                <w:color w:val="auto"/>
                <w:spacing w:val="0"/>
                <w:kern w:val="0"/>
                <w:position w:val="0"/>
                <w:sz w:val="21"/>
                <w:szCs w:val="21"/>
                <w:highlight w:val="none"/>
                <w:lang w:eastAsia="zh-CN"/>
              </w:rPr>
              <w:t>浦北大红柑智慧农业示范带提升项目茅家上子塘基地产业路</w:t>
            </w:r>
          </w:p>
        </w:tc>
        <w:tc>
          <w:tcPr>
            <w:tcW w:w="941" w:type="dxa"/>
            <w:noWrap w:val="0"/>
            <w:vAlign w:val="center"/>
          </w:tcPr>
          <w:p w14:paraId="4758D48F">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1项</w:t>
            </w:r>
          </w:p>
        </w:tc>
        <w:tc>
          <w:tcPr>
            <w:tcW w:w="5151" w:type="dxa"/>
            <w:noWrap w:val="0"/>
            <w:vAlign w:val="center"/>
          </w:tcPr>
          <w:p w14:paraId="16DAFDA2">
            <w:pPr>
              <w:pStyle w:val="41"/>
              <w:pageBreakBefore w:val="0"/>
              <w:kinsoku/>
              <w:wordWrap w:val="0"/>
              <w:overflowPunct/>
              <w:topLinePunct/>
              <w:autoSpaceDE/>
              <w:autoSpaceDN/>
              <w:bidi w:val="0"/>
              <w:spacing w:line="360" w:lineRule="auto"/>
              <w:ind w:firstLine="0" w:firstLineChars="0"/>
              <w:jc w:val="both"/>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val="en-US" w:eastAsia="zh-CN"/>
              </w:rPr>
              <w:t>1</w:t>
            </w:r>
            <w:r>
              <w:rPr>
                <w:rFonts w:hint="eastAsia" w:ascii="宋体" w:hAnsi="宋体" w:eastAsia="宋体" w:cs="宋体"/>
                <w:color w:val="auto"/>
                <w:spacing w:val="0"/>
                <w:position w:val="0"/>
                <w:szCs w:val="21"/>
                <w:highlight w:val="none"/>
              </w:rPr>
              <w:t>、工程概况：浦北大红柑智慧农业示范带提升项目茅家上子塘基地产业路为村屯道路新建工程，路面结构为</w:t>
            </w:r>
          </w:p>
          <w:p w14:paraId="6D23ED86">
            <w:pPr>
              <w:pStyle w:val="41"/>
              <w:pageBreakBefore w:val="0"/>
              <w:kinsoku/>
              <w:wordWrap w:val="0"/>
              <w:overflowPunct/>
              <w:topLinePunct/>
              <w:autoSpaceDE/>
              <w:autoSpaceDN/>
              <w:bidi w:val="0"/>
              <w:spacing w:line="360" w:lineRule="auto"/>
              <w:ind w:firstLine="0" w:firstLineChars="0"/>
              <w:jc w:val="both"/>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200mm厚水泥混凝土路面面层(使用P.042.5水泥拌和)。设计砼路面宽度为3.5米，两侧路肩各宽0.5米</w:t>
            </w:r>
          </w:p>
          <w:p w14:paraId="791F01F5">
            <w:pPr>
              <w:pStyle w:val="41"/>
              <w:pageBreakBefore w:val="0"/>
              <w:kinsoku/>
              <w:wordWrap w:val="0"/>
              <w:overflowPunct/>
              <w:topLinePunct/>
              <w:autoSpaceDE/>
              <w:autoSpaceDN/>
              <w:bidi w:val="0"/>
              <w:spacing w:line="360" w:lineRule="auto"/>
              <w:ind w:firstLine="0" w:firstLineChars="0"/>
              <w:jc w:val="both"/>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。道路设计总长为1710.00米，主道路长825.0米，21道路长323.0m,Z2道路长137.0m,Z3道路长157.0m,24道路长113.0m,Z5道路长37.0m,26道路长35.0m,Z7道路长83.0m；具体详见工程量清单及施工图纸。</w:t>
            </w:r>
          </w:p>
          <w:p w14:paraId="65380E1D">
            <w:pPr>
              <w:pStyle w:val="41"/>
              <w:pageBreakBefore w:val="0"/>
              <w:kinsoku/>
              <w:wordWrap w:val="0"/>
              <w:overflowPunct/>
              <w:topLinePunct/>
              <w:autoSpaceDE/>
              <w:autoSpaceDN/>
              <w:bidi w:val="0"/>
              <w:spacing w:line="360" w:lineRule="auto"/>
              <w:ind w:firstLine="0" w:firstLineChars="0"/>
              <w:jc w:val="both"/>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val="en-US" w:eastAsia="zh-CN"/>
              </w:rPr>
              <w:t>2</w:t>
            </w:r>
            <w:r>
              <w:rPr>
                <w:rFonts w:hint="eastAsia" w:ascii="宋体" w:hAnsi="宋体" w:eastAsia="宋体" w:cs="宋体"/>
                <w:color w:val="auto"/>
                <w:spacing w:val="0"/>
                <w:position w:val="0"/>
                <w:szCs w:val="21"/>
                <w:highlight w:val="none"/>
              </w:rPr>
              <w:t>、工程质量要求：工程质量符合《工程施工质量验收规范》合格标准。</w:t>
            </w:r>
          </w:p>
          <w:p w14:paraId="02682ADD">
            <w:pPr>
              <w:pStyle w:val="41"/>
              <w:pageBreakBefore w:val="0"/>
              <w:kinsoku/>
              <w:wordWrap w:val="0"/>
              <w:overflowPunct/>
              <w:topLinePunct/>
              <w:autoSpaceDE/>
              <w:autoSpaceDN/>
              <w:bidi w:val="0"/>
              <w:spacing w:line="360" w:lineRule="auto"/>
              <w:ind w:firstLine="0" w:firstLineChars="0"/>
              <w:jc w:val="both"/>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szCs w:val="21"/>
                <w:highlight w:val="none"/>
                <w:lang w:val="en-US" w:eastAsia="zh-CN"/>
              </w:rPr>
              <w:t>3</w:t>
            </w:r>
            <w:r>
              <w:rPr>
                <w:rFonts w:hint="eastAsia" w:ascii="宋体" w:hAnsi="宋体" w:eastAsia="宋体" w:cs="宋体"/>
                <w:color w:val="auto"/>
                <w:spacing w:val="0"/>
                <w:position w:val="0"/>
                <w:szCs w:val="21"/>
                <w:highlight w:val="none"/>
              </w:rPr>
              <w:t>、具体需求内容</w:t>
            </w:r>
            <w:r>
              <w:rPr>
                <w:rFonts w:hint="eastAsia" w:ascii="宋体" w:hAnsi="宋体" w:eastAsia="宋体" w:cs="宋体"/>
                <w:color w:val="auto"/>
                <w:spacing w:val="0"/>
                <w:position w:val="0"/>
                <w:szCs w:val="21"/>
                <w:highlight w:val="none"/>
                <w:lang w:eastAsia="zh-CN"/>
              </w:rPr>
              <w:t>及</w:t>
            </w:r>
            <w:r>
              <w:rPr>
                <w:rFonts w:hint="eastAsia" w:ascii="宋体" w:hAnsi="宋体" w:eastAsia="宋体" w:cs="宋体"/>
                <w:color w:val="auto"/>
                <w:spacing w:val="0"/>
                <w:position w:val="0"/>
                <w:szCs w:val="21"/>
                <w:highlight w:val="none"/>
              </w:rPr>
              <w:t>编制说明详见工程量清单（另册发放）</w:t>
            </w:r>
            <w:r>
              <w:rPr>
                <w:rFonts w:hint="eastAsia" w:ascii="宋体" w:hAnsi="宋体" w:eastAsia="宋体" w:cs="宋体"/>
                <w:color w:val="auto"/>
                <w:spacing w:val="0"/>
                <w:position w:val="0"/>
                <w:szCs w:val="21"/>
                <w:highlight w:val="none"/>
                <w:lang w:eastAsia="zh-CN"/>
              </w:rPr>
              <w:t>。</w:t>
            </w:r>
          </w:p>
        </w:tc>
        <w:tc>
          <w:tcPr>
            <w:tcW w:w="1190" w:type="dxa"/>
            <w:noWrap w:val="0"/>
            <w:vAlign w:val="center"/>
          </w:tcPr>
          <w:p w14:paraId="4368543A">
            <w:pPr>
              <w:pStyle w:val="41"/>
              <w:pageBreakBefore w:val="0"/>
              <w:kinsoku/>
              <w:wordWrap w:val="0"/>
              <w:overflowPunct/>
              <w:topLinePunct/>
              <w:autoSpaceDE/>
              <w:autoSpaceDN/>
              <w:bidi w:val="0"/>
              <w:spacing w:line="360" w:lineRule="auto"/>
              <w:ind w:firstLine="0" w:firstLineChars="0"/>
              <w:jc w:val="center"/>
              <w:rPr>
                <w:rFonts w:hint="default" w:ascii="宋体" w:hAnsi="宋体" w:eastAsia="宋体" w:cs="宋体"/>
                <w:color w:val="auto"/>
                <w:spacing w:val="0"/>
                <w:position w:val="0"/>
                <w:szCs w:val="21"/>
                <w:highlight w:val="none"/>
                <w:lang w:val="en-US" w:eastAsia="zh-CN"/>
              </w:rPr>
            </w:pPr>
            <w:r>
              <w:rPr>
                <w:rFonts w:hint="default" w:ascii="宋体" w:hAnsi="宋体" w:eastAsia="宋体" w:cs="宋体"/>
                <w:color w:val="auto"/>
                <w:spacing w:val="0"/>
                <w:position w:val="0"/>
                <w:szCs w:val="21"/>
                <w:highlight w:val="none"/>
                <w:lang w:val="en-US" w:eastAsia="zh-CN"/>
              </w:rPr>
              <w:t>816326.15</w:t>
            </w:r>
          </w:p>
        </w:tc>
      </w:tr>
      <w:tr w14:paraId="3E854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79" w:type="dxa"/>
            <w:gridSpan w:val="5"/>
            <w:tcBorders>
              <w:top w:val="single" w:color="auto" w:sz="4" w:space="0"/>
              <w:left w:val="single" w:color="auto" w:sz="4" w:space="0"/>
              <w:bottom w:val="single" w:color="auto" w:sz="4" w:space="0"/>
              <w:right w:val="single" w:color="auto" w:sz="4" w:space="0"/>
            </w:tcBorders>
            <w:noWrap w:val="0"/>
            <w:vAlign w:val="top"/>
          </w:tcPr>
          <w:p w14:paraId="3C9C1FE1">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Cs w:val="21"/>
                <w:highlight w:val="none"/>
              </w:rPr>
            </w:pPr>
            <w:r>
              <w:rPr>
                <w:rFonts w:hint="eastAsia" w:ascii="宋体" w:hAnsi="宋体" w:eastAsia="宋体" w:cs="宋体"/>
                <w:b/>
                <w:color w:val="auto"/>
                <w:spacing w:val="0"/>
                <w:position w:val="0"/>
                <w:szCs w:val="21"/>
                <w:highlight w:val="none"/>
              </w:rPr>
              <w:t>商务要求</w:t>
            </w:r>
          </w:p>
        </w:tc>
      </w:tr>
      <w:tr w14:paraId="5B913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38" w:type="dxa"/>
            <w:gridSpan w:val="3"/>
            <w:tcBorders>
              <w:top w:val="single" w:color="auto" w:sz="4" w:space="0"/>
              <w:left w:val="single" w:color="auto" w:sz="4" w:space="0"/>
              <w:bottom w:val="single" w:color="auto" w:sz="4" w:space="0"/>
              <w:right w:val="single" w:color="auto" w:sz="4" w:space="0"/>
            </w:tcBorders>
            <w:noWrap w:val="0"/>
            <w:vAlign w:val="center"/>
          </w:tcPr>
          <w:p w14:paraId="2CB1D0D5">
            <w:pPr>
              <w:pageBreakBefore w:val="0"/>
              <w:kinsoku/>
              <w:wordWrap w:val="0"/>
              <w:overflowPunct/>
              <w:topLinePunct/>
              <w:autoSpaceDE/>
              <w:autoSpaceDN/>
              <w:bidi w:val="0"/>
              <w:spacing w:line="360" w:lineRule="auto"/>
              <w:jc w:val="center"/>
              <w:rPr>
                <w:rFonts w:hint="eastAsia" w:ascii="宋体" w:hAnsi="宋体" w:eastAsia="宋体" w:cs="宋体"/>
                <w:b/>
                <w:color w:val="auto"/>
                <w:spacing w:val="0"/>
                <w:position w:val="0"/>
                <w:szCs w:val="21"/>
                <w:highlight w:val="none"/>
              </w:rPr>
            </w:pPr>
            <w:r>
              <w:rPr>
                <w:rFonts w:hint="eastAsia" w:ascii="宋体" w:hAnsi="宋体" w:eastAsia="宋体" w:cs="宋体"/>
                <w:color w:val="auto"/>
                <w:spacing w:val="0"/>
                <w:position w:val="0"/>
                <w:szCs w:val="21"/>
                <w:highlight w:val="none"/>
              </w:rPr>
              <w:t>计划</w:t>
            </w:r>
            <w:r>
              <w:rPr>
                <w:rFonts w:hint="eastAsia" w:ascii="宋体" w:hAnsi="宋体" w:eastAsia="宋体" w:cs="宋体"/>
                <w:color w:val="auto"/>
                <w:spacing w:val="0"/>
                <w:position w:val="0"/>
                <w:szCs w:val="21"/>
                <w:highlight w:val="none"/>
                <w:lang w:eastAsia="zh-CN"/>
              </w:rPr>
              <w:t>施工</w:t>
            </w:r>
            <w:r>
              <w:rPr>
                <w:rFonts w:hint="eastAsia" w:ascii="宋体" w:hAnsi="宋体" w:eastAsia="宋体" w:cs="宋体"/>
                <w:color w:val="auto"/>
                <w:spacing w:val="0"/>
                <w:position w:val="0"/>
                <w:szCs w:val="21"/>
                <w:highlight w:val="none"/>
              </w:rPr>
              <w:t>工期</w:t>
            </w:r>
          </w:p>
        </w:tc>
        <w:tc>
          <w:tcPr>
            <w:tcW w:w="6341" w:type="dxa"/>
            <w:gridSpan w:val="2"/>
            <w:tcBorders>
              <w:top w:val="single" w:color="auto" w:sz="4" w:space="0"/>
              <w:left w:val="single" w:color="auto" w:sz="4" w:space="0"/>
              <w:bottom w:val="single" w:color="auto" w:sz="4" w:space="0"/>
              <w:right w:val="single" w:color="auto" w:sz="4" w:space="0"/>
            </w:tcBorders>
            <w:noWrap w:val="0"/>
            <w:vAlign w:val="center"/>
          </w:tcPr>
          <w:p w14:paraId="726003E8">
            <w:pPr>
              <w:pageBreakBefore w:val="0"/>
              <w:kinsoku/>
              <w:wordWrap w:val="0"/>
              <w:overflowPunct/>
              <w:topLinePunct/>
              <w:autoSpaceDE/>
              <w:autoSpaceDN/>
              <w:bidi w:val="0"/>
              <w:jc w:val="both"/>
              <w:rPr>
                <w:rFonts w:hint="eastAsia" w:ascii="宋体" w:hAnsi="宋体" w:eastAsia="宋体" w:cs="宋体"/>
                <w:b/>
                <w:color w:val="auto"/>
                <w:spacing w:val="0"/>
                <w:position w:val="0"/>
                <w:szCs w:val="21"/>
                <w:highlight w:val="none"/>
              </w:rPr>
            </w:pPr>
            <w:r>
              <w:rPr>
                <w:rFonts w:hint="eastAsia" w:ascii="宋体" w:hAnsi="宋体" w:cs="宋体"/>
                <w:color w:val="auto"/>
                <w:spacing w:val="0"/>
                <w:position w:val="0"/>
                <w:highlight w:val="none"/>
                <w:lang w:val="en-US" w:eastAsia="zh-CN"/>
              </w:rPr>
              <w:t>90</w:t>
            </w:r>
            <w:r>
              <w:rPr>
                <w:rFonts w:hint="eastAsia" w:ascii="宋体" w:hAnsi="宋体" w:eastAsia="宋体" w:cs="宋体"/>
                <w:color w:val="auto"/>
                <w:spacing w:val="0"/>
                <w:position w:val="0"/>
                <w:highlight w:val="none"/>
                <w:lang w:val="en-US" w:eastAsia="zh-CN"/>
              </w:rPr>
              <w:t>日历天</w:t>
            </w:r>
          </w:p>
        </w:tc>
      </w:tr>
      <w:tr w14:paraId="72D5E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38" w:type="dxa"/>
            <w:gridSpan w:val="3"/>
            <w:tcBorders>
              <w:top w:val="single" w:color="auto" w:sz="4" w:space="0"/>
              <w:left w:val="single" w:color="auto" w:sz="4" w:space="0"/>
              <w:bottom w:val="single" w:color="auto" w:sz="4" w:space="0"/>
              <w:right w:val="single" w:color="auto" w:sz="4" w:space="0"/>
            </w:tcBorders>
            <w:noWrap w:val="0"/>
            <w:vAlign w:val="center"/>
          </w:tcPr>
          <w:p w14:paraId="4249D2CA">
            <w:pPr>
              <w:pageBreakBefore w:val="0"/>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建设地点</w:t>
            </w:r>
          </w:p>
        </w:tc>
        <w:tc>
          <w:tcPr>
            <w:tcW w:w="6341" w:type="dxa"/>
            <w:gridSpan w:val="2"/>
            <w:tcBorders>
              <w:top w:val="single" w:color="auto" w:sz="4" w:space="0"/>
              <w:left w:val="single" w:color="auto" w:sz="4" w:space="0"/>
              <w:bottom w:val="single" w:color="auto" w:sz="4" w:space="0"/>
              <w:right w:val="single" w:color="auto" w:sz="4" w:space="0"/>
            </w:tcBorders>
            <w:noWrap w:val="0"/>
            <w:vAlign w:val="center"/>
          </w:tcPr>
          <w:p w14:paraId="6BC5E261">
            <w:pPr>
              <w:pageBreakBefore w:val="0"/>
              <w:kinsoku/>
              <w:wordWrap w:val="0"/>
              <w:overflowPunct/>
              <w:topLinePunct/>
              <w:autoSpaceDE/>
              <w:autoSpaceDN/>
              <w:bidi w:val="0"/>
              <w:spacing w:line="360" w:lineRule="auto"/>
              <w:jc w:val="both"/>
              <w:rPr>
                <w:rFonts w:hint="eastAsia" w:ascii="宋体" w:hAnsi="宋体" w:eastAsia="宋体" w:cs="宋体"/>
                <w:color w:val="auto"/>
                <w:spacing w:val="0"/>
                <w:position w:val="0"/>
                <w:szCs w:val="21"/>
                <w:highlight w:val="none"/>
              </w:rPr>
            </w:pPr>
            <w:r>
              <w:rPr>
                <w:rFonts w:hint="eastAsia" w:ascii="宋体" w:hAnsi="宋体" w:cs="宋体"/>
                <w:color w:val="auto"/>
                <w:spacing w:val="0"/>
                <w:position w:val="0"/>
                <w:szCs w:val="21"/>
                <w:highlight w:val="none"/>
                <w:lang w:eastAsia="zh-CN"/>
              </w:rPr>
              <w:t>浦北县龙门镇</w:t>
            </w:r>
          </w:p>
        </w:tc>
      </w:tr>
      <w:tr w14:paraId="62818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38" w:type="dxa"/>
            <w:gridSpan w:val="3"/>
            <w:tcBorders>
              <w:top w:val="single" w:color="auto" w:sz="4" w:space="0"/>
              <w:left w:val="single" w:color="auto" w:sz="4" w:space="0"/>
              <w:bottom w:val="single" w:color="auto" w:sz="4" w:space="0"/>
              <w:right w:val="single" w:color="auto" w:sz="4" w:space="0"/>
            </w:tcBorders>
            <w:noWrap w:val="0"/>
            <w:vAlign w:val="center"/>
          </w:tcPr>
          <w:p w14:paraId="32F876A3">
            <w:pPr>
              <w:pageBreakBefore w:val="0"/>
              <w:kinsoku/>
              <w:wordWrap w:val="0"/>
              <w:overflowPunct/>
              <w:topLinePunct/>
              <w:autoSpaceDE/>
              <w:autoSpaceDN/>
              <w:bidi w:val="0"/>
              <w:spacing w:line="360" w:lineRule="auto"/>
              <w:jc w:val="center"/>
              <w:rPr>
                <w:rFonts w:hint="eastAsia" w:ascii="宋体" w:hAnsi="宋体" w:eastAsia="宋体" w:cs="宋体"/>
                <w:b/>
                <w:color w:val="auto"/>
                <w:spacing w:val="0"/>
                <w:position w:val="0"/>
                <w:szCs w:val="21"/>
                <w:highlight w:val="none"/>
              </w:rPr>
            </w:pPr>
            <w:r>
              <w:rPr>
                <w:rFonts w:hint="eastAsia" w:ascii="宋体" w:hAnsi="宋体" w:eastAsia="宋体" w:cs="宋体"/>
                <w:color w:val="auto"/>
                <w:spacing w:val="0"/>
                <w:position w:val="0"/>
                <w:szCs w:val="21"/>
                <w:highlight w:val="none"/>
              </w:rPr>
              <w:t>合同签订时间</w:t>
            </w:r>
          </w:p>
        </w:tc>
        <w:tc>
          <w:tcPr>
            <w:tcW w:w="6341" w:type="dxa"/>
            <w:gridSpan w:val="2"/>
            <w:tcBorders>
              <w:top w:val="single" w:color="auto" w:sz="4" w:space="0"/>
              <w:left w:val="single" w:color="auto" w:sz="4" w:space="0"/>
              <w:bottom w:val="single" w:color="auto" w:sz="4" w:space="0"/>
              <w:right w:val="single" w:color="auto" w:sz="4" w:space="0"/>
            </w:tcBorders>
            <w:noWrap w:val="0"/>
            <w:vAlign w:val="center"/>
          </w:tcPr>
          <w:p w14:paraId="550D9C3C">
            <w:pPr>
              <w:pageBreakBefore w:val="0"/>
              <w:kinsoku/>
              <w:wordWrap w:val="0"/>
              <w:overflowPunct/>
              <w:topLinePunct/>
              <w:autoSpaceDE/>
              <w:autoSpaceDN/>
              <w:bidi w:val="0"/>
              <w:spacing w:line="360" w:lineRule="auto"/>
              <w:jc w:val="both"/>
              <w:rPr>
                <w:rFonts w:hint="eastAsia" w:ascii="宋体" w:hAnsi="宋体" w:eastAsia="宋体" w:cs="宋体"/>
                <w:b/>
                <w:color w:val="auto"/>
                <w:spacing w:val="0"/>
                <w:position w:val="0"/>
                <w:szCs w:val="21"/>
                <w:highlight w:val="none"/>
              </w:rPr>
            </w:pPr>
            <w:r>
              <w:rPr>
                <w:rFonts w:hint="eastAsia" w:ascii="宋体" w:hAnsi="宋体" w:eastAsia="宋体" w:cs="宋体"/>
                <w:color w:val="auto"/>
                <w:spacing w:val="0"/>
                <w:position w:val="0"/>
                <w:szCs w:val="21"/>
                <w:highlight w:val="none"/>
              </w:rPr>
              <w:t xml:space="preserve">自成交通知书发出之日起 </w:t>
            </w:r>
            <w:r>
              <w:rPr>
                <w:rFonts w:hint="eastAsia" w:ascii="宋体" w:hAnsi="宋体" w:eastAsia="宋体" w:cs="宋体"/>
                <w:color w:val="auto"/>
                <w:spacing w:val="0"/>
                <w:position w:val="0"/>
                <w:szCs w:val="21"/>
                <w:highlight w:val="none"/>
                <w:u w:val="single"/>
                <w:lang w:val="en-US" w:eastAsia="zh-CN"/>
              </w:rPr>
              <w:t>25</w:t>
            </w:r>
            <w:r>
              <w:rPr>
                <w:rFonts w:hint="eastAsia" w:ascii="宋体" w:hAnsi="宋体" w:eastAsia="宋体" w:cs="宋体"/>
                <w:color w:val="auto"/>
                <w:spacing w:val="0"/>
                <w:position w:val="0"/>
                <w:szCs w:val="21"/>
                <w:highlight w:val="none"/>
              </w:rPr>
              <w:t>日内。（最迟不能超过25日）</w:t>
            </w:r>
          </w:p>
        </w:tc>
      </w:tr>
      <w:tr w14:paraId="4ACFC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38" w:type="dxa"/>
            <w:gridSpan w:val="3"/>
            <w:tcBorders>
              <w:top w:val="single" w:color="auto" w:sz="4" w:space="0"/>
              <w:left w:val="single" w:color="auto" w:sz="4" w:space="0"/>
              <w:bottom w:val="single" w:color="auto" w:sz="4" w:space="0"/>
              <w:right w:val="single" w:color="auto" w:sz="4" w:space="0"/>
            </w:tcBorders>
            <w:noWrap w:val="0"/>
            <w:vAlign w:val="center"/>
          </w:tcPr>
          <w:p w14:paraId="49B7F9BC">
            <w:pPr>
              <w:pageBreakBefore w:val="0"/>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b w:val="0"/>
                <w:bCs/>
                <w:color w:val="auto"/>
                <w:spacing w:val="0"/>
                <w:position w:val="0"/>
                <w:szCs w:val="21"/>
                <w:highlight w:val="none"/>
              </w:rPr>
              <w:t>验收标准</w:t>
            </w:r>
          </w:p>
        </w:tc>
        <w:tc>
          <w:tcPr>
            <w:tcW w:w="6341" w:type="dxa"/>
            <w:gridSpan w:val="2"/>
            <w:tcBorders>
              <w:top w:val="single" w:color="auto" w:sz="4" w:space="0"/>
              <w:left w:val="single" w:color="auto" w:sz="4" w:space="0"/>
              <w:bottom w:val="single" w:color="auto" w:sz="4" w:space="0"/>
              <w:right w:val="single" w:color="auto" w:sz="4" w:space="0"/>
            </w:tcBorders>
            <w:noWrap w:val="0"/>
            <w:vAlign w:val="center"/>
          </w:tcPr>
          <w:p w14:paraId="6E44CC17">
            <w:pPr>
              <w:pageBreakBefore w:val="0"/>
              <w:kinsoku/>
              <w:wordWrap w:val="0"/>
              <w:overflowPunct/>
              <w:topLinePunct/>
              <w:autoSpaceDE/>
              <w:autoSpaceDN/>
              <w:bidi w:val="0"/>
              <w:spacing w:line="360" w:lineRule="auto"/>
              <w:jc w:val="both"/>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b w:val="0"/>
                <w:bCs w:val="0"/>
                <w:color w:val="auto"/>
                <w:spacing w:val="0"/>
                <w:kern w:val="0"/>
                <w:position w:val="0"/>
                <w:sz w:val="21"/>
                <w:szCs w:val="21"/>
                <w:highlight w:val="none"/>
                <w:lang w:val="en-US" w:eastAsia="zh-CN"/>
              </w:rPr>
              <w:t>达到《工程施工质量验收规范》合格标准。</w:t>
            </w:r>
          </w:p>
        </w:tc>
      </w:tr>
      <w:tr w14:paraId="778995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38" w:type="dxa"/>
            <w:gridSpan w:val="3"/>
            <w:tcBorders>
              <w:top w:val="single" w:color="auto" w:sz="4" w:space="0"/>
              <w:left w:val="single" w:color="auto" w:sz="4" w:space="0"/>
              <w:bottom w:val="single" w:color="auto" w:sz="4" w:space="0"/>
              <w:right w:val="single" w:color="auto" w:sz="4" w:space="0"/>
            </w:tcBorders>
            <w:noWrap w:val="0"/>
            <w:vAlign w:val="center"/>
          </w:tcPr>
          <w:p w14:paraId="1FCEF40B">
            <w:pPr>
              <w:pageBreakBefore w:val="0"/>
              <w:kinsoku/>
              <w:wordWrap w:val="0"/>
              <w:overflowPunct/>
              <w:topLinePunct/>
              <w:autoSpaceDE/>
              <w:autoSpaceDN/>
              <w:bidi w:val="0"/>
              <w:spacing w:line="360" w:lineRule="auto"/>
              <w:jc w:val="center"/>
              <w:rPr>
                <w:rFonts w:hint="eastAsia" w:ascii="宋体" w:hAnsi="宋体" w:eastAsia="宋体" w:cs="宋体"/>
                <w:b w:val="0"/>
                <w:bCs/>
                <w:color w:val="auto"/>
                <w:spacing w:val="0"/>
                <w:position w:val="0"/>
                <w:szCs w:val="21"/>
                <w:highlight w:val="none"/>
                <w:lang w:val="en-US" w:eastAsia="zh-CN"/>
              </w:rPr>
            </w:pPr>
            <w:bookmarkStart w:id="77" w:name="_Toc20069"/>
            <w:r>
              <w:rPr>
                <w:rFonts w:hint="eastAsia" w:ascii="宋体" w:hAnsi="宋体" w:eastAsia="宋体" w:cs="宋体"/>
                <w:b w:val="0"/>
                <w:bCs/>
                <w:color w:val="auto"/>
                <w:spacing w:val="0"/>
                <w:position w:val="0"/>
                <w:szCs w:val="21"/>
                <w:highlight w:val="none"/>
                <w:lang w:val="en-US" w:eastAsia="zh-CN"/>
              </w:rPr>
              <w:t>报价</w:t>
            </w:r>
          </w:p>
        </w:tc>
        <w:tc>
          <w:tcPr>
            <w:tcW w:w="6341" w:type="dxa"/>
            <w:gridSpan w:val="2"/>
            <w:tcBorders>
              <w:top w:val="single" w:color="auto" w:sz="4" w:space="0"/>
              <w:left w:val="single" w:color="auto" w:sz="4" w:space="0"/>
              <w:bottom w:val="single" w:color="auto" w:sz="4" w:space="0"/>
              <w:right w:val="single" w:color="auto" w:sz="4" w:space="0"/>
            </w:tcBorders>
            <w:noWrap w:val="0"/>
            <w:vAlign w:val="center"/>
          </w:tcPr>
          <w:p w14:paraId="1C5D4B0E">
            <w:pPr>
              <w:pageBreakBefore w:val="0"/>
              <w:kinsoku/>
              <w:wordWrap w:val="0"/>
              <w:overflowPunct/>
              <w:topLinePunct/>
              <w:autoSpaceDE/>
              <w:autoSpaceDN/>
              <w:bidi w:val="0"/>
              <w:spacing w:line="360" w:lineRule="auto"/>
              <w:jc w:val="both"/>
              <w:rPr>
                <w:rFonts w:hint="eastAsia" w:ascii="宋体" w:hAnsi="宋体" w:eastAsia="宋体" w:cs="宋体"/>
                <w:b w:val="0"/>
                <w:bCs w:val="0"/>
                <w:color w:val="auto"/>
                <w:spacing w:val="0"/>
                <w:kern w:val="0"/>
                <w:position w:val="0"/>
                <w:sz w:val="21"/>
                <w:szCs w:val="21"/>
                <w:highlight w:val="none"/>
                <w:lang w:val="en-US" w:eastAsia="zh-CN"/>
              </w:rPr>
            </w:pPr>
            <w:r>
              <w:rPr>
                <w:rFonts w:hint="eastAsia" w:ascii="宋体" w:hAnsi="宋体" w:eastAsia="宋体" w:cs="宋体"/>
                <w:b w:val="0"/>
                <w:bCs w:val="0"/>
                <w:color w:val="auto"/>
                <w:spacing w:val="0"/>
                <w:kern w:val="0"/>
                <w:position w:val="0"/>
                <w:sz w:val="21"/>
                <w:szCs w:val="21"/>
                <w:highlight w:val="none"/>
                <w:lang w:val="en-US" w:eastAsia="zh-CN"/>
              </w:rPr>
              <w:t>报价方式：本项目采用工程量清单报价，磋商报价不得高于最高限价，否则响应文件按无效处理。</w:t>
            </w:r>
          </w:p>
        </w:tc>
      </w:tr>
    </w:tbl>
    <w:p w14:paraId="19DC6754">
      <w:pPr>
        <w:pageBreakBefore w:val="0"/>
        <w:kinsoku/>
        <w:wordWrap w:val="0"/>
        <w:overflowPunct/>
        <w:topLinePunct/>
        <w:autoSpaceDE/>
        <w:autoSpaceDN/>
        <w:bidi w:val="0"/>
        <w:spacing w:line="360" w:lineRule="auto"/>
        <w:jc w:val="center"/>
        <w:rPr>
          <w:rFonts w:hint="eastAsia" w:ascii="宋体" w:hAnsi="宋体" w:eastAsia="宋体" w:cs="宋体"/>
          <w:b/>
          <w:bCs/>
          <w:color w:val="auto"/>
          <w:spacing w:val="0"/>
          <w:kern w:val="2"/>
          <w:position w:val="0"/>
          <w:sz w:val="32"/>
          <w:szCs w:val="32"/>
          <w:highlight w:val="none"/>
          <w:lang w:val="en-US" w:eastAsia="zh-CN" w:bidi="ar-SA"/>
        </w:rPr>
        <w:sectPr>
          <w:pgSz w:w="11906" w:h="16838"/>
          <w:pgMar w:top="1440" w:right="1080" w:bottom="1440" w:left="1080" w:header="851" w:footer="992" w:gutter="0"/>
          <w:cols w:space="0" w:num="1"/>
          <w:docGrid w:type="lines" w:linePitch="312" w:charSpace="0"/>
        </w:sectPr>
      </w:pPr>
    </w:p>
    <w:p w14:paraId="2A2477B9">
      <w:pPr>
        <w:pStyle w:val="15"/>
        <w:pageBreakBefore w:val="0"/>
        <w:numPr>
          <w:ilvl w:val="0"/>
          <w:numId w:val="0"/>
        </w:numPr>
        <w:kinsoku/>
        <w:wordWrap w:val="0"/>
        <w:overflowPunct/>
        <w:topLinePunct/>
        <w:autoSpaceDE/>
        <w:autoSpaceDN/>
        <w:bidi w:val="0"/>
        <w:spacing w:line="360" w:lineRule="auto"/>
        <w:ind w:leftChars="0"/>
        <w:jc w:val="center"/>
        <w:outlineLvl w:val="0"/>
        <w:rPr>
          <w:rFonts w:hint="eastAsia" w:ascii="宋体" w:hAnsi="宋体" w:eastAsia="宋体" w:cs="宋体"/>
          <w:b/>
          <w:bCs/>
          <w:color w:val="auto"/>
          <w:spacing w:val="0"/>
          <w:kern w:val="0"/>
          <w:position w:val="0"/>
          <w:sz w:val="36"/>
          <w:szCs w:val="36"/>
          <w:highlight w:val="none"/>
        </w:rPr>
      </w:pPr>
      <w:bookmarkStart w:id="78" w:name="_Toc27332"/>
      <w:r>
        <w:rPr>
          <w:rFonts w:hint="eastAsia" w:ascii="宋体" w:hAnsi="宋体" w:eastAsia="宋体" w:cs="宋体"/>
          <w:b/>
          <w:bCs/>
          <w:color w:val="auto"/>
          <w:spacing w:val="0"/>
          <w:kern w:val="0"/>
          <w:position w:val="0"/>
          <w:sz w:val="36"/>
          <w:szCs w:val="36"/>
          <w:highlight w:val="none"/>
          <w:lang w:val="en-US" w:eastAsia="zh-CN"/>
        </w:rPr>
        <w:t>第四章</w:t>
      </w:r>
      <w:r>
        <w:rPr>
          <w:rFonts w:hint="eastAsia" w:ascii="宋体" w:hAnsi="宋体" w:eastAsia="宋体" w:cs="宋体"/>
          <w:b/>
          <w:bCs/>
          <w:color w:val="auto"/>
          <w:spacing w:val="0"/>
          <w:kern w:val="0"/>
          <w:position w:val="0"/>
          <w:sz w:val="36"/>
          <w:szCs w:val="36"/>
          <w:highlight w:val="none"/>
        </w:rPr>
        <w:t xml:space="preserve"> 评审标准</w:t>
      </w:r>
      <w:bookmarkEnd w:id="77"/>
      <w:bookmarkEnd w:id="78"/>
    </w:p>
    <w:p w14:paraId="3ED9F5E0">
      <w:pPr>
        <w:pStyle w:val="6"/>
        <w:pageBreakBefore w:val="0"/>
        <w:numPr>
          <w:ilvl w:val="0"/>
          <w:numId w:val="0"/>
        </w:numPr>
        <w:kinsoku/>
        <w:wordWrap w:val="0"/>
        <w:overflowPunct/>
        <w:topLinePunct/>
        <w:autoSpaceDE/>
        <w:autoSpaceDN/>
        <w:bidi w:val="0"/>
        <w:spacing w:line="360" w:lineRule="auto"/>
        <w:ind w:leftChars="0"/>
        <w:jc w:val="both"/>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一、评审程序和评审方法</w:t>
      </w:r>
    </w:p>
    <w:p w14:paraId="412C6B51">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auto"/>
        <w:rPr>
          <w:rFonts w:hint="eastAsia" w:ascii="宋体" w:hAnsi="宋体" w:eastAsia="宋体" w:cs="宋体"/>
          <w:b/>
          <w:bCs/>
          <w:color w:val="auto"/>
          <w:spacing w:val="0"/>
          <w:position w:val="0"/>
          <w:highlight w:val="none"/>
        </w:rPr>
      </w:pPr>
      <w:r>
        <w:rPr>
          <w:rFonts w:hint="eastAsia" w:ascii="宋体" w:hAnsi="宋体" w:eastAsia="宋体" w:cs="宋体"/>
          <w:b/>
          <w:bCs/>
          <w:color w:val="auto"/>
          <w:spacing w:val="0"/>
          <w:position w:val="0"/>
          <w:highlight w:val="none"/>
        </w:rPr>
        <w:t>1.资格审查</w:t>
      </w:r>
    </w:p>
    <w:p w14:paraId="0E5F4A2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1.1响应文件开启后，磋商小组依法对供应商的资格证明文件进行审查。</w:t>
      </w:r>
    </w:p>
    <w:p w14:paraId="156918D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注：采购人或者采购代理机构在资格审查结束前，对供应商进行信用查询。</w:t>
      </w:r>
    </w:p>
    <w:p w14:paraId="731984F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查询渠道：“信用中国”网站</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www.creditchina.gov.cn</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、中国政府采购网</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www.ccgp.gov.cn</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p>
    <w:p w14:paraId="52D6AD1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信用查询截止时点：资格审查结束前。</w:t>
      </w:r>
    </w:p>
    <w:p w14:paraId="4BE02C4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查询记录和证据留存方式：在查询网站中直接打印查询记录，打印材料作为评审资料保存。</w:t>
      </w:r>
    </w:p>
    <w:p w14:paraId="3CEF8D3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信用信息使用规则：对在“信用中国”网站</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www.creditchina.gov.cn</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、中国府采购网</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www.ccgp.gov.cn</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w:t>
      </w:r>
    </w:p>
    <w:p w14:paraId="155842E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1.2资格审查标准为本磋商文件中载明对供应商资格要求的条件。资格审查采用合格制，凡符合磋商文件规定的供应商资格要求的响应文件均通过资格审查。</w:t>
      </w:r>
    </w:p>
    <w:p w14:paraId="57570F2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1.3供应商有下列情形之一的，资格审查不通过，其响应文件按无效响应处理：</w:t>
      </w:r>
    </w:p>
    <w:p w14:paraId="6679F43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不具备磋商文件中规定的资格要求的；</w:t>
      </w:r>
    </w:p>
    <w:p w14:paraId="369F0B2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响应文件未提供任一项“供应商须知前附表”资格证明文件规定的“必须提供”的文件资料的；</w:t>
      </w:r>
    </w:p>
    <w:p w14:paraId="5582D50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3</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响应文件提供的资格证明文件出现任一项不符合“供应商须知前附表”资格证明文件规定的“必须提供”的文件资料要求或者无效的。</w:t>
      </w:r>
    </w:p>
    <w:p w14:paraId="2A8CB5F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1.4通过资格审查的合格供应商不足3家的，不得进入符合性审查环节，采购人或者采购代理机构应当重新开展采购活动。</w:t>
      </w:r>
    </w:p>
    <w:p w14:paraId="6F1810F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2.符合性审查</w:t>
      </w:r>
    </w:p>
    <w:p w14:paraId="60FB5D7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2.1由磋商小组对通过资格审查的合格供应商的响应文件的竞标报价、商务、技术等实质性要求进行符合性审查，以确定其是否满足磋商文件的实质性要求。</w:t>
      </w:r>
    </w:p>
    <w:p w14:paraId="4C1035F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8F9263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2.3磋商小组要求供应商澄清、说明或者更正响应文件应当要求供应商在合理时间内通过</w:t>
      </w:r>
      <w:r>
        <w:rPr>
          <w:rFonts w:hint="eastAsia" w:ascii="宋体" w:hAnsi="宋体" w:eastAsia="宋体" w:cs="宋体"/>
          <w:color w:val="auto"/>
          <w:spacing w:val="0"/>
          <w:position w:val="0"/>
          <w:highlight w:val="none"/>
          <w:lang w:eastAsia="zh-CN"/>
        </w:rPr>
        <w:t>广西政府采购云平台（https://www.gcy.zfcg.gxzf.gov.cn/）</w:t>
      </w:r>
      <w:r>
        <w:rPr>
          <w:rFonts w:hint="eastAsia" w:ascii="宋体" w:hAnsi="宋体" w:eastAsia="宋体" w:cs="宋体"/>
          <w:color w:val="auto"/>
          <w:spacing w:val="0"/>
          <w:position w:val="0"/>
          <w:highlight w:val="none"/>
        </w:rPr>
        <w:t>的方式形式作出。供应商的澄清、说明或者更正必须通过</w:t>
      </w:r>
      <w:r>
        <w:rPr>
          <w:rFonts w:hint="eastAsia" w:ascii="宋体" w:hAnsi="宋体" w:eastAsia="宋体" w:cs="宋体"/>
          <w:color w:val="auto"/>
          <w:spacing w:val="0"/>
          <w:position w:val="0"/>
          <w:highlight w:val="none"/>
          <w:lang w:eastAsia="zh-CN"/>
        </w:rPr>
        <w:t>广西政府采购云平台</w:t>
      </w:r>
      <w:r>
        <w:rPr>
          <w:rFonts w:hint="eastAsia" w:ascii="宋体" w:hAnsi="宋体" w:eastAsia="宋体" w:cs="宋体"/>
          <w:color w:val="auto"/>
          <w:spacing w:val="0"/>
          <w:position w:val="0"/>
          <w:highlight w:val="none"/>
        </w:rPr>
        <w:t>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60A618F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2.4首次响应文件报价出现前后不一致的，按照下列规定修正：</w:t>
      </w:r>
    </w:p>
    <w:p w14:paraId="5EF158F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响应文件中报价表内容与响应文件中相应内容不一致的，以报价表为准；</w:t>
      </w:r>
    </w:p>
    <w:p w14:paraId="61B8BB2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大写金额和小写金额不一致的，以大写金额为准；</w:t>
      </w:r>
    </w:p>
    <w:p w14:paraId="7DB4598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3</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单价金额小数点或者百分比有明显错位的，以报价表的总价为准，并修改单价；</w:t>
      </w:r>
    </w:p>
    <w:p w14:paraId="4D33E10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4</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总价金额与按单价汇总金额不一致的，以单价金额计算结果为准。</w:t>
      </w:r>
    </w:p>
    <w:p w14:paraId="02809D5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同时出现两种以上不一致的，按照以上</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4</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规定的顺序逐条进行修正。修正后的报价经供应商确认后产生约束力，供应商不确认的，其响应文件按无效响应处理。</w:t>
      </w:r>
    </w:p>
    <w:p w14:paraId="5F705B0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2.5商务技术报价评审</w:t>
      </w:r>
    </w:p>
    <w:p w14:paraId="2BC6F68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在评审时，如发现下列情形之一的，将被视为响应文件无效处理：</w:t>
      </w:r>
    </w:p>
    <w:p w14:paraId="53ABD14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商务技术评审</w:t>
      </w:r>
    </w:p>
    <w:p w14:paraId="19A6A9E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响应文件未按磋商文件要求签署、盖章；</w:t>
      </w:r>
    </w:p>
    <w:p w14:paraId="742905E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委托代理人未能出具有效身份证明或者出具的身份证明与授权委托书中的信息不符；</w:t>
      </w:r>
    </w:p>
    <w:p w14:paraId="5711B83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未提供任一项“供应商须知前附表”报价商务技术文件中“必须提供”或者“委托时必须提供”的文件资料；响应文件提供的报价商务技术文件出现任一项不符合“供应商须知前附表”报价商务技术文件中“必须提供”或者“委托时必须提供”文件资料要求的规定或者提供的报价商务技术文件无效。</w:t>
      </w:r>
    </w:p>
    <w:p w14:paraId="7AF9428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商务条款中标“▲”的条款发生负偏离的或者允许负偏离的条款数超过“供应商须知前附表”规定项数的或者标明实质性的要求发生负偏离；</w:t>
      </w:r>
    </w:p>
    <w:p w14:paraId="0598A08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5</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未对竞标有效期作出响应或者响应文件承诺的竞标有效期不满足磋商文件要求；</w:t>
      </w:r>
    </w:p>
    <w:p w14:paraId="5B4C372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6</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响应文件的实质性内容未使用中文表述、使用计量单位不符合磋商文件要求；</w:t>
      </w:r>
    </w:p>
    <w:p w14:paraId="67A4BB5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7</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响应文件中的文件资料因填写不齐全或者内容虚假或者出现其他情形而导致被磋商小组认定无效；</w:t>
      </w:r>
    </w:p>
    <w:p w14:paraId="47328B7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8</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响应文件含有采购人不能接受的附加条件；</w:t>
      </w:r>
    </w:p>
    <w:p w14:paraId="622855E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9</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属于“供应商须知正文”第7.7条情形；</w:t>
      </w:r>
    </w:p>
    <w:p w14:paraId="08F21CD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10</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技术需求允许负偏离的条款数超过“供应商须知前附表”规定项数；</w:t>
      </w:r>
    </w:p>
    <w:p w14:paraId="0D8B138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虚假竞标，或者出现其他情形而导致被磋商小组认定无效；</w:t>
      </w:r>
    </w:p>
    <w:p w14:paraId="2B77A4C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竞标技术方案不明确，磋商文件未允许但响应文件中存在一个或者一个以上备选</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替代</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竞标方案；</w:t>
      </w:r>
    </w:p>
    <w:p w14:paraId="1C71186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13</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响应文件标注的项目名称或者项目编号与竞争性磋商文件标注的项目名称或者项目编号不一致的；</w:t>
      </w:r>
    </w:p>
    <w:p w14:paraId="7EAC810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14</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未响应磋商文件实质性要求；</w:t>
      </w:r>
    </w:p>
    <w:p w14:paraId="22499FB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15</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法律、法规和磋商文件规定的其他无效情形。</w:t>
      </w:r>
    </w:p>
    <w:p w14:paraId="46EBFD2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报价评审</w:t>
      </w:r>
    </w:p>
    <w:p w14:paraId="38BAB1B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响应文件未提供“供应商须知前附表”报价商务技术文件中规定的；</w:t>
      </w:r>
    </w:p>
    <w:p w14:paraId="1F0FBDE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未采用人民币报价或者未按照磋商文件标明的币种报价；</w:t>
      </w:r>
    </w:p>
    <w:p w14:paraId="5381834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供应商未就所磋商分标进行报价或者存在漏项报价；供应商未就所磋商分标的单项内容作唯一报价；供应商未就所磋商分标的全部内容作唯一总价报价；供应商响应文件中存在有选择、有条件报价的</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磋商文件允许有备选方案或者其他约定的除外</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p>
    <w:p w14:paraId="4B1A07F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磋商报价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包含首次报价、最后报价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超过的采购预算金额或者最高限价的</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如本项目公布了最高限价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；磋商报价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包含首次报价、最后报价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超过磋商文件分项采购预算金额或者最高限价的</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如本项目公布了最高限价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p>
    <w:p w14:paraId="5756940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5</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修正后的报价，供应商不确认的；或者经供应商确认修正后的磋商报价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包含首次报价、最后报价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超过所磋商分标规定的采购预算金额或者最高限价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如本项目公布了最高限价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；或者经供应商确认修正后磋商报价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包含首次报价、最后报价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超过磋商文件分项采购预算金额或者最高限价的</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如本项目公布了最高限价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p>
    <w:p w14:paraId="5F1F4E2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6</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响应文件响应的标的数量及单位与竞争性磋商采购文件要求实质性不一致的。</w:t>
      </w:r>
    </w:p>
    <w:p w14:paraId="30F1F05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FFA528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2.7通过符合性审查的合格供应商不足3家的，不得进入磋商环节，采购人或者采购代理机构应当重新开展采购活动。</w:t>
      </w:r>
    </w:p>
    <w:p w14:paraId="251FB43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3.磋商程序</w:t>
      </w:r>
    </w:p>
    <w:p w14:paraId="2E5C95F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3.1磋商小组按照“供应商须知前附表”确定的顺序，集中与单一供应商分别进行磋商，并给予所有参加磋商的供应商平等的磋商机会。符合磋商资格的供应商必须实时关注</w:t>
      </w:r>
      <w:r>
        <w:rPr>
          <w:rFonts w:hint="eastAsia" w:ascii="宋体" w:hAnsi="宋体" w:eastAsia="宋体" w:cs="宋体"/>
          <w:color w:val="auto"/>
          <w:spacing w:val="0"/>
          <w:position w:val="0"/>
          <w:highlight w:val="none"/>
          <w:lang w:eastAsia="zh-CN"/>
        </w:rPr>
        <w:t>广西政府采购云平台（https://www.gcy.zfcg.gxzf.gov.cn/）</w:t>
      </w:r>
      <w:r>
        <w:rPr>
          <w:rFonts w:hint="eastAsia" w:ascii="宋体" w:hAnsi="宋体" w:eastAsia="宋体" w:cs="宋体"/>
          <w:color w:val="auto"/>
          <w:spacing w:val="0"/>
          <w:position w:val="0"/>
          <w:highlight w:val="none"/>
        </w:rPr>
        <w:t>开标信息，在接到磋商通知后规定时间内参加磋商，未在规定时间内参加磋商的视同放弃参加磋商权利，其响应文件按无效响应处理。</w:t>
      </w:r>
    </w:p>
    <w:p w14:paraId="5A72922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C6E4D9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3.3对磋商文件作出的实质性变动是磋商文件的有效组成部分，由磋商小组及时以书面形式同时通知所有参加磋商的供应商。</w:t>
      </w:r>
    </w:p>
    <w:p w14:paraId="4A13890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3.4供应商必须按照磋商文件的变动情况和磋商小组的要求重新提交响应文件，并由其法定代表人或者授权代表签字或者加盖CA签章在</w:t>
      </w:r>
      <w:r>
        <w:rPr>
          <w:rFonts w:hint="eastAsia" w:ascii="宋体" w:hAnsi="宋体" w:eastAsia="宋体" w:cs="宋体"/>
          <w:color w:val="auto"/>
          <w:spacing w:val="0"/>
          <w:position w:val="0"/>
          <w:highlight w:val="none"/>
          <w:lang w:eastAsia="zh-CN"/>
        </w:rPr>
        <w:t>广西政府采购云平台（https://www.gcy.zfcg.gxzf.gov.cn/）</w:t>
      </w:r>
      <w:r>
        <w:rPr>
          <w:rFonts w:hint="eastAsia" w:ascii="宋体" w:hAnsi="宋体" w:eastAsia="宋体" w:cs="宋体"/>
          <w:color w:val="auto"/>
          <w:spacing w:val="0"/>
          <w:position w:val="0"/>
          <w:highlight w:val="none"/>
        </w:rPr>
        <w:t>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4AF73BD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3.5磋商中，磋商的任何一方不得透露与磋商有关的其他供应商的技术资料、价格和其他信息。</w:t>
      </w:r>
    </w:p>
    <w:p w14:paraId="6C8BA53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3.6采购代理机构对磋商过程和重要磋商内容进行记录，磋商双方在记录上签字确认。</w:t>
      </w:r>
    </w:p>
    <w:p w14:paraId="6C0924F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3.7磋商过程中重新提交的响应文件，供应商可以在开启前补充、修改。</w:t>
      </w:r>
    </w:p>
    <w:p w14:paraId="5BDDBB3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3.8对磋商过程提交的响应文件进行有效性、完整性和响应程度审查，通过审查的合格供应商不足3家的，采购人或者采购代理机构应当重新开展采购活动。</w:t>
      </w:r>
    </w:p>
    <w:p w14:paraId="21E2D3E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3.9本项目所有响应文件的首次报价及所有磋商报价均不公布。最后磋商结束后，磋商小组不得再与供应商进行任何形式的商谈。</w:t>
      </w:r>
    </w:p>
    <w:p w14:paraId="7C0EC7F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4.最后报价</w:t>
      </w:r>
    </w:p>
    <w:p w14:paraId="514A4FE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4.1磋商文件能够详细列明采购标的的技术、服务要求的，磋商结束后，由磋商小组要求所有继续参加磋商的供应商在规定时间内在</w:t>
      </w:r>
      <w:r>
        <w:rPr>
          <w:rFonts w:hint="eastAsia" w:ascii="宋体" w:hAnsi="宋体" w:eastAsia="宋体" w:cs="宋体"/>
          <w:color w:val="auto"/>
          <w:spacing w:val="0"/>
          <w:position w:val="0"/>
          <w:highlight w:val="none"/>
          <w:lang w:eastAsia="zh-CN"/>
        </w:rPr>
        <w:t>广西政府采购云平台（https://www.gcy.zfcg.gxzf.gov.cn/）</w:t>
      </w:r>
      <w:r>
        <w:rPr>
          <w:rFonts w:hint="eastAsia" w:ascii="宋体" w:hAnsi="宋体" w:eastAsia="宋体" w:cs="宋体"/>
          <w:color w:val="auto"/>
          <w:spacing w:val="0"/>
          <w:position w:val="0"/>
          <w:highlight w:val="none"/>
        </w:rPr>
        <w:t>提交最后报价，提交最后报价的供应商不得少于3家，除本章第4.3条外，否则必须重新采购。</w:t>
      </w:r>
    </w:p>
    <w:p w14:paraId="26797A7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hint="eastAsia" w:ascii="宋体" w:hAnsi="宋体" w:eastAsia="宋体" w:cs="宋体"/>
          <w:color w:val="auto"/>
          <w:spacing w:val="0"/>
          <w:position w:val="0"/>
          <w:highlight w:val="none"/>
          <w:lang w:eastAsia="zh-CN"/>
        </w:rPr>
        <w:t>广西政府采购云平台（https://www.gcy.zfcg.gxzf.gov.cn/）</w:t>
      </w:r>
      <w:r>
        <w:rPr>
          <w:rFonts w:hint="eastAsia" w:ascii="宋体" w:hAnsi="宋体" w:eastAsia="宋体" w:cs="宋体"/>
          <w:color w:val="auto"/>
          <w:spacing w:val="0"/>
          <w:position w:val="0"/>
          <w:highlight w:val="none"/>
        </w:rPr>
        <w:t>提交最后报价。</w:t>
      </w:r>
    </w:p>
    <w:p w14:paraId="1BFFBC2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highlight w:val="none"/>
        </w:rPr>
        <w:t>最后报价与首次报价相比有调整的：供应商提交的最后报价必须包含已标价的工程量清单，即最后报价是工程量清单全部工作内容的价格体现，具体包括供应商部分</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分部分项工程量清单费用、措施项目清单费用、规费、税金、其它项目</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和采购人部分</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暂列金、材料购置费</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如有</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等完成本工程并经验收合格至达到质量保修期限所需的费用、合理利润及风险。如磋商文件或磋商程中明确供应商应提供技术服务及其它服务的</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如检测费、验收发生的费用</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，相应费用也应包括在最后报价中。最后报价不允许采用汇总后优惠、打折的形式，否则其报价无效并作无效响应处理。供应商在报价时可只报总价，但必须将包含已标价工程量清单的最后报价在规定时间内在</w:t>
      </w:r>
      <w:r>
        <w:rPr>
          <w:rFonts w:hint="eastAsia" w:ascii="宋体" w:hAnsi="宋体" w:eastAsia="宋体" w:cs="宋体"/>
          <w:color w:val="auto"/>
          <w:spacing w:val="0"/>
          <w:position w:val="0"/>
          <w:highlight w:val="none"/>
          <w:lang w:eastAsia="zh-CN"/>
        </w:rPr>
        <w:t>广西政府采购云平台（https://www.gcy.zfcg.gxzf.gov.cn/）</w:t>
      </w:r>
      <w:r>
        <w:rPr>
          <w:rFonts w:hint="eastAsia" w:ascii="宋体" w:hAnsi="宋体" w:eastAsia="宋体" w:cs="宋体"/>
          <w:color w:val="auto"/>
          <w:spacing w:val="0"/>
          <w:position w:val="0"/>
          <w:highlight w:val="none"/>
        </w:rPr>
        <w:t>提交，</w:t>
      </w:r>
      <w:r>
        <w:rPr>
          <w:rFonts w:hint="eastAsia" w:ascii="宋体" w:hAnsi="宋体" w:eastAsia="宋体" w:cs="宋体"/>
          <w:color w:val="auto"/>
          <w:spacing w:val="0"/>
          <w:position w:val="0"/>
          <w:highlight w:val="none"/>
          <w:lang w:eastAsia="zh-CN"/>
        </w:rPr>
        <w:t>逾期视为放弃磋商资格、退出磋商。</w:t>
      </w:r>
    </w:p>
    <w:p w14:paraId="14052AE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4.3最后报价是供应商响应文件的有效组成部分。符合《政府采购竞争性磋商采购方式管理暂行办法》</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财库〔2014〕214号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第三条第四项“市场竞争不充分的科研项目，以及需要扶持的科技成果转化项目”的，提交最后报价的供应商可以为2家。</w:t>
      </w:r>
    </w:p>
    <w:p w14:paraId="332A7A5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15372E4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4.5供应商未在规定时间内提交最后报价的，视同退出磋商。</w:t>
      </w:r>
    </w:p>
    <w:p w14:paraId="27DCD72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4.6磋商小组收齐某一分标最后报价后统一开启，磋商小组对最后报价进行有效性、完整性和响应程度的审查。</w:t>
      </w:r>
    </w:p>
    <w:p w14:paraId="04F3D9F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4.7响应文件最后报价出现前后不一致的，按照本正文第25.2.4条的规定修正。</w:t>
      </w:r>
    </w:p>
    <w:p w14:paraId="4CC9784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4.8修正后的报价出现下列情形的，按无效响应处理：</w:t>
      </w:r>
    </w:p>
    <w:p w14:paraId="55336DC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供应商不确认的；</w:t>
      </w:r>
    </w:p>
    <w:p w14:paraId="6881F3B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经供应商确认修正后的竞标报价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包含首次报价、最后报价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超过所竞标规定的采购预算金额或者最高限价的</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如本项目公布了最高限价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p>
    <w:p w14:paraId="25C9504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3</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经供应商确认修正后的竞标报价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包含首次报价、最后报价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超过分项采购预算金额或者最高限价的</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如本项目公布了最高限价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p>
    <w:p w14:paraId="4CA9804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4.9经供应商确认修正后的最后报价作为评审及签订合同的依据。</w:t>
      </w:r>
    </w:p>
    <w:p w14:paraId="1903A9E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4.10最后报价结束后，磋商小组不得再与供应商进行任何形式的商谈。</w:t>
      </w:r>
    </w:p>
    <w:p w14:paraId="15620DA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5.比较与评价</w:t>
      </w:r>
    </w:p>
    <w:p w14:paraId="68C6414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5.1评审方法：综合评分法。</w:t>
      </w:r>
    </w:p>
    <w:p w14:paraId="3162C72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5.2经磋商确定最终采购需求和提交最后报价的供应商后，由磋商小组采用综合评分法对提交最后报价的供应商的响应文件和最后报价进行综合评分。</w:t>
      </w:r>
    </w:p>
    <w:p w14:paraId="219CFAB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5.3评审时，磋商小组各成员应当独立对每个有效响应的文件进行评价、打分，然后汇总每个供应商每项评分因素的得分。</w:t>
      </w:r>
    </w:p>
    <w:p w14:paraId="0D143A9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磋商小组按照磋商文件中规定的评审标准计算各供应商的报价得分。项目评审过程中，不得去掉最后报价中的最高报价和最低报价。</w:t>
      </w:r>
    </w:p>
    <w:p w14:paraId="44258A6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各供应商的得分为磋商小组所有成员的有效评分的算术平均数。</w:t>
      </w:r>
    </w:p>
    <w:p w14:paraId="2B88905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5.4评审价为供应商的最后报价进行政策性扣除后的价格，评审价只是作为评审时使用。最终成交供应商的成交金额等于最后报价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如有修正，以确认修正后的最后报价为准</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p>
    <w:p w14:paraId="63B0F91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5.5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57552A7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26506A9">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color w:val="auto"/>
          <w:spacing w:val="0"/>
          <w:position w:val="0"/>
          <w:highlight w:val="none"/>
          <w:lang w:eastAsia="zh-CN"/>
        </w:rPr>
      </w:pPr>
      <w:r>
        <w:rPr>
          <w:rFonts w:hint="eastAsia" w:ascii="宋体" w:hAnsi="宋体" w:eastAsia="宋体" w:cs="宋体"/>
          <w:b/>
          <w:bCs/>
          <w:color w:val="auto"/>
          <w:spacing w:val="0"/>
          <w:position w:val="0"/>
          <w:highlight w:val="none"/>
        </w:rPr>
        <w:t>二、评定标准</w:t>
      </w:r>
      <w:r>
        <w:rPr>
          <w:rFonts w:hint="eastAsia" w:ascii="宋体" w:hAnsi="宋体" w:eastAsia="宋体" w:cs="宋体"/>
          <w:b/>
          <w:bCs/>
          <w:color w:val="auto"/>
          <w:spacing w:val="0"/>
          <w:position w:val="0"/>
          <w:highlight w:val="none"/>
          <w:lang w:eastAsia="zh-CN"/>
        </w:rPr>
        <w:t>（</w:t>
      </w:r>
      <w:r>
        <w:rPr>
          <w:rFonts w:hint="eastAsia" w:ascii="宋体" w:hAnsi="宋体" w:eastAsia="宋体" w:cs="宋体"/>
          <w:b/>
          <w:bCs/>
          <w:color w:val="auto"/>
          <w:spacing w:val="0"/>
          <w:position w:val="0"/>
          <w:highlight w:val="none"/>
        </w:rPr>
        <w:t>综合评分法</w:t>
      </w:r>
      <w:r>
        <w:rPr>
          <w:rFonts w:hint="eastAsia" w:ascii="宋体" w:hAnsi="宋体" w:eastAsia="宋体" w:cs="宋体"/>
          <w:b/>
          <w:bCs/>
          <w:color w:val="auto"/>
          <w:spacing w:val="0"/>
          <w:position w:val="0"/>
          <w:highlight w:val="none"/>
          <w:lang w:eastAsia="zh-CN"/>
        </w:rPr>
        <w:t>）</w:t>
      </w:r>
    </w:p>
    <w:p w14:paraId="54C3B30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对进入详评的，磋商小组将以竞争性磋商文件、响应文件为评定依据，采用百分制综合评分法；计分办法</w:t>
      </w:r>
      <w:r>
        <w:rPr>
          <w:rFonts w:hint="eastAsia" w:ascii="宋体" w:hAnsi="宋体" w:eastAsia="宋体" w:cs="宋体"/>
          <w:color w:val="auto"/>
          <w:spacing w:val="0"/>
          <w:position w:val="0"/>
          <w:highlight w:val="none"/>
          <w:lang w:eastAsia="zh-CN"/>
        </w:rPr>
        <w:t>（按四舍五入取至百分位）</w:t>
      </w:r>
      <w:r>
        <w:rPr>
          <w:rFonts w:hint="eastAsia" w:ascii="宋体" w:hAnsi="宋体" w:eastAsia="宋体" w:cs="宋体"/>
          <w:color w:val="auto"/>
          <w:spacing w:val="0"/>
          <w:position w:val="0"/>
          <w:highlight w:val="none"/>
        </w:rPr>
        <w:t>。</w:t>
      </w:r>
    </w:p>
    <w:tbl>
      <w:tblPr>
        <w:tblStyle w:val="31"/>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58"/>
        <w:gridCol w:w="1115"/>
        <w:gridCol w:w="5935"/>
        <w:gridCol w:w="807"/>
      </w:tblGrid>
      <w:tr w14:paraId="649A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noWrap w:val="0"/>
            <w:vAlign w:val="center"/>
          </w:tcPr>
          <w:p w14:paraId="53902E41">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序</w:t>
            </w:r>
            <w:r>
              <w:rPr>
                <w:rFonts w:hint="eastAsia" w:ascii="宋体" w:hAnsi="宋体" w:eastAsia="宋体" w:cs="宋体"/>
                <w:b/>
                <w:bCs/>
                <w:color w:val="auto"/>
                <w:spacing w:val="0"/>
                <w:w w:val="100"/>
                <w:position w:val="0"/>
                <w:sz w:val="21"/>
                <w:szCs w:val="21"/>
                <w:highlight w:val="none"/>
              </w:rPr>
              <w:t>号</w:t>
            </w:r>
          </w:p>
        </w:tc>
        <w:tc>
          <w:tcPr>
            <w:tcW w:w="2073" w:type="dxa"/>
            <w:gridSpan w:val="2"/>
            <w:noWrap w:val="0"/>
            <w:vAlign w:val="center"/>
          </w:tcPr>
          <w:p w14:paraId="057A2EF1">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rPr>
              <w:t>评审因素</w:t>
            </w:r>
          </w:p>
        </w:tc>
        <w:tc>
          <w:tcPr>
            <w:tcW w:w="5935" w:type="dxa"/>
            <w:noWrap w:val="0"/>
            <w:vAlign w:val="center"/>
          </w:tcPr>
          <w:p w14:paraId="42CC39CB">
            <w:pPr>
              <w:keepNext w:val="0"/>
              <w:keepLines w:val="0"/>
              <w:pageBreakBefore w:val="0"/>
              <w:widowControl w:val="0"/>
              <w:suppressLineNumbers w:val="0"/>
              <w:kinsoku/>
              <w:wordWrap w:val="0"/>
              <w:overflowPunct/>
              <w:topLinePunct/>
              <w:autoSpaceDE/>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bCs/>
                <w:color w:val="auto"/>
                <w:spacing w:val="0"/>
                <w:kern w:val="0"/>
                <w:position w:val="0"/>
                <w:szCs w:val="21"/>
                <w:highlight w:val="none"/>
              </w:rPr>
              <w:t>评审因素具体内容</w:t>
            </w:r>
          </w:p>
        </w:tc>
        <w:tc>
          <w:tcPr>
            <w:tcW w:w="807" w:type="dxa"/>
            <w:noWrap w:val="0"/>
            <w:vAlign w:val="center"/>
          </w:tcPr>
          <w:p w14:paraId="5DE00B6F">
            <w:pPr>
              <w:keepNext w:val="0"/>
              <w:keepLines w:val="0"/>
              <w:pageBreakBefore w:val="0"/>
              <w:widowControl w:val="0"/>
              <w:suppressLineNumbers w:val="0"/>
              <w:kinsoku/>
              <w:wordWrap w:val="0"/>
              <w:overflowPunct/>
              <w:topLinePunct/>
              <w:autoSpaceDE/>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kern w:val="0"/>
                <w:position w:val="0"/>
                <w:szCs w:val="21"/>
                <w:highlight w:val="none"/>
                <w:lang w:eastAsia="zh-CN"/>
              </w:rPr>
            </w:pPr>
            <w:r>
              <w:rPr>
                <w:rFonts w:hint="eastAsia" w:ascii="宋体" w:hAnsi="宋体" w:eastAsia="宋体" w:cs="宋体"/>
                <w:b/>
                <w:bCs/>
                <w:color w:val="auto"/>
                <w:spacing w:val="0"/>
                <w:kern w:val="0"/>
                <w:position w:val="0"/>
                <w:szCs w:val="21"/>
                <w:highlight w:val="none"/>
                <w:lang w:eastAsia="zh-CN"/>
              </w:rPr>
              <w:t>备注</w:t>
            </w:r>
          </w:p>
        </w:tc>
      </w:tr>
      <w:tr w14:paraId="6585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noWrap w:val="0"/>
            <w:vAlign w:val="center"/>
          </w:tcPr>
          <w:p w14:paraId="380D15A3">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w:t>
            </w:r>
          </w:p>
        </w:tc>
        <w:tc>
          <w:tcPr>
            <w:tcW w:w="958" w:type="dxa"/>
            <w:noWrap w:val="0"/>
            <w:vAlign w:val="center"/>
          </w:tcPr>
          <w:p w14:paraId="4B976401">
            <w:pPr>
              <w:keepNext w:val="0"/>
              <w:keepLines w:val="0"/>
              <w:pageBreakBefore w:val="0"/>
              <w:widowControl w:val="0"/>
              <w:suppressLineNumbers w:val="0"/>
              <w:kinsoku/>
              <w:wordWrap w:val="0"/>
              <w:overflowPunct/>
              <w:topLinePunct/>
              <w:autoSpaceDE/>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eastAsia="zh-CN"/>
              </w:rPr>
            </w:pPr>
            <w:r>
              <w:rPr>
                <w:rFonts w:hint="eastAsia" w:ascii="宋体" w:hAnsi="宋体" w:eastAsia="宋体" w:cs="宋体"/>
                <w:b/>
                <w:bCs/>
                <w:color w:val="auto"/>
                <w:spacing w:val="0"/>
                <w:w w:val="100"/>
                <w:position w:val="0"/>
                <w:sz w:val="21"/>
                <w:szCs w:val="21"/>
                <w:highlight w:val="none"/>
                <w:lang w:eastAsia="zh-CN"/>
              </w:rPr>
              <w:t>报价</w:t>
            </w:r>
          </w:p>
        </w:tc>
        <w:tc>
          <w:tcPr>
            <w:tcW w:w="1115" w:type="dxa"/>
            <w:noWrap w:val="0"/>
            <w:vAlign w:val="center"/>
          </w:tcPr>
          <w:p w14:paraId="4280F2F4">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lang w:val="en-US" w:eastAsia="zh-CN"/>
              </w:rPr>
              <w:t>价格分（满分</w:t>
            </w:r>
            <w:r>
              <w:rPr>
                <w:rFonts w:hint="eastAsia" w:ascii="宋体" w:hAnsi="宋体" w:cs="宋体"/>
                <w:b w:val="0"/>
                <w:bCs w:val="0"/>
                <w:color w:val="auto"/>
                <w:spacing w:val="0"/>
                <w:w w:val="100"/>
                <w:position w:val="0"/>
                <w:sz w:val="21"/>
                <w:szCs w:val="21"/>
                <w:highlight w:val="none"/>
                <w:lang w:val="en-US" w:eastAsia="zh-CN"/>
              </w:rPr>
              <w:t>1</w:t>
            </w:r>
            <w:r>
              <w:rPr>
                <w:rFonts w:hint="eastAsia" w:ascii="宋体" w:hAnsi="宋体" w:eastAsia="宋体" w:cs="宋体"/>
                <w:b w:val="0"/>
                <w:bCs w:val="0"/>
                <w:color w:val="auto"/>
                <w:spacing w:val="0"/>
                <w:w w:val="100"/>
                <w:position w:val="0"/>
                <w:sz w:val="21"/>
                <w:szCs w:val="21"/>
                <w:highlight w:val="none"/>
                <w:lang w:val="en-US" w:eastAsia="zh-CN"/>
              </w:rPr>
              <w:t>0分）</w:t>
            </w:r>
          </w:p>
        </w:tc>
        <w:tc>
          <w:tcPr>
            <w:tcW w:w="5935" w:type="dxa"/>
            <w:noWrap w:val="0"/>
            <w:vAlign w:val="center"/>
          </w:tcPr>
          <w:p w14:paraId="4C05E7C9">
            <w:pPr>
              <w:keepNext w:val="0"/>
              <w:keepLines w:val="0"/>
              <w:pageBreakBefore w:val="0"/>
              <w:widowControl w:val="0"/>
              <w:suppressLineNumbers w:val="0"/>
              <w:kinsoku/>
              <w:wordWrap w:val="0"/>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（1）本项目专门面向中小企业采购（供应商应为中小微企业或监狱企业或残疾人福利性单位），不再执行价格评审优惠的扶持政策。</w:t>
            </w:r>
          </w:p>
          <w:p w14:paraId="4E914F5A">
            <w:pPr>
              <w:keepNext w:val="0"/>
              <w:keepLines w:val="0"/>
              <w:pageBreakBefore w:val="0"/>
              <w:widowControl w:val="0"/>
              <w:suppressLineNumbers w:val="0"/>
              <w:kinsoku/>
              <w:wordWrap w:val="0"/>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（2）以进入比较与评价环节的</w:t>
            </w:r>
            <w:r>
              <w:rPr>
                <w:rFonts w:hint="eastAsia" w:ascii="宋体" w:hAnsi="宋体" w:eastAsia="宋体" w:cs="宋体"/>
                <w:b w:val="0"/>
                <w:bCs w:val="0"/>
                <w:color w:val="auto"/>
                <w:spacing w:val="0"/>
                <w:w w:val="100"/>
                <w:position w:val="0"/>
                <w:sz w:val="21"/>
                <w:szCs w:val="21"/>
                <w:highlight w:val="none"/>
                <w:lang w:val="en-US" w:eastAsia="zh-CN"/>
              </w:rPr>
              <w:t>最后报价的</w:t>
            </w:r>
            <w:r>
              <w:rPr>
                <w:rFonts w:hint="eastAsia" w:ascii="宋体" w:hAnsi="宋体" w:eastAsia="宋体" w:cs="宋体"/>
                <w:b w:val="0"/>
                <w:bCs w:val="0"/>
                <w:color w:val="auto"/>
                <w:spacing w:val="0"/>
                <w:w w:val="100"/>
                <w:position w:val="0"/>
                <w:sz w:val="21"/>
                <w:szCs w:val="21"/>
                <w:highlight w:val="none"/>
              </w:rPr>
              <w:t>最低</w:t>
            </w:r>
            <w:r>
              <w:rPr>
                <w:rFonts w:hint="eastAsia" w:ascii="宋体" w:hAnsi="宋体" w:eastAsia="宋体" w:cs="宋体"/>
                <w:b w:val="0"/>
                <w:bCs w:val="0"/>
                <w:color w:val="auto"/>
                <w:spacing w:val="0"/>
                <w:w w:val="100"/>
                <w:position w:val="0"/>
                <w:sz w:val="21"/>
                <w:szCs w:val="21"/>
                <w:highlight w:val="none"/>
                <w:lang w:val="en-US" w:eastAsia="zh-CN"/>
              </w:rPr>
              <w:t>价格</w:t>
            </w:r>
            <w:r>
              <w:rPr>
                <w:rFonts w:hint="eastAsia" w:ascii="宋体" w:hAnsi="宋体" w:eastAsia="宋体" w:cs="宋体"/>
                <w:b w:val="0"/>
                <w:bCs w:val="0"/>
                <w:color w:val="auto"/>
                <w:spacing w:val="0"/>
                <w:w w:val="100"/>
                <w:position w:val="0"/>
                <w:sz w:val="21"/>
                <w:szCs w:val="21"/>
                <w:highlight w:val="none"/>
              </w:rPr>
              <w:t>为基准价，基准价得分为</w:t>
            </w:r>
            <w:r>
              <w:rPr>
                <w:rFonts w:hint="eastAsia" w:ascii="宋体" w:hAnsi="宋体" w:cs="宋体"/>
                <w:b w:val="0"/>
                <w:bCs w:val="0"/>
                <w:color w:val="auto"/>
                <w:spacing w:val="0"/>
                <w:w w:val="100"/>
                <w:position w:val="0"/>
                <w:sz w:val="21"/>
                <w:szCs w:val="21"/>
                <w:highlight w:val="none"/>
                <w:lang w:val="en-US" w:eastAsia="zh-CN"/>
              </w:rPr>
              <w:t>1</w:t>
            </w:r>
            <w:r>
              <w:rPr>
                <w:rFonts w:hint="eastAsia" w:ascii="宋体" w:hAnsi="宋体" w:eastAsia="宋体" w:cs="宋体"/>
                <w:b w:val="0"/>
                <w:bCs w:val="0"/>
                <w:color w:val="auto"/>
                <w:spacing w:val="0"/>
                <w:w w:val="100"/>
                <w:position w:val="0"/>
                <w:sz w:val="21"/>
                <w:szCs w:val="21"/>
                <w:highlight w:val="none"/>
                <w:lang w:val="en-US" w:eastAsia="zh-CN"/>
              </w:rPr>
              <w:t>0</w:t>
            </w:r>
            <w:r>
              <w:rPr>
                <w:rFonts w:hint="eastAsia" w:ascii="宋体" w:hAnsi="宋体" w:eastAsia="宋体" w:cs="宋体"/>
                <w:b w:val="0"/>
                <w:bCs w:val="0"/>
                <w:color w:val="auto"/>
                <w:spacing w:val="0"/>
                <w:w w:val="100"/>
                <w:position w:val="0"/>
                <w:sz w:val="21"/>
                <w:szCs w:val="21"/>
                <w:highlight w:val="none"/>
              </w:rPr>
              <w:t>分。</w:t>
            </w:r>
          </w:p>
          <w:p w14:paraId="234C5138">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eastAsia="宋体" w:cs="宋体"/>
                <w:b w:val="0"/>
                <w:bCs w:val="0"/>
                <w:color w:val="auto"/>
                <w:spacing w:val="0"/>
                <w:w w:val="100"/>
                <w:position w:val="0"/>
                <w:sz w:val="21"/>
                <w:szCs w:val="21"/>
                <w:highlight w:val="none"/>
                <w:lang w:val="en-US" w:eastAsia="zh-CN"/>
              </w:rPr>
              <w:t>3</w:t>
            </w:r>
            <w:r>
              <w:rPr>
                <w:rFonts w:hint="eastAsia" w:ascii="宋体" w:hAnsi="宋体" w:eastAsia="宋体" w:cs="宋体"/>
                <w:b w:val="0"/>
                <w:bCs w:val="0"/>
                <w:color w:val="auto"/>
                <w:spacing w:val="0"/>
                <w:w w:val="100"/>
                <w:position w:val="0"/>
                <w:sz w:val="21"/>
                <w:szCs w:val="21"/>
                <w:highlight w:val="none"/>
              </w:rPr>
              <w:t>）价格分计算公式：报价得分=（基准价/最后报价）×</w:t>
            </w:r>
            <w:r>
              <w:rPr>
                <w:rFonts w:hint="eastAsia" w:ascii="宋体" w:hAnsi="宋体" w:cs="宋体"/>
                <w:b w:val="0"/>
                <w:bCs w:val="0"/>
                <w:color w:val="auto"/>
                <w:spacing w:val="0"/>
                <w:w w:val="100"/>
                <w:position w:val="0"/>
                <w:sz w:val="21"/>
                <w:szCs w:val="21"/>
                <w:highlight w:val="none"/>
                <w:lang w:val="en-US" w:eastAsia="zh-CN"/>
              </w:rPr>
              <w:t>1</w:t>
            </w:r>
            <w:r>
              <w:rPr>
                <w:rFonts w:hint="eastAsia" w:ascii="宋体" w:hAnsi="宋体" w:eastAsia="宋体" w:cs="宋体"/>
                <w:b w:val="0"/>
                <w:bCs w:val="0"/>
                <w:color w:val="auto"/>
                <w:spacing w:val="0"/>
                <w:w w:val="100"/>
                <w:position w:val="0"/>
                <w:sz w:val="21"/>
                <w:szCs w:val="21"/>
                <w:highlight w:val="none"/>
                <w:lang w:val="en-US" w:eastAsia="zh-CN"/>
              </w:rPr>
              <w:t>0</w:t>
            </w:r>
            <w:r>
              <w:rPr>
                <w:rFonts w:hint="eastAsia" w:ascii="宋体" w:hAnsi="宋体" w:eastAsia="宋体" w:cs="宋体"/>
                <w:b w:val="0"/>
                <w:bCs w:val="0"/>
                <w:color w:val="auto"/>
                <w:spacing w:val="0"/>
                <w:w w:val="100"/>
                <w:position w:val="0"/>
                <w:sz w:val="21"/>
                <w:szCs w:val="21"/>
                <w:highlight w:val="none"/>
              </w:rPr>
              <w:t>分</w:t>
            </w:r>
          </w:p>
        </w:tc>
        <w:tc>
          <w:tcPr>
            <w:tcW w:w="807" w:type="dxa"/>
            <w:noWrap w:val="0"/>
            <w:vAlign w:val="center"/>
          </w:tcPr>
          <w:p w14:paraId="186F423C">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客观分</w:t>
            </w:r>
          </w:p>
        </w:tc>
      </w:tr>
      <w:tr w14:paraId="17C4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noWrap w:val="0"/>
            <w:vAlign w:val="center"/>
          </w:tcPr>
          <w:p w14:paraId="22D62143">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rPr>
              <w:t>2</w:t>
            </w:r>
          </w:p>
        </w:tc>
        <w:tc>
          <w:tcPr>
            <w:tcW w:w="958" w:type="dxa"/>
            <w:noWrap w:val="0"/>
            <w:vAlign w:val="center"/>
          </w:tcPr>
          <w:p w14:paraId="447376BD">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bCs/>
                <w:color w:val="auto"/>
                <w:spacing w:val="0"/>
                <w:w w:val="100"/>
                <w:position w:val="0"/>
                <w:sz w:val="21"/>
                <w:szCs w:val="21"/>
                <w:highlight w:val="none"/>
                <w:lang w:val="en-US" w:eastAsia="zh-CN"/>
              </w:rPr>
              <w:t>技术</w:t>
            </w:r>
          </w:p>
        </w:tc>
        <w:tc>
          <w:tcPr>
            <w:tcW w:w="1115" w:type="dxa"/>
            <w:noWrap w:val="0"/>
            <w:vAlign w:val="center"/>
          </w:tcPr>
          <w:p w14:paraId="5619D342">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p>
        </w:tc>
        <w:tc>
          <w:tcPr>
            <w:tcW w:w="5935" w:type="dxa"/>
            <w:noWrap w:val="0"/>
            <w:vAlign w:val="center"/>
          </w:tcPr>
          <w:p w14:paraId="31041E2B">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p>
        </w:tc>
        <w:tc>
          <w:tcPr>
            <w:tcW w:w="807" w:type="dxa"/>
            <w:noWrap w:val="0"/>
            <w:vAlign w:val="center"/>
          </w:tcPr>
          <w:p w14:paraId="60144CA8">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rPr>
            </w:pPr>
          </w:p>
        </w:tc>
      </w:tr>
      <w:tr w14:paraId="2564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restart"/>
            <w:noWrap w:val="0"/>
            <w:vAlign w:val="center"/>
          </w:tcPr>
          <w:p w14:paraId="303373E3">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2.1</w:t>
            </w:r>
          </w:p>
        </w:tc>
        <w:tc>
          <w:tcPr>
            <w:tcW w:w="958" w:type="dxa"/>
            <w:vMerge w:val="restart"/>
            <w:noWrap w:val="0"/>
            <w:vAlign w:val="center"/>
          </w:tcPr>
          <w:p w14:paraId="7A4DB464">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rPr>
              <w:t>施工组织设计</w:t>
            </w:r>
            <w:r>
              <w:rPr>
                <w:rFonts w:hint="eastAsia" w:ascii="宋体" w:hAnsi="宋体" w:cs="宋体"/>
                <w:b w:val="0"/>
                <w:bCs w:val="0"/>
                <w:color w:val="auto"/>
                <w:spacing w:val="0"/>
                <w:w w:val="100"/>
                <w:position w:val="0"/>
                <w:sz w:val="21"/>
                <w:szCs w:val="21"/>
                <w:highlight w:val="none"/>
                <w:lang w:eastAsia="zh-CN"/>
              </w:rPr>
              <w:t>（满分</w:t>
            </w:r>
            <w:r>
              <w:rPr>
                <w:rFonts w:hint="eastAsia" w:ascii="宋体" w:hAnsi="宋体" w:cs="宋体"/>
                <w:b w:val="0"/>
                <w:bCs w:val="0"/>
                <w:color w:val="auto"/>
                <w:spacing w:val="0"/>
                <w:w w:val="100"/>
                <w:position w:val="0"/>
                <w:sz w:val="21"/>
                <w:szCs w:val="21"/>
                <w:highlight w:val="none"/>
                <w:lang w:val="en-US" w:eastAsia="zh-CN"/>
              </w:rPr>
              <w:t>71分</w:t>
            </w:r>
            <w:r>
              <w:rPr>
                <w:rFonts w:hint="eastAsia" w:ascii="宋体" w:hAnsi="宋体" w:cs="宋体"/>
                <w:b w:val="0"/>
                <w:bCs w:val="0"/>
                <w:color w:val="auto"/>
                <w:spacing w:val="0"/>
                <w:w w:val="100"/>
                <w:position w:val="0"/>
                <w:sz w:val="21"/>
                <w:szCs w:val="21"/>
                <w:highlight w:val="none"/>
                <w:lang w:eastAsia="zh-CN"/>
              </w:rPr>
              <w:t>）</w:t>
            </w:r>
          </w:p>
        </w:tc>
        <w:tc>
          <w:tcPr>
            <w:tcW w:w="1115" w:type="dxa"/>
            <w:noWrap w:val="0"/>
            <w:vAlign w:val="center"/>
          </w:tcPr>
          <w:p w14:paraId="0E24679B">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cs="宋体"/>
                <w:b w:val="0"/>
                <w:bCs w:val="0"/>
                <w:color w:val="auto"/>
                <w:spacing w:val="0"/>
                <w:w w:val="100"/>
                <w:position w:val="0"/>
                <w:sz w:val="21"/>
                <w:szCs w:val="21"/>
                <w:highlight w:val="none"/>
                <w:vertAlign w:val="baseline"/>
                <w:lang w:eastAsia="zh-CN"/>
              </w:rPr>
              <w:t>（</w:t>
            </w:r>
            <w:r>
              <w:rPr>
                <w:rFonts w:hint="eastAsia" w:ascii="宋体" w:hAnsi="宋体" w:cs="宋体"/>
                <w:b w:val="0"/>
                <w:bCs w:val="0"/>
                <w:color w:val="auto"/>
                <w:spacing w:val="0"/>
                <w:w w:val="100"/>
                <w:position w:val="0"/>
                <w:sz w:val="21"/>
                <w:szCs w:val="21"/>
                <w:highlight w:val="none"/>
                <w:vertAlign w:val="baseline"/>
                <w:lang w:val="en-US" w:eastAsia="zh-CN"/>
              </w:rPr>
              <w:t>1</w:t>
            </w:r>
            <w:r>
              <w:rPr>
                <w:rFonts w:hint="eastAsia" w:ascii="宋体" w:hAnsi="宋体" w:cs="宋体"/>
                <w:b w:val="0"/>
                <w:bCs w:val="0"/>
                <w:color w:val="auto"/>
                <w:spacing w:val="0"/>
                <w:w w:val="100"/>
                <w:position w:val="0"/>
                <w:sz w:val="21"/>
                <w:szCs w:val="21"/>
                <w:highlight w:val="none"/>
                <w:vertAlign w:val="baseline"/>
                <w:lang w:eastAsia="zh-CN"/>
              </w:rPr>
              <w:t>）主要施工方法（</w:t>
            </w:r>
            <w:r>
              <w:rPr>
                <w:rFonts w:hint="eastAsia" w:ascii="宋体" w:hAnsi="宋体" w:cs="宋体"/>
                <w:b w:val="0"/>
                <w:bCs w:val="0"/>
                <w:color w:val="auto"/>
                <w:spacing w:val="0"/>
                <w:w w:val="100"/>
                <w:position w:val="0"/>
                <w:sz w:val="21"/>
                <w:szCs w:val="21"/>
                <w:highlight w:val="none"/>
                <w:vertAlign w:val="baseline"/>
                <w:lang w:val="en-US" w:eastAsia="zh-CN"/>
              </w:rPr>
              <w:t>8分</w:t>
            </w:r>
            <w:r>
              <w:rPr>
                <w:rFonts w:hint="eastAsia" w:ascii="宋体" w:hAnsi="宋体" w:cs="宋体"/>
                <w:b w:val="0"/>
                <w:bCs w:val="0"/>
                <w:color w:val="auto"/>
                <w:spacing w:val="0"/>
                <w:w w:val="100"/>
                <w:position w:val="0"/>
                <w:sz w:val="21"/>
                <w:szCs w:val="21"/>
                <w:highlight w:val="none"/>
                <w:vertAlign w:val="baseline"/>
                <w:lang w:eastAsia="zh-CN"/>
              </w:rPr>
              <w:t>）</w:t>
            </w:r>
          </w:p>
        </w:tc>
        <w:tc>
          <w:tcPr>
            <w:tcW w:w="5935" w:type="dxa"/>
            <w:noWrap w:val="0"/>
            <w:vAlign w:val="center"/>
          </w:tcPr>
          <w:p w14:paraId="006A4E93">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由磋商小组在打分前根据供应商提供的</w:t>
            </w:r>
            <w:r>
              <w:rPr>
                <w:rFonts w:hint="eastAsia" w:ascii="宋体" w:hAnsi="宋体" w:cs="宋体"/>
                <w:b w:val="0"/>
                <w:bCs w:val="0"/>
                <w:color w:val="auto"/>
                <w:spacing w:val="0"/>
                <w:w w:val="100"/>
                <w:position w:val="0"/>
                <w:sz w:val="21"/>
                <w:szCs w:val="21"/>
                <w:highlight w:val="none"/>
                <w:vertAlign w:val="baseline"/>
                <w:lang w:eastAsia="zh-CN"/>
              </w:rPr>
              <w:t>主要施工方法</w:t>
            </w:r>
            <w:r>
              <w:rPr>
                <w:rFonts w:hint="eastAsia" w:ascii="宋体" w:hAnsi="宋体" w:eastAsia="宋体" w:cs="宋体"/>
                <w:b w:val="0"/>
                <w:bCs w:val="0"/>
                <w:color w:val="auto"/>
                <w:spacing w:val="0"/>
                <w:w w:val="100"/>
                <w:position w:val="0"/>
                <w:sz w:val="21"/>
                <w:szCs w:val="21"/>
                <w:highlight w:val="none"/>
                <w:vertAlign w:val="baseline"/>
                <w:lang w:eastAsia="zh-CN"/>
              </w:rPr>
              <w:t>，在相应档次内独立打分。</w:t>
            </w:r>
          </w:p>
          <w:p w14:paraId="2D63581C">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cs="宋体"/>
                <w:b w:val="0"/>
                <w:bCs w:val="0"/>
                <w:color w:val="auto"/>
                <w:spacing w:val="0"/>
                <w:w w:val="100"/>
                <w:position w:val="0"/>
                <w:sz w:val="21"/>
                <w:szCs w:val="21"/>
                <w:highlight w:val="none"/>
                <w:vertAlign w:val="baseline"/>
                <w:lang w:eastAsia="zh-CN"/>
              </w:rPr>
              <w:t>一</w:t>
            </w:r>
            <w:r>
              <w:rPr>
                <w:rFonts w:hint="eastAsia" w:ascii="宋体" w:hAnsi="宋体" w:eastAsia="宋体" w:cs="宋体"/>
                <w:b w:val="0"/>
                <w:bCs w:val="0"/>
                <w:color w:val="auto"/>
                <w:spacing w:val="0"/>
                <w:w w:val="100"/>
                <w:position w:val="0"/>
                <w:sz w:val="21"/>
                <w:szCs w:val="21"/>
                <w:highlight w:val="none"/>
                <w:vertAlign w:val="baseline"/>
                <w:lang w:eastAsia="zh-CN"/>
              </w:rPr>
              <w:t>档（0分）：未提供主要施工方法。</w:t>
            </w:r>
          </w:p>
          <w:p w14:paraId="1A1A78CD">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二档（3分）：各主要分部施工方法基本符合项目实际，施工技术方案基本齐全，方法基本合理、基本可行，基本能指导具体施工并确保安全。</w:t>
            </w:r>
          </w:p>
          <w:p w14:paraId="339E8A14">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cs="宋体"/>
                <w:b w:val="0"/>
                <w:bCs w:val="0"/>
                <w:color w:val="auto"/>
                <w:spacing w:val="0"/>
                <w:w w:val="100"/>
                <w:position w:val="0"/>
                <w:sz w:val="21"/>
                <w:szCs w:val="21"/>
                <w:highlight w:val="none"/>
                <w:vertAlign w:val="baseline"/>
                <w:lang w:eastAsia="zh-CN"/>
              </w:rPr>
              <w:t>三</w:t>
            </w:r>
            <w:r>
              <w:rPr>
                <w:rFonts w:hint="eastAsia" w:ascii="宋体" w:hAnsi="宋体" w:eastAsia="宋体" w:cs="宋体"/>
                <w:b w:val="0"/>
                <w:bCs w:val="0"/>
                <w:color w:val="auto"/>
                <w:spacing w:val="0"/>
                <w:w w:val="100"/>
                <w:position w:val="0"/>
                <w:sz w:val="21"/>
                <w:szCs w:val="21"/>
                <w:highlight w:val="none"/>
                <w:vertAlign w:val="baseline"/>
                <w:lang w:eastAsia="zh-CN"/>
              </w:rPr>
              <w:t>档（</w:t>
            </w:r>
            <w:r>
              <w:rPr>
                <w:rFonts w:hint="eastAsia" w:ascii="宋体" w:hAnsi="宋体" w:eastAsia="宋体" w:cs="宋体"/>
                <w:b w:val="0"/>
                <w:bCs w:val="0"/>
                <w:color w:val="auto"/>
                <w:spacing w:val="0"/>
                <w:w w:val="100"/>
                <w:position w:val="0"/>
                <w:sz w:val="21"/>
                <w:szCs w:val="21"/>
                <w:highlight w:val="none"/>
                <w:vertAlign w:val="baseline"/>
                <w:lang w:val="en-US" w:eastAsia="zh-CN"/>
              </w:rPr>
              <w:t>6</w:t>
            </w:r>
            <w:r>
              <w:rPr>
                <w:rFonts w:hint="eastAsia" w:ascii="宋体" w:hAnsi="宋体" w:eastAsia="宋体" w:cs="宋体"/>
                <w:b w:val="0"/>
                <w:bCs w:val="0"/>
                <w:color w:val="auto"/>
                <w:spacing w:val="0"/>
                <w:w w:val="100"/>
                <w:position w:val="0"/>
                <w:sz w:val="21"/>
                <w:szCs w:val="21"/>
                <w:highlight w:val="none"/>
                <w:vertAlign w:val="baseline"/>
                <w:lang w:eastAsia="zh-CN"/>
              </w:rPr>
              <w:t>分）：各主要分部施工方法符合项目实际，施工技术方案齐全，工艺成熟、方法合理、可行，能指导具体施工并确保安全。</w:t>
            </w:r>
          </w:p>
          <w:p w14:paraId="43F87A9A">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cs="宋体"/>
                <w:b w:val="0"/>
                <w:bCs w:val="0"/>
                <w:color w:val="auto"/>
                <w:spacing w:val="0"/>
                <w:w w:val="100"/>
                <w:position w:val="0"/>
                <w:sz w:val="21"/>
                <w:szCs w:val="21"/>
                <w:highlight w:val="none"/>
                <w:vertAlign w:val="baseline"/>
                <w:lang w:eastAsia="zh-CN"/>
              </w:rPr>
              <w:t>四</w:t>
            </w:r>
            <w:r>
              <w:rPr>
                <w:rFonts w:hint="eastAsia" w:ascii="宋体" w:hAnsi="宋体" w:eastAsia="宋体" w:cs="宋体"/>
                <w:b w:val="0"/>
                <w:bCs w:val="0"/>
                <w:color w:val="auto"/>
                <w:spacing w:val="0"/>
                <w:w w:val="100"/>
                <w:position w:val="0"/>
                <w:sz w:val="21"/>
                <w:szCs w:val="21"/>
                <w:highlight w:val="none"/>
                <w:vertAlign w:val="baseline"/>
                <w:lang w:eastAsia="zh-CN"/>
              </w:rPr>
              <w:t>档（</w:t>
            </w:r>
            <w:r>
              <w:rPr>
                <w:rFonts w:hint="eastAsia" w:ascii="宋体" w:hAnsi="宋体" w:cs="宋体"/>
                <w:b w:val="0"/>
                <w:bCs w:val="0"/>
                <w:color w:val="auto"/>
                <w:spacing w:val="0"/>
                <w:w w:val="100"/>
                <w:position w:val="0"/>
                <w:sz w:val="21"/>
                <w:szCs w:val="21"/>
                <w:highlight w:val="none"/>
                <w:vertAlign w:val="baseline"/>
                <w:lang w:val="en-US" w:eastAsia="zh-CN"/>
              </w:rPr>
              <w:t>8</w:t>
            </w:r>
            <w:r>
              <w:rPr>
                <w:rFonts w:hint="eastAsia" w:ascii="宋体" w:hAnsi="宋体" w:eastAsia="宋体" w:cs="宋体"/>
                <w:b w:val="0"/>
                <w:bCs w:val="0"/>
                <w:color w:val="auto"/>
                <w:spacing w:val="0"/>
                <w:w w:val="100"/>
                <w:position w:val="0"/>
                <w:sz w:val="21"/>
                <w:szCs w:val="21"/>
                <w:highlight w:val="none"/>
                <w:vertAlign w:val="baseline"/>
                <w:lang w:eastAsia="zh-CN"/>
              </w:rPr>
              <w:t>分）：各主要分部施工方法针对性强，施工技术方案详尽周密，工艺先进、方法科学、可行，能很好的指导具体施工并确保安全。</w:t>
            </w:r>
          </w:p>
        </w:tc>
        <w:tc>
          <w:tcPr>
            <w:tcW w:w="807" w:type="dxa"/>
            <w:noWrap w:val="0"/>
            <w:vAlign w:val="center"/>
          </w:tcPr>
          <w:p w14:paraId="686EA919">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eastAsia="zh-CN"/>
              </w:rPr>
            </w:pPr>
            <w:r>
              <w:rPr>
                <w:rFonts w:hint="eastAsia" w:ascii="宋体" w:hAnsi="宋体" w:cs="宋体"/>
                <w:b w:val="0"/>
                <w:bCs w:val="0"/>
                <w:color w:val="auto"/>
                <w:spacing w:val="0"/>
                <w:w w:val="100"/>
                <w:position w:val="0"/>
                <w:sz w:val="21"/>
                <w:szCs w:val="21"/>
                <w:highlight w:val="none"/>
                <w:lang w:eastAsia="zh-CN"/>
              </w:rPr>
              <w:t>主观分</w:t>
            </w:r>
          </w:p>
        </w:tc>
      </w:tr>
      <w:tr w14:paraId="744E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19" w:type="dxa"/>
            <w:vMerge w:val="continue"/>
            <w:noWrap w:val="0"/>
            <w:vAlign w:val="center"/>
          </w:tcPr>
          <w:p w14:paraId="35976AB2">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p>
        </w:tc>
        <w:tc>
          <w:tcPr>
            <w:tcW w:w="958" w:type="dxa"/>
            <w:vMerge w:val="continue"/>
            <w:noWrap w:val="0"/>
            <w:vAlign w:val="center"/>
          </w:tcPr>
          <w:p w14:paraId="7CAEEFAC">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77A3AB63">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cs="宋体"/>
                <w:b w:val="0"/>
                <w:bCs w:val="0"/>
                <w:color w:val="auto"/>
                <w:spacing w:val="0"/>
                <w:w w:val="100"/>
                <w:position w:val="0"/>
                <w:sz w:val="21"/>
                <w:szCs w:val="21"/>
                <w:highlight w:val="none"/>
                <w:lang w:val="en-US" w:eastAsia="zh-CN"/>
              </w:rPr>
              <w:t>2</w:t>
            </w:r>
            <w:r>
              <w:rPr>
                <w:rFonts w:hint="eastAsia" w:ascii="宋体" w:hAnsi="宋体" w:eastAsia="宋体" w:cs="宋体"/>
                <w:b w:val="0"/>
                <w:bCs w:val="0"/>
                <w:color w:val="auto"/>
                <w:spacing w:val="0"/>
                <w:w w:val="100"/>
                <w:position w:val="0"/>
                <w:sz w:val="21"/>
                <w:szCs w:val="21"/>
                <w:highlight w:val="none"/>
              </w:rPr>
              <w:t>）施工机械设备情况（</w:t>
            </w:r>
            <w:r>
              <w:rPr>
                <w:rFonts w:hint="eastAsia" w:ascii="宋体" w:hAnsi="宋体" w:cs="宋体"/>
                <w:b w:val="0"/>
                <w:bCs w:val="0"/>
                <w:color w:val="auto"/>
                <w:spacing w:val="0"/>
                <w:w w:val="100"/>
                <w:position w:val="0"/>
                <w:sz w:val="21"/>
                <w:szCs w:val="21"/>
                <w:highlight w:val="none"/>
                <w:lang w:val="en-US" w:eastAsia="zh-CN"/>
              </w:rPr>
              <w:t>8</w:t>
            </w:r>
            <w:r>
              <w:rPr>
                <w:rFonts w:hint="eastAsia" w:ascii="宋体" w:hAnsi="宋体" w:eastAsia="宋体" w:cs="宋体"/>
                <w:b w:val="0"/>
                <w:bCs w:val="0"/>
                <w:color w:val="auto"/>
                <w:spacing w:val="0"/>
                <w:w w:val="100"/>
                <w:position w:val="0"/>
                <w:sz w:val="21"/>
                <w:szCs w:val="21"/>
                <w:highlight w:val="none"/>
              </w:rPr>
              <w:t>分）</w:t>
            </w:r>
          </w:p>
        </w:tc>
        <w:tc>
          <w:tcPr>
            <w:tcW w:w="5935" w:type="dxa"/>
            <w:noWrap w:val="0"/>
            <w:vAlign w:val="center"/>
          </w:tcPr>
          <w:p w14:paraId="45867DEB">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由磋商小组在打分前根据供应商提供的拟投入施工机械设备情况，在相应档次内独立打分。</w:t>
            </w:r>
          </w:p>
          <w:p w14:paraId="68D00409">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一档（0分）：投入的施工机械、设备、机具组织计划差，投入计划与进度计划不呼应，不能满足施工需要。</w:t>
            </w:r>
          </w:p>
          <w:p w14:paraId="1B8AB2AE">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w:t>
            </w:r>
            <w:r>
              <w:rPr>
                <w:rFonts w:hint="eastAsia" w:ascii="宋体" w:hAnsi="宋体" w:cs="宋体"/>
                <w:b w:val="0"/>
                <w:bCs w:val="0"/>
                <w:color w:val="auto"/>
                <w:spacing w:val="0"/>
                <w:w w:val="100"/>
                <w:position w:val="0"/>
                <w:sz w:val="21"/>
                <w:szCs w:val="21"/>
                <w:highlight w:val="none"/>
                <w:vertAlign w:val="baseline"/>
                <w:lang w:val="en-US" w:eastAsia="zh-CN"/>
              </w:rPr>
              <w:t>3</w:t>
            </w:r>
            <w:r>
              <w:rPr>
                <w:rFonts w:hint="eastAsia" w:ascii="宋体" w:hAnsi="宋体" w:eastAsia="宋体" w:cs="宋体"/>
                <w:b w:val="0"/>
                <w:bCs w:val="0"/>
                <w:color w:val="auto"/>
                <w:spacing w:val="0"/>
                <w:w w:val="100"/>
                <w:position w:val="0"/>
                <w:sz w:val="21"/>
                <w:szCs w:val="21"/>
                <w:highlight w:val="none"/>
                <w:vertAlign w:val="baseline"/>
                <w:lang w:eastAsia="zh-CN"/>
              </w:rPr>
              <w:t>分）：投入的施工机械、设备、机具有组织计划，设备数量、选型配置、进场投入计划与进度计划呼应，基本满足施工需要。</w:t>
            </w:r>
          </w:p>
          <w:p w14:paraId="0A64C2EF">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w:t>
            </w:r>
            <w:r>
              <w:rPr>
                <w:rFonts w:hint="eastAsia" w:ascii="宋体" w:hAnsi="宋体" w:cs="宋体"/>
                <w:b w:val="0"/>
                <w:bCs w:val="0"/>
                <w:color w:val="auto"/>
                <w:spacing w:val="0"/>
                <w:w w:val="100"/>
                <w:position w:val="0"/>
                <w:sz w:val="21"/>
                <w:szCs w:val="21"/>
                <w:highlight w:val="none"/>
                <w:vertAlign w:val="baseline"/>
                <w:lang w:val="en-US" w:eastAsia="zh-CN"/>
              </w:rPr>
              <w:t>6</w:t>
            </w:r>
            <w:r>
              <w:rPr>
                <w:rFonts w:hint="eastAsia" w:ascii="宋体" w:hAnsi="宋体" w:eastAsia="宋体" w:cs="宋体"/>
                <w:b w:val="0"/>
                <w:bCs w:val="0"/>
                <w:color w:val="auto"/>
                <w:spacing w:val="0"/>
                <w:w w:val="100"/>
                <w:position w:val="0"/>
                <w:sz w:val="21"/>
                <w:szCs w:val="21"/>
                <w:highlight w:val="none"/>
                <w:vertAlign w:val="baseline"/>
                <w:lang w:eastAsia="zh-CN"/>
              </w:rPr>
              <w:t>分）：投入的施工机械、设备、机具有详细的组织计划，设备数量、选型配置、进场投入计划与进度计划呼应，满足施工需要。</w:t>
            </w:r>
          </w:p>
          <w:p w14:paraId="248D8ACC">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vertAlign w:val="baseline"/>
                <w:lang w:eastAsia="zh-CN"/>
              </w:rPr>
              <w:t>四档（</w:t>
            </w:r>
            <w:r>
              <w:rPr>
                <w:rFonts w:hint="eastAsia" w:ascii="宋体" w:hAnsi="宋体" w:cs="宋体"/>
                <w:b w:val="0"/>
                <w:bCs w:val="0"/>
                <w:color w:val="auto"/>
                <w:spacing w:val="0"/>
                <w:w w:val="100"/>
                <w:position w:val="0"/>
                <w:sz w:val="21"/>
                <w:szCs w:val="21"/>
                <w:highlight w:val="none"/>
                <w:vertAlign w:val="baseline"/>
                <w:lang w:val="en-US" w:eastAsia="zh-CN"/>
              </w:rPr>
              <w:t>8</w:t>
            </w:r>
            <w:r>
              <w:rPr>
                <w:rFonts w:hint="eastAsia" w:ascii="宋体" w:hAnsi="宋体" w:eastAsia="宋体" w:cs="宋体"/>
                <w:b w:val="0"/>
                <w:bCs w:val="0"/>
                <w:color w:val="auto"/>
                <w:spacing w:val="0"/>
                <w:w w:val="100"/>
                <w:position w:val="0"/>
                <w:sz w:val="21"/>
                <w:szCs w:val="21"/>
                <w:highlight w:val="none"/>
                <w:vertAlign w:val="baseline"/>
                <w:lang w:eastAsia="zh-CN"/>
              </w:rPr>
              <w:t>分）：投入的施工机械、设备、机具有详细的组织计划且计划周密，设备数量、选型配置、进场时间安排合理，满足施工需要。</w:t>
            </w:r>
          </w:p>
        </w:tc>
        <w:tc>
          <w:tcPr>
            <w:tcW w:w="807" w:type="dxa"/>
            <w:noWrap w:val="0"/>
            <w:vAlign w:val="center"/>
          </w:tcPr>
          <w:p w14:paraId="642DF05A">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5ECA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19" w:type="dxa"/>
            <w:vMerge w:val="continue"/>
            <w:noWrap w:val="0"/>
            <w:vAlign w:val="center"/>
          </w:tcPr>
          <w:p w14:paraId="2EAEA9E4">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0B091F89">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6727E27F">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cs="宋体"/>
                <w:b w:val="0"/>
                <w:bCs w:val="0"/>
                <w:color w:val="auto"/>
                <w:spacing w:val="0"/>
                <w:w w:val="100"/>
                <w:position w:val="0"/>
                <w:sz w:val="21"/>
                <w:szCs w:val="21"/>
                <w:highlight w:val="none"/>
                <w:lang w:val="en-US" w:eastAsia="zh-CN"/>
              </w:rPr>
              <w:t>3</w:t>
            </w:r>
            <w:r>
              <w:rPr>
                <w:rFonts w:hint="eastAsia" w:ascii="宋体" w:hAnsi="宋体" w:eastAsia="宋体" w:cs="宋体"/>
                <w:b w:val="0"/>
                <w:bCs w:val="0"/>
                <w:color w:val="auto"/>
                <w:spacing w:val="0"/>
                <w:w w:val="100"/>
                <w:position w:val="0"/>
                <w:sz w:val="21"/>
                <w:szCs w:val="21"/>
                <w:highlight w:val="none"/>
              </w:rPr>
              <w:t>）劳动力安排计划（</w:t>
            </w:r>
            <w:r>
              <w:rPr>
                <w:rFonts w:hint="eastAsia" w:ascii="宋体" w:hAnsi="宋体" w:cs="宋体"/>
                <w:b w:val="0"/>
                <w:bCs w:val="0"/>
                <w:color w:val="auto"/>
                <w:spacing w:val="0"/>
                <w:w w:val="100"/>
                <w:position w:val="0"/>
                <w:sz w:val="21"/>
                <w:szCs w:val="21"/>
                <w:highlight w:val="none"/>
                <w:lang w:val="en-US" w:eastAsia="zh-CN"/>
              </w:rPr>
              <w:t>8</w:t>
            </w:r>
            <w:r>
              <w:rPr>
                <w:rFonts w:hint="eastAsia" w:ascii="宋体" w:hAnsi="宋体" w:eastAsia="宋体" w:cs="宋体"/>
                <w:b w:val="0"/>
                <w:bCs w:val="0"/>
                <w:color w:val="auto"/>
                <w:spacing w:val="0"/>
                <w:w w:val="100"/>
                <w:position w:val="0"/>
                <w:sz w:val="21"/>
                <w:szCs w:val="21"/>
                <w:highlight w:val="none"/>
              </w:rPr>
              <w:t>分）</w:t>
            </w:r>
          </w:p>
        </w:tc>
        <w:tc>
          <w:tcPr>
            <w:tcW w:w="5935" w:type="dxa"/>
            <w:noWrap w:val="0"/>
            <w:vAlign w:val="top"/>
          </w:tcPr>
          <w:p w14:paraId="0CA1781F">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磋商小组在打分前根据供应商提供的劳动力安排计划，在相应档次内独立打分。</w:t>
            </w:r>
          </w:p>
          <w:p w14:paraId="3DED2FA2">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一档（0分）：各主要施工工序劳动力安排计划不全，无各工种劳动力安排计划或计划不全，劳动力投入不合理，不能满足施工需要。</w:t>
            </w:r>
          </w:p>
          <w:p w14:paraId="396EFF1C">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w:t>
            </w:r>
            <w:r>
              <w:rPr>
                <w:rFonts w:hint="eastAsia" w:ascii="宋体" w:hAnsi="宋体" w:cs="宋体"/>
                <w:b w:val="0"/>
                <w:bCs w:val="0"/>
                <w:color w:val="auto"/>
                <w:spacing w:val="0"/>
                <w:w w:val="100"/>
                <w:position w:val="0"/>
                <w:sz w:val="21"/>
                <w:szCs w:val="21"/>
                <w:highlight w:val="none"/>
                <w:vertAlign w:val="baseline"/>
                <w:lang w:val="en-US" w:eastAsia="zh-CN"/>
              </w:rPr>
              <w:t>3</w:t>
            </w:r>
            <w:r>
              <w:rPr>
                <w:rFonts w:hint="eastAsia" w:ascii="宋体" w:hAnsi="宋体" w:eastAsia="宋体" w:cs="宋体"/>
                <w:b w:val="0"/>
                <w:bCs w:val="0"/>
                <w:color w:val="auto"/>
                <w:spacing w:val="0"/>
                <w:w w:val="100"/>
                <w:position w:val="0"/>
                <w:sz w:val="21"/>
                <w:szCs w:val="21"/>
                <w:highlight w:val="none"/>
                <w:vertAlign w:val="baseline"/>
                <w:lang w:eastAsia="zh-CN"/>
              </w:rPr>
              <w:t>分）：各主要施工工序应有劳动力安排计划，有各工种劳动力安排计划，劳动力投入基本合理，基本满足施工需要。</w:t>
            </w:r>
          </w:p>
          <w:p w14:paraId="3A03D516">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w:t>
            </w:r>
            <w:r>
              <w:rPr>
                <w:rFonts w:hint="eastAsia" w:ascii="宋体" w:hAnsi="宋体" w:cs="宋体"/>
                <w:b w:val="0"/>
                <w:bCs w:val="0"/>
                <w:color w:val="auto"/>
                <w:spacing w:val="0"/>
                <w:w w:val="100"/>
                <w:position w:val="0"/>
                <w:sz w:val="21"/>
                <w:szCs w:val="21"/>
                <w:highlight w:val="none"/>
                <w:vertAlign w:val="baseline"/>
                <w:lang w:val="en-US" w:eastAsia="zh-CN"/>
              </w:rPr>
              <w:t>6</w:t>
            </w:r>
            <w:r>
              <w:rPr>
                <w:rFonts w:hint="eastAsia" w:ascii="宋体" w:hAnsi="宋体" w:eastAsia="宋体" w:cs="宋体"/>
                <w:b w:val="0"/>
                <w:bCs w:val="0"/>
                <w:color w:val="auto"/>
                <w:spacing w:val="0"/>
                <w:w w:val="100"/>
                <w:position w:val="0"/>
                <w:sz w:val="21"/>
                <w:szCs w:val="21"/>
                <w:highlight w:val="none"/>
                <w:vertAlign w:val="baseline"/>
                <w:lang w:eastAsia="zh-CN"/>
              </w:rPr>
              <w:t>分）：各主要施工工序有详细的劳动力安排计划，有各工种劳动力安排计划，劳动力投入合理，满足施工需要。</w:t>
            </w:r>
          </w:p>
          <w:p w14:paraId="3AA4BFEC">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w:t>
            </w:r>
            <w:r>
              <w:rPr>
                <w:rFonts w:hint="eastAsia" w:ascii="宋体" w:hAnsi="宋体" w:cs="宋体"/>
                <w:b w:val="0"/>
                <w:bCs w:val="0"/>
                <w:color w:val="auto"/>
                <w:spacing w:val="0"/>
                <w:w w:val="100"/>
                <w:position w:val="0"/>
                <w:sz w:val="21"/>
                <w:szCs w:val="21"/>
                <w:highlight w:val="none"/>
                <w:vertAlign w:val="baseline"/>
                <w:lang w:val="en-US" w:eastAsia="zh-CN"/>
              </w:rPr>
              <w:t>8</w:t>
            </w:r>
            <w:r>
              <w:rPr>
                <w:rFonts w:hint="eastAsia" w:ascii="宋体" w:hAnsi="宋体" w:eastAsia="宋体" w:cs="宋体"/>
                <w:b w:val="0"/>
                <w:bCs w:val="0"/>
                <w:color w:val="auto"/>
                <w:spacing w:val="0"/>
                <w:w w:val="100"/>
                <w:position w:val="0"/>
                <w:sz w:val="21"/>
                <w:szCs w:val="21"/>
                <w:highlight w:val="none"/>
                <w:vertAlign w:val="baseline"/>
                <w:lang w:eastAsia="zh-CN"/>
              </w:rPr>
              <w:t>分）：各主要施工工序有详细周密的劳动力安排计划，各工种劳动力安排计划齐全，劳动力投入与进度计划呼应合理，满足施工需要。</w:t>
            </w:r>
          </w:p>
        </w:tc>
        <w:tc>
          <w:tcPr>
            <w:tcW w:w="807" w:type="dxa"/>
            <w:noWrap w:val="0"/>
            <w:vAlign w:val="center"/>
          </w:tcPr>
          <w:p w14:paraId="0CF4EBB1">
            <w:pPr>
              <w:keepNext w:val="0"/>
              <w:keepLines w:val="0"/>
              <w:pageBreakBefore w:val="0"/>
              <w:kinsoku/>
              <w:wordWrap w:val="0"/>
              <w:overflowPunct/>
              <w:topLinePunct/>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081B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noWrap w:val="0"/>
            <w:vAlign w:val="center"/>
          </w:tcPr>
          <w:p w14:paraId="33B72C53">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64A92EE9">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6E439030">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cs="宋体"/>
                <w:b w:val="0"/>
                <w:bCs w:val="0"/>
                <w:color w:val="auto"/>
                <w:spacing w:val="0"/>
                <w:w w:val="100"/>
                <w:position w:val="0"/>
                <w:sz w:val="21"/>
                <w:szCs w:val="21"/>
                <w:highlight w:val="none"/>
                <w:lang w:val="en-US" w:eastAsia="zh-CN"/>
              </w:rPr>
              <w:t>4</w:t>
            </w:r>
            <w:r>
              <w:rPr>
                <w:rFonts w:hint="eastAsia" w:ascii="宋体" w:hAnsi="宋体" w:eastAsia="宋体" w:cs="宋体"/>
                <w:b w:val="0"/>
                <w:bCs w:val="0"/>
                <w:color w:val="auto"/>
                <w:spacing w:val="0"/>
                <w:w w:val="100"/>
                <w:position w:val="0"/>
                <w:sz w:val="21"/>
                <w:szCs w:val="21"/>
                <w:highlight w:val="none"/>
              </w:rPr>
              <w:t>）确保工程质量的技术组织措施（</w:t>
            </w:r>
            <w:r>
              <w:rPr>
                <w:rFonts w:hint="eastAsia" w:ascii="宋体" w:hAnsi="宋体" w:cs="宋体"/>
                <w:b w:val="0"/>
                <w:bCs w:val="0"/>
                <w:color w:val="auto"/>
                <w:spacing w:val="0"/>
                <w:w w:val="100"/>
                <w:position w:val="0"/>
                <w:sz w:val="21"/>
                <w:szCs w:val="21"/>
                <w:highlight w:val="none"/>
                <w:lang w:val="en-US" w:eastAsia="zh-CN"/>
              </w:rPr>
              <w:t>8</w:t>
            </w:r>
            <w:r>
              <w:rPr>
                <w:rFonts w:hint="eastAsia" w:ascii="宋体" w:hAnsi="宋体" w:eastAsia="宋体" w:cs="宋体"/>
                <w:b w:val="0"/>
                <w:bCs w:val="0"/>
                <w:color w:val="auto"/>
                <w:spacing w:val="0"/>
                <w:w w:val="100"/>
                <w:position w:val="0"/>
                <w:sz w:val="21"/>
                <w:szCs w:val="21"/>
                <w:highlight w:val="none"/>
              </w:rPr>
              <w:t>分）</w:t>
            </w:r>
          </w:p>
        </w:tc>
        <w:tc>
          <w:tcPr>
            <w:tcW w:w="5935" w:type="dxa"/>
            <w:noWrap w:val="0"/>
            <w:vAlign w:val="top"/>
          </w:tcPr>
          <w:p w14:paraId="54BC20B5">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磋商小组在打分前根据供应商提供的工程质量技术组织措施，在相应档次内独立打分。</w:t>
            </w:r>
          </w:p>
          <w:p w14:paraId="70BFBFBE">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一档（0分）：质量技术管理班子人员配备不合理，制度不健全。质量技术保证措施和手段不可行，没有质量违约责任承诺。</w:t>
            </w:r>
          </w:p>
          <w:p w14:paraId="51C52AB9">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w:t>
            </w:r>
            <w:r>
              <w:rPr>
                <w:rFonts w:hint="eastAsia" w:ascii="宋体" w:hAnsi="宋体" w:cs="宋体"/>
                <w:b w:val="0"/>
                <w:bCs w:val="0"/>
                <w:color w:val="auto"/>
                <w:spacing w:val="0"/>
                <w:w w:val="100"/>
                <w:position w:val="0"/>
                <w:sz w:val="21"/>
                <w:szCs w:val="21"/>
                <w:highlight w:val="none"/>
                <w:vertAlign w:val="baseline"/>
                <w:lang w:val="en-US" w:eastAsia="zh-CN"/>
              </w:rPr>
              <w:t>3</w:t>
            </w:r>
            <w:r>
              <w:rPr>
                <w:rFonts w:hint="eastAsia" w:ascii="宋体" w:hAnsi="宋体" w:eastAsia="宋体" w:cs="宋体"/>
                <w:b w:val="0"/>
                <w:bCs w:val="0"/>
                <w:color w:val="auto"/>
                <w:spacing w:val="0"/>
                <w:w w:val="100"/>
                <w:position w:val="0"/>
                <w:sz w:val="21"/>
                <w:szCs w:val="21"/>
                <w:highlight w:val="none"/>
                <w:vertAlign w:val="baseline"/>
                <w:lang w:eastAsia="zh-CN"/>
              </w:rPr>
              <w:t>分）：质量技术管理班子人员配备基本合理，制度基本健全。主要工序有质量技术保证措施和手段，能有效保证技术质量，满足磋商文件的质量要求。</w:t>
            </w:r>
          </w:p>
          <w:p w14:paraId="646969FC">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w:t>
            </w:r>
            <w:r>
              <w:rPr>
                <w:rFonts w:hint="eastAsia" w:ascii="宋体" w:hAnsi="宋体" w:cs="宋体"/>
                <w:b w:val="0"/>
                <w:bCs w:val="0"/>
                <w:color w:val="auto"/>
                <w:spacing w:val="0"/>
                <w:w w:val="100"/>
                <w:position w:val="0"/>
                <w:sz w:val="21"/>
                <w:szCs w:val="21"/>
                <w:highlight w:val="none"/>
                <w:vertAlign w:val="baseline"/>
                <w:lang w:val="en-US" w:eastAsia="zh-CN"/>
              </w:rPr>
              <w:t>6</w:t>
            </w:r>
            <w:r>
              <w:rPr>
                <w:rFonts w:hint="eastAsia" w:ascii="宋体" w:hAnsi="宋体" w:eastAsia="宋体" w:cs="宋体"/>
                <w:b w:val="0"/>
                <w:bCs w:val="0"/>
                <w:color w:val="auto"/>
                <w:spacing w:val="0"/>
                <w:w w:val="100"/>
                <w:position w:val="0"/>
                <w:sz w:val="21"/>
                <w:szCs w:val="21"/>
                <w:highlight w:val="none"/>
                <w:vertAlign w:val="baseline"/>
                <w:lang w:eastAsia="zh-CN"/>
              </w:rPr>
              <w:t>分）：有专门的质量技术管理班子和制度，且人员配备合理，制度健全。主要工序有质量技术保证措施和手段，自控体系完整，能有效保证技术质量，达到承诺的质量标准。</w:t>
            </w:r>
          </w:p>
          <w:p w14:paraId="63FC7EE4">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w:t>
            </w:r>
            <w:r>
              <w:rPr>
                <w:rFonts w:hint="eastAsia" w:ascii="宋体" w:hAnsi="宋体" w:cs="宋体"/>
                <w:b w:val="0"/>
                <w:bCs w:val="0"/>
                <w:color w:val="auto"/>
                <w:spacing w:val="0"/>
                <w:w w:val="100"/>
                <w:position w:val="0"/>
                <w:sz w:val="21"/>
                <w:szCs w:val="21"/>
                <w:highlight w:val="none"/>
                <w:vertAlign w:val="baseline"/>
                <w:lang w:val="en-US" w:eastAsia="zh-CN"/>
              </w:rPr>
              <w:t>8</w:t>
            </w:r>
            <w:r>
              <w:rPr>
                <w:rFonts w:hint="eastAsia" w:ascii="宋体" w:hAnsi="宋体" w:eastAsia="宋体" w:cs="宋体"/>
                <w:b w:val="0"/>
                <w:bCs w:val="0"/>
                <w:color w:val="auto"/>
                <w:spacing w:val="0"/>
                <w:w w:val="100"/>
                <w:position w:val="0"/>
                <w:sz w:val="21"/>
                <w:szCs w:val="21"/>
                <w:highlight w:val="none"/>
                <w:vertAlign w:val="baseline"/>
                <w:lang w:eastAsia="zh-CN"/>
              </w:rPr>
              <w:t>分）：有专门的质量技术管理班子和制度，且人员配备合理，制度健全。主要工序有质量技术保证措施和手段，且先进、可行、具体，高于磋商文件的质量要求及施工验收规范要求，达到承诺的质量标准。</w:t>
            </w:r>
          </w:p>
        </w:tc>
        <w:tc>
          <w:tcPr>
            <w:tcW w:w="807" w:type="dxa"/>
            <w:noWrap w:val="0"/>
            <w:vAlign w:val="center"/>
          </w:tcPr>
          <w:p w14:paraId="48E5BEE3">
            <w:pPr>
              <w:keepNext w:val="0"/>
              <w:keepLines w:val="0"/>
              <w:pageBreakBefore w:val="0"/>
              <w:kinsoku/>
              <w:wordWrap w:val="0"/>
              <w:overflowPunct/>
              <w:topLinePunct/>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158C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noWrap w:val="0"/>
            <w:vAlign w:val="center"/>
          </w:tcPr>
          <w:p w14:paraId="0EAF8B8D">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04CB0A76">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5D7108A0">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cs="宋体"/>
                <w:b w:val="0"/>
                <w:bCs w:val="0"/>
                <w:color w:val="auto"/>
                <w:spacing w:val="0"/>
                <w:w w:val="100"/>
                <w:position w:val="0"/>
                <w:sz w:val="21"/>
                <w:szCs w:val="21"/>
                <w:highlight w:val="none"/>
                <w:lang w:val="en-US" w:eastAsia="zh-CN"/>
              </w:rPr>
              <w:t>5</w:t>
            </w:r>
            <w:r>
              <w:rPr>
                <w:rFonts w:hint="eastAsia" w:ascii="宋体" w:hAnsi="宋体" w:eastAsia="宋体" w:cs="宋体"/>
                <w:b w:val="0"/>
                <w:bCs w:val="0"/>
                <w:color w:val="auto"/>
                <w:spacing w:val="0"/>
                <w:w w:val="100"/>
                <w:position w:val="0"/>
                <w:sz w:val="21"/>
                <w:szCs w:val="21"/>
                <w:highlight w:val="none"/>
              </w:rPr>
              <w:t>）确保安全生产的技术组织措施（</w:t>
            </w:r>
            <w:r>
              <w:rPr>
                <w:rFonts w:hint="eastAsia" w:ascii="宋体" w:hAnsi="宋体" w:cs="宋体"/>
                <w:b w:val="0"/>
                <w:bCs w:val="0"/>
                <w:color w:val="auto"/>
                <w:spacing w:val="0"/>
                <w:w w:val="100"/>
                <w:position w:val="0"/>
                <w:sz w:val="21"/>
                <w:szCs w:val="21"/>
                <w:highlight w:val="none"/>
                <w:lang w:val="en-US" w:eastAsia="zh-CN"/>
              </w:rPr>
              <w:t>8</w:t>
            </w:r>
            <w:r>
              <w:rPr>
                <w:rFonts w:hint="eastAsia" w:ascii="宋体" w:hAnsi="宋体" w:eastAsia="宋体" w:cs="宋体"/>
                <w:b w:val="0"/>
                <w:bCs w:val="0"/>
                <w:color w:val="auto"/>
                <w:spacing w:val="0"/>
                <w:w w:val="100"/>
                <w:position w:val="0"/>
                <w:sz w:val="21"/>
                <w:szCs w:val="21"/>
                <w:highlight w:val="none"/>
              </w:rPr>
              <w:t>分）</w:t>
            </w:r>
          </w:p>
        </w:tc>
        <w:tc>
          <w:tcPr>
            <w:tcW w:w="5935" w:type="dxa"/>
            <w:noWrap w:val="0"/>
            <w:vAlign w:val="top"/>
          </w:tcPr>
          <w:p w14:paraId="122BF0D0">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磋商小组在打分前根据供应商提供的安全生产技术组织措施，在相应档次内独立打分。</w:t>
            </w:r>
          </w:p>
          <w:p w14:paraId="02715E80">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有配备满足项目要求的专职安全员，人员配备不合理，安全管理制度不健全，各道工序安全技术措施基本符合实际，不能满足有关安全技术标准要求。现场防火、应急救援、社会治安安全措施不合理。</w:t>
            </w:r>
          </w:p>
          <w:p w14:paraId="1C681A3A">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w:t>
            </w:r>
            <w:r>
              <w:rPr>
                <w:rFonts w:hint="eastAsia" w:ascii="宋体" w:hAnsi="宋体" w:cs="宋体"/>
                <w:b w:val="0"/>
                <w:bCs w:val="0"/>
                <w:color w:val="auto"/>
                <w:spacing w:val="0"/>
                <w:w w:val="100"/>
                <w:position w:val="0"/>
                <w:sz w:val="21"/>
                <w:szCs w:val="21"/>
                <w:highlight w:val="none"/>
                <w:vertAlign w:val="baseline"/>
                <w:lang w:val="en-US" w:eastAsia="zh-CN"/>
              </w:rPr>
              <w:t>3</w:t>
            </w:r>
            <w:r>
              <w:rPr>
                <w:rFonts w:hint="eastAsia" w:ascii="宋体" w:hAnsi="宋体" w:eastAsia="宋体" w:cs="宋体"/>
                <w:b w:val="0"/>
                <w:bCs w:val="0"/>
                <w:color w:val="auto"/>
                <w:spacing w:val="0"/>
                <w:w w:val="100"/>
                <w:position w:val="0"/>
                <w:sz w:val="21"/>
                <w:szCs w:val="21"/>
                <w:highlight w:val="none"/>
                <w:vertAlign w:val="baseline"/>
                <w:lang w:eastAsia="zh-CN"/>
              </w:rPr>
              <w:t>分）：有配备满足项目要求的专职安全员，人员配备基本合理，安全管理制度基本健全，各道工序安全技术措施基本符合实际，基本满足有关安全技术标准要求。现场防火、应急救援、社会治安安全措施基本合理。</w:t>
            </w:r>
          </w:p>
          <w:p w14:paraId="43B50BCA">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w:t>
            </w:r>
            <w:r>
              <w:rPr>
                <w:rFonts w:hint="eastAsia" w:ascii="宋体" w:hAnsi="宋体" w:cs="宋体"/>
                <w:b w:val="0"/>
                <w:bCs w:val="0"/>
                <w:color w:val="auto"/>
                <w:spacing w:val="0"/>
                <w:w w:val="100"/>
                <w:position w:val="0"/>
                <w:sz w:val="21"/>
                <w:szCs w:val="21"/>
                <w:highlight w:val="none"/>
                <w:vertAlign w:val="baseline"/>
                <w:lang w:val="en-US" w:eastAsia="zh-CN"/>
              </w:rPr>
              <w:t>6</w:t>
            </w:r>
            <w:r>
              <w:rPr>
                <w:rFonts w:hint="eastAsia" w:ascii="宋体" w:hAnsi="宋体" w:eastAsia="宋体" w:cs="宋体"/>
                <w:b w:val="0"/>
                <w:bCs w:val="0"/>
                <w:color w:val="auto"/>
                <w:spacing w:val="0"/>
                <w:w w:val="100"/>
                <w:position w:val="0"/>
                <w:sz w:val="21"/>
                <w:szCs w:val="21"/>
                <w:highlight w:val="none"/>
                <w:vertAlign w:val="baseline"/>
                <w:lang w:eastAsia="zh-CN"/>
              </w:rPr>
              <w:t>分）：有配备满足项目要求的专职安全员，人员配备合理，有健全的安全管理制度，各道工序安全技术措施符合实际且满足有关安全技术标准要求。现场防火、应急救援、社会治安安全措施合理。</w:t>
            </w:r>
          </w:p>
          <w:p w14:paraId="597AC175">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w:t>
            </w:r>
            <w:r>
              <w:rPr>
                <w:rFonts w:hint="eastAsia" w:ascii="宋体" w:hAnsi="宋体" w:cs="宋体"/>
                <w:b w:val="0"/>
                <w:bCs w:val="0"/>
                <w:color w:val="auto"/>
                <w:spacing w:val="0"/>
                <w:w w:val="100"/>
                <w:position w:val="0"/>
                <w:sz w:val="21"/>
                <w:szCs w:val="21"/>
                <w:highlight w:val="none"/>
                <w:vertAlign w:val="baseline"/>
                <w:lang w:val="en-US" w:eastAsia="zh-CN"/>
              </w:rPr>
              <w:t>8</w:t>
            </w:r>
            <w:r>
              <w:rPr>
                <w:rFonts w:hint="eastAsia" w:ascii="宋体" w:hAnsi="宋体" w:eastAsia="宋体" w:cs="宋体"/>
                <w:b w:val="0"/>
                <w:bCs w:val="0"/>
                <w:color w:val="auto"/>
                <w:spacing w:val="0"/>
                <w:w w:val="100"/>
                <w:position w:val="0"/>
                <w:sz w:val="21"/>
                <w:szCs w:val="21"/>
                <w:highlight w:val="none"/>
                <w:vertAlign w:val="baseline"/>
                <w:lang w:eastAsia="zh-CN"/>
              </w:rPr>
              <w:t>分）：有配备满足项目要求的专职安全员，人员配备合理。有健全的安全管理制度，各道工序安全技术措施针对性强，符合实际且高于国家有关安全技术标准要求。现场防火、应急救援、社会治安安全措施得力。</w:t>
            </w:r>
          </w:p>
        </w:tc>
        <w:tc>
          <w:tcPr>
            <w:tcW w:w="807" w:type="dxa"/>
            <w:noWrap w:val="0"/>
            <w:vAlign w:val="center"/>
          </w:tcPr>
          <w:p w14:paraId="355DECD8">
            <w:pPr>
              <w:keepNext w:val="0"/>
              <w:keepLines w:val="0"/>
              <w:pageBreakBefore w:val="0"/>
              <w:kinsoku/>
              <w:wordWrap w:val="0"/>
              <w:overflowPunct/>
              <w:topLinePunct/>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67A9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9" w:type="dxa"/>
            <w:vMerge w:val="continue"/>
            <w:noWrap w:val="0"/>
            <w:vAlign w:val="center"/>
          </w:tcPr>
          <w:p w14:paraId="556DC091">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3F46F672">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582E7B01">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kern w:val="0"/>
                <w:position w:val="0"/>
                <w:sz w:val="21"/>
                <w:szCs w:val="21"/>
                <w:highlight w:val="none"/>
              </w:rPr>
            </w:pPr>
            <w:r>
              <w:rPr>
                <w:rFonts w:hint="eastAsia" w:ascii="宋体" w:hAnsi="宋体" w:eastAsia="宋体" w:cs="宋体"/>
                <w:b w:val="0"/>
                <w:bCs w:val="0"/>
                <w:color w:val="auto"/>
                <w:spacing w:val="0"/>
                <w:w w:val="100"/>
                <w:kern w:val="0"/>
                <w:position w:val="0"/>
                <w:sz w:val="21"/>
                <w:szCs w:val="21"/>
                <w:highlight w:val="none"/>
              </w:rPr>
              <w:t>（</w:t>
            </w:r>
            <w:r>
              <w:rPr>
                <w:rFonts w:hint="eastAsia" w:ascii="宋体" w:hAnsi="宋体" w:cs="宋体"/>
                <w:b w:val="0"/>
                <w:bCs w:val="0"/>
                <w:color w:val="auto"/>
                <w:spacing w:val="0"/>
                <w:w w:val="100"/>
                <w:kern w:val="0"/>
                <w:position w:val="0"/>
                <w:sz w:val="21"/>
                <w:szCs w:val="21"/>
                <w:highlight w:val="none"/>
                <w:lang w:val="en-US" w:eastAsia="zh-CN"/>
              </w:rPr>
              <w:t>6</w:t>
            </w:r>
            <w:r>
              <w:rPr>
                <w:rFonts w:hint="eastAsia" w:ascii="宋体" w:hAnsi="宋体" w:eastAsia="宋体" w:cs="宋体"/>
                <w:b w:val="0"/>
                <w:bCs w:val="0"/>
                <w:color w:val="auto"/>
                <w:spacing w:val="0"/>
                <w:w w:val="100"/>
                <w:kern w:val="0"/>
                <w:position w:val="0"/>
                <w:sz w:val="21"/>
                <w:szCs w:val="21"/>
                <w:highlight w:val="none"/>
              </w:rPr>
              <w:t>）确保工期的技术组织措施（</w:t>
            </w:r>
            <w:r>
              <w:rPr>
                <w:rFonts w:hint="eastAsia" w:ascii="宋体" w:hAnsi="宋体" w:cs="宋体"/>
                <w:b w:val="0"/>
                <w:bCs w:val="0"/>
                <w:color w:val="auto"/>
                <w:spacing w:val="0"/>
                <w:w w:val="100"/>
                <w:kern w:val="0"/>
                <w:position w:val="0"/>
                <w:sz w:val="21"/>
                <w:szCs w:val="21"/>
                <w:highlight w:val="none"/>
                <w:lang w:val="en-US" w:eastAsia="zh-CN"/>
              </w:rPr>
              <w:t>8</w:t>
            </w:r>
            <w:r>
              <w:rPr>
                <w:rFonts w:hint="eastAsia" w:ascii="宋体" w:hAnsi="宋体" w:eastAsia="宋体" w:cs="宋体"/>
                <w:b w:val="0"/>
                <w:bCs w:val="0"/>
                <w:color w:val="auto"/>
                <w:spacing w:val="0"/>
                <w:w w:val="100"/>
                <w:kern w:val="0"/>
                <w:position w:val="0"/>
                <w:sz w:val="21"/>
                <w:szCs w:val="21"/>
                <w:highlight w:val="none"/>
              </w:rPr>
              <w:t>分）</w:t>
            </w:r>
          </w:p>
        </w:tc>
        <w:tc>
          <w:tcPr>
            <w:tcW w:w="5935" w:type="dxa"/>
            <w:noWrap w:val="0"/>
            <w:vAlign w:val="top"/>
          </w:tcPr>
          <w:p w14:paraId="7C1E6AA2">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磋商小组在打分前根据供应商提供的工期技术组织措施，在相应档次内独立打分。</w:t>
            </w:r>
          </w:p>
          <w:p w14:paraId="687197F4">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一档（0分）：有保证工期的具体措施。各项计划图表编制不完善，安排不合理，不能满足本项目施工实际要求。</w:t>
            </w:r>
          </w:p>
          <w:p w14:paraId="08FA7621">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w:t>
            </w:r>
            <w:r>
              <w:rPr>
                <w:rFonts w:hint="eastAsia" w:ascii="宋体" w:hAnsi="宋体" w:cs="宋体"/>
                <w:b w:val="0"/>
                <w:bCs w:val="0"/>
                <w:color w:val="auto"/>
                <w:spacing w:val="0"/>
                <w:w w:val="100"/>
                <w:position w:val="0"/>
                <w:sz w:val="21"/>
                <w:szCs w:val="21"/>
                <w:highlight w:val="none"/>
                <w:vertAlign w:val="baseline"/>
                <w:lang w:val="en-US" w:eastAsia="zh-CN"/>
              </w:rPr>
              <w:t>3</w:t>
            </w:r>
            <w:r>
              <w:rPr>
                <w:rFonts w:hint="eastAsia" w:ascii="宋体" w:hAnsi="宋体" w:eastAsia="宋体" w:cs="宋体"/>
                <w:b w:val="0"/>
                <w:bCs w:val="0"/>
                <w:color w:val="auto"/>
                <w:spacing w:val="0"/>
                <w:w w:val="100"/>
                <w:position w:val="0"/>
                <w:sz w:val="21"/>
                <w:szCs w:val="21"/>
                <w:highlight w:val="none"/>
                <w:vertAlign w:val="baseline"/>
                <w:lang w:eastAsia="zh-CN"/>
              </w:rPr>
              <w:t>分）：有保证工期的具体措施，措施基本得当。各项计划图表编制基本齐全，安排基本合理，基本符合本项目施工实际要求。</w:t>
            </w:r>
          </w:p>
          <w:p w14:paraId="00497B96">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w:t>
            </w:r>
            <w:r>
              <w:rPr>
                <w:rFonts w:hint="eastAsia" w:ascii="宋体" w:hAnsi="宋体" w:cs="宋体"/>
                <w:b w:val="0"/>
                <w:bCs w:val="0"/>
                <w:color w:val="auto"/>
                <w:spacing w:val="0"/>
                <w:w w:val="100"/>
                <w:position w:val="0"/>
                <w:sz w:val="21"/>
                <w:szCs w:val="21"/>
                <w:highlight w:val="none"/>
                <w:vertAlign w:val="baseline"/>
                <w:lang w:val="en-US" w:eastAsia="zh-CN"/>
              </w:rPr>
              <w:t>6</w:t>
            </w:r>
            <w:r>
              <w:rPr>
                <w:rFonts w:hint="eastAsia" w:ascii="宋体" w:hAnsi="宋体" w:eastAsia="宋体" w:cs="宋体"/>
                <w:b w:val="0"/>
                <w:bCs w:val="0"/>
                <w:color w:val="auto"/>
                <w:spacing w:val="0"/>
                <w:w w:val="100"/>
                <w:position w:val="0"/>
                <w:sz w:val="21"/>
                <w:szCs w:val="21"/>
                <w:highlight w:val="none"/>
                <w:vertAlign w:val="baseline"/>
                <w:lang w:eastAsia="zh-CN"/>
              </w:rPr>
              <w:t>分）：有保证工期的具体措施且措施得当。各项计划图表编制完善，安排较合理，符合本项目施工实际要求。</w:t>
            </w:r>
          </w:p>
          <w:p w14:paraId="256EFC23">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四档（</w:t>
            </w:r>
            <w:r>
              <w:rPr>
                <w:rFonts w:hint="eastAsia" w:ascii="宋体" w:hAnsi="宋体" w:cs="宋体"/>
                <w:b w:val="0"/>
                <w:bCs w:val="0"/>
                <w:color w:val="auto"/>
                <w:spacing w:val="0"/>
                <w:w w:val="100"/>
                <w:position w:val="0"/>
                <w:sz w:val="21"/>
                <w:szCs w:val="21"/>
                <w:highlight w:val="none"/>
                <w:vertAlign w:val="baseline"/>
                <w:lang w:val="en-US" w:eastAsia="zh-CN"/>
              </w:rPr>
              <w:t>8</w:t>
            </w:r>
            <w:r>
              <w:rPr>
                <w:rFonts w:hint="eastAsia" w:ascii="宋体" w:hAnsi="宋体" w:eastAsia="宋体" w:cs="宋体"/>
                <w:b w:val="0"/>
                <w:bCs w:val="0"/>
                <w:color w:val="auto"/>
                <w:spacing w:val="0"/>
                <w:w w:val="100"/>
                <w:position w:val="0"/>
                <w:sz w:val="21"/>
                <w:szCs w:val="21"/>
                <w:highlight w:val="none"/>
                <w:vertAlign w:val="baseline"/>
                <w:lang w:eastAsia="zh-CN"/>
              </w:rPr>
              <w:t>分）：有保证工期的具体措施且措施得力。各项计划图表编制详尽周密，安排科学合理，符合本项目施工实际要求。</w:t>
            </w:r>
          </w:p>
        </w:tc>
        <w:tc>
          <w:tcPr>
            <w:tcW w:w="807" w:type="dxa"/>
            <w:noWrap w:val="0"/>
            <w:vAlign w:val="center"/>
          </w:tcPr>
          <w:p w14:paraId="1875D00D">
            <w:pPr>
              <w:keepNext w:val="0"/>
              <w:keepLines w:val="0"/>
              <w:pageBreakBefore w:val="0"/>
              <w:kinsoku/>
              <w:wordWrap w:val="0"/>
              <w:overflowPunct/>
              <w:topLinePunct/>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2587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19" w:type="dxa"/>
            <w:vMerge w:val="continue"/>
            <w:noWrap w:val="0"/>
            <w:vAlign w:val="center"/>
          </w:tcPr>
          <w:p w14:paraId="41EC4AE9">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3108D530">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6B3DC837">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cs="宋体"/>
                <w:b w:val="0"/>
                <w:bCs w:val="0"/>
                <w:color w:val="auto"/>
                <w:spacing w:val="0"/>
                <w:w w:val="100"/>
                <w:position w:val="0"/>
                <w:sz w:val="21"/>
                <w:szCs w:val="21"/>
                <w:highlight w:val="none"/>
                <w:lang w:val="en-US" w:eastAsia="zh-CN"/>
              </w:rPr>
              <w:t>7</w:t>
            </w:r>
            <w:r>
              <w:rPr>
                <w:rFonts w:hint="eastAsia" w:ascii="宋体" w:hAnsi="宋体" w:eastAsia="宋体" w:cs="宋体"/>
                <w:b w:val="0"/>
                <w:bCs w:val="0"/>
                <w:color w:val="auto"/>
                <w:spacing w:val="0"/>
                <w:w w:val="100"/>
                <w:position w:val="0"/>
                <w:sz w:val="21"/>
                <w:szCs w:val="21"/>
                <w:highlight w:val="none"/>
              </w:rPr>
              <w:t>）确保文明施工的技术组织措施（</w:t>
            </w:r>
            <w:r>
              <w:rPr>
                <w:rFonts w:hint="eastAsia" w:ascii="宋体" w:hAnsi="宋体" w:cs="宋体"/>
                <w:b w:val="0"/>
                <w:bCs w:val="0"/>
                <w:color w:val="auto"/>
                <w:spacing w:val="0"/>
                <w:w w:val="100"/>
                <w:position w:val="0"/>
                <w:sz w:val="21"/>
                <w:szCs w:val="21"/>
                <w:highlight w:val="none"/>
                <w:lang w:val="en-US" w:eastAsia="zh-CN"/>
              </w:rPr>
              <w:t>8</w:t>
            </w:r>
            <w:r>
              <w:rPr>
                <w:rFonts w:hint="eastAsia" w:ascii="宋体" w:hAnsi="宋体" w:eastAsia="宋体" w:cs="宋体"/>
                <w:b w:val="0"/>
                <w:bCs w:val="0"/>
                <w:color w:val="auto"/>
                <w:spacing w:val="0"/>
                <w:w w:val="100"/>
                <w:position w:val="0"/>
                <w:sz w:val="21"/>
                <w:szCs w:val="21"/>
                <w:highlight w:val="none"/>
              </w:rPr>
              <w:t>分）</w:t>
            </w:r>
          </w:p>
        </w:tc>
        <w:tc>
          <w:tcPr>
            <w:tcW w:w="5935" w:type="dxa"/>
            <w:noWrap w:val="0"/>
            <w:vAlign w:val="top"/>
          </w:tcPr>
          <w:p w14:paraId="55D0BBF9">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磋商小组在打分前根据供应商提供的文明施工技术组织措施，在相应档次内独立打分。</w:t>
            </w:r>
          </w:p>
          <w:p w14:paraId="34D8A993">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一档（0分）：现场文明施工、环境保护措施和内容与《建筑施工安全生产检查标准》、《广西壮族自治区建筑工程文明施工导则》的要求偏差大，无现场文明施工目标的承诺。</w:t>
            </w:r>
          </w:p>
          <w:p w14:paraId="7F2B08D9">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w:t>
            </w:r>
            <w:r>
              <w:rPr>
                <w:rFonts w:hint="eastAsia" w:ascii="宋体" w:hAnsi="宋体" w:cs="宋体"/>
                <w:b w:val="0"/>
                <w:bCs w:val="0"/>
                <w:color w:val="auto"/>
                <w:spacing w:val="0"/>
                <w:w w:val="100"/>
                <w:position w:val="0"/>
                <w:sz w:val="21"/>
                <w:szCs w:val="21"/>
                <w:highlight w:val="none"/>
                <w:vertAlign w:val="baseline"/>
                <w:lang w:val="en-US" w:eastAsia="zh-CN"/>
              </w:rPr>
              <w:t>3</w:t>
            </w:r>
            <w:r>
              <w:rPr>
                <w:rFonts w:hint="eastAsia" w:ascii="宋体" w:hAnsi="宋体" w:eastAsia="宋体" w:cs="宋体"/>
                <w:b w:val="0"/>
                <w:bCs w:val="0"/>
                <w:color w:val="auto"/>
                <w:spacing w:val="0"/>
                <w:w w:val="100"/>
                <w:position w:val="0"/>
                <w:sz w:val="21"/>
                <w:szCs w:val="21"/>
                <w:highlight w:val="none"/>
                <w:vertAlign w:val="baseline"/>
                <w:lang w:eastAsia="zh-CN"/>
              </w:rPr>
              <w:t>分）：现场文明施工、环境保护措施和内容基本达到《建筑施工安全生产检查标准》、《广西壮族自治区建筑工程文明施工导则》；有具体实现现场文明施工目标的承诺，而且各项措施基本周全、具体、有效的。</w:t>
            </w:r>
          </w:p>
          <w:p w14:paraId="28E430BD">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w:t>
            </w:r>
            <w:r>
              <w:rPr>
                <w:rFonts w:hint="eastAsia" w:ascii="宋体" w:hAnsi="宋体" w:cs="宋体"/>
                <w:b w:val="0"/>
                <w:bCs w:val="0"/>
                <w:color w:val="auto"/>
                <w:spacing w:val="0"/>
                <w:w w:val="100"/>
                <w:position w:val="0"/>
                <w:sz w:val="21"/>
                <w:szCs w:val="21"/>
                <w:highlight w:val="none"/>
                <w:vertAlign w:val="baseline"/>
                <w:lang w:val="en-US" w:eastAsia="zh-CN"/>
              </w:rPr>
              <w:t>6</w:t>
            </w:r>
            <w:r>
              <w:rPr>
                <w:rFonts w:hint="eastAsia" w:ascii="宋体" w:hAnsi="宋体" w:eastAsia="宋体" w:cs="宋体"/>
                <w:b w:val="0"/>
                <w:bCs w:val="0"/>
                <w:color w:val="auto"/>
                <w:spacing w:val="0"/>
                <w:w w:val="100"/>
                <w:position w:val="0"/>
                <w:sz w:val="21"/>
                <w:szCs w:val="21"/>
                <w:highlight w:val="none"/>
                <w:vertAlign w:val="baseline"/>
                <w:lang w:eastAsia="zh-CN"/>
              </w:rPr>
              <w:t>分）：现场文明施工、环境保护措施和内容达到《建筑施工安全生产检查标准》、《广西壮族自治区建筑工程文明施工导则》；承诺创建市级文明工地和标准化工地，而且各项措施周全、具体、有效的。</w:t>
            </w:r>
          </w:p>
          <w:p w14:paraId="50ED27C6">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四档（</w:t>
            </w:r>
            <w:r>
              <w:rPr>
                <w:rFonts w:hint="eastAsia" w:ascii="宋体" w:hAnsi="宋体" w:cs="宋体"/>
                <w:b w:val="0"/>
                <w:bCs w:val="0"/>
                <w:color w:val="auto"/>
                <w:spacing w:val="0"/>
                <w:w w:val="100"/>
                <w:position w:val="0"/>
                <w:sz w:val="21"/>
                <w:szCs w:val="21"/>
                <w:highlight w:val="none"/>
                <w:vertAlign w:val="baseline"/>
                <w:lang w:val="en-US" w:eastAsia="zh-CN"/>
              </w:rPr>
              <w:t>8</w:t>
            </w:r>
            <w:r>
              <w:rPr>
                <w:rFonts w:hint="eastAsia" w:ascii="宋体" w:hAnsi="宋体" w:eastAsia="宋体" w:cs="宋体"/>
                <w:b w:val="0"/>
                <w:bCs w:val="0"/>
                <w:color w:val="auto"/>
                <w:spacing w:val="0"/>
                <w:w w:val="100"/>
                <w:position w:val="0"/>
                <w:sz w:val="21"/>
                <w:szCs w:val="21"/>
                <w:highlight w:val="none"/>
                <w:vertAlign w:val="baseline"/>
                <w:lang w:eastAsia="zh-CN"/>
              </w:rPr>
              <w:t>分）：现场文明施工、环境保护措施和内容达到《建筑施工安全生产检查标准》、《广西壮族自治区建筑工程文明施工导则》要求；承诺创建自治区级及以上文明工地和标准化工地，而且各项措施周全、具体、有效的。</w:t>
            </w:r>
          </w:p>
        </w:tc>
        <w:tc>
          <w:tcPr>
            <w:tcW w:w="807" w:type="dxa"/>
            <w:noWrap w:val="0"/>
            <w:vAlign w:val="center"/>
          </w:tcPr>
          <w:p w14:paraId="01398F2B">
            <w:pPr>
              <w:keepNext w:val="0"/>
              <w:keepLines w:val="0"/>
              <w:pageBreakBefore w:val="0"/>
              <w:kinsoku/>
              <w:wordWrap w:val="0"/>
              <w:overflowPunct/>
              <w:topLinePunct/>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0695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9" w:type="dxa"/>
            <w:vMerge w:val="continue"/>
            <w:noWrap w:val="0"/>
            <w:vAlign w:val="center"/>
          </w:tcPr>
          <w:p w14:paraId="785C93CD">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1286C767">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6859F500">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cs="宋体"/>
                <w:b w:val="0"/>
                <w:bCs w:val="0"/>
                <w:color w:val="auto"/>
                <w:spacing w:val="0"/>
                <w:w w:val="100"/>
                <w:position w:val="0"/>
                <w:sz w:val="21"/>
                <w:szCs w:val="21"/>
                <w:highlight w:val="none"/>
                <w:lang w:val="en-US" w:eastAsia="zh-CN"/>
              </w:rPr>
              <w:t>8</w:t>
            </w:r>
            <w:r>
              <w:rPr>
                <w:rFonts w:hint="eastAsia" w:ascii="宋体" w:hAnsi="宋体" w:eastAsia="宋体" w:cs="宋体"/>
                <w:b w:val="0"/>
                <w:bCs w:val="0"/>
                <w:color w:val="auto"/>
                <w:spacing w:val="0"/>
                <w:w w:val="100"/>
                <w:position w:val="0"/>
                <w:sz w:val="21"/>
                <w:szCs w:val="21"/>
                <w:highlight w:val="none"/>
              </w:rPr>
              <w:t>）工程施工的重点和难点及保证措施（</w:t>
            </w:r>
            <w:r>
              <w:rPr>
                <w:rFonts w:hint="eastAsia" w:ascii="宋体" w:hAnsi="宋体" w:cs="宋体"/>
                <w:b w:val="0"/>
                <w:bCs w:val="0"/>
                <w:color w:val="auto"/>
                <w:spacing w:val="0"/>
                <w:w w:val="100"/>
                <w:position w:val="0"/>
                <w:sz w:val="21"/>
                <w:szCs w:val="21"/>
                <w:highlight w:val="none"/>
                <w:lang w:val="en-US" w:eastAsia="zh-CN"/>
              </w:rPr>
              <w:t>8</w:t>
            </w:r>
            <w:r>
              <w:rPr>
                <w:rFonts w:hint="eastAsia" w:ascii="宋体" w:hAnsi="宋体" w:eastAsia="宋体" w:cs="宋体"/>
                <w:b w:val="0"/>
                <w:bCs w:val="0"/>
                <w:color w:val="auto"/>
                <w:spacing w:val="0"/>
                <w:w w:val="100"/>
                <w:position w:val="0"/>
                <w:sz w:val="21"/>
                <w:szCs w:val="21"/>
                <w:highlight w:val="none"/>
              </w:rPr>
              <w:t>分）</w:t>
            </w:r>
          </w:p>
        </w:tc>
        <w:tc>
          <w:tcPr>
            <w:tcW w:w="5935" w:type="dxa"/>
            <w:noWrap w:val="0"/>
            <w:vAlign w:val="top"/>
          </w:tcPr>
          <w:p w14:paraId="458ED10C">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磋商小组在打分前根据供应商提供的工程施工重点和难点及保证措施，在相应档次内独立打分。</w:t>
            </w:r>
          </w:p>
          <w:p w14:paraId="09828571">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一档（0分）：未针对该项目的难点、重点进行分析，未考虑各部分施工如何相互交叉和衔接，施工质量效果和设计效果的无法统一。</w:t>
            </w:r>
          </w:p>
          <w:p w14:paraId="176E999D">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w:t>
            </w:r>
            <w:r>
              <w:rPr>
                <w:rFonts w:hint="eastAsia" w:ascii="宋体" w:hAnsi="宋体" w:cs="宋体"/>
                <w:b w:val="0"/>
                <w:bCs w:val="0"/>
                <w:color w:val="auto"/>
                <w:spacing w:val="0"/>
                <w:w w:val="100"/>
                <w:position w:val="0"/>
                <w:sz w:val="21"/>
                <w:szCs w:val="21"/>
                <w:highlight w:val="none"/>
                <w:vertAlign w:val="baseline"/>
                <w:lang w:val="en-US" w:eastAsia="zh-CN"/>
              </w:rPr>
              <w:t>3</w:t>
            </w:r>
            <w:r>
              <w:rPr>
                <w:rFonts w:hint="eastAsia" w:ascii="宋体" w:hAnsi="宋体" w:eastAsia="宋体" w:cs="宋体"/>
                <w:b w:val="0"/>
                <w:bCs w:val="0"/>
                <w:color w:val="auto"/>
                <w:spacing w:val="0"/>
                <w:w w:val="100"/>
                <w:position w:val="0"/>
                <w:sz w:val="21"/>
                <w:szCs w:val="21"/>
                <w:highlight w:val="none"/>
                <w:vertAlign w:val="baseline"/>
                <w:lang w:eastAsia="zh-CN"/>
              </w:rPr>
              <w:t>分）：针对该项目的难点、重点分析不具体，各部分施工如何相互交叉和衔接不合理，施工质量效果和设计效果有较大差距。</w:t>
            </w:r>
          </w:p>
          <w:p w14:paraId="62201A0B">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w:t>
            </w:r>
            <w:r>
              <w:rPr>
                <w:rFonts w:hint="eastAsia" w:ascii="宋体" w:hAnsi="宋体" w:cs="宋体"/>
                <w:b w:val="0"/>
                <w:bCs w:val="0"/>
                <w:color w:val="auto"/>
                <w:spacing w:val="0"/>
                <w:w w:val="100"/>
                <w:position w:val="0"/>
                <w:sz w:val="21"/>
                <w:szCs w:val="21"/>
                <w:highlight w:val="none"/>
                <w:vertAlign w:val="baseline"/>
                <w:lang w:val="en-US" w:eastAsia="zh-CN"/>
              </w:rPr>
              <w:t>6</w:t>
            </w:r>
            <w:r>
              <w:rPr>
                <w:rFonts w:hint="eastAsia" w:ascii="宋体" w:hAnsi="宋体" w:eastAsia="宋体" w:cs="宋体"/>
                <w:b w:val="0"/>
                <w:bCs w:val="0"/>
                <w:color w:val="auto"/>
                <w:spacing w:val="0"/>
                <w:w w:val="100"/>
                <w:position w:val="0"/>
                <w:sz w:val="21"/>
                <w:szCs w:val="21"/>
                <w:highlight w:val="none"/>
                <w:vertAlign w:val="baseline"/>
                <w:lang w:eastAsia="zh-CN"/>
              </w:rPr>
              <w:t>分）：针对该项目的难点、重点分析简单，未重点考虑各部分施工如何相互交叉和衔接，施工质量效果基本达到设计效果。</w:t>
            </w:r>
          </w:p>
          <w:p w14:paraId="182DCEFC">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四档（</w:t>
            </w:r>
            <w:r>
              <w:rPr>
                <w:rFonts w:hint="eastAsia" w:ascii="宋体" w:hAnsi="宋体" w:cs="宋体"/>
                <w:b w:val="0"/>
                <w:bCs w:val="0"/>
                <w:color w:val="auto"/>
                <w:spacing w:val="0"/>
                <w:w w:val="100"/>
                <w:position w:val="0"/>
                <w:sz w:val="21"/>
                <w:szCs w:val="21"/>
                <w:highlight w:val="none"/>
                <w:vertAlign w:val="baseline"/>
                <w:lang w:val="en-US" w:eastAsia="zh-CN"/>
              </w:rPr>
              <w:t>8</w:t>
            </w:r>
            <w:r>
              <w:rPr>
                <w:rFonts w:hint="eastAsia" w:ascii="宋体" w:hAnsi="宋体" w:eastAsia="宋体" w:cs="宋体"/>
                <w:b w:val="0"/>
                <w:bCs w:val="0"/>
                <w:color w:val="auto"/>
                <w:spacing w:val="0"/>
                <w:w w:val="100"/>
                <w:position w:val="0"/>
                <w:sz w:val="21"/>
                <w:szCs w:val="21"/>
                <w:highlight w:val="none"/>
                <w:vertAlign w:val="baseline"/>
                <w:lang w:eastAsia="zh-CN"/>
              </w:rPr>
              <w:t>分）：针对该项目的难点、重点详细分析，重点考虑各部分施工如何相互交叉和衔接，以保证施工质量效果和设计效果的完美统一。</w:t>
            </w:r>
          </w:p>
        </w:tc>
        <w:tc>
          <w:tcPr>
            <w:tcW w:w="807" w:type="dxa"/>
            <w:noWrap w:val="0"/>
            <w:vAlign w:val="center"/>
          </w:tcPr>
          <w:p w14:paraId="0D443F8D">
            <w:pPr>
              <w:keepNext w:val="0"/>
              <w:keepLines w:val="0"/>
              <w:pageBreakBefore w:val="0"/>
              <w:kinsoku/>
              <w:wordWrap w:val="0"/>
              <w:overflowPunct/>
              <w:topLinePunct/>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6EF2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9" w:type="dxa"/>
            <w:vMerge w:val="continue"/>
            <w:noWrap w:val="0"/>
            <w:vAlign w:val="center"/>
          </w:tcPr>
          <w:p w14:paraId="418CA596">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2A1B8ADF">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23AE35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9</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施工总平面布置图</w:t>
            </w:r>
          </w:p>
          <w:p w14:paraId="1D83C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color w:val="auto"/>
                <w:kern w:val="0"/>
                <w:highlight w:val="none"/>
              </w:rPr>
              <w:t>（</w:t>
            </w:r>
            <w:r>
              <w:rPr>
                <w:rFonts w:hint="eastAsia" w:ascii="宋体" w:hAnsi="宋体" w:cs="宋体"/>
                <w:color w:val="auto"/>
                <w:kern w:val="0"/>
                <w:highlight w:val="none"/>
                <w:lang w:val="en-US" w:eastAsia="zh-CN"/>
              </w:rPr>
              <w:t>7</w:t>
            </w:r>
            <w:r>
              <w:rPr>
                <w:rFonts w:hint="eastAsia" w:ascii="宋体" w:hAnsi="宋体" w:eastAsia="宋体" w:cs="宋体"/>
                <w:color w:val="auto"/>
                <w:kern w:val="0"/>
                <w:highlight w:val="none"/>
              </w:rPr>
              <w:t>分）</w:t>
            </w:r>
          </w:p>
        </w:tc>
        <w:tc>
          <w:tcPr>
            <w:tcW w:w="5935" w:type="dxa"/>
            <w:noWrap w:val="0"/>
            <w:vAlign w:val="center"/>
          </w:tcPr>
          <w:p w14:paraId="1FC2897C">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w:t>
            </w:r>
            <w:r>
              <w:rPr>
                <w:rFonts w:hint="eastAsia" w:ascii="宋体" w:hAnsi="宋体" w:eastAsia="宋体" w:cs="宋体"/>
                <w:color w:val="auto"/>
                <w:kern w:val="0"/>
                <w:highlight w:val="none"/>
              </w:rPr>
              <w:t>施工总平面布置图</w:t>
            </w:r>
            <w:r>
              <w:rPr>
                <w:rFonts w:hint="eastAsia" w:ascii="宋体" w:hAnsi="宋体" w:eastAsia="宋体" w:cs="宋体"/>
                <w:b w:val="0"/>
                <w:bCs w:val="0"/>
                <w:color w:val="auto"/>
                <w:spacing w:val="0"/>
                <w:w w:val="100"/>
                <w:position w:val="0"/>
                <w:sz w:val="21"/>
                <w:szCs w:val="21"/>
                <w:highlight w:val="none"/>
                <w:vertAlign w:val="baseline"/>
                <w:lang w:eastAsia="zh-CN"/>
              </w:rPr>
              <w:t>，在相应档次内独立打分。</w:t>
            </w:r>
          </w:p>
          <w:p w14:paraId="134EA4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一档（0分）：未提供施工总平面布置图。</w:t>
            </w:r>
          </w:p>
          <w:p w14:paraId="5C249F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pacing w:val="0"/>
                <w:position w:val="0"/>
                <w:highlight w:val="none"/>
                <w:lang w:val="en-US" w:eastAsia="zh-CN"/>
              </w:rPr>
              <w:t>二档</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分）：总体布置不合理，不符合安全、文明生产要求。</w:t>
            </w:r>
          </w:p>
          <w:p w14:paraId="6888AA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pacing w:val="0"/>
                <w:position w:val="0"/>
                <w:highlight w:val="none"/>
                <w:lang w:val="en-US" w:eastAsia="zh-CN"/>
              </w:rPr>
              <w:t>三档</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分）：总体布置合理，能满足施工需要，基本符合安全、文明生产要求。</w:t>
            </w:r>
          </w:p>
          <w:p w14:paraId="10F32A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color w:val="auto"/>
                <w:spacing w:val="0"/>
                <w:position w:val="0"/>
                <w:highlight w:val="none"/>
                <w:lang w:val="en-US" w:eastAsia="zh-CN"/>
              </w:rPr>
              <w:t>四档</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分）：总体布置有针对性、合理，较好满足施工需要，符合安全、文明生产要求。</w:t>
            </w:r>
          </w:p>
        </w:tc>
        <w:tc>
          <w:tcPr>
            <w:tcW w:w="807" w:type="dxa"/>
            <w:noWrap w:val="0"/>
            <w:vAlign w:val="center"/>
          </w:tcPr>
          <w:p w14:paraId="1C1668F8">
            <w:pPr>
              <w:keepNext w:val="0"/>
              <w:keepLines w:val="0"/>
              <w:pageBreakBefore w:val="0"/>
              <w:kinsoku/>
              <w:wordWrap w:val="0"/>
              <w:overflowPunct/>
              <w:topLinePunct/>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cs="宋体"/>
                <w:b w:val="0"/>
                <w:bCs w:val="0"/>
                <w:color w:val="auto"/>
                <w:spacing w:val="0"/>
                <w:w w:val="100"/>
                <w:position w:val="0"/>
                <w:sz w:val="21"/>
                <w:szCs w:val="21"/>
                <w:highlight w:val="none"/>
                <w:vertAlign w:val="baseline"/>
                <w:lang w:eastAsia="zh-CN"/>
              </w:rPr>
              <w:t>主观分</w:t>
            </w:r>
          </w:p>
        </w:tc>
      </w:tr>
      <w:tr w14:paraId="4B15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9" w:type="dxa"/>
            <w:vMerge w:val="restart"/>
            <w:noWrap w:val="0"/>
            <w:vAlign w:val="center"/>
          </w:tcPr>
          <w:p w14:paraId="648249A0">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3</w:t>
            </w:r>
          </w:p>
        </w:tc>
        <w:tc>
          <w:tcPr>
            <w:tcW w:w="958" w:type="dxa"/>
            <w:vMerge w:val="restart"/>
            <w:noWrap w:val="0"/>
            <w:vAlign w:val="center"/>
          </w:tcPr>
          <w:p w14:paraId="6176D484">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商务</w:t>
            </w:r>
            <w:r>
              <w:rPr>
                <w:rFonts w:hint="eastAsia" w:ascii="宋体" w:hAnsi="宋体" w:cs="宋体"/>
                <w:b w:val="0"/>
                <w:bCs w:val="0"/>
                <w:color w:val="auto"/>
                <w:spacing w:val="0"/>
                <w:w w:val="100"/>
                <w:position w:val="0"/>
                <w:sz w:val="21"/>
                <w:szCs w:val="21"/>
                <w:highlight w:val="none"/>
                <w:lang w:eastAsia="zh-CN"/>
              </w:rPr>
              <w:t>分（满分</w:t>
            </w:r>
            <w:r>
              <w:rPr>
                <w:rFonts w:hint="eastAsia" w:ascii="宋体" w:hAnsi="宋体" w:cs="宋体"/>
                <w:b w:val="0"/>
                <w:bCs w:val="0"/>
                <w:color w:val="auto"/>
                <w:spacing w:val="0"/>
                <w:w w:val="100"/>
                <w:position w:val="0"/>
                <w:sz w:val="21"/>
                <w:szCs w:val="21"/>
                <w:highlight w:val="none"/>
                <w:lang w:val="en-US" w:eastAsia="zh-CN"/>
              </w:rPr>
              <w:t>19分</w:t>
            </w:r>
            <w:r>
              <w:rPr>
                <w:rFonts w:hint="eastAsia" w:ascii="宋体" w:hAnsi="宋体" w:cs="宋体"/>
                <w:b w:val="0"/>
                <w:bCs w:val="0"/>
                <w:color w:val="auto"/>
                <w:spacing w:val="0"/>
                <w:w w:val="100"/>
                <w:position w:val="0"/>
                <w:sz w:val="21"/>
                <w:szCs w:val="21"/>
                <w:highlight w:val="none"/>
                <w:lang w:eastAsia="zh-CN"/>
              </w:rPr>
              <w:t>）</w:t>
            </w:r>
          </w:p>
        </w:tc>
        <w:tc>
          <w:tcPr>
            <w:tcW w:w="1115" w:type="dxa"/>
            <w:noWrap w:val="0"/>
            <w:vAlign w:val="center"/>
          </w:tcPr>
          <w:p w14:paraId="35C4A856">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（1）拟投入人员配备情况（</w:t>
            </w:r>
            <w:r>
              <w:rPr>
                <w:rFonts w:hint="eastAsia" w:ascii="宋体" w:hAnsi="宋体" w:cs="宋体"/>
                <w:b w:val="0"/>
                <w:bCs w:val="0"/>
                <w:color w:val="auto"/>
                <w:spacing w:val="0"/>
                <w:w w:val="100"/>
                <w:position w:val="0"/>
                <w:sz w:val="21"/>
                <w:szCs w:val="21"/>
                <w:highlight w:val="none"/>
                <w:lang w:val="en-US" w:eastAsia="zh-CN"/>
              </w:rPr>
              <w:t>7</w:t>
            </w:r>
            <w:r>
              <w:rPr>
                <w:rFonts w:hint="eastAsia" w:ascii="宋体" w:hAnsi="宋体" w:eastAsia="宋体" w:cs="宋体"/>
                <w:b w:val="0"/>
                <w:bCs w:val="0"/>
                <w:color w:val="auto"/>
                <w:spacing w:val="0"/>
                <w:w w:val="100"/>
                <w:position w:val="0"/>
                <w:sz w:val="21"/>
                <w:szCs w:val="21"/>
                <w:highlight w:val="none"/>
                <w:lang w:eastAsia="zh-CN"/>
              </w:rPr>
              <w:t>分）</w:t>
            </w:r>
          </w:p>
        </w:tc>
        <w:tc>
          <w:tcPr>
            <w:tcW w:w="5935" w:type="dxa"/>
            <w:noWrap w:val="0"/>
            <w:vAlign w:val="center"/>
          </w:tcPr>
          <w:p w14:paraId="7C2F5D21">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cs="宋体"/>
                <w:color w:val="auto"/>
                <w:spacing w:val="0"/>
                <w:position w:val="0"/>
                <w:szCs w:val="21"/>
                <w:highlight w:val="none"/>
                <w:lang w:val="en-US" w:eastAsia="zh-CN"/>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拟派驻本项目的</w:t>
            </w:r>
            <w:r>
              <w:rPr>
                <w:rFonts w:hint="eastAsia" w:ascii="宋体" w:hAnsi="宋体" w:cs="宋体"/>
                <w:color w:val="auto"/>
                <w:spacing w:val="0"/>
                <w:position w:val="0"/>
                <w:szCs w:val="21"/>
                <w:highlight w:val="none"/>
                <w:lang w:eastAsia="zh-CN"/>
              </w:rPr>
              <w:t>技术负责人（</w:t>
            </w:r>
            <w:r>
              <w:rPr>
                <w:rFonts w:hint="eastAsia" w:ascii="宋体" w:hAnsi="宋体" w:eastAsia="宋体" w:cs="宋体"/>
                <w:color w:val="auto"/>
                <w:spacing w:val="0"/>
                <w:position w:val="0"/>
                <w:szCs w:val="21"/>
                <w:highlight w:val="none"/>
              </w:rPr>
              <w:t>项目总工</w:t>
            </w:r>
            <w:r>
              <w:rPr>
                <w:rFonts w:hint="eastAsia" w:ascii="宋体" w:hAnsi="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具备</w:t>
            </w:r>
            <w:r>
              <w:rPr>
                <w:rFonts w:hint="eastAsia" w:ascii="宋体" w:hAnsi="宋体" w:eastAsia="宋体" w:cs="宋体"/>
                <w:color w:val="auto"/>
                <w:spacing w:val="0"/>
                <w:position w:val="0"/>
                <w:szCs w:val="21"/>
                <w:highlight w:val="none"/>
                <w:lang w:eastAsia="zh-CN"/>
              </w:rPr>
              <w:t>工程</w:t>
            </w:r>
            <w:r>
              <w:rPr>
                <w:rFonts w:hint="eastAsia" w:ascii="宋体" w:hAnsi="宋体" w:eastAsia="宋体" w:cs="宋体"/>
                <w:color w:val="auto"/>
                <w:spacing w:val="0"/>
                <w:position w:val="0"/>
                <w:szCs w:val="21"/>
                <w:highlight w:val="none"/>
              </w:rPr>
              <w:t>类专业中级及以上技术职称得</w:t>
            </w:r>
            <w:r>
              <w:rPr>
                <w:rFonts w:hint="eastAsia" w:ascii="宋体" w:hAnsi="宋体" w:cs="宋体"/>
                <w:color w:val="auto"/>
                <w:spacing w:val="0"/>
                <w:position w:val="0"/>
                <w:szCs w:val="21"/>
                <w:highlight w:val="none"/>
                <w:lang w:val="en-US" w:eastAsia="zh-CN"/>
              </w:rPr>
              <w:t>3</w:t>
            </w:r>
            <w:r>
              <w:rPr>
                <w:rFonts w:hint="eastAsia" w:ascii="宋体" w:hAnsi="宋体" w:eastAsia="宋体" w:cs="宋体"/>
                <w:color w:val="auto"/>
                <w:spacing w:val="0"/>
                <w:position w:val="0"/>
                <w:szCs w:val="21"/>
                <w:highlight w:val="none"/>
              </w:rPr>
              <w:t>分。</w:t>
            </w:r>
          </w:p>
          <w:p w14:paraId="292E03FA">
            <w:pPr>
              <w:keepNext w:val="0"/>
              <w:keepLines w:val="0"/>
              <w:pageBreakBefore w:val="0"/>
              <w:widowControl w:val="0"/>
              <w:kinsoku/>
              <w:wordWrap w:val="0"/>
              <w:overflowPunct/>
              <w:topLinePunct/>
              <w:autoSpaceDE/>
              <w:autoSpaceDN/>
              <w:bidi w:val="0"/>
              <w:adjustRightInd/>
              <w:snapToGrid/>
              <w:spacing w:line="360" w:lineRule="auto"/>
              <w:textAlignment w:val="auto"/>
              <w:rPr>
                <w:rFonts w:hint="default" w:ascii="宋体" w:hAnsi="宋体" w:eastAsia="宋体" w:cs="宋体"/>
                <w:b w:val="0"/>
                <w:bCs w:val="0"/>
                <w:color w:val="auto"/>
                <w:spacing w:val="0"/>
                <w:w w:val="100"/>
                <w:position w:val="0"/>
                <w:sz w:val="21"/>
                <w:szCs w:val="21"/>
                <w:highlight w:val="none"/>
                <w:lang w:val="en-US" w:eastAsia="zh-CN"/>
              </w:rPr>
            </w:pPr>
            <w:r>
              <w:rPr>
                <w:rFonts w:hint="eastAsia" w:ascii="宋体" w:hAnsi="宋体" w:cs="宋体"/>
                <w:b w:val="0"/>
                <w:bCs w:val="0"/>
                <w:color w:val="auto"/>
                <w:spacing w:val="0"/>
                <w:w w:val="100"/>
                <w:position w:val="0"/>
                <w:sz w:val="21"/>
                <w:szCs w:val="21"/>
                <w:highlight w:val="none"/>
                <w:lang w:val="en-US" w:eastAsia="zh-CN"/>
              </w:rPr>
              <w:t>2）</w:t>
            </w:r>
            <w:r>
              <w:rPr>
                <w:rFonts w:hint="eastAsia" w:ascii="宋体" w:hAnsi="宋体" w:eastAsia="宋体" w:cs="宋体"/>
                <w:color w:val="auto"/>
                <w:spacing w:val="0"/>
                <w:position w:val="0"/>
                <w:highlight w:val="none"/>
                <w:lang w:val="en-US" w:eastAsia="zh-CN"/>
              </w:rPr>
              <w:t>拟投入本工程施工员、质量员、安全员、材料员配备齐全且全部持证上岗的（安全员具有C证），得4分。</w:t>
            </w:r>
          </w:p>
          <w:p w14:paraId="62B16C56">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bCs/>
                <w:color w:val="auto"/>
                <w:spacing w:val="0"/>
                <w:w w:val="100"/>
                <w:position w:val="0"/>
                <w:sz w:val="21"/>
                <w:szCs w:val="21"/>
                <w:highlight w:val="none"/>
                <w:lang w:val="en-US" w:eastAsia="zh-CN"/>
              </w:rPr>
              <w:t>注：提供供应商</w:t>
            </w:r>
            <w:r>
              <w:rPr>
                <w:rFonts w:hint="eastAsia" w:ascii="宋体" w:hAnsi="宋体" w:cs="宋体"/>
                <w:b/>
                <w:bCs/>
                <w:color w:val="auto"/>
                <w:spacing w:val="0"/>
                <w:w w:val="100"/>
                <w:position w:val="0"/>
                <w:sz w:val="21"/>
                <w:szCs w:val="21"/>
                <w:highlight w:val="none"/>
                <w:lang w:val="en-US" w:eastAsia="zh-CN"/>
              </w:rPr>
              <w:t>与上述人员签订的劳动（劳务）合同或供应商</w:t>
            </w:r>
            <w:r>
              <w:rPr>
                <w:rFonts w:hint="eastAsia" w:ascii="宋体" w:hAnsi="宋体" w:eastAsia="宋体" w:cs="宋体"/>
                <w:b/>
                <w:bCs/>
                <w:color w:val="auto"/>
                <w:spacing w:val="0"/>
                <w:w w:val="100"/>
                <w:position w:val="0"/>
                <w:sz w:val="21"/>
                <w:szCs w:val="21"/>
                <w:highlight w:val="none"/>
                <w:lang w:val="en-US" w:eastAsia="zh-CN"/>
              </w:rPr>
              <w:t>为上述岗位人员自</w:t>
            </w:r>
            <w:r>
              <w:rPr>
                <w:rFonts w:hint="eastAsia" w:ascii="宋体" w:hAnsi="宋体" w:cs="宋体"/>
                <w:b/>
                <w:bCs/>
                <w:color w:val="auto"/>
                <w:spacing w:val="0"/>
                <w:w w:val="100"/>
                <w:position w:val="0"/>
                <w:sz w:val="21"/>
                <w:szCs w:val="21"/>
                <w:highlight w:val="none"/>
                <w:lang w:val="en-US" w:eastAsia="zh-CN"/>
              </w:rPr>
              <w:t>2025年7月以来</w:t>
            </w:r>
            <w:r>
              <w:rPr>
                <w:rFonts w:hint="eastAsia" w:ascii="宋体" w:hAnsi="宋体" w:eastAsia="宋体" w:cs="宋体"/>
                <w:b/>
                <w:bCs/>
                <w:color w:val="auto"/>
                <w:spacing w:val="0"/>
                <w:w w:val="100"/>
                <w:position w:val="0"/>
                <w:sz w:val="21"/>
                <w:szCs w:val="21"/>
                <w:highlight w:val="none"/>
                <w:lang w:val="en-US" w:eastAsia="zh-CN"/>
              </w:rPr>
              <w:t>任意1个月依法缴纳社会保险的证明材料（未提供的不予计分）。</w:t>
            </w:r>
          </w:p>
        </w:tc>
        <w:tc>
          <w:tcPr>
            <w:tcW w:w="807" w:type="dxa"/>
            <w:noWrap w:val="0"/>
            <w:vAlign w:val="center"/>
          </w:tcPr>
          <w:p w14:paraId="682BC82F">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eastAsia="zh-CN"/>
              </w:rPr>
              <w:t>客观分</w:t>
            </w:r>
          </w:p>
        </w:tc>
      </w:tr>
      <w:tr w14:paraId="1DC9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9" w:type="dxa"/>
            <w:vMerge w:val="continue"/>
            <w:noWrap w:val="0"/>
            <w:vAlign w:val="center"/>
          </w:tcPr>
          <w:p w14:paraId="48871E2D">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p>
        </w:tc>
        <w:tc>
          <w:tcPr>
            <w:tcW w:w="958" w:type="dxa"/>
            <w:vMerge w:val="continue"/>
            <w:noWrap w:val="0"/>
            <w:vAlign w:val="center"/>
          </w:tcPr>
          <w:p w14:paraId="2348C4AB">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p>
        </w:tc>
        <w:tc>
          <w:tcPr>
            <w:tcW w:w="1115" w:type="dxa"/>
            <w:noWrap w:val="0"/>
            <w:vAlign w:val="center"/>
          </w:tcPr>
          <w:p w14:paraId="1B97DA4F">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cs="宋体"/>
                <w:b w:val="0"/>
                <w:bCs w:val="0"/>
                <w:color w:val="auto"/>
                <w:spacing w:val="0"/>
                <w:w w:val="100"/>
                <w:position w:val="0"/>
                <w:sz w:val="21"/>
                <w:szCs w:val="21"/>
                <w:highlight w:val="none"/>
                <w:lang w:eastAsia="zh-CN"/>
              </w:rPr>
              <w:t>（</w:t>
            </w:r>
            <w:r>
              <w:rPr>
                <w:rFonts w:hint="eastAsia" w:ascii="宋体" w:hAnsi="宋体" w:cs="宋体"/>
                <w:b w:val="0"/>
                <w:bCs w:val="0"/>
                <w:color w:val="auto"/>
                <w:spacing w:val="0"/>
                <w:w w:val="100"/>
                <w:position w:val="0"/>
                <w:sz w:val="21"/>
                <w:szCs w:val="21"/>
                <w:highlight w:val="none"/>
                <w:lang w:val="en-US" w:eastAsia="zh-CN"/>
              </w:rPr>
              <w:t>2</w:t>
            </w:r>
            <w:r>
              <w:rPr>
                <w:rFonts w:hint="eastAsia" w:ascii="宋体" w:hAnsi="宋体" w:cs="宋体"/>
                <w:b w:val="0"/>
                <w:bCs w:val="0"/>
                <w:color w:val="auto"/>
                <w:spacing w:val="0"/>
                <w:w w:val="100"/>
                <w:position w:val="0"/>
                <w:sz w:val="21"/>
                <w:szCs w:val="21"/>
                <w:highlight w:val="none"/>
                <w:lang w:eastAsia="zh-CN"/>
              </w:rPr>
              <w:t>）实力信誉分（满分</w:t>
            </w:r>
            <w:r>
              <w:rPr>
                <w:rFonts w:hint="eastAsia" w:ascii="宋体" w:hAnsi="宋体" w:cs="宋体"/>
                <w:b w:val="0"/>
                <w:bCs w:val="0"/>
                <w:color w:val="auto"/>
                <w:spacing w:val="0"/>
                <w:w w:val="100"/>
                <w:position w:val="0"/>
                <w:sz w:val="21"/>
                <w:szCs w:val="21"/>
                <w:highlight w:val="none"/>
                <w:lang w:val="en-US" w:eastAsia="zh-CN"/>
              </w:rPr>
              <w:t>6分</w:t>
            </w:r>
            <w:r>
              <w:rPr>
                <w:rFonts w:hint="eastAsia" w:ascii="宋体" w:hAnsi="宋体" w:cs="宋体"/>
                <w:b w:val="0"/>
                <w:bCs w:val="0"/>
                <w:color w:val="auto"/>
                <w:spacing w:val="0"/>
                <w:w w:val="100"/>
                <w:position w:val="0"/>
                <w:sz w:val="21"/>
                <w:szCs w:val="21"/>
                <w:highlight w:val="none"/>
                <w:lang w:eastAsia="zh-CN"/>
              </w:rPr>
              <w:t>）</w:t>
            </w:r>
          </w:p>
        </w:tc>
        <w:tc>
          <w:tcPr>
            <w:tcW w:w="5935" w:type="dxa"/>
            <w:noWrap w:val="0"/>
            <w:vAlign w:val="center"/>
          </w:tcPr>
          <w:p w14:paraId="257E9EFE">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供应商通过ISO9001</w:t>
            </w:r>
            <w:r>
              <w:rPr>
                <w:rFonts w:hint="eastAsia" w:ascii="宋体" w:hAnsi="宋体" w:cs="宋体"/>
                <w:b w:val="0"/>
                <w:bCs w:val="0"/>
                <w:color w:val="auto"/>
                <w:spacing w:val="0"/>
                <w:w w:val="100"/>
                <w:position w:val="0"/>
                <w:sz w:val="21"/>
                <w:szCs w:val="21"/>
                <w:highlight w:val="none"/>
                <w:lang w:val="en-US" w:eastAsia="zh-CN"/>
              </w:rPr>
              <w:t>质量</w:t>
            </w:r>
            <w:r>
              <w:rPr>
                <w:rFonts w:hint="eastAsia" w:ascii="宋体" w:hAnsi="宋体" w:eastAsia="宋体" w:cs="宋体"/>
                <w:b w:val="0"/>
                <w:bCs w:val="0"/>
                <w:color w:val="auto"/>
                <w:spacing w:val="0"/>
                <w:w w:val="100"/>
                <w:position w:val="0"/>
                <w:sz w:val="21"/>
                <w:szCs w:val="21"/>
                <w:highlight w:val="none"/>
                <w:lang w:val="en-US" w:eastAsia="zh-CN"/>
              </w:rPr>
              <w:t>管理体系认证、ISO14001环境管理体</w:t>
            </w:r>
          </w:p>
          <w:p w14:paraId="00252ED8">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系认证、IS045001职业健康安全管理体系认证，每提供1项得</w:t>
            </w:r>
          </w:p>
          <w:p w14:paraId="3B05533E">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cs="宋体"/>
                <w:b w:val="0"/>
                <w:bCs w:val="0"/>
                <w:color w:val="auto"/>
                <w:spacing w:val="0"/>
                <w:w w:val="100"/>
                <w:position w:val="0"/>
                <w:sz w:val="21"/>
                <w:szCs w:val="21"/>
                <w:highlight w:val="none"/>
                <w:lang w:val="en-US" w:eastAsia="zh-CN"/>
              </w:rPr>
              <w:t>2</w:t>
            </w:r>
            <w:r>
              <w:rPr>
                <w:rFonts w:hint="eastAsia" w:ascii="宋体" w:hAnsi="宋体" w:eastAsia="宋体" w:cs="宋体"/>
                <w:b w:val="0"/>
                <w:bCs w:val="0"/>
                <w:color w:val="auto"/>
                <w:spacing w:val="0"/>
                <w:w w:val="100"/>
                <w:position w:val="0"/>
                <w:sz w:val="21"/>
                <w:szCs w:val="21"/>
                <w:highlight w:val="none"/>
                <w:lang w:val="en-US" w:eastAsia="zh-CN"/>
              </w:rPr>
              <w:t>分，此项满分为</w:t>
            </w:r>
            <w:r>
              <w:rPr>
                <w:rFonts w:hint="eastAsia" w:ascii="宋体" w:hAnsi="宋体" w:cs="宋体"/>
                <w:b w:val="0"/>
                <w:bCs w:val="0"/>
                <w:color w:val="auto"/>
                <w:spacing w:val="0"/>
                <w:w w:val="100"/>
                <w:position w:val="0"/>
                <w:sz w:val="21"/>
                <w:szCs w:val="21"/>
                <w:highlight w:val="none"/>
                <w:lang w:val="en-US" w:eastAsia="zh-CN"/>
              </w:rPr>
              <w:t>6</w:t>
            </w:r>
            <w:r>
              <w:rPr>
                <w:rFonts w:hint="eastAsia" w:ascii="宋体" w:hAnsi="宋体" w:eastAsia="宋体" w:cs="宋体"/>
                <w:b w:val="0"/>
                <w:bCs w:val="0"/>
                <w:color w:val="auto"/>
                <w:spacing w:val="0"/>
                <w:w w:val="100"/>
                <w:position w:val="0"/>
                <w:sz w:val="21"/>
                <w:szCs w:val="21"/>
                <w:highlight w:val="none"/>
                <w:lang w:val="en-US" w:eastAsia="zh-CN"/>
              </w:rPr>
              <w:t>分。注</w:t>
            </w:r>
            <w:r>
              <w:rPr>
                <w:rFonts w:hint="eastAsia" w:ascii="宋体" w:hAnsi="宋体" w:cs="宋体"/>
                <w:b w:val="0"/>
                <w:bCs w:val="0"/>
                <w:color w:val="auto"/>
                <w:spacing w:val="0"/>
                <w:w w:val="100"/>
                <w:position w:val="0"/>
                <w:sz w:val="21"/>
                <w:szCs w:val="21"/>
                <w:highlight w:val="none"/>
                <w:lang w:val="en-US" w:eastAsia="zh-CN"/>
              </w:rPr>
              <w:t>：</w:t>
            </w:r>
            <w:r>
              <w:rPr>
                <w:rFonts w:hint="eastAsia" w:ascii="宋体" w:hAnsi="宋体" w:eastAsia="宋体" w:cs="宋体"/>
                <w:b w:val="0"/>
                <w:bCs w:val="0"/>
                <w:color w:val="auto"/>
                <w:spacing w:val="0"/>
                <w:w w:val="100"/>
                <w:position w:val="0"/>
                <w:sz w:val="21"/>
                <w:szCs w:val="21"/>
                <w:highlight w:val="none"/>
                <w:lang w:val="en-US" w:eastAsia="zh-CN"/>
              </w:rPr>
              <w:t>以上认证证书复印件并加盖公章，</w:t>
            </w:r>
          </w:p>
          <w:p w14:paraId="61831331">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否则不计分。</w:t>
            </w:r>
          </w:p>
        </w:tc>
        <w:tc>
          <w:tcPr>
            <w:tcW w:w="807" w:type="dxa"/>
            <w:noWrap w:val="0"/>
            <w:vAlign w:val="center"/>
          </w:tcPr>
          <w:p w14:paraId="618BF655">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cs="宋体"/>
                <w:b w:val="0"/>
                <w:bCs w:val="0"/>
                <w:color w:val="auto"/>
                <w:spacing w:val="0"/>
                <w:w w:val="100"/>
                <w:position w:val="0"/>
                <w:sz w:val="21"/>
                <w:szCs w:val="21"/>
                <w:highlight w:val="none"/>
                <w:lang w:eastAsia="zh-CN"/>
              </w:rPr>
              <w:t>客观分</w:t>
            </w:r>
          </w:p>
        </w:tc>
      </w:tr>
      <w:tr w14:paraId="06E4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9" w:type="dxa"/>
            <w:vMerge w:val="continue"/>
            <w:noWrap w:val="0"/>
            <w:vAlign w:val="center"/>
          </w:tcPr>
          <w:p w14:paraId="47F30AF8">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p>
        </w:tc>
        <w:tc>
          <w:tcPr>
            <w:tcW w:w="958" w:type="dxa"/>
            <w:vMerge w:val="continue"/>
            <w:noWrap w:val="0"/>
            <w:vAlign w:val="center"/>
          </w:tcPr>
          <w:p w14:paraId="49123B11">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p>
        </w:tc>
        <w:tc>
          <w:tcPr>
            <w:tcW w:w="1115" w:type="dxa"/>
            <w:noWrap w:val="0"/>
            <w:vAlign w:val="center"/>
          </w:tcPr>
          <w:p w14:paraId="7520B066">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w:t>
            </w:r>
            <w:r>
              <w:rPr>
                <w:rFonts w:hint="eastAsia" w:ascii="宋体" w:hAnsi="宋体" w:cs="宋体"/>
                <w:b w:val="0"/>
                <w:bCs w:val="0"/>
                <w:color w:val="auto"/>
                <w:spacing w:val="0"/>
                <w:w w:val="100"/>
                <w:position w:val="0"/>
                <w:sz w:val="21"/>
                <w:szCs w:val="21"/>
                <w:highlight w:val="none"/>
                <w:lang w:val="en-US" w:eastAsia="zh-CN"/>
              </w:rPr>
              <w:t>3</w:t>
            </w:r>
            <w:r>
              <w:rPr>
                <w:rFonts w:hint="eastAsia" w:ascii="宋体" w:hAnsi="宋体" w:eastAsia="宋体" w:cs="宋体"/>
                <w:b w:val="0"/>
                <w:bCs w:val="0"/>
                <w:color w:val="auto"/>
                <w:spacing w:val="0"/>
                <w:w w:val="100"/>
                <w:position w:val="0"/>
                <w:sz w:val="21"/>
                <w:szCs w:val="21"/>
                <w:highlight w:val="none"/>
                <w:lang w:eastAsia="zh-CN"/>
              </w:rPr>
              <w:t>）业绩分（</w:t>
            </w:r>
            <w:r>
              <w:rPr>
                <w:rFonts w:hint="eastAsia" w:ascii="宋体" w:hAnsi="宋体" w:cs="宋体"/>
                <w:b w:val="0"/>
                <w:bCs w:val="0"/>
                <w:color w:val="auto"/>
                <w:spacing w:val="0"/>
                <w:w w:val="100"/>
                <w:position w:val="0"/>
                <w:sz w:val="21"/>
                <w:szCs w:val="21"/>
                <w:highlight w:val="none"/>
                <w:lang w:val="en-US" w:eastAsia="zh-CN"/>
              </w:rPr>
              <w:t>6</w:t>
            </w:r>
            <w:r>
              <w:rPr>
                <w:rFonts w:hint="eastAsia" w:ascii="宋体" w:hAnsi="宋体" w:eastAsia="宋体" w:cs="宋体"/>
                <w:b w:val="0"/>
                <w:bCs w:val="0"/>
                <w:color w:val="auto"/>
                <w:spacing w:val="0"/>
                <w:w w:val="100"/>
                <w:position w:val="0"/>
                <w:sz w:val="21"/>
                <w:szCs w:val="21"/>
                <w:highlight w:val="none"/>
                <w:lang w:val="en-US" w:eastAsia="zh-CN"/>
              </w:rPr>
              <w:t>分</w:t>
            </w:r>
            <w:r>
              <w:rPr>
                <w:rFonts w:hint="eastAsia" w:ascii="宋体" w:hAnsi="宋体" w:eastAsia="宋体" w:cs="宋体"/>
                <w:b w:val="0"/>
                <w:bCs w:val="0"/>
                <w:color w:val="auto"/>
                <w:spacing w:val="0"/>
                <w:w w:val="100"/>
                <w:position w:val="0"/>
                <w:sz w:val="21"/>
                <w:szCs w:val="21"/>
                <w:highlight w:val="none"/>
                <w:lang w:eastAsia="zh-CN"/>
              </w:rPr>
              <w:t>）</w:t>
            </w:r>
          </w:p>
        </w:tc>
        <w:tc>
          <w:tcPr>
            <w:tcW w:w="5935" w:type="dxa"/>
            <w:noWrap w:val="0"/>
            <w:vAlign w:val="center"/>
          </w:tcPr>
          <w:p w14:paraId="3D5EE405">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磋商供应商自20</w:t>
            </w:r>
            <w:r>
              <w:rPr>
                <w:rFonts w:hint="eastAsia" w:ascii="宋体" w:hAnsi="宋体" w:cs="宋体"/>
                <w:b w:val="0"/>
                <w:bCs w:val="0"/>
                <w:color w:val="auto"/>
                <w:spacing w:val="0"/>
                <w:w w:val="100"/>
                <w:position w:val="0"/>
                <w:sz w:val="21"/>
                <w:szCs w:val="21"/>
                <w:highlight w:val="none"/>
                <w:lang w:val="en-US" w:eastAsia="zh-CN"/>
              </w:rPr>
              <w:t>22</w:t>
            </w:r>
            <w:r>
              <w:rPr>
                <w:rFonts w:hint="eastAsia" w:ascii="宋体" w:hAnsi="宋体" w:eastAsia="宋体" w:cs="宋体"/>
                <w:b w:val="0"/>
                <w:bCs w:val="0"/>
                <w:color w:val="auto"/>
                <w:spacing w:val="0"/>
                <w:w w:val="100"/>
                <w:position w:val="0"/>
                <w:sz w:val="21"/>
                <w:szCs w:val="21"/>
                <w:highlight w:val="none"/>
                <w:lang w:val="en-US" w:eastAsia="zh-CN"/>
              </w:rPr>
              <w:t>年以来承接的</w:t>
            </w:r>
            <w:r>
              <w:rPr>
                <w:rFonts w:hint="eastAsia" w:ascii="宋体" w:hAnsi="宋体" w:cs="宋体"/>
                <w:b w:val="0"/>
                <w:bCs w:val="0"/>
                <w:color w:val="auto"/>
                <w:spacing w:val="0"/>
                <w:w w:val="100"/>
                <w:position w:val="0"/>
                <w:sz w:val="21"/>
                <w:szCs w:val="21"/>
                <w:highlight w:val="none"/>
                <w:lang w:val="en-US" w:eastAsia="zh-CN"/>
              </w:rPr>
              <w:t>公路工程或市政公用工程</w:t>
            </w:r>
            <w:r>
              <w:rPr>
                <w:rFonts w:hint="eastAsia" w:ascii="宋体" w:hAnsi="宋体" w:eastAsia="宋体" w:cs="宋体"/>
                <w:b w:val="0"/>
                <w:bCs w:val="0"/>
                <w:color w:val="auto"/>
                <w:spacing w:val="0"/>
                <w:w w:val="100"/>
                <w:position w:val="0"/>
                <w:sz w:val="21"/>
                <w:szCs w:val="21"/>
                <w:highlight w:val="none"/>
                <w:lang w:val="en-US" w:eastAsia="zh-CN"/>
              </w:rPr>
              <w:t>施工业绩，每有一个</w:t>
            </w:r>
            <w:bookmarkStart w:id="130" w:name="_GoBack"/>
            <w:bookmarkEnd w:id="130"/>
            <w:r>
              <w:rPr>
                <w:rFonts w:hint="eastAsia" w:ascii="宋体" w:hAnsi="宋体" w:eastAsia="宋体" w:cs="宋体"/>
                <w:b w:val="0"/>
                <w:bCs w:val="0"/>
                <w:color w:val="auto"/>
                <w:spacing w:val="0"/>
                <w:w w:val="100"/>
                <w:position w:val="0"/>
                <w:sz w:val="21"/>
                <w:szCs w:val="21"/>
                <w:highlight w:val="none"/>
                <w:lang w:val="en-US" w:eastAsia="zh-CN"/>
              </w:rPr>
              <w:t>得</w:t>
            </w:r>
            <w:r>
              <w:rPr>
                <w:rFonts w:hint="eastAsia" w:ascii="宋体" w:hAnsi="宋体" w:cs="宋体"/>
                <w:b w:val="0"/>
                <w:bCs w:val="0"/>
                <w:color w:val="auto"/>
                <w:spacing w:val="0"/>
                <w:w w:val="100"/>
                <w:position w:val="0"/>
                <w:sz w:val="21"/>
                <w:szCs w:val="21"/>
                <w:highlight w:val="none"/>
                <w:lang w:val="en-US" w:eastAsia="zh-CN"/>
              </w:rPr>
              <w:t>2</w:t>
            </w:r>
            <w:r>
              <w:rPr>
                <w:rFonts w:hint="eastAsia" w:ascii="宋体" w:hAnsi="宋体" w:eastAsia="宋体" w:cs="宋体"/>
                <w:b w:val="0"/>
                <w:bCs w:val="0"/>
                <w:color w:val="auto"/>
                <w:spacing w:val="0"/>
                <w:w w:val="100"/>
                <w:position w:val="0"/>
                <w:sz w:val="21"/>
                <w:szCs w:val="21"/>
                <w:highlight w:val="none"/>
                <w:lang w:val="en-US" w:eastAsia="zh-CN"/>
              </w:rPr>
              <w:t>分，满分为</w:t>
            </w:r>
            <w:r>
              <w:rPr>
                <w:rFonts w:hint="eastAsia" w:ascii="宋体" w:hAnsi="宋体" w:cs="宋体"/>
                <w:b w:val="0"/>
                <w:bCs w:val="0"/>
                <w:color w:val="auto"/>
                <w:spacing w:val="0"/>
                <w:w w:val="100"/>
                <w:position w:val="0"/>
                <w:sz w:val="21"/>
                <w:szCs w:val="21"/>
                <w:highlight w:val="none"/>
                <w:lang w:val="en-US" w:eastAsia="zh-CN"/>
              </w:rPr>
              <w:t>6</w:t>
            </w:r>
            <w:r>
              <w:rPr>
                <w:rFonts w:hint="eastAsia" w:ascii="宋体" w:hAnsi="宋体" w:eastAsia="宋体" w:cs="宋体"/>
                <w:b w:val="0"/>
                <w:bCs w:val="0"/>
                <w:color w:val="auto"/>
                <w:spacing w:val="0"/>
                <w:w w:val="100"/>
                <w:position w:val="0"/>
                <w:sz w:val="21"/>
                <w:szCs w:val="21"/>
                <w:highlight w:val="none"/>
                <w:lang w:val="en-US" w:eastAsia="zh-CN"/>
              </w:rPr>
              <w:t>分（提供施工合同复印件，时间以合同签订日期为准，并加盖公章）。</w:t>
            </w:r>
          </w:p>
        </w:tc>
        <w:tc>
          <w:tcPr>
            <w:tcW w:w="807" w:type="dxa"/>
            <w:noWrap w:val="0"/>
            <w:vAlign w:val="center"/>
          </w:tcPr>
          <w:p w14:paraId="2EE823AD">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客观分</w:t>
            </w:r>
          </w:p>
        </w:tc>
      </w:tr>
      <w:tr w14:paraId="5F16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77" w:type="dxa"/>
            <w:gridSpan w:val="2"/>
            <w:noWrap w:val="0"/>
            <w:vAlign w:val="center"/>
          </w:tcPr>
          <w:p w14:paraId="2FBCFDE3">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both"/>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供应商</w:t>
            </w:r>
            <w:r>
              <w:rPr>
                <w:rFonts w:hint="eastAsia" w:ascii="宋体" w:hAnsi="宋体" w:eastAsia="宋体" w:cs="宋体"/>
                <w:b w:val="0"/>
                <w:bCs w:val="0"/>
                <w:color w:val="auto"/>
                <w:spacing w:val="0"/>
                <w:w w:val="100"/>
                <w:position w:val="0"/>
                <w:sz w:val="21"/>
                <w:szCs w:val="21"/>
                <w:highlight w:val="none"/>
              </w:rPr>
              <w:t>汇总得分</w:t>
            </w:r>
          </w:p>
        </w:tc>
        <w:tc>
          <w:tcPr>
            <w:tcW w:w="7050" w:type="dxa"/>
            <w:gridSpan w:val="2"/>
            <w:noWrap w:val="0"/>
            <w:vAlign w:val="center"/>
          </w:tcPr>
          <w:p w14:paraId="666CD91B">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=报价分得分+技术分得分+商务分得分</w:t>
            </w:r>
          </w:p>
        </w:tc>
        <w:tc>
          <w:tcPr>
            <w:tcW w:w="807" w:type="dxa"/>
            <w:noWrap w:val="0"/>
            <w:vAlign w:val="center"/>
          </w:tcPr>
          <w:p w14:paraId="1655FCC1">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 w:val="0"/>
                <w:bCs w:val="0"/>
                <w:color w:val="auto"/>
                <w:spacing w:val="0"/>
                <w:w w:val="100"/>
                <w:position w:val="0"/>
                <w:sz w:val="21"/>
                <w:szCs w:val="21"/>
                <w:highlight w:val="none"/>
                <w:lang w:val="en-US" w:eastAsia="zh-CN"/>
              </w:rPr>
            </w:pPr>
          </w:p>
        </w:tc>
      </w:tr>
    </w:tbl>
    <w:p w14:paraId="6A1FD707">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color w:val="auto"/>
          <w:spacing w:val="0"/>
          <w:position w:val="0"/>
          <w:highlight w:val="none"/>
          <w:lang w:eastAsia="zh-CN"/>
        </w:rPr>
      </w:pPr>
      <w:r>
        <w:rPr>
          <w:rFonts w:hint="eastAsia" w:ascii="宋体" w:hAnsi="宋体" w:eastAsia="宋体" w:cs="宋体"/>
          <w:b/>
          <w:bCs/>
          <w:color w:val="auto"/>
          <w:spacing w:val="0"/>
          <w:position w:val="0"/>
          <w:highlight w:val="none"/>
          <w:lang w:eastAsia="zh-CN"/>
        </w:rPr>
        <w:t>三、成交候选供应商推荐原则</w:t>
      </w:r>
    </w:p>
    <w:p w14:paraId="3AF8CDA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一</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磋商小组将根据总得分由高到低对供应商排列次序</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得分相同时，以</w:t>
      </w:r>
      <w:r>
        <w:rPr>
          <w:rFonts w:hint="eastAsia" w:ascii="宋体" w:hAnsi="宋体" w:eastAsia="宋体" w:cs="宋体"/>
          <w:color w:val="auto"/>
          <w:spacing w:val="0"/>
          <w:position w:val="0"/>
          <w:highlight w:val="none"/>
          <w:lang w:eastAsia="zh-CN"/>
        </w:rPr>
        <w:t>最后报价</w:t>
      </w:r>
      <w:r>
        <w:rPr>
          <w:rFonts w:hint="eastAsia" w:ascii="宋体" w:hAnsi="宋体" w:eastAsia="宋体" w:cs="宋体"/>
          <w:color w:val="auto"/>
          <w:spacing w:val="0"/>
          <w:position w:val="0"/>
          <w:highlight w:val="none"/>
        </w:rPr>
        <w:t>由低到高顺序排列；得分相同且</w:t>
      </w:r>
      <w:r>
        <w:rPr>
          <w:rFonts w:hint="eastAsia" w:ascii="宋体" w:hAnsi="宋体" w:eastAsia="宋体" w:cs="宋体"/>
          <w:color w:val="auto"/>
          <w:spacing w:val="0"/>
          <w:position w:val="0"/>
          <w:highlight w:val="none"/>
          <w:lang w:eastAsia="zh-CN"/>
        </w:rPr>
        <w:t>最后报价</w:t>
      </w:r>
      <w:r>
        <w:rPr>
          <w:rFonts w:hint="eastAsia" w:ascii="宋体" w:hAnsi="宋体" w:eastAsia="宋体" w:cs="宋体"/>
          <w:color w:val="auto"/>
          <w:spacing w:val="0"/>
          <w:position w:val="0"/>
          <w:highlight w:val="none"/>
        </w:rPr>
        <w:t>相同的，按技术指标优劣顺序排列</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，并推荐前三名为成交候选人。采购人应当确定磋商小组推荐排名第一的成交候选人为成交供应商。</w:t>
      </w:r>
    </w:p>
    <w:p w14:paraId="33E913E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二</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成交供应商放弃成交、因不可抗力提出不能履行合同，或者采购文件规定应当提交履约保证金而在规定的期限内未能提交的，采购人可以确定排名第二的成交候选人为成交供应商，也可以重新开展采购活动，以此类推。拒绝签订政府采购合同的成交供应商不得参加对该项目重新开展的采购活动。</w:t>
      </w:r>
    </w:p>
    <w:p w14:paraId="458422D3">
      <w:pPr>
        <w:pStyle w:val="40"/>
        <w:pageBreakBefore w:val="0"/>
        <w:kinsoku/>
        <w:wordWrap w:val="0"/>
        <w:overflowPunct/>
        <w:topLinePunct/>
        <w:autoSpaceDE/>
        <w:autoSpaceDN/>
        <w:bidi w:val="0"/>
        <w:rPr>
          <w:rFonts w:hint="eastAsia" w:ascii="宋体" w:hAnsi="宋体" w:eastAsia="宋体" w:cs="宋体"/>
          <w:b/>
          <w:bCs/>
          <w:color w:val="auto"/>
          <w:spacing w:val="0"/>
          <w:kern w:val="0"/>
          <w:position w:val="0"/>
          <w:sz w:val="36"/>
          <w:szCs w:val="36"/>
          <w:highlight w:val="none"/>
        </w:rPr>
      </w:pPr>
    </w:p>
    <w:p w14:paraId="389AF2DB">
      <w:pPr>
        <w:pStyle w:val="40"/>
        <w:pageBreakBefore w:val="0"/>
        <w:kinsoku/>
        <w:wordWrap w:val="0"/>
        <w:overflowPunct/>
        <w:topLinePunct/>
        <w:autoSpaceDE/>
        <w:autoSpaceDN/>
        <w:bidi w:val="0"/>
        <w:rPr>
          <w:rFonts w:hint="eastAsia" w:ascii="宋体" w:hAnsi="宋体" w:eastAsia="宋体" w:cs="宋体"/>
          <w:b/>
          <w:bCs/>
          <w:color w:val="auto"/>
          <w:spacing w:val="0"/>
          <w:kern w:val="0"/>
          <w:position w:val="0"/>
          <w:sz w:val="36"/>
          <w:szCs w:val="36"/>
          <w:highlight w:val="none"/>
        </w:rPr>
      </w:pPr>
    </w:p>
    <w:p w14:paraId="52D460D8">
      <w:pPr>
        <w:pStyle w:val="40"/>
        <w:pageBreakBefore w:val="0"/>
        <w:kinsoku/>
        <w:wordWrap w:val="0"/>
        <w:overflowPunct/>
        <w:topLinePunct/>
        <w:autoSpaceDE/>
        <w:autoSpaceDN/>
        <w:bidi w:val="0"/>
        <w:rPr>
          <w:rFonts w:hint="eastAsia" w:ascii="宋体" w:hAnsi="宋体" w:eastAsia="宋体" w:cs="宋体"/>
          <w:b/>
          <w:bCs/>
          <w:color w:val="auto"/>
          <w:spacing w:val="0"/>
          <w:kern w:val="0"/>
          <w:position w:val="0"/>
          <w:sz w:val="36"/>
          <w:szCs w:val="36"/>
          <w:highlight w:val="none"/>
        </w:rPr>
      </w:pPr>
    </w:p>
    <w:p w14:paraId="48C5828E">
      <w:pPr>
        <w:pageBreakBefore w:val="0"/>
        <w:kinsoku/>
        <w:wordWrap w:val="0"/>
        <w:overflowPunct/>
        <w:topLinePunct/>
        <w:autoSpaceDE/>
        <w:autoSpaceDN/>
        <w:bidi w:val="0"/>
        <w:rPr>
          <w:rFonts w:hint="eastAsia" w:ascii="宋体" w:hAnsi="宋体" w:eastAsia="宋体" w:cs="宋体"/>
          <w:b/>
          <w:bCs/>
          <w:color w:val="auto"/>
          <w:spacing w:val="0"/>
          <w:kern w:val="0"/>
          <w:position w:val="0"/>
          <w:sz w:val="36"/>
          <w:szCs w:val="36"/>
          <w:highlight w:val="none"/>
        </w:rPr>
      </w:pPr>
      <w:bookmarkStart w:id="79" w:name="_Toc15543"/>
      <w:r>
        <w:rPr>
          <w:rFonts w:hint="eastAsia" w:ascii="宋体" w:hAnsi="宋体" w:eastAsia="宋体" w:cs="宋体"/>
          <w:b/>
          <w:bCs/>
          <w:color w:val="auto"/>
          <w:spacing w:val="0"/>
          <w:kern w:val="0"/>
          <w:position w:val="0"/>
          <w:sz w:val="36"/>
          <w:szCs w:val="36"/>
          <w:highlight w:val="none"/>
        </w:rPr>
        <w:br w:type="page"/>
      </w:r>
    </w:p>
    <w:p w14:paraId="0932198D">
      <w:pPr>
        <w:pStyle w:val="15"/>
        <w:keepNext w:val="0"/>
        <w:keepLines w:val="0"/>
        <w:pageBreakBefore w:val="0"/>
        <w:widowControl w:val="0"/>
        <w:kinsoku/>
        <w:wordWrap w:val="0"/>
        <w:overflowPunct/>
        <w:topLinePunct/>
        <w:autoSpaceDE/>
        <w:autoSpaceDN/>
        <w:bidi w:val="0"/>
        <w:adjustRightInd/>
        <w:snapToGrid/>
        <w:spacing w:line="500" w:lineRule="exact"/>
        <w:jc w:val="center"/>
        <w:textAlignment w:val="auto"/>
        <w:outlineLvl w:val="0"/>
        <w:rPr>
          <w:rFonts w:hint="eastAsia" w:ascii="宋体" w:hAnsi="宋体" w:eastAsia="宋体" w:cs="宋体"/>
          <w:b/>
          <w:bCs/>
          <w:color w:val="auto"/>
          <w:spacing w:val="0"/>
          <w:kern w:val="0"/>
          <w:position w:val="0"/>
          <w:sz w:val="36"/>
          <w:szCs w:val="36"/>
          <w:highlight w:val="none"/>
        </w:rPr>
      </w:pPr>
      <w:bookmarkStart w:id="80" w:name="_Toc10853"/>
      <w:r>
        <w:rPr>
          <w:rFonts w:hint="eastAsia" w:ascii="宋体" w:hAnsi="宋体" w:eastAsia="宋体" w:cs="宋体"/>
          <w:b/>
          <w:bCs/>
          <w:color w:val="auto"/>
          <w:spacing w:val="0"/>
          <w:kern w:val="0"/>
          <w:position w:val="0"/>
          <w:sz w:val="36"/>
          <w:szCs w:val="36"/>
          <w:highlight w:val="none"/>
        </w:rPr>
        <w:t>第</w:t>
      </w:r>
      <w:r>
        <w:rPr>
          <w:rFonts w:hint="eastAsia" w:ascii="宋体" w:hAnsi="宋体" w:eastAsia="宋体" w:cs="宋体"/>
          <w:b/>
          <w:bCs/>
          <w:color w:val="auto"/>
          <w:spacing w:val="0"/>
          <w:kern w:val="0"/>
          <w:position w:val="0"/>
          <w:sz w:val="36"/>
          <w:szCs w:val="36"/>
          <w:highlight w:val="none"/>
          <w:lang w:val="en-US" w:eastAsia="zh-CN"/>
        </w:rPr>
        <w:t>五</w:t>
      </w:r>
      <w:r>
        <w:rPr>
          <w:rFonts w:hint="eastAsia" w:ascii="宋体" w:hAnsi="宋体" w:eastAsia="宋体" w:cs="宋体"/>
          <w:b/>
          <w:bCs/>
          <w:color w:val="auto"/>
          <w:spacing w:val="0"/>
          <w:kern w:val="0"/>
          <w:position w:val="0"/>
          <w:sz w:val="36"/>
          <w:szCs w:val="36"/>
          <w:highlight w:val="none"/>
        </w:rPr>
        <w:t>章  响应文件（格式）</w:t>
      </w:r>
      <w:bookmarkEnd w:id="79"/>
      <w:bookmarkEnd w:id="80"/>
    </w:p>
    <w:p w14:paraId="7A1E1B3F">
      <w:pPr>
        <w:pageBreakBefore w:val="0"/>
        <w:kinsoku/>
        <w:wordWrap w:val="0"/>
        <w:overflowPunct/>
        <w:topLinePunct/>
        <w:autoSpaceDE/>
        <w:autoSpaceDN/>
        <w:bidi w:val="0"/>
        <w:adjustRightInd w:val="0"/>
        <w:spacing w:line="360" w:lineRule="auto"/>
        <w:rPr>
          <w:rFonts w:hint="eastAsia" w:ascii="宋体" w:hAnsi="宋体" w:eastAsia="宋体" w:cs="宋体"/>
          <w:color w:val="auto"/>
          <w:spacing w:val="0"/>
          <w:position w:val="0"/>
          <w:szCs w:val="21"/>
          <w:highlight w:val="none"/>
          <w:lang w:val="zh-CN"/>
        </w:rPr>
      </w:pPr>
    </w:p>
    <w:p w14:paraId="1EE36810">
      <w:pPr>
        <w:pageBreakBefore w:val="0"/>
        <w:kinsoku/>
        <w:wordWrap w:val="0"/>
        <w:overflowPunct/>
        <w:topLinePunct/>
        <w:autoSpaceDE/>
        <w:autoSpaceDN/>
        <w:bidi w:val="0"/>
        <w:rPr>
          <w:rFonts w:hint="eastAsia" w:ascii="宋体" w:hAnsi="宋体" w:eastAsia="宋体" w:cs="宋体"/>
          <w:b/>
          <w:color w:val="auto"/>
          <w:spacing w:val="0"/>
          <w:position w:val="0"/>
          <w:sz w:val="32"/>
          <w:szCs w:val="32"/>
          <w:highlight w:val="none"/>
        </w:rPr>
      </w:pPr>
      <w:bookmarkStart w:id="81" w:name="_Toc35611438"/>
      <w:bookmarkStart w:id="82" w:name="_Toc44229899"/>
      <w:bookmarkStart w:id="83" w:name="_Toc71366186"/>
      <w:bookmarkStart w:id="84" w:name="_Toc31723070"/>
      <w:bookmarkStart w:id="85" w:name="_Toc35611516"/>
      <w:bookmarkStart w:id="86" w:name="_Toc31728084"/>
      <w:r>
        <w:rPr>
          <w:rFonts w:hint="eastAsia" w:ascii="宋体" w:hAnsi="宋体" w:eastAsia="宋体" w:cs="宋体"/>
          <w:b/>
          <w:color w:val="auto"/>
          <w:spacing w:val="0"/>
          <w:position w:val="0"/>
          <w:sz w:val="32"/>
          <w:szCs w:val="32"/>
          <w:highlight w:val="none"/>
        </w:rPr>
        <w:t>一、资格证明文件格式</w:t>
      </w:r>
      <w:bookmarkEnd w:id="81"/>
      <w:bookmarkEnd w:id="82"/>
      <w:bookmarkEnd w:id="83"/>
      <w:bookmarkEnd w:id="84"/>
      <w:bookmarkEnd w:id="85"/>
      <w:bookmarkEnd w:id="86"/>
    </w:p>
    <w:p w14:paraId="7E17AC98">
      <w:pPr>
        <w:pageBreakBefore w:val="0"/>
        <w:kinsoku/>
        <w:wordWrap w:val="0"/>
        <w:overflowPunct/>
        <w:topLinePunct/>
        <w:autoSpaceDE/>
        <w:autoSpaceDN/>
        <w:bidi w:val="0"/>
        <w:snapToGrid w:val="0"/>
        <w:spacing w:before="156" w:beforeLines="50" w:after="50" w:line="360" w:lineRule="auto"/>
        <w:jc w:val="left"/>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32"/>
          <w:szCs w:val="32"/>
          <w:highlight w:val="none"/>
        </w:rPr>
        <w:t>1.资格证明文件封面格式：</w:t>
      </w:r>
      <w:r>
        <w:rPr>
          <w:rFonts w:hint="eastAsia" w:ascii="宋体" w:hAnsi="宋体" w:eastAsia="宋体" w:cs="宋体"/>
          <w:b/>
          <w:color w:val="auto"/>
          <w:spacing w:val="0"/>
          <w:position w:val="0"/>
          <w:sz w:val="24"/>
          <w:highlight w:val="none"/>
        </w:rPr>
        <w:t xml:space="preserve"> </w:t>
      </w:r>
    </w:p>
    <w:p w14:paraId="404A6FF8">
      <w:pPr>
        <w:pageBreakBefore w:val="0"/>
        <w:kinsoku/>
        <w:wordWrap w:val="0"/>
        <w:overflowPunct/>
        <w:topLinePunct/>
        <w:autoSpaceDE/>
        <w:autoSpaceDN/>
        <w:bidi w:val="0"/>
        <w:snapToGrid w:val="0"/>
        <w:spacing w:before="156" w:beforeLines="50" w:after="50"/>
        <w:jc w:val="center"/>
        <w:rPr>
          <w:rFonts w:hint="eastAsia" w:ascii="宋体" w:hAnsi="宋体" w:eastAsia="宋体" w:cs="宋体"/>
          <w:color w:val="auto"/>
          <w:spacing w:val="0"/>
          <w:position w:val="0"/>
          <w:sz w:val="44"/>
          <w:szCs w:val="44"/>
          <w:highlight w:val="none"/>
        </w:rPr>
      </w:pPr>
    </w:p>
    <w:p w14:paraId="3BD33884">
      <w:pPr>
        <w:pageBreakBefore w:val="0"/>
        <w:kinsoku/>
        <w:wordWrap w:val="0"/>
        <w:overflowPunct/>
        <w:topLinePunct/>
        <w:autoSpaceDE/>
        <w:autoSpaceDN/>
        <w:bidi w:val="0"/>
        <w:snapToGrid w:val="0"/>
        <w:spacing w:before="156" w:beforeLines="50" w:after="50"/>
        <w:jc w:val="center"/>
        <w:rPr>
          <w:rFonts w:hint="eastAsia" w:ascii="宋体" w:hAnsi="宋体" w:eastAsia="宋体" w:cs="宋体"/>
          <w:color w:val="auto"/>
          <w:spacing w:val="0"/>
          <w:position w:val="0"/>
          <w:sz w:val="44"/>
          <w:szCs w:val="44"/>
          <w:highlight w:val="none"/>
        </w:rPr>
      </w:pPr>
      <w:r>
        <w:rPr>
          <w:rFonts w:hint="eastAsia" w:ascii="宋体" w:hAnsi="宋体" w:eastAsia="宋体" w:cs="宋体"/>
          <w:color w:val="auto"/>
          <w:spacing w:val="0"/>
          <w:position w:val="0"/>
          <w:sz w:val="44"/>
          <w:szCs w:val="44"/>
          <w:highlight w:val="none"/>
        </w:rPr>
        <w:t xml:space="preserve">电 子 </w:t>
      </w:r>
      <w:r>
        <w:rPr>
          <w:rFonts w:hint="eastAsia" w:ascii="宋体" w:hAnsi="宋体" w:eastAsia="宋体" w:cs="宋体"/>
          <w:color w:val="auto"/>
          <w:spacing w:val="0"/>
          <w:position w:val="0"/>
          <w:sz w:val="44"/>
          <w:szCs w:val="44"/>
          <w:highlight w:val="none"/>
          <w:lang w:eastAsia="zh-CN"/>
        </w:rPr>
        <w:t>响</w:t>
      </w:r>
      <w:r>
        <w:rPr>
          <w:rFonts w:hint="eastAsia" w:ascii="宋体" w:hAnsi="宋体" w:eastAsia="宋体" w:cs="宋体"/>
          <w:color w:val="auto"/>
          <w:spacing w:val="0"/>
          <w:position w:val="0"/>
          <w:sz w:val="44"/>
          <w:szCs w:val="44"/>
          <w:highlight w:val="none"/>
          <w:lang w:val="en-US" w:eastAsia="zh-CN"/>
        </w:rPr>
        <w:t xml:space="preserve"> </w:t>
      </w:r>
      <w:r>
        <w:rPr>
          <w:rFonts w:hint="eastAsia" w:ascii="宋体" w:hAnsi="宋体" w:eastAsia="宋体" w:cs="宋体"/>
          <w:color w:val="auto"/>
          <w:spacing w:val="0"/>
          <w:position w:val="0"/>
          <w:sz w:val="44"/>
          <w:szCs w:val="44"/>
          <w:highlight w:val="none"/>
          <w:lang w:eastAsia="zh-CN"/>
        </w:rPr>
        <w:t>应</w:t>
      </w:r>
      <w:r>
        <w:rPr>
          <w:rFonts w:hint="eastAsia" w:ascii="宋体" w:hAnsi="宋体" w:eastAsia="宋体" w:cs="宋体"/>
          <w:color w:val="auto"/>
          <w:spacing w:val="0"/>
          <w:position w:val="0"/>
          <w:sz w:val="44"/>
          <w:szCs w:val="44"/>
          <w:highlight w:val="none"/>
        </w:rPr>
        <w:t xml:space="preserve"> 文 件</w:t>
      </w:r>
    </w:p>
    <w:p w14:paraId="68AE8FDF">
      <w:pPr>
        <w:pageBreakBefore w:val="0"/>
        <w:kinsoku/>
        <w:wordWrap w:val="0"/>
        <w:overflowPunct/>
        <w:topLinePunct/>
        <w:autoSpaceDE/>
        <w:autoSpaceDN/>
        <w:bidi w:val="0"/>
        <w:snapToGrid w:val="0"/>
        <w:spacing w:before="156" w:beforeLines="50" w:after="50"/>
        <w:rPr>
          <w:rFonts w:hint="eastAsia" w:ascii="宋体" w:hAnsi="宋体" w:eastAsia="宋体" w:cs="宋体"/>
          <w:color w:val="auto"/>
          <w:spacing w:val="0"/>
          <w:position w:val="0"/>
          <w:sz w:val="24"/>
          <w:szCs w:val="20"/>
          <w:highlight w:val="none"/>
        </w:rPr>
      </w:pPr>
    </w:p>
    <w:p w14:paraId="27BF3970">
      <w:pPr>
        <w:pageBreakBefore w:val="0"/>
        <w:kinsoku/>
        <w:wordWrap w:val="0"/>
        <w:overflowPunct/>
        <w:topLinePunct/>
        <w:autoSpaceDE/>
        <w:autoSpaceDN/>
        <w:bidi w:val="0"/>
        <w:snapToGrid w:val="0"/>
        <w:spacing w:before="156" w:beforeLines="50" w:after="50"/>
        <w:jc w:val="center"/>
        <w:rPr>
          <w:rFonts w:hint="eastAsia" w:ascii="宋体" w:hAnsi="宋体" w:eastAsia="宋体" w:cs="宋体"/>
          <w:bCs/>
          <w:color w:val="auto"/>
          <w:spacing w:val="0"/>
          <w:position w:val="0"/>
          <w:sz w:val="44"/>
          <w:szCs w:val="44"/>
          <w:highlight w:val="none"/>
        </w:rPr>
      </w:pPr>
      <w:r>
        <w:rPr>
          <w:rFonts w:hint="eastAsia" w:ascii="宋体" w:hAnsi="宋体" w:eastAsia="宋体" w:cs="宋体"/>
          <w:bCs/>
          <w:color w:val="auto"/>
          <w:spacing w:val="0"/>
          <w:position w:val="0"/>
          <w:sz w:val="44"/>
          <w:szCs w:val="44"/>
          <w:highlight w:val="none"/>
        </w:rPr>
        <w:t>资  格  证  明  文  件</w:t>
      </w:r>
    </w:p>
    <w:p w14:paraId="466CC41A">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4968FB1E">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2B05174F">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3989C205">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679EB2E4">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4E4AD257">
      <w:pPr>
        <w:pageBreakBefore w:val="0"/>
        <w:kinsoku/>
        <w:wordWrap w:val="0"/>
        <w:overflowPunct/>
        <w:topLinePunct/>
        <w:autoSpaceDE/>
        <w:autoSpaceDN/>
        <w:bidi w:val="0"/>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项目名称：</w:t>
      </w:r>
    </w:p>
    <w:p w14:paraId="3A73C04D">
      <w:pPr>
        <w:pageBreakBefore w:val="0"/>
        <w:kinsoku/>
        <w:wordWrap w:val="0"/>
        <w:overflowPunct/>
        <w:topLinePunct/>
        <w:autoSpaceDE/>
        <w:autoSpaceDN/>
        <w:bidi w:val="0"/>
        <w:snapToGrid w:val="0"/>
        <w:spacing w:before="156" w:beforeLines="50" w:after="50"/>
        <w:ind w:firstLine="720" w:firstLineChars="225"/>
        <w:rPr>
          <w:rFonts w:hint="eastAsia" w:ascii="宋体" w:hAnsi="宋体" w:eastAsia="宋体" w:cs="宋体"/>
          <w:bCs/>
          <w:color w:val="auto"/>
          <w:spacing w:val="0"/>
          <w:position w:val="0"/>
          <w:sz w:val="32"/>
          <w:szCs w:val="32"/>
          <w:highlight w:val="none"/>
        </w:rPr>
      </w:pPr>
    </w:p>
    <w:p w14:paraId="3FFACA86">
      <w:pPr>
        <w:pageBreakBefore w:val="0"/>
        <w:kinsoku/>
        <w:wordWrap w:val="0"/>
        <w:overflowPunct/>
        <w:topLinePunct/>
        <w:autoSpaceDE/>
        <w:autoSpaceDN/>
        <w:bidi w:val="0"/>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项目编号：</w:t>
      </w:r>
    </w:p>
    <w:p w14:paraId="0359CA46">
      <w:pPr>
        <w:pageBreakBefore w:val="0"/>
        <w:kinsoku/>
        <w:wordWrap w:val="0"/>
        <w:overflowPunct/>
        <w:topLinePunct/>
        <w:autoSpaceDE/>
        <w:autoSpaceDN/>
        <w:bidi w:val="0"/>
        <w:snapToGrid w:val="0"/>
        <w:spacing w:before="156" w:beforeLines="50" w:after="50"/>
        <w:ind w:firstLine="720" w:firstLineChars="225"/>
        <w:rPr>
          <w:rFonts w:hint="eastAsia" w:ascii="宋体" w:hAnsi="宋体" w:eastAsia="宋体" w:cs="宋体"/>
          <w:bCs/>
          <w:color w:val="auto"/>
          <w:spacing w:val="0"/>
          <w:position w:val="0"/>
          <w:sz w:val="32"/>
          <w:szCs w:val="32"/>
          <w:highlight w:val="none"/>
        </w:rPr>
      </w:pPr>
    </w:p>
    <w:p w14:paraId="3D71907C">
      <w:pPr>
        <w:pStyle w:val="9"/>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供应商名称：</w:t>
      </w:r>
    </w:p>
    <w:p w14:paraId="2A38389C">
      <w:pPr>
        <w:pStyle w:val="9"/>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rPr>
      </w:pPr>
    </w:p>
    <w:p w14:paraId="3647B17B">
      <w:pPr>
        <w:pStyle w:val="9"/>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lang w:eastAsia="zh-CN"/>
        </w:rPr>
      </w:pPr>
      <w:r>
        <w:rPr>
          <w:rFonts w:hint="eastAsia" w:ascii="宋体" w:hAnsi="宋体" w:eastAsia="宋体" w:cs="宋体"/>
          <w:bCs/>
          <w:color w:val="auto"/>
          <w:spacing w:val="0"/>
          <w:position w:val="0"/>
          <w:sz w:val="32"/>
          <w:szCs w:val="32"/>
          <w:highlight w:val="none"/>
          <w:lang w:eastAsia="zh-CN"/>
        </w:rPr>
        <w:t>供应商地址：</w:t>
      </w:r>
    </w:p>
    <w:p w14:paraId="5319BDCE">
      <w:pPr>
        <w:pageBreakBefore w:val="0"/>
        <w:kinsoku/>
        <w:wordWrap w:val="0"/>
        <w:overflowPunct/>
        <w:topLinePunct/>
        <w:autoSpaceDE/>
        <w:autoSpaceDN/>
        <w:bidi w:val="0"/>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p>
    <w:p w14:paraId="457A54BF">
      <w:pPr>
        <w:pStyle w:val="9"/>
        <w:pageBreakBefore w:val="0"/>
        <w:kinsoku/>
        <w:wordWrap w:val="0"/>
        <w:overflowPunct/>
        <w:topLinePunct/>
        <w:autoSpaceDE/>
        <w:autoSpaceDN/>
        <w:bidi w:val="0"/>
        <w:snapToGrid w:val="0"/>
        <w:spacing w:before="50" w:after="50"/>
        <w:ind w:firstLine="720" w:firstLineChars="225"/>
        <w:rPr>
          <w:rFonts w:hint="eastAsia" w:ascii="宋体" w:hAnsi="宋体" w:eastAsia="宋体" w:cs="宋体"/>
          <w:bCs/>
          <w:color w:val="auto"/>
          <w:spacing w:val="0"/>
          <w:position w:val="0"/>
          <w:sz w:val="32"/>
          <w:szCs w:val="32"/>
          <w:highlight w:val="none"/>
        </w:rPr>
      </w:pPr>
    </w:p>
    <w:p w14:paraId="20C35CCE">
      <w:pPr>
        <w:pStyle w:val="9"/>
        <w:pageBreakBefore w:val="0"/>
        <w:kinsoku/>
        <w:wordWrap w:val="0"/>
        <w:overflowPunct/>
        <w:topLinePunct/>
        <w:autoSpaceDE/>
        <w:autoSpaceDN/>
        <w:bidi w:val="0"/>
        <w:snapToGrid w:val="0"/>
        <w:spacing w:before="50" w:after="50"/>
        <w:ind w:firstLine="1280" w:firstLineChars="400"/>
        <w:rPr>
          <w:rFonts w:hint="eastAsia" w:ascii="宋体" w:hAnsi="宋体" w:eastAsia="宋体" w:cs="宋体"/>
          <w:bCs/>
          <w:color w:val="auto"/>
          <w:spacing w:val="0"/>
          <w:position w:val="0"/>
          <w:sz w:val="32"/>
          <w:szCs w:val="32"/>
          <w:highlight w:val="none"/>
        </w:rPr>
      </w:pPr>
    </w:p>
    <w:p w14:paraId="31E4A138">
      <w:pPr>
        <w:pageBreakBefore w:val="0"/>
        <w:kinsoku/>
        <w:wordWrap w:val="0"/>
        <w:overflowPunct/>
        <w:topLinePunct/>
        <w:autoSpaceDE/>
        <w:autoSpaceDN/>
        <w:bidi w:val="0"/>
        <w:snapToGrid w:val="0"/>
        <w:spacing w:before="156" w:beforeLines="50" w:after="50"/>
        <w:jc w:val="center"/>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32"/>
          <w:szCs w:val="32"/>
          <w:highlight w:val="none"/>
        </w:rPr>
        <w:t>年    月    日</w:t>
      </w:r>
    </w:p>
    <w:p w14:paraId="5B145A01">
      <w:pPr>
        <w:pageBreakBefore w:val="0"/>
        <w:kinsoku/>
        <w:wordWrap w:val="0"/>
        <w:overflowPunct/>
        <w:topLinePunct/>
        <w:autoSpaceDE/>
        <w:autoSpaceDN/>
        <w:bidi w:val="0"/>
        <w:snapToGrid w:val="0"/>
        <w:spacing w:before="156" w:beforeLines="50" w:after="50" w:line="360" w:lineRule="auto"/>
        <w:ind w:left="142"/>
        <w:jc w:val="left"/>
        <w:rPr>
          <w:rFonts w:hint="eastAsia" w:ascii="宋体" w:hAnsi="宋体" w:eastAsia="宋体" w:cs="宋体"/>
          <w:b/>
          <w:bCs/>
          <w:color w:val="auto"/>
          <w:spacing w:val="0"/>
          <w:position w:val="0"/>
          <w:sz w:val="32"/>
          <w:szCs w:val="32"/>
          <w:highlight w:val="none"/>
        </w:rPr>
      </w:pPr>
      <w:r>
        <w:rPr>
          <w:rFonts w:hint="eastAsia" w:ascii="宋体" w:hAnsi="宋体" w:eastAsia="宋体" w:cs="宋体"/>
          <w:color w:val="auto"/>
          <w:spacing w:val="0"/>
          <w:position w:val="0"/>
          <w:sz w:val="24"/>
          <w:highlight w:val="none"/>
        </w:rPr>
        <w:br w:type="page"/>
      </w:r>
      <w:r>
        <w:rPr>
          <w:rFonts w:hint="eastAsia" w:ascii="宋体" w:hAnsi="宋体" w:eastAsia="宋体" w:cs="宋体"/>
          <w:b/>
          <w:bCs/>
          <w:color w:val="auto"/>
          <w:spacing w:val="0"/>
          <w:position w:val="0"/>
          <w:sz w:val="32"/>
          <w:szCs w:val="32"/>
          <w:highlight w:val="none"/>
        </w:rPr>
        <w:t>2.资格证明文件目录</w:t>
      </w:r>
    </w:p>
    <w:p w14:paraId="6CC67853">
      <w:pPr>
        <w:pageBreakBefore w:val="0"/>
        <w:kinsoku/>
        <w:wordWrap w:val="0"/>
        <w:overflowPunct/>
        <w:topLinePunct/>
        <w:autoSpaceDE/>
        <w:autoSpaceDN/>
        <w:bidi w:val="0"/>
        <w:snapToGrid w:val="0"/>
        <w:spacing w:before="156" w:beforeLines="50" w:after="50" w:line="360" w:lineRule="auto"/>
        <w:ind w:firstLine="645"/>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32"/>
          <w:szCs w:val="32"/>
          <w:highlight w:val="none"/>
        </w:rPr>
        <w:t>根据磋商文件规定及供应商提供的材料自行编写目录（部分格式后附）。</w:t>
      </w:r>
    </w:p>
    <w:p w14:paraId="6FC2CD9D">
      <w:pPr>
        <w:pageBreakBefore w:val="0"/>
        <w:kinsoku/>
        <w:wordWrap w:val="0"/>
        <w:overflowPunct/>
        <w:topLinePunct/>
        <w:autoSpaceDE/>
        <w:autoSpaceDN/>
        <w:bidi w:val="0"/>
        <w:snapToGrid w:val="0"/>
        <w:spacing w:before="156" w:beforeLines="50" w:after="50"/>
        <w:rPr>
          <w:rFonts w:hint="eastAsia" w:ascii="宋体" w:hAnsi="宋体" w:eastAsia="宋体" w:cs="宋体"/>
          <w:color w:val="auto"/>
          <w:spacing w:val="0"/>
          <w:position w:val="0"/>
          <w:sz w:val="24"/>
          <w:szCs w:val="20"/>
          <w:highlight w:val="none"/>
        </w:rPr>
      </w:pPr>
      <w:r>
        <w:rPr>
          <w:rFonts w:hint="eastAsia" w:ascii="宋体" w:hAnsi="宋体" w:eastAsia="宋体" w:cs="宋体"/>
          <w:color w:val="auto"/>
          <w:spacing w:val="0"/>
          <w:position w:val="0"/>
          <w:sz w:val="24"/>
          <w:szCs w:val="20"/>
          <w:highlight w:val="none"/>
        </w:rPr>
        <w:t xml:space="preserve"> </w:t>
      </w:r>
    </w:p>
    <w:p w14:paraId="783FA9CA">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49156717">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5468FE45">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788B549B">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2B701AB5">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66B08B00">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2C5C725F">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2FCD27C6">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7245F50F">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3556C78B">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48B07DE7">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4834EDED">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4FE4270D">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3D40D3A1">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5073DE68">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4F3E2E16">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color w:val="auto"/>
          <w:spacing w:val="0"/>
          <w:position w:val="0"/>
          <w:sz w:val="32"/>
          <w:szCs w:val="32"/>
          <w:highlight w:val="none"/>
        </w:rPr>
      </w:pPr>
      <w:r>
        <w:rPr>
          <w:rFonts w:hint="eastAsia" w:ascii="宋体" w:hAnsi="宋体" w:eastAsia="宋体" w:cs="宋体"/>
          <w:color w:val="auto"/>
          <w:spacing w:val="0"/>
          <w:position w:val="0"/>
          <w:szCs w:val="21"/>
          <w:highlight w:val="none"/>
        </w:rPr>
        <w:br w:type="page"/>
      </w:r>
      <w:r>
        <w:rPr>
          <w:rFonts w:hint="eastAsia" w:ascii="宋体" w:hAnsi="宋体" w:eastAsia="宋体" w:cs="宋体"/>
          <w:b/>
          <w:color w:val="auto"/>
          <w:spacing w:val="0"/>
          <w:position w:val="0"/>
          <w:sz w:val="32"/>
          <w:szCs w:val="32"/>
          <w:highlight w:val="none"/>
        </w:rPr>
        <w:t>竞标声明</w:t>
      </w:r>
      <w:r>
        <w:rPr>
          <w:rFonts w:hint="eastAsia" w:ascii="宋体" w:hAnsi="宋体" w:eastAsia="宋体" w:cs="宋体"/>
          <w:b/>
          <w:color w:val="auto"/>
          <w:spacing w:val="0"/>
          <w:position w:val="0"/>
          <w:sz w:val="32"/>
          <w:szCs w:val="32"/>
          <w:highlight w:val="none"/>
          <w:lang w:eastAsia="zh-CN"/>
        </w:rPr>
        <w:t>（格式）</w:t>
      </w:r>
    </w:p>
    <w:p w14:paraId="7A48B10A">
      <w:pPr>
        <w:pageBreakBefore w:val="0"/>
        <w:kinsoku/>
        <w:wordWrap w:val="0"/>
        <w:overflowPunct/>
        <w:topLinePunct/>
        <w:autoSpaceDE/>
        <w:autoSpaceDN/>
        <w:bidi w:val="0"/>
        <w:spacing w:line="320" w:lineRule="exact"/>
        <w:jc w:val="center"/>
        <w:rPr>
          <w:rFonts w:hint="eastAsia" w:ascii="宋体" w:hAnsi="宋体" w:eastAsia="宋体" w:cs="宋体"/>
          <w:color w:val="auto"/>
          <w:spacing w:val="0"/>
          <w:position w:val="0"/>
          <w:sz w:val="24"/>
          <w:szCs w:val="20"/>
          <w:highlight w:val="none"/>
        </w:rPr>
      </w:pPr>
    </w:p>
    <w:p w14:paraId="6DB8060C">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致：</w:t>
      </w:r>
      <w:r>
        <w:rPr>
          <w:rFonts w:hint="eastAsia" w:ascii="宋体" w:hAnsi="宋体" w:eastAsia="宋体" w:cs="宋体"/>
          <w:color w:val="auto"/>
          <w:spacing w:val="0"/>
          <w:position w:val="0"/>
          <w:sz w:val="24"/>
          <w:highlight w:val="none"/>
          <w:u w:val="single"/>
        </w:rPr>
        <w:t>（采购人名称）</w:t>
      </w:r>
      <w:r>
        <w:rPr>
          <w:rFonts w:hint="eastAsia" w:ascii="宋体" w:hAnsi="宋体" w:eastAsia="宋体" w:cs="宋体"/>
          <w:color w:val="auto"/>
          <w:spacing w:val="0"/>
          <w:position w:val="0"/>
          <w:sz w:val="24"/>
          <w:highlight w:val="none"/>
        </w:rPr>
        <w:t>：</w:t>
      </w:r>
    </w:p>
    <w:p w14:paraId="0623A6DD">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我方</w:t>
      </w:r>
      <w:r>
        <w:rPr>
          <w:rFonts w:hint="eastAsia" w:ascii="宋体" w:hAnsi="宋体" w:eastAsia="宋体" w:cs="宋体"/>
          <w:color w:val="auto"/>
          <w:spacing w:val="0"/>
          <w:position w:val="0"/>
          <w:sz w:val="24"/>
          <w:highlight w:val="none"/>
          <w:u w:val="single"/>
        </w:rPr>
        <w:t>（供应商名称）</w:t>
      </w:r>
      <w:r>
        <w:rPr>
          <w:rFonts w:hint="eastAsia" w:ascii="宋体" w:hAnsi="宋体" w:eastAsia="宋体" w:cs="宋体"/>
          <w:color w:val="auto"/>
          <w:spacing w:val="0"/>
          <w:position w:val="0"/>
          <w:sz w:val="24"/>
          <w:highlight w:val="none"/>
        </w:rPr>
        <w:t>系中华人民共和国合法供应商，经营地址</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w:t>
      </w:r>
    </w:p>
    <w:p w14:paraId="6E4B94C2">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我方愿意参加贵方组织的</w:t>
      </w:r>
      <w:r>
        <w:rPr>
          <w:rFonts w:hint="eastAsia" w:ascii="宋体" w:hAnsi="宋体" w:eastAsia="宋体" w:cs="宋体"/>
          <w:color w:val="auto"/>
          <w:spacing w:val="0"/>
          <w:position w:val="0"/>
          <w:sz w:val="24"/>
          <w:highlight w:val="none"/>
          <w:u w:val="single"/>
        </w:rPr>
        <w:t>（项目名称）（项目编号）</w:t>
      </w:r>
      <w:r>
        <w:rPr>
          <w:rFonts w:hint="eastAsia" w:ascii="宋体" w:hAnsi="宋体" w:eastAsia="宋体" w:cs="宋体"/>
          <w:color w:val="auto"/>
          <w:spacing w:val="0"/>
          <w:position w:val="0"/>
          <w:sz w:val="24"/>
          <w:highlight w:val="none"/>
        </w:rPr>
        <w:t>项目的竞标，为便于贵方公正、择优地确定成交供应商及其服务，我方就本次竞标有关事项郑重声明如下：</w:t>
      </w:r>
    </w:p>
    <w:p w14:paraId="14B49C3A">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1.我方向贵方提交的所有响应文件、资料都是准确的和真实的。</w:t>
      </w:r>
    </w:p>
    <w:p w14:paraId="6E34CD83">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2.我方不是为本次采购项目提供整体设计、规范编制或者项目管理、监理、检测等服务的供应商。</w:t>
      </w:r>
    </w:p>
    <w:p w14:paraId="5ECF2933">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3.在此，我方宣布同意如下：</w:t>
      </w:r>
    </w:p>
    <w:p w14:paraId="2D0C0F4D">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（1）将按磋商文件的约定履行合同责任和义务；</w:t>
      </w:r>
    </w:p>
    <w:p w14:paraId="3F15A80F">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（2）已详细审查全部磋商文件，包括澄清或者更正公告（如有）；</w:t>
      </w:r>
    </w:p>
    <w:p w14:paraId="69C6EC1B">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（3）同意提供按照贵方可能要求的与磋商有关的一切数据或者资料；</w:t>
      </w:r>
    </w:p>
    <w:p w14:paraId="5F8D1099">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（4）响应磋商文件规定的竞标有效期。</w:t>
      </w:r>
    </w:p>
    <w:p w14:paraId="1340022C">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4.我方承诺符合《中华人民共和国政府采购法》第二十二条规定：</w:t>
      </w:r>
    </w:p>
    <w:p w14:paraId="6B6D7475">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（1）具有独立承担民事责任的能力；</w:t>
      </w:r>
    </w:p>
    <w:p w14:paraId="428E1379">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（2）具有良好的商业信誉和健全的财务会计制度；</w:t>
      </w:r>
    </w:p>
    <w:p w14:paraId="76D25399">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（3）具有履行合同所必需的设备和专业技术能力；</w:t>
      </w:r>
    </w:p>
    <w:p w14:paraId="65071327">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（4）有依法缴纳税收和社会保障资金的良好记录；</w:t>
      </w:r>
    </w:p>
    <w:p w14:paraId="75DDF8E3">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（5）参加政府采购活动前三年内，在经营活动中没有重大违法记录；</w:t>
      </w:r>
    </w:p>
    <w:p w14:paraId="67464AC1">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（6）法律、行政法规规定的其他条件。</w:t>
      </w:r>
    </w:p>
    <w:p w14:paraId="5FAA2A85">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8B1D689">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ABD57DB">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□我方本次响应文件</w:t>
      </w:r>
      <w:r>
        <w:rPr>
          <w:rFonts w:hint="eastAsia" w:ascii="宋体" w:hAnsi="宋体" w:eastAsia="宋体" w:cs="宋体"/>
          <w:color w:val="auto"/>
          <w:spacing w:val="0"/>
          <w:kern w:val="0"/>
          <w:position w:val="0"/>
          <w:sz w:val="24"/>
          <w:highlight w:val="none"/>
        </w:rPr>
        <w:t>内容中</w:t>
      </w:r>
      <w:r>
        <w:rPr>
          <w:rFonts w:hint="eastAsia" w:ascii="宋体" w:hAnsi="宋体" w:eastAsia="宋体" w:cs="宋体"/>
          <w:color w:val="auto"/>
          <w:spacing w:val="0"/>
          <w:position w:val="0"/>
          <w:sz w:val="24"/>
          <w:highlight w:val="none"/>
        </w:rPr>
        <w:t>未</w:t>
      </w:r>
      <w:r>
        <w:rPr>
          <w:rFonts w:hint="eastAsia" w:ascii="宋体" w:hAnsi="宋体" w:eastAsia="宋体" w:cs="宋体"/>
          <w:color w:val="auto"/>
          <w:spacing w:val="0"/>
          <w:kern w:val="0"/>
          <w:position w:val="0"/>
          <w:sz w:val="24"/>
          <w:highlight w:val="none"/>
        </w:rPr>
        <w:t>涉及商业秘密；</w:t>
      </w:r>
    </w:p>
    <w:p w14:paraId="6FE212A6">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□我方本次响应文件</w:t>
      </w:r>
      <w:r>
        <w:rPr>
          <w:rFonts w:hint="eastAsia" w:ascii="宋体" w:hAnsi="宋体" w:eastAsia="宋体" w:cs="宋体"/>
          <w:color w:val="auto"/>
          <w:spacing w:val="0"/>
          <w:kern w:val="0"/>
          <w:position w:val="0"/>
          <w:sz w:val="24"/>
          <w:highlight w:val="none"/>
        </w:rPr>
        <w:t>涉及商业秘密的内容有：</w:t>
      </w:r>
      <w:r>
        <w:rPr>
          <w:rFonts w:hint="eastAsia" w:ascii="宋体" w:hAnsi="宋体" w:eastAsia="宋体" w:cs="宋体"/>
          <w:color w:val="auto"/>
          <w:spacing w:val="0"/>
          <w:kern w:val="0"/>
          <w:position w:val="0"/>
          <w:sz w:val="24"/>
          <w:highlight w:val="none"/>
          <w:u w:val="single"/>
        </w:rPr>
        <w:t xml:space="preserve">                         </w:t>
      </w:r>
      <w:r>
        <w:rPr>
          <w:rFonts w:hint="eastAsia" w:ascii="宋体" w:hAnsi="宋体" w:eastAsia="宋体" w:cs="宋体"/>
          <w:color w:val="auto"/>
          <w:spacing w:val="0"/>
          <w:kern w:val="0"/>
          <w:position w:val="0"/>
          <w:sz w:val="24"/>
          <w:highlight w:val="none"/>
        </w:rPr>
        <w:t>；</w:t>
      </w:r>
    </w:p>
    <w:p w14:paraId="28CF2CB4">
      <w:pPr>
        <w:pStyle w:val="15"/>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7.与本磋商有关的一切正式往来信函请寄：</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邮政编号：</w:t>
      </w:r>
      <w:r>
        <w:rPr>
          <w:rFonts w:hint="eastAsia" w:ascii="宋体" w:hAnsi="宋体" w:eastAsia="宋体" w:cs="宋体"/>
          <w:color w:val="auto"/>
          <w:spacing w:val="0"/>
          <w:position w:val="0"/>
          <w:sz w:val="24"/>
          <w:szCs w:val="24"/>
          <w:highlight w:val="none"/>
          <w:u w:val="single"/>
        </w:rPr>
        <w:t xml:space="preserve">        </w:t>
      </w:r>
    </w:p>
    <w:p w14:paraId="77A15ABE">
      <w:pPr>
        <w:pStyle w:val="15"/>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电话/传真：</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 xml:space="preserve"> 电子邮箱：</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 xml:space="preserve">    </w:t>
      </w:r>
    </w:p>
    <w:p w14:paraId="083AE96A">
      <w:pPr>
        <w:pStyle w:val="14"/>
        <w:pageBreakBefore w:val="0"/>
        <w:tabs>
          <w:tab w:val="left" w:pos="939"/>
        </w:tabs>
        <w:kinsoku/>
        <w:wordWrap w:val="0"/>
        <w:overflowPunct/>
        <w:topLinePunct/>
        <w:autoSpaceDE/>
        <w:autoSpaceDN/>
        <w:bidi w:val="0"/>
        <w:spacing w:line="360" w:lineRule="auto"/>
        <w:ind w:left="141" w:leftChars="67" w:firstLine="360" w:firstLineChars="15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开户银行：</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 xml:space="preserve">  帐号：</w:t>
      </w:r>
      <w:r>
        <w:rPr>
          <w:rFonts w:hint="eastAsia" w:ascii="宋体" w:hAnsi="宋体" w:eastAsia="宋体" w:cs="宋体"/>
          <w:color w:val="auto"/>
          <w:spacing w:val="0"/>
          <w:position w:val="0"/>
          <w:sz w:val="24"/>
          <w:highlight w:val="none"/>
          <w:u w:val="single"/>
        </w:rPr>
        <w:t xml:space="preserve">                             </w:t>
      </w:r>
    </w:p>
    <w:p w14:paraId="1FB4BB38">
      <w:pPr>
        <w:pStyle w:val="14"/>
        <w:pageBreakBefore w:val="0"/>
        <w:tabs>
          <w:tab w:val="left" w:pos="939"/>
        </w:tabs>
        <w:kinsoku/>
        <w:wordWrap w:val="0"/>
        <w:overflowPunct/>
        <w:topLinePunct/>
        <w:autoSpaceDE/>
        <w:autoSpaceDN/>
        <w:bidi w:val="0"/>
        <w:spacing w:line="360" w:lineRule="auto"/>
        <w:ind w:left="141" w:leftChars="67" w:firstLine="360" w:firstLineChars="150"/>
        <w:rPr>
          <w:rFonts w:hint="eastAsia" w:ascii="宋体" w:hAnsi="宋体" w:eastAsia="宋体" w:cs="宋体"/>
          <w:color w:val="auto"/>
          <w:spacing w:val="0"/>
          <w:position w:val="0"/>
          <w:sz w:val="24"/>
          <w:highlight w:val="none"/>
          <w:u w:val="none"/>
        </w:rPr>
      </w:pPr>
      <w:r>
        <w:rPr>
          <w:rFonts w:hint="eastAsia" w:ascii="宋体" w:hAnsi="宋体" w:eastAsia="宋体" w:cs="宋体"/>
          <w:color w:val="auto"/>
          <w:spacing w:val="0"/>
          <w:position w:val="0"/>
          <w:sz w:val="24"/>
          <w:highlight w:val="none"/>
          <w:u w:val="none"/>
          <w:lang w:eastAsia="zh-CN"/>
        </w:rPr>
        <w:t>手机号码：</w:t>
      </w:r>
      <w:r>
        <w:rPr>
          <w:rFonts w:hint="eastAsia" w:ascii="宋体" w:hAnsi="宋体" w:eastAsia="宋体" w:cs="宋体"/>
          <w:color w:val="auto"/>
          <w:spacing w:val="0"/>
          <w:position w:val="0"/>
          <w:sz w:val="24"/>
          <w:highlight w:val="none"/>
          <w:u w:val="single"/>
          <w:lang w:val="en-US" w:eastAsia="zh-CN"/>
        </w:rPr>
        <w:t xml:space="preserve">                         </w:t>
      </w:r>
      <w:r>
        <w:rPr>
          <w:rFonts w:hint="eastAsia" w:ascii="宋体" w:hAnsi="宋体" w:eastAsia="宋体" w:cs="宋体"/>
          <w:color w:val="auto"/>
          <w:spacing w:val="0"/>
          <w:position w:val="0"/>
          <w:sz w:val="24"/>
          <w:highlight w:val="none"/>
          <w:u w:val="none"/>
        </w:rPr>
        <w:t xml:space="preserve">  </w:t>
      </w:r>
    </w:p>
    <w:p w14:paraId="42FD8A54">
      <w:pPr>
        <w:pStyle w:val="14"/>
        <w:pageBreakBefore w:val="0"/>
        <w:tabs>
          <w:tab w:val="left" w:pos="939"/>
        </w:tabs>
        <w:kinsoku/>
        <w:wordWrap w:val="0"/>
        <w:overflowPunct/>
        <w:topLinePunct/>
        <w:autoSpaceDE/>
        <w:autoSpaceDN/>
        <w:bidi w:val="0"/>
        <w:spacing w:line="360" w:lineRule="auto"/>
        <w:ind w:left="0" w:leftChars="0"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8.以上事项如有虚假或者隐瞒，我方愿意承担一切后果，并不再寻求任何旨在减轻或者免除法律责任的辩解。</w:t>
      </w:r>
    </w:p>
    <w:p w14:paraId="13BDC1E6">
      <w:pPr>
        <w:pStyle w:val="14"/>
        <w:pageBreakBefore w:val="0"/>
        <w:tabs>
          <w:tab w:val="left" w:pos="939"/>
        </w:tabs>
        <w:kinsoku/>
        <w:wordWrap w:val="0"/>
        <w:overflowPunct/>
        <w:topLinePunct/>
        <w:autoSpaceDE/>
        <w:autoSpaceDN/>
        <w:bidi w:val="0"/>
        <w:spacing w:line="360" w:lineRule="auto"/>
        <w:ind w:left="141" w:leftChars="67" w:firstLine="360" w:firstLineChars="15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特此承诺。</w:t>
      </w:r>
    </w:p>
    <w:p w14:paraId="4D2F88B3">
      <w:pPr>
        <w:pageBreakBefore w:val="0"/>
        <w:kinsoku/>
        <w:wordWrap w:val="0"/>
        <w:overflowPunct/>
        <w:topLinePunct/>
        <w:autoSpaceDE/>
        <w:autoSpaceDN/>
        <w:bidi w:val="0"/>
        <w:spacing w:line="360" w:lineRule="auto"/>
        <w:ind w:firstLine="482" w:firstLineChars="200"/>
        <w:contextualSpacing/>
        <w:jc w:val="left"/>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注：如为联合体竞标，盖章处须加盖联合体牵头人电子签章并由联合体牵头人法定代表人分别签字或者盖章或者电子签名，否则响应文件按无效处理。</w:t>
      </w:r>
    </w:p>
    <w:p w14:paraId="6305AE18">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Cs w:val="21"/>
          <w:highlight w:val="none"/>
        </w:rPr>
      </w:pPr>
    </w:p>
    <w:p w14:paraId="090BD6C9">
      <w:pPr>
        <w:pageBreakBefore w:val="0"/>
        <w:kinsoku/>
        <w:wordWrap w:val="0"/>
        <w:overflowPunct/>
        <w:topLinePunct/>
        <w:autoSpaceDE/>
        <w:autoSpaceDN/>
        <w:bidi w:val="0"/>
        <w:spacing w:line="360" w:lineRule="auto"/>
        <w:ind w:firstLine="1800" w:firstLineChars="75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法定代表人（签字或者盖章或者电子签名）：</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 xml:space="preserve">                                     </w:t>
      </w:r>
    </w:p>
    <w:p w14:paraId="7DE09372">
      <w:pPr>
        <w:pageBreakBefore w:val="0"/>
        <w:kinsoku/>
        <w:wordWrap w:val="0"/>
        <w:overflowPunct/>
        <w:topLinePunct/>
        <w:autoSpaceDE/>
        <w:autoSpaceDN/>
        <w:bidi w:val="0"/>
        <w:spacing w:line="360" w:lineRule="auto"/>
        <w:ind w:firstLine="4320" w:firstLineChars="1800"/>
        <w:contextualSpacing/>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 xml:space="preserve">           </w:t>
      </w:r>
    </w:p>
    <w:p w14:paraId="36203821">
      <w:pPr>
        <w:pStyle w:val="14"/>
        <w:pageBreakBefore w:val="0"/>
        <w:tabs>
          <w:tab w:val="left" w:pos="939"/>
        </w:tabs>
        <w:kinsoku/>
        <w:wordWrap w:val="0"/>
        <w:overflowPunct/>
        <w:topLinePunct/>
        <w:autoSpaceDE/>
        <w:autoSpaceDN/>
        <w:bidi w:val="0"/>
        <w:spacing w:line="360" w:lineRule="auto"/>
        <w:ind w:left="0" w:lef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62098BD1">
      <w:pPr>
        <w:pageBreakBefore w:val="0"/>
        <w:kinsoku/>
        <w:wordWrap w:val="0"/>
        <w:overflowPunct/>
        <w:topLinePunct/>
        <w:autoSpaceDE/>
        <w:autoSpaceDN/>
        <w:bidi w:val="0"/>
        <w:spacing w:line="320" w:lineRule="exact"/>
        <w:jc w:val="left"/>
        <w:rPr>
          <w:rFonts w:hint="eastAsia" w:ascii="宋体" w:hAnsi="宋体" w:eastAsia="宋体" w:cs="宋体"/>
          <w:color w:val="auto"/>
          <w:spacing w:val="0"/>
          <w:position w:val="0"/>
          <w:szCs w:val="21"/>
          <w:highlight w:val="none"/>
        </w:rPr>
      </w:pPr>
    </w:p>
    <w:p w14:paraId="242C5B20">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2A1EF124">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2C853550">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7E52B80A">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751FCA8F">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1C7A5AFC">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101BA4AA">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7A6D0F3C">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74EF94DC">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76C20D9E">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1828C63E">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42220DAD">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69336A31">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105A5D8B">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6C42A91D">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6377E734">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3B1455E4">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50B4BB59">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lang w:eastAsia="zh-CN"/>
        </w:rPr>
      </w:pPr>
      <w:r>
        <w:rPr>
          <w:rFonts w:hint="eastAsia" w:ascii="宋体" w:hAnsi="宋体" w:eastAsia="宋体" w:cs="宋体"/>
          <w:b/>
          <w:color w:val="auto"/>
          <w:spacing w:val="0"/>
          <w:position w:val="0"/>
          <w:sz w:val="32"/>
          <w:szCs w:val="32"/>
          <w:highlight w:val="none"/>
        </w:rPr>
        <w:t>供应商直接控股、管理关系信息表</w:t>
      </w:r>
      <w:r>
        <w:rPr>
          <w:rFonts w:hint="eastAsia" w:ascii="宋体" w:hAnsi="宋体" w:eastAsia="宋体" w:cs="宋体"/>
          <w:b/>
          <w:color w:val="auto"/>
          <w:spacing w:val="0"/>
          <w:position w:val="0"/>
          <w:sz w:val="32"/>
          <w:szCs w:val="32"/>
          <w:highlight w:val="none"/>
          <w:lang w:eastAsia="zh-CN"/>
        </w:rPr>
        <w:t>（格式）</w:t>
      </w:r>
    </w:p>
    <w:p w14:paraId="7D854DB4">
      <w:pPr>
        <w:pageBreakBefore w:val="0"/>
        <w:kinsoku/>
        <w:wordWrap w:val="0"/>
        <w:overflowPunct/>
        <w:topLinePunct/>
        <w:autoSpaceDE/>
        <w:autoSpaceDN/>
        <w:bidi w:val="0"/>
        <w:spacing w:line="360" w:lineRule="auto"/>
        <w:contextualSpacing/>
        <w:jc w:val="center"/>
        <w:rPr>
          <w:rFonts w:hint="eastAsia" w:ascii="宋体" w:hAnsi="宋体" w:eastAsia="宋体" w:cs="宋体"/>
          <w:b/>
          <w:color w:val="auto"/>
          <w:spacing w:val="0"/>
          <w:position w:val="0"/>
          <w:sz w:val="32"/>
          <w:szCs w:val="32"/>
          <w:highlight w:val="none"/>
        </w:rPr>
      </w:pPr>
    </w:p>
    <w:p w14:paraId="089CC71D">
      <w:pPr>
        <w:pageBreakBefore w:val="0"/>
        <w:kinsoku/>
        <w:wordWrap w:val="0"/>
        <w:overflowPunct/>
        <w:topLinePunct/>
        <w:autoSpaceDE/>
        <w:autoSpaceDN/>
        <w:bidi w:val="0"/>
        <w:spacing w:line="360" w:lineRule="auto"/>
        <w:contextualSpacing/>
        <w:jc w:val="center"/>
        <w:rPr>
          <w:rFonts w:hint="eastAsia" w:ascii="宋体" w:hAnsi="宋体" w:eastAsia="宋体" w:cs="宋体"/>
          <w:b/>
          <w:color w:val="auto"/>
          <w:spacing w:val="0"/>
          <w:position w:val="0"/>
          <w:sz w:val="32"/>
          <w:szCs w:val="32"/>
          <w:highlight w:val="none"/>
        </w:rPr>
      </w:pPr>
      <w:r>
        <w:rPr>
          <w:rFonts w:hint="eastAsia" w:ascii="宋体" w:hAnsi="宋体" w:eastAsia="宋体" w:cs="宋体"/>
          <w:b/>
          <w:color w:val="auto"/>
          <w:spacing w:val="0"/>
          <w:position w:val="0"/>
          <w:sz w:val="32"/>
          <w:szCs w:val="32"/>
          <w:highlight w:val="none"/>
        </w:rPr>
        <w:t>供应商直接控股股东信息表</w:t>
      </w:r>
      <w:r>
        <w:rPr>
          <w:rFonts w:hint="eastAsia" w:ascii="宋体" w:hAnsi="宋体" w:eastAsia="宋体" w:cs="宋体"/>
          <w:b/>
          <w:color w:val="auto"/>
          <w:spacing w:val="0"/>
          <w:position w:val="0"/>
          <w:sz w:val="32"/>
          <w:szCs w:val="32"/>
          <w:highlight w:val="none"/>
          <w:lang w:eastAsia="zh-CN"/>
        </w:rPr>
        <w:t>（格式）</w:t>
      </w:r>
    </w:p>
    <w:p w14:paraId="04377A70">
      <w:pPr>
        <w:pageBreakBefore w:val="0"/>
        <w:kinsoku/>
        <w:wordWrap w:val="0"/>
        <w:overflowPunct/>
        <w:topLinePunct/>
        <w:autoSpaceDE/>
        <w:autoSpaceDN/>
        <w:bidi w:val="0"/>
        <w:spacing w:line="360" w:lineRule="auto"/>
        <w:contextualSpacing/>
        <w:jc w:val="center"/>
        <w:rPr>
          <w:rFonts w:hint="eastAsia" w:ascii="宋体" w:hAnsi="宋体" w:eastAsia="宋体" w:cs="宋体"/>
          <w:b/>
          <w:color w:val="auto"/>
          <w:spacing w:val="0"/>
          <w:position w:val="0"/>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C2EDBFD">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4CA7BB">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25EBEC">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A7A8B0">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E1FA80">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94DC67">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备注</w:t>
            </w:r>
          </w:p>
        </w:tc>
      </w:tr>
      <w:tr w14:paraId="2D24842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319029">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045319">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6BD189">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13038F">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682EDC">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r w14:paraId="24A586E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B10384">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1FF4D6">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56D62E">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ED30AE">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C55E2F">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r w14:paraId="6224AE5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2D62A6">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CBEBE5">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16CBE0">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C18C13">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2C4735">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r w14:paraId="7644843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B76F5E">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EF1B8D">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620B4B">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FEFBA">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EF0BD">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bl>
    <w:p w14:paraId="51529F95">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w:t>
      </w:r>
    </w:p>
    <w:p w14:paraId="2F86BEB1">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3EADB60">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2.本表所指的控股关系仅限于直接控股关系，不包括间接的控股关系。公司实际控制人与公司之间的关系不属于本表所指的直接控股关系。</w:t>
      </w:r>
    </w:p>
    <w:p w14:paraId="0B9ED072">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3.供应商不存在直接控股股东的，则在“直接控股股东名称”填“无”。</w:t>
      </w:r>
    </w:p>
    <w:p w14:paraId="51AA285B">
      <w:pPr>
        <w:pageBreakBefore w:val="0"/>
        <w:kinsoku/>
        <w:wordWrap w:val="0"/>
        <w:overflowPunct/>
        <w:topLinePunct/>
        <w:autoSpaceDE/>
        <w:autoSpaceDN/>
        <w:bidi w:val="0"/>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4A96A8F4">
      <w:pPr>
        <w:pageBreakBefore w:val="0"/>
        <w:kinsoku/>
        <w:wordWrap w:val="0"/>
        <w:overflowPunct/>
        <w:topLinePunct/>
        <w:autoSpaceDE/>
        <w:autoSpaceDN/>
        <w:bidi w:val="0"/>
        <w:spacing w:line="360" w:lineRule="auto"/>
        <w:ind w:right="480" w:firstLine="3000" w:firstLineChars="1250"/>
        <w:contextualSpacing/>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 xml:space="preserve">供应商（电子签章）： </w:t>
      </w:r>
      <w:r>
        <w:rPr>
          <w:rFonts w:hint="eastAsia" w:ascii="宋体" w:hAnsi="宋体" w:eastAsia="宋体" w:cs="宋体"/>
          <w:color w:val="auto"/>
          <w:spacing w:val="0"/>
          <w:position w:val="0"/>
          <w:sz w:val="24"/>
          <w:szCs w:val="24"/>
          <w:highlight w:val="none"/>
          <w:u w:val="single"/>
        </w:rPr>
        <w:t xml:space="preserve">                              </w:t>
      </w:r>
    </w:p>
    <w:p w14:paraId="34D63C87">
      <w:pPr>
        <w:pageBreakBefore w:val="0"/>
        <w:kinsoku/>
        <w:wordWrap w:val="0"/>
        <w:overflowPunct/>
        <w:topLinePunct/>
        <w:autoSpaceDE/>
        <w:autoSpaceDN/>
        <w:bidi w:val="0"/>
        <w:spacing w:line="360" w:lineRule="auto"/>
        <w:ind w:firstLine="480" w:firstLineChars="200"/>
        <w:contextualSpacing/>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年    月    日</w:t>
      </w:r>
    </w:p>
    <w:p w14:paraId="25582929">
      <w:pPr>
        <w:pageBreakBefore w:val="0"/>
        <w:kinsoku/>
        <w:wordWrap w:val="0"/>
        <w:overflowPunct/>
        <w:topLinePunct/>
        <w:autoSpaceDE/>
        <w:autoSpaceDN/>
        <w:bidi w:val="0"/>
        <w:snapToGrid w:val="0"/>
        <w:jc w:val="center"/>
        <w:rPr>
          <w:rFonts w:hint="eastAsia" w:ascii="宋体" w:hAnsi="宋体" w:eastAsia="宋体" w:cs="宋体"/>
          <w:b/>
          <w:color w:val="auto"/>
          <w:spacing w:val="0"/>
          <w:position w:val="0"/>
          <w:sz w:val="28"/>
          <w:szCs w:val="28"/>
          <w:highlight w:val="none"/>
        </w:rPr>
      </w:pPr>
      <w:r>
        <w:rPr>
          <w:rFonts w:hint="eastAsia" w:ascii="宋体" w:hAnsi="宋体" w:eastAsia="宋体" w:cs="宋体"/>
          <w:b/>
          <w:color w:val="auto"/>
          <w:spacing w:val="0"/>
          <w:position w:val="0"/>
          <w:sz w:val="28"/>
          <w:szCs w:val="28"/>
          <w:highlight w:val="none"/>
        </w:rPr>
        <w:br w:type="page"/>
      </w:r>
    </w:p>
    <w:p w14:paraId="38975616">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r>
        <w:rPr>
          <w:rFonts w:hint="eastAsia" w:ascii="宋体" w:hAnsi="宋体" w:eastAsia="宋体" w:cs="宋体"/>
          <w:b/>
          <w:color w:val="auto"/>
          <w:spacing w:val="0"/>
          <w:position w:val="0"/>
          <w:sz w:val="32"/>
          <w:szCs w:val="32"/>
          <w:highlight w:val="none"/>
        </w:rPr>
        <w:t>供应商直接管理关系信息表</w:t>
      </w:r>
      <w:r>
        <w:rPr>
          <w:rFonts w:hint="eastAsia" w:ascii="宋体" w:hAnsi="宋体" w:eastAsia="宋体" w:cs="宋体"/>
          <w:b/>
          <w:color w:val="auto"/>
          <w:spacing w:val="0"/>
          <w:position w:val="0"/>
          <w:sz w:val="32"/>
          <w:szCs w:val="32"/>
          <w:highlight w:val="none"/>
          <w:lang w:eastAsia="zh-CN"/>
        </w:rPr>
        <w:t>（格式）</w:t>
      </w:r>
    </w:p>
    <w:p w14:paraId="3725B358">
      <w:pPr>
        <w:pageBreakBefore w:val="0"/>
        <w:kinsoku/>
        <w:wordWrap w:val="0"/>
        <w:overflowPunct/>
        <w:topLinePunct/>
        <w:autoSpaceDE/>
        <w:autoSpaceDN/>
        <w:bidi w:val="0"/>
        <w:snapToGrid w:val="0"/>
        <w:spacing w:line="360" w:lineRule="auto"/>
        <w:jc w:val="center"/>
        <w:rPr>
          <w:rFonts w:hint="eastAsia" w:ascii="宋体" w:hAnsi="宋体" w:eastAsia="宋体" w:cs="宋体"/>
          <w:b/>
          <w:color w:val="auto"/>
          <w:spacing w:val="0"/>
          <w:position w:val="0"/>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884830C">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068A5F">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5AF6BF">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E3801C">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30F96D">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相互关系</w:t>
            </w:r>
          </w:p>
        </w:tc>
      </w:tr>
      <w:tr w14:paraId="29EED0A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9CCC92">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CC45B3">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170183">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E9F31A">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r w14:paraId="554DE52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C24BD4">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395062">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9B9DC2">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3F930D">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r w14:paraId="4FE87BA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D3C9EE">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620BF3">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DFB7EE">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7F158A">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r w14:paraId="6EC781E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C7CEB4">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40EA33">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FCB24F">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8C2D4F">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bl>
    <w:p w14:paraId="79E9943D">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w:t>
      </w:r>
    </w:p>
    <w:p w14:paraId="195CE92D">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1.管理关系：是指不具有出资持股关系的其他单位之间存在的管理与被管理关系，如一些上下级关系的事业单位和团体组织。</w:t>
      </w:r>
    </w:p>
    <w:p w14:paraId="3342FC0A">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2.本表所指的管理关系仅限于直接管理关系，不包括间接的管理关系。</w:t>
      </w:r>
    </w:p>
    <w:p w14:paraId="79721DF5">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3.供应商不存在直接管理关系的，则在“直接管理关系单位名称”填“无”。</w:t>
      </w:r>
    </w:p>
    <w:p w14:paraId="1C64450B">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8"/>
          <w:szCs w:val="28"/>
          <w:highlight w:val="none"/>
        </w:rPr>
      </w:pPr>
    </w:p>
    <w:p w14:paraId="09A617DB">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8"/>
          <w:szCs w:val="28"/>
          <w:highlight w:val="none"/>
        </w:rPr>
      </w:pPr>
    </w:p>
    <w:p w14:paraId="6908B417">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8"/>
          <w:szCs w:val="28"/>
          <w:highlight w:val="none"/>
        </w:rPr>
      </w:pPr>
    </w:p>
    <w:p w14:paraId="7DA23660">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8"/>
          <w:szCs w:val="28"/>
          <w:highlight w:val="none"/>
        </w:rPr>
      </w:pPr>
    </w:p>
    <w:p w14:paraId="6E04D3C2">
      <w:pPr>
        <w:pageBreakBefore w:val="0"/>
        <w:kinsoku/>
        <w:wordWrap w:val="0"/>
        <w:overflowPunct/>
        <w:topLinePunct/>
        <w:autoSpaceDE/>
        <w:autoSpaceDN/>
        <w:bidi w:val="0"/>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2D719853">
      <w:pPr>
        <w:pageBreakBefore w:val="0"/>
        <w:kinsoku/>
        <w:wordWrap w:val="0"/>
        <w:overflowPunct/>
        <w:topLinePunct/>
        <w:autoSpaceDE/>
        <w:autoSpaceDN/>
        <w:bidi w:val="0"/>
        <w:spacing w:line="360" w:lineRule="auto"/>
        <w:ind w:right="480" w:firstLine="3360" w:firstLineChars="14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p>
    <w:p w14:paraId="21364069">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141E0081">
      <w:pPr>
        <w:pStyle w:val="14"/>
        <w:pageBreakBefore w:val="0"/>
        <w:tabs>
          <w:tab w:val="left" w:pos="939"/>
        </w:tabs>
        <w:kinsoku/>
        <w:wordWrap w:val="0"/>
        <w:overflowPunct/>
        <w:topLinePunct/>
        <w:autoSpaceDE/>
        <w:autoSpaceDN/>
        <w:bidi w:val="0"/>
        <w:spacing w:line="360" w:lineRule="auto"/>
        <w:ind w:left="0" w:leftChars="0" w:firstLine="560" w:firstLineChars="200"/>
        <w:rPr>
          <w:rFonts w:hint="eastAsia" w:ascii="宋体" w:hAnsi="宋体" w:eastAsia="宋体" w:cs="宋体"/>
          <w:color w:val="auto"/>
          <w:spacing w:val="0"/>
          <w:position w:val="0"/>
          <w:sz w:val="28"/>
          <w:szCs w:val="28"/>
          <w:highlight w:val="none"/>
        </w:rPr>
      </w:pPr>
    </w:p>
    <w:p w14:paraId="293748E3">
      <w:pPr>
        <w:pStyle w:val="14"/>
        <w:pageBreakBefore w:val="0"/>
        <w:tabs>
          <w:tab w:val="left" w:pos="939"/>
        </w:tabs>
        <w:kinsoku/>
        <w:wordWrap w:val="0"/>
        <w:overflowPunct/>
        <w:topLinePunct/>
        <w:autoSpaceDE/>
        <w:autoSpaceDN/>
        <w:bidi w:val="0"/>
        <w:spacing w:line="360" w:lineRule="auto"/>
        <w:rPr>
          <w:rFonts w:hint="eastAsia" w:ascii="宋体" w:hAnsi="宋体" w:eastAsia="宋体" w:cs="宋体"/>
          <w:color w:val="auto"/>
          <w:spacing w:val="0"/>
          <w:position w:val="0"/>
          <w:sz w:val="28"/>
          <w:szCs w:val="28"/>
          <w:highlight w:val="none"/>
        </w:rPr>
      </w:pPr>
    </w:p>
    <w:p w14:paraId="3F00D16C">
      <w:pPr>
        <w:pStyle w:val="14"/>
        <w:pageBreakBefore w:val="0"/>
        <w:tabs>
          <w:tab w:val="left" w:pos="939"/>
        </w:tabs>
        <w:kinsoku/>
        <w:wordWrap w:val="0"/>
        <w:overflowPunct/>
        <w:topLinePunct/>
        <w:autoSpaceDE/>
        <w:autoSpaceDN/>
        <w:bidi w:val="0"/>
        <w:spacing w:line="360" w:lineRule="auto"/>
        <w:rPr>
          <w:rFonts w:hint="eastAsia" w:ascii="宋体" w:hAnsi="宋体" w:eastAsia="宋体" w:cs="宋体"/>
          <w:color w:val="auto"/>
          <w:spacing w:val="0"/>
          <w:position w:val="0"/>
          <w:sz w:val="28"/>
          <w:szCs w:val="28"/>
          <w:highlight w:val="none"/>
        </w:rPr>
      </w:pPr>
    </w:p>
    <w:p w14:paraId="28EF2C35">
      <w:pPr>
        <w:pStyle w:val="14"/>
        <w:pageBreakBefore w:val="0"/>
        <w:tabs>
          <w:tab w:val="left" w:pos="939"/>
        </w:tabs>
        <w:kinsoku/>
        <w:wordWrap w:val="0"/>
        <w:overflowPunct/>
        <w:topLinePunct/>
        <w:autoSpaceDE/>
        <w:autoSpaceDN/>
        <w:bidi w:val="0"/>
        <w:spacing w:line="360" w:lineRule="auto"/>
        <w:rPr>
          <w:rFonts w:hint="eastAsia" w:ascii="宋体" w:hAnsi="宋体" w:eastAsia="宋体" w:cs="宋体"/>
          <w:color w:val="auto"/>
          <w:spacing w:val="0"/>
          <w:position w:val="0"/>
          <w:sz w:val="28"/>
          <w:szCs w:val="28"/>
          <w:highlight w:val="none"/>
        </w:rPr>
      </w:pPr>
    </w:p>
    <w:p w14:paraId="6E1FDB03">
      <w:pPr>
        <w:keepNext w:val="0"/>
        <w:keepLines w:val="0"/>
        <w:pageBreakBefore w:val="0"/>
        <w:widowControl w:val="0"/>
        <w:kinsoku/>
        <w:wordWrap w:val="0"/>
        <w:overflowPunct/>
        <w:topLinePunct/>
        <w:autoSpaceDE/>
        <w:autoSpaceDN/>
        <w:bidi w:val="0"/>
        <w:adjustRightInd/>
        <w:snapToGrid/>
        <w:spacing w:line="500" w:lineRule="exact"/>
        <w:jc w:val="center"/>
        <w:textAlignment w:val="auto"/>
        <w:rPr>
          <w:rFonts w:hint="eastAsia" w:ascii="宋体" w:hAnsi="宋体" w:eastAsia="宋体" w:cs="宋体"/>
          <w:b/>
          <w:color w:val="auto"/>
          <w:spacing w:val="0"/>
          <w:position w:val="0"/>
          <w:sz w:val="32"/>
          <w:szCs w:val="32"/>
          <w:highlight w:val="none"/>
        </w:rPr>
      </w:pPr>
      <w:bookmarkStart w:id="87" w:name="_Toc71365926"/>
      <w:r>
        <w:rPr>
          <w:rFonts w:hint="eastAsia" w:ascii="宋体" w:hAnsi="宋体" w:eastAsia="宋体" w:cs="宋体"/>
          <w:b/>
          <w:color w:val="auto"/>
          <w:spacing w:val="0"/>
          <w:position w:val="0"/>
          <w:sz w:val="32"/>
          <w:szCs w:val="32"/>
          <w:highlight w:val="none"/>
        </w:rPr>
        <w:t>中小企业声明函（工程）</w:t>
      </w:r>
      <w:bookmarkEnd w:id="87"/>
    </w:p>
    <w:p w14:paraId="46C8823A">
      <w:pPr>
        <w:pStyle w:val="11"/>
        <w:pageBreakBefore w:val="0"/>
        <w:kinsoku/>
        <w:wordWrap w:val="0"/>
        <w:overflowPunct/>
        <w:topLinePunct/>
        <w:autoSpaceDE/>
        <w:autoSpaceDN/>
        <w:bidi w:val="0"/>
        <w:spacing w:line="500" w:lineRule="exact"/>
        <w:ind w:right="142" w:firstLine="705" w:firstLineChars="294"/>
        <w:rPr>
          <w:rFonts w:hint="eastAsia" w:ascii="宋体" w:hAnsi="宋体" w:eastAsia="宋体" w:cs="宋体"/>
          <w:color w:val="auto"/>
          <w:spacing w:val="0"/>
          <w:position w:val="0"/>
          <w:sz w:val="24"/>
          <w:highlight w:val="none"/>
        </w:rPr>
      </w:pPr>
    </w:p>
    <w:p w14:paraId="4EAF2CAA">
      <w:pPr>
        <w:pStyle w:val="11"/>
        <w:pageBreakBefore w:val="0"/>
        <w:kinsoku/>
        <w:wordWrap w:val="0"/>
        <w:overflowPunct/>
        <w:topLinePunct/>
        <w:autoSpaceDE/>
        <w:autoSpaceDN/>
        <w:bidi w:val="0"/>
        <w:spacing w:line="500" w:lineRule="exact"/>
        <w:ind w:right="142" w:firstLine="705" w:firstLineChars="294"/>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本公司（联合体）郑重声明，根据《政府采购促进中小企业发展管理办法》（财库﹝2020﹞46号）的规定，本公司（联合体）参加</w:t>
      </w:r>
      <w:r>
        <w:rPr>
          <w:rFonts w:hint="eastAsia" w:ascii="宋体" w:hAnsi="宋体" w:eastAsia="宋体" w:cs="宋体"/>
          <w:color w:val="auto"/>
          <w:spacing w:val="0"/>
          <w:position w:val="0"/>
          <w:sz w:val="24"/>
          <w:highlight w:val="none"/>
          <w:u w:val="single"/>
        </w:rPr>
        <w:t>（单位名称）</w:t>
      </w:r>
      <w:r>
        <w:rPr>
          <w:rFonts w:hint="eastAsia" w:ascii="宋体" w:hAnsi="宋体" w:eastAsia="宋体" w:cs="宋体"/>
          <w:color w:val="auto"/>
          <w:spacing w:val="0"/>
          <w:position w:val="0"/>
          <w:sz w:val="24"/>
          <w:highlight w:val="none"/>
        </w:rPr>
        <w:t>的</w:t>
      </w:r>
      <w:r>
        <w:rPr>
          <w:rFonts w:hint="eastAsia" w:ascii="宋体" w:hAnsi="宋体" w:eastAsia="宋体" w:cs="宋体"/>
          <w:color w:val="auto"/>
          <w:spacing w:val="0"/>
          <w:position w:val="0"/>
          <w:sz w:val="24"/>
          <w:highlight w:val="none"/>
          <w:u w:val="single"/>
        </w:rPr>
        <w:t>（项目名称）</w:t>
      </w:r>
      <w:r>
        <w:rPr>
          <w:rFonts w:hint="eastAsia" w:ascii="宋体" w:hAnsi="宋体" w:eastAsia="宋体" w:cs="宋体"/>
          <w:color w:val="auto"/>
          <w:spacing w:val="0"/>
          <w:position w:val="0"/>
          <w:sz w:val="24"/>
          <w:highlight w:val="none"/>
        </w:rPr>
        <w:t>采购活动，工程的施工单位全部为符合政策要求的中小企业。相关企业（含联合体中的中小企业、签订分包意向协议的中小企业）的具体情况如下：</w:t>
      </w:r>
    </w:p>
    <w:p w14:paraId="5AA815F1">
      <w:pPr>
        <w:pageBreakBefore w:val="0"/>
        <w:tabs>
          <w:tab w:val="left" w:pos="1384"/>
          <w:tab w:val="left" w:pos="4562"/>
          <w:tab w:val="left" w:pos="6803"/>
        </w:tabs>
        <w:kinsoku/>
        <w:wordWrap w:val="0"/>
        <w:overflowPunct/>
        <w:topLinePunct/>
        <w:autoSpaceDE/>
        <w:autoSpaceDN/>
        <w:bidi w:val="0"/>
        <w:spacing w:before="13" w:line="500" w:lineRule="exact"/>
        <w:ind w:right="142"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w:t>
      </w:r>
      <w:r>
        <w:rPr>
          <w:rFonts w:hint="eastAsia" w:ascii="宋体" w:hAnsi="宋体" w:eastAsia="宋体" w:cs="宋体"/>
          <w:color w:val="auto"/>
          <w:spacing w:val="0"/>
          <w:position w:val="0"/>
          <w:sz w:val="24"/>
          <w:highlight w:val="none"/>
          <w:u w:val="single"/>
        </w:rPr>
        <w:t>（标的名称）</w:t>
      </w:r>
      <w:r>
        <w:rPr>
          <w:rFonts w:hint="eastAsia" w:ascii="宋体" w:hAnsi="宋体" w:eastAsia="宋体" w:cs="宋体"/>
          <w:color w:val="auto"/>
          <w:spacing w:val="0"/>
          <w:position w:val="0"/>
          <w:sz w:val="24"/>
          <w:highlight w:val="none"/>
        </w:rPr>
        <w:t>，属于</w:t>
      </w:r>
      <w:r>
        <w:rPr>
          <w:rFonts w:hint="eastAsia" w:ascii="宋体" w:hAnsi="宋体" w:eastAsia="宋体" w:cs="宋体"/>
          <w:color w:val="auto"/>
          <w:spacing w:val="0"/>
          <w:position w:val="0"/>
          <w:sz w:val="24"/>
          <w:highlight w:val="none"/>
          <w:u w:val="single"/>
        </w:rPr>
        <w:t>（采购文件中明确的所属行业）</w:t>
      </w:r>
      <w:r>
        <w:rPr>
          <w:rFonts w:hint="eastAsia" w:ascii="宋体" w:hAnsi="宋体" w:eastAsia="宋体" w:cs="宋体"/>
          <w:color w:val="auto"/>
          <w:spacing w:val="0"/>
          <w:position w:val="0"/>
          <w:sz w:val="24"/>
          <w:highlight w:val="none"/>
        </w:rPr>
        <w:t>；承建企业为</w:t>
      </w:r>
      <w:r>
        <w:rPr>
          <w:rFonts w:hint="eastAsia" w:ascii="宋体" w:hAnsi="宋体" w:eastAsia="宋体" w:cs="宋体"/>
          <w:color w:val="auto"/>
          <w:spacing w:val="0"/>
          <w:position w:val="0"/>
          <w:sz w:val="24"/>
          <w:highlight w:val="none"/>
          <w:u w:val="single"/>
        </w:rPr>
        <w:t>（企业名称）</w:t>
      </w:r>
      <w:r>
        <w:rPr>
          <w:rFonts w:hint="eastAsia" w:ascii="宋体" w:hAnsi="宋体" w:eastAsia="宋体" w:cs="宋体"/>
          <w:color w:val="auto"/>
          <w:spacing w:val="0"/>
          <w:position w:val="0"/>
          <w:sz w:val="24"/>
          <w:highlight w:val="none"/>
        </w:rPr>
        <w:t>，从业人员</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人，营业收入为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万元，资产总额为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万元，属于</w:t>
      </w:r>
      <w:r>
        <w:rPr>
          <w:rFonts w:hint="eastAsia" w:ascii="宋体" w:hAnsi="宋体" w:eastAsia="宋体" w:cs="宋体"/>
          <w:color w:val="auto"/>
          <w:spacing w:val="0"/>
          <w:position w:val="0"/>
          <w:sz w:val="24"/>
          <w:highlight w:val="none"/>
          <w:u w:val="single"/>
        </w:rPr>
        <w:t>（中型企业、小型企业、微型企业）</w:t>
      </w:r>
      <w:r>
        <w:rPr>
          <w:rFonts w:hint="eastAsia" w:ascii="宋体" w:hAnsi="宋体" w:eastAsia="宋体" w:cs="宋体"/>
          <w:color w:val="auto"/>
          <w:spacing w:val="0"/>
          <w:position w:val="0"/>
          <w:sz w:val="24"/>
          <w:highlight w:val="none"/>
        </w:rPr>
        <w:t>；</w:t>
      </w:r>
    </w:p>
    <w:p w14:paraId="44C5777D">
      <w:pPr>
        <w:pageBreakBefore w:val="0"/>
        <w:tabs>
          <w:tab w:val="left" w:pos="1065"/>
          <w:tab w:val="left" w:pos="4262"/>
          <w:tab w:val="left" w:pos="6477"/>
        </w:tabs>
        <w:kinsoku/>
        <w:wordWrap w:val="0"/>
        <w:overflowPunct/>
        <w:topLinePunct/>
        <w:autoSpaceDE/>
        <w:autoSpaceDN/>
        <w:bidi w:val="0"/>
        <w:spacing w:before="20" w:line="500" w:lineRule="exact"/>
        <w:ind w:right="84" w:firstLine="480" w:firstLineChars="20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2.</w:t>
      </w:r>
      <w:r>
        <w:rPr>
          <w:rFonts w:hint="eastAsia" w:ascii="宋体" w:hAnsi="宋体" w:eastAsia="宋体" w:cs="宋体"/>
          <w:color w:val="auto"/>
          <w:spacing w:val="0"/>
          <w:position w:val="0"/>
          <w:sz w:val="24"/>
          <w:highlight w:val="none"/>
          <w:u w:val="single"/>
        </w:rPr>
        <w:t>（标的名称）</w:t>
      </w:r>
      <w:r>
        <w:rPr>
          <w:rFonts w:hint="eastAsia" w:ascii="宋体" w:hAnsi="宋体" w:eastAsia="宋体" w:cs="宋体"/>
          <w:color w:val="auto"/>
          <w:spacing w:val="0"/>
          <w:position w:val="0"/>
          <w:sz w:val="24"/>
          <w:highlight w:val="none"/>
        </w:rPr>
        <w:t>，属于</w:t>
      </w:r>
      <w:r>
        <w:rPr>
          <w:rFonts w:hint="eastAsia" w:ascii="宋体" w:hAnsi="宋体" w:eastAsia="宋体" w:cs="宋体"/>
          <w:color w:val="auto"/>
          <w:spacing w:val="0"/>
          <w:position w:val="0"/>
          <w:sz w:val="24"/>
          <w:highlight w:val="none"/>
          <w:u w:val="single"/>
        </w:rPr>
        <w:t>（采购文件中明确的所属行业）</w:t>
      </w:r>
      <w:r>
        <w:rPr>
          <w:rFonts w:hint="eastAsia" w:ascii="宋体" w:hAnsi="宋体" w:eastAsia="宋体" w:cs="宋体"/>
          <w:color w:val="auto"/>
          <w:spacing w:val="0"/>
          <w:position w:val="0"/>
          <w:sz w:val="24"/>
          <w:highlight w:val="none"/>
        </w:rPr>
        <w:t>；承建企业为</w:t>
      </w:r>
      <w:r>
        <w:rPr>
          <w:rFonts w:hint="eastAsia" w:ascii="宋体" w:hAnsi="宋体" w:eastAsia="宋体" w:cs="宋体"/>
          <w:color w:val="auto"/>
          <w:spacing w:val="0"/>
          <w:position w:val="0"/>
          <w:sz w:val="24"/>
          <w:highlight w:val="none"/>
          <w:u w:val="single"/>
        </w:rPr>
        <w:t>（企业名称）</w:t>
      </w:r>
      <w:r>
        <w:rPr>
          <w:rFonts w:hint="eastAsia" w:ascii="宋体" w:hAnsi="宋体" w:eastAsia="宋体" w:cs="宋体"/>
          <w:color w:val="auto"/>
          <w:spacing w:val="0"/>
          <w:position w:val="0"/>
          <w:sz w:val="24"/>
          <w:highlight w:val="none"/>
        </w:rPr>
        <w:t>，从业人员</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人，营业收入为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万元，资产总额为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万元，属于</w:t>
      </w:r>
      <w:r>
        <w:rPr>
          <w:rFonts w:hint="eastAsia" w:ascii="宋体" w:hAnsi="宋体" w:eastAsia="宋体" w:cs="宋体"/>
          <w:color w:val="auto"/>
          <w:spacing w:val="0"/>
          <w:position w:val="0"/>
          <w:sz w:val="24"/>
          <w:highlight w:val="none"/>
          <w:u w:val="single"/>
        </w:rPr>
        <w:t>（中型企业、小型企业、微型企业）</w:t>
      </w:r>
      <w:r>
        <w:rPr>
          <w:rFonts w:hint="eastAsia" w:ascii="宋体" w:hAnsi="宋体" w:eastAsia="宋体" w:cs="宋体"/>
          <w:color w:val="auto"/>
          <w:spacing w:val="0"/>
          <w:position w:val="0"/>
          <w:sz w:val="24"/>
          <w:highlight w:val="none"/>
        </w:rPr>
        <w:t>；</w:t>
      </w:r>
    </w:p>
    <w:p w14:paraId="313EE1E2">
      <w:pPr>
        <w:pStyle w:val="11"/>
        <w:pageBreakBefore w:val="0"/>
        <w:kinsoku/>
        <w:wordWrap w:val="0"/>
        <w:overflowPunct/>
        <w:topLinePunct/>
        <w:autoSpaceDE/>
        <w:autoSpaceDN/>
        <w:bidi w:val="0"/>
        <w:spacing w:before="34" w:line="500" w:lineRule="exact"/>
        <w:ind w:right="142" w:firstLine="705" w:firstLineChars="294"/>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p>
    <w:p w14:paraId="42E9A971">
      <w:pPr>
        <w:pStyle w:val="11"/>
        <w:pageBreakBefore w:val="0"/>
        <w:kinsoku/>
        <w:wordWrap w:val="0"/>
        <w:overflowPunct/>
        <w:topLinePunct/>
        <w:autoSpaceDE/>
        <w:autoSpaceDN/>
        <w:bidi w:val="0"/>
        <w:spacing w:before="34" w:line="500" w:lineRule="exact"/>
        <w:ind w:right="142" w:firstLine="723" w:firstLineChars="200"/>
        <w:rPr>
          <w:rFonts w:hint="eastAsia" w:ascii="宋体" w:hAnsi="宋体" w:eastAsia="宋体" w:cs="宋体"/>
          <w:b/>
          <w:bCs/>
          <w:color w:val="auto"/>
          <w:spacing w:val="0"/>
          <w:position w:val="0"/>
          <w:sz w:val="36"/>
          <w:szCs w:val="24"/>
          <w:highlight w:val="none"/>
        </w:rPr>
      </w:pPr>
      <w:r>
        <w:rPr>
          <w:rFonts w:hint="eastAsia" w:ascii="宋体" w:hAnsi="宋体" w:eastAsia="宋体" w:cs="宋体"/>
          <w:b/>
          <w:bCs/>
          <w:color w:val="auto"/>
          <w:spacing w:val="0"/>
          <w:position w:val="0"/>
          <w:sz w:val="36"/>
          <w:szCs w:val="24"/>
          <w:highlight w:val="none"/>
        </w:rPr>
        <w:t>以上企业，不属于大企业的分支机构，不存在控股股东为大企业的情形，也不存在与大企业的负责人为同一人的情形。</w:t>
      </w:r>
    </w:p>
    <w:p w14:paraId="42E9FBE2">
      <w:pPr>
        <w:pStyle w:val="11"/>
        <w:pageBreakBefore w:val="0"/>
        <w:kinsoku/>
        <w:wordWrap w:val="0"/>
        <w:overflowPunct/>
        <w:topLinePunct/>
        <w:autoSpaceDE/>
        <w:autoSpaceDN/>
        <w:bidi w:val="0"/>
        <w:spacing w:before="25" w:line="500" w:lineRule="exact"/>
        <w:ind w:right="142"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本企业对上述声明内容的真实性负责。如有虚假，将依法承担相应责任。</w:t>
      </w:r>
    </w:p>
    <w:p w14:paraId="246759FB">
      <w:pPr>
        <w:pStyle w:val="11"/>
        <w:pageBreakBefore w:val="0"/>
        <w:kinsoku/>
        <w:wordWrap w:val="0"/>
        <w:overflowPunct/>
        <w:topLinePunct/>
        <w:autoSpaceDE/>
        <w:autoSpaceDN/>
        <w:bidi w:val="0"/>
        <w:spacing w:before="56" w:line="500" w:lineRule="exact"/>
        <w:ind w:right="1808" w:firstLine="705" w:firstLineChars="294"/>
        <w:rPr>
          <w:rFonts w:hint="eastAsia" w:ascii="宋体" w:hAnsi="宋体" w:eastAsia="宋体" w:cs="宋体"/>
          <w:color w:val="auto"/>
          <w:spacing w:val="0"/>
          <w:position w:val="0"/>
          <w:sz w:val="24"/>
          <w:highlight w:val="none"/>
        </w:rPr>
      </w:pPr>
    </w:p>
    <w:p w14:paraId="1FC497B6">
      <w:pPr>
        <w:pStyle w:val="11"/>
        <w:pageBreakBefore w:val="0"/>
        <w:kinsoku/>
        <w:wordWrap w:val="0"/>
        <w:overflowPunct/>
        <w:topLinePunct/>
        <w:autoSpaceDE/>
        <w:autoSpaceDN/>
        <w:bidi w:val="0"/>
        <w:spacing w:before="56" w:line="500" w:lineRule="exact"/>
        <w:ind w:right="650" w:firstLine="5625" w:firstLineChars="2344"/>
        <w:rPr>
          <w:rFonts w:hint="eastAsia" w:ascii="宋体" w:hAnsi="宋体" w:eastAsia="宋体" w:cs="宋体"/>
          <w:color w:val="auto"/>
          <w:spacing w:val="0"/>
          <w:position w:val="0"/>
          <w:sz w:val="24"/>
          <w:highlight w:val="none"/>
        </w:rPr>
      </w:pPr>
      <w:r>
        <w:rPr>
          <w:rFonts w:hint="eastAsia" w:hAnsi="宋体" w:cs="宋体"/>
          <w:color w:val="auto"/>
          <w:spacing w:val="0"/>
          <w:position w:val="0"/>
          <w:sz w:val="24"/>
          <w:highlight w:val="none"/>
          <w:lang w:eastAsia="zh-CN"/>
        </w:rPr>
        <w:t>供应商</w:t>
      </w:r>
      <w:r>
        <w:rPr>
          <w:rFonts w:hint="eastAsia" w:ascii="宋体" w:hAnsi="宋体" w:eastAsia="宋体" w:cs="宋体"/>
          <w:color w:val="auto"/>
          <w:spacing w:val="0"/>
          <w:position w:val="0"/>
          <w:sz w:val="24"/>
          <w:highlight w:val="none"/>
        </w:rPr>
        <w:t>名称（</w:t>
      </w:r>
      <w:r>
        <w:rPr>
          <w:rFonts w:hint="eastAsia" w:ascii="宋体" w:hAnsi="宋体" w:eastAsia="宋体" w:cs="宋体"/>
          <w:color w:val="auto"/>
          <w:spacing w:val="0"/>
          <w:position w:val="0"/>
          <w:sz w:val="24"/>
          <w:szCs w:val="24"/>
          <w:highlight w:val="none"/>
        </w:rPr>
        <w:t>电子签章</w:t>
      </w:r>
      <w:r>
        <w:rPr>
          <w:rFonts w:hint="eastAsia" w:ascii="宋体" w:hAnsi="宋体" w:eastAsia="宋体" w:cs="宋体"/>
          <w:color w:val="auto"/>
          <w:spacing w:val="0"/>
          <w:position w:val="0"/>
          <w:sz w:val="24"/>
          <w:highlight w:val="none"/>
        </w:rPr>
        <w:t xml:space="preserve">）： </w:t>
      </w:r>
    </w:p>
    <w:p w14:paraId="37C19F50">
      <w:pPr>
        <w:pStyle w:val="11"/>
        <w:pageBreakBefore w:val="0"/>
        <w:kinsoku/>
        <w:wordWrap w:val="0"/>
        <w:overflowPunct/>
        <w:topLinePunct/>
        <w:autoSpaceDE/>
        <w:autoSpaceDN/>
        <w:bidi w:val="0"/>
        <w:spacing w:before="56" w:line="500" w:lineRule="exact"/>
        <w:ind w:right="1808" w:firstLine="5625" w:firstLineChars="2344"/>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 期：</w:t>
      </w:r>
    </w:p>
    <w:p w14:paraId="1BEF6006">
      <w:pPr>
        <w:pStyle w:val="11"/>
        <w:pageBreakBefore w:val="0"/>
        <w:kinsoku/>
        <w:wordWrap w:val="0"/>
        <w:overflowPunct/>
        <w:topLinePunct/>
        <w:autoSpaceDE/>
        <w:autoSpaceDN/>
        <w:bidi w:val="0"/>
        <w:spacing w:before="56" w:line="500" w:lineRule="exact"/>
        <w:ind w:right="1808" w:firstLine="5625" w:firstLineChars="2344"/>
        <w:rPr>
          <w:rFonts w:hint="eastAsia" w:ascii="宋体" w:hAnsi="宋体" w:eastAsia="宋体" w:cs="宋体"/>
          <w:color w:val="auto"/>
          <w:spacing w:val="0"/>
          <w:position w:val="0"/>
          <w:sz w:val="24"/>
          <w:highlight w:val="none"/>
        </w:rPr>
      </w:pPr>
    </w:p>
    <w:p w14:paraId="4A106067">
      <w:pPr>
        <w:pageBreakBefore w:val="0"/>
        <w:kinsoku/>
        <w:wordWrap w:val="0"/>
        <w:overflowPunct/>
        <w:topLinePunct/>
        <w:autoSpaceDE/>
        <w:autoSpaceDN/>
        <w:bidi w:val="0"/>
        <w:spacing w:line="520" w:lineRule="exact"/>
        <w:ind w:firstLine="480" w:firstLineChars="200"/>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DC96187">
      <w:pPr>
        <w:pageBreakBefore w:val="0"/>
        <w:kinsoku/>
        <w:wordWrap w:val="0"/>
        <w:overflowPunct/>
        <w:topLinePunct/>
        <w:autoSpaceDE/>
        <w:autoSpaceDN/>
        <w:bidi w:val="0"/>
        <w:spacing w:line="520" w:lineRule="exact"/>
        <w:jc w:val="center"/>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24"/>
          <w:highlight w:val="none"/>
        </w:rPr>
        <w:br w:type="page"/>
      </w:r>
      <w:r>
        <w:rPr>
          <w:rFonts w:hint="eastAsia" w:ascii="宋体" w:hAnsi="宋体" w:eastAsia="宋体" w:cs="宋体"/>
          <w:color w:val="auto"/>
          <w:spacing w:val="0"/>
          <w:position w:val="0"/>
          <w:sz w:val="40"/>
          <w:szCs w:val="40"/>
          <w:highlight w:val="none"/>
        </w:rPr>
        <w:t>残疾人福利性单位声明函</w:t>
      </w:r>
    </w:p>
    <w:p w14:paraId="2C9F3616">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32"/>
          <w:szCs w:val="32"/>
          <w:highlight w:val="none"/>
        </w:rPr>
      </w:pPr>
    </w:p>
    <w:p w14:paraId="4E86F654">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单位的</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项目采购活动提供本单位制造的货物（由本单位承担工程/提供服务），或者提供其他残疾人福利性单位制造的货物（不包括使用非残疾人福利性单位注册商标的货物）。</w:t>
      </w:r>
    </w:p>
    <w:p w14:paraId="6BF0258A">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本单位对上述声明的真实性负责。如有虚假，将依法承担相应责任。</w:t>
      </w:r>
    </w:p>
    <w:p w14:paraId="6220ADF3">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52D69EB1">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7757F1BA">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72F8C5F0">
      <w:pPr>
        <w:pageBreakBefore w:val="0"/>
        <w:kinsoku/>
        <w:wordWrap w:val="0"/>
        <w:overflowPunct/>
        <w:topLinePunct/>
        <w:autoSpaceDE/>
        <w:autoSpaceDN/>
        <w:bidi w:val="0"/>
        <w:spacing w:line="360" w:lineRule="auto"/>
        <w:ind w:firstLine="4560" w:firstLineChars="1900"/>
        <w:contextualSpacing/>
        <w:rPr>
          <w:rFonts w:hint="eastAsia" w:ascii="宋体" w:hAnsi="宋体" w:eastAsia="宋体" w:cs="宋体"/>
          <w:color w:val="auto"/>
          <w:spacing w:val="0"/>
          <w:position w:val="0"/>
          <w:sz w:val="24"/>
          <w:highlight w:val="none"/>
        </w:rPr>
      </w:pPr>
      <w:r>
        <w:rPr>
          <w:rFonts w:hint="eastAsia" w:ascii="宋体" w:hAnsi="宋体" w:cs="宋体"/>
          <w:color w:val="auto"/>
          <w:spacing w:val="0"/>
          <w:position w:val="0"/>
          <w:sz w:val="24"/>
          <w:highlight w:val="none"/>
          <w:lang w:eastAsia="zh-CN"/>
        </w:rPr>
        <w:t>供应商</w:t>
      </w:r>
      <w:r>
        <w:rPr>
          <w:rFonts w:hint="eastAsia" w:ascii="宋体" w:hAnsi="宋体" w:eastAsia="宋体" w:cs="宋体"/>
          <w:color w:val="auto"/>
          <w:spacing w:val="0"/>
          <w:position w:val="0"/>
          <w:sz w:val="24"/>
          <w:highlight w:val="none"/>
        </w:rPr>
        <w:t>名称（</w:t>
      </w:r>
      <w:r>
        <w:rPr>
          <w:rFonts w:hint="eastAsia" w:ascii="宋体" w:hAnsi="宋体" w:eastAsia="宋体" w:cs="宋体"/>
          <w:color w:val="auto"/>
          <w:spacing w:val="0"/>
          <w:position w:val="0"/>
          <w:sz w:val="24"/>
          <w:szCs w:val="24"/>
          <w:highlight w:val="none"/>
        </w:rPr>
        <w:t>电子签章</w:t>
      </w:r>
      <w:r>
        <w:rPr>
          <w:rFonts w:hint="eastAsia" w:ascii="宋体" w:hAnsi="宋体" w:eastAsia="宋体" w:cs="宋体"/>
          <w:color w:val="auto"/>
          <w:spacing w:val="0"/>
          <w:position w:val="0"/>
          <w:sz w:val="24"/>
          <w:highlight w:val="none"/>
        </w:rPr>
        <w:t>）：</w:t>
      </w:r>
    </w:p>
    <w:p w14:paraId="11138067">
      <w:pPr>
        <w:pageBreakBefore w:val="0"/>
        <w:kinsoku/>
        <w:wordWrap w:val="0"/>
        <w:overflowPunct/>
        <w:topLinePunct/>
        <w:autoSpaceDE/>
        <w:autoSpaceDN/>
        <w:bidi w:val="0"/>
        <w:spacing w:line="360" w:lineRule="auto"/>
        <w:ind w:firstLine="5040" w:firstLineChars="21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  期：</w:t>
      </w:r>
    </w:p>
    <w:p w14:paraId="3DEB18BF">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64D688EA">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2A37D563">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1B84AAD3">
      <w:pPr>
        <w:pStyle w:val="14"/>
        <w:pageBreakBefore w:val="0"/>
        <w:tabs>
          <w:tab w:val="left" w:pos="939"/>
        </w:tabs>
        <w:kinsoku/>
        <w:wordWrap w:val="0"/>
        <w:overflowPunct/>
        <w:topLinePunct/>
        <w:autoSpaceDE/>
        <w:autoSpaceDN/>
        <w:bidi w:val="0"/>
        <w:spacing w:line="360" w:lineRule="auto"/>
        <w:ind w:left="0" w:leftChars="0" w:firstLine="720" w:firstLineChars="300"/>
        <w:rPr>
          <w:rFonts w:hint="eastAsia" w:ascii="宋体" w:hAnsi="宋体" w:eastAsia="宋体" w:cs="宋体"/>
          <w:color w:val="auto"/>
          <w:spacing w:val="0"/>
          <w:position w:val="0"/>
          <w:sz w:val="24"/>
          <w:highlight w:val="none"/>
        </w:rPr>
        <w:sectPr>
          <w:pgSz w:w="11906" w:h="16838"/>
          <w:pgMar w:top="1440" w:right="1080" w:bottom="1440" w:left="1080" w:header="851" w:footer="992" w:gutter="0"/>
          <w:cols w:space="0" w:num="1"/>
          <w:docGrid w:type="lines" w:linePitch="312" w:charSpace="0"/>
        </w:sectPr>
      </w:pPr>
      <w:r>
        <w:rPr>
          <w:rFonts w:hint="eastAsia" w:ascii="宋体" w:hAnsi="宋体" w:eastAsia="宋体" w:cs="宋体"/>
          <w:color w:val="auto"/>
          <w:spacing w:val="0"/>
          <w:position w:val="0"/>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E448419">
      <w:pPr>
        <w:keepNext w:val="0"/>
        <w:keepLines w:val="0"/>
        <w:pageBreakBefore w:val="0"/>
        <w:widowControl w:val="0"/>
        <w:kinsoku/>
        <w:wordWrap w:val="0"/>
        <w:overflowPunct/>
        <w:topLinePunct/>
        <w:autoSpaceDE/>
        <w:autoSpaceDN/>
        <w:bidi w:val="0"/>
        <w:adjustRightInd/>
        <w:snapToGrid/>
        <w:spacing w:line="500" w:lineRule="exact"/>
        <w:jc w:val="center"/>
        <w:textAlignment w:val="auto"/>
        <w:rPr>
          <w:rFonts w:hint="eastAsia" w:ascii="宋体" w:hAnsi="宋体" w:eastAsia="宋体" w:cs="宋体"/>
          <w:b/>
          <w:color w:val="auto"/>
          <w:spacing w:val="0"/>
          <w:position w:val="0"/>
          <w:sz w:val="32"/>
          <w:szCs w:val="32"/>
          <w:highlight w:val="none"/>
        </w:rPr>
      </w:pPr>
      <w:r>
        <w:rPr>
          <w:rFonts w:hint="eastAsia" w:ascii="宋体" w:hAnsi="宋体" w:cs="宋体"/>
          <w:b/>
          <w:color w:val="auto"/>
          <w:spacing w:val="0"/>
          <w:position w:val="0"/>
          <w:sz w:val="32"/>
          <w:szCs w:val="32"/>
          <w:highlight w:val="none"/>
          <w:lang w:eastAsia="zh-CN"/>
        </w:rPr>
        <w:t>项目经理在建工程</w:t>
      </w:r>
      <w:r>
        <w:rPr>
          <w:rFonts w:hint="eastAsia" w:ascii="宋体" w:hAnsi="宋体" w:eastAsia="宋体" w:cs="宋体"/>
          <w:b/>
          <w:color w:val="auto"/>
          <w:spacing w:val="0"/>
          <w:position w:val="0"/>
          <w:sz w:val="32"/>
          <w:szCs w:val="32"/>
          <w:highlight w:val="none"/>
        </w:rPr>
        <w:t>承诺书</w:t>
      </w:r>
    </w:p>
    <w:p w14:paraId="7936A323">
      <w:pPr>
        <w:pStyle w:val="14"/>
        <w:pageBreakBefore w:val="0"/>
        <w:tabs>
          <w:tab w:val="left" w:pos="939"/>
        </w:tabs>
        <w:kinsoku/>
        <w:wordWrap w:val="0"/>
        <w:overflowPunct/>
        <w:topLinePunct/>
        <w:autoSpaceDE/>
        <w:autoSpaceDN/>
        <w:bidi w:val="0"/>
        <w:spacing w:line="360" w:lineRule="auto"/>
        <w:ind w:left="0" w:leftChars="0" w:firstLine="0" w:firstLineChars="0"/>
        <w:rPr>
          <w:rStyle w:val="33"/>
          <w:rFonts w:hint="eastAsia" w:ascii="宋体" w:hAnsi="宋体" w:cs="宋体"/>
          <w:color w:val="auto"/>
          <w:spacing w:val="0"/>
          <w:sz w:val="24"/>
          <w:szCs w:val="24"/>
          <w:highlight w:val="none"/>
          <w:lang w:eastAsia="zh-CN"/>
        </w:rPr>
      </w:pPr>
    </w:p>
    <w:p w14:paraId="50126166">
      <w:pPr>
        <w:pStyle w:val="14"/>
        <w:pageBreakBefore w:val="0"/>
        <w:tabs>
          <w:tab w:val="left" w:pos="939"/>
        </w:tabs>
        <w:kinsoku/>
        <w:wordWrap w:val="0"/>
        <w:overflowPunct/>
        <w:topLinePunct/>
        <w:autoSpaceDE/>
        <w:autoSpaceDN/>
        <w:bidi w:val="0"/>
        <w:spacing w:line="360" w:lineRule="auto"/>
        <w:ind w:left="0" w:leftChars="0" w:firstLine="0" w:firstLineChars="0"/>
        <w:rPr>
          <w:rStyle w:val="33"/>
          <w:rFonts w:hint="eastAsia" w:ascii="宋体" w:hAnsi="宋体" w:eastAsia="宋体" w:cs="宋体"/>
          <w:color w:val="auto"/>
          <w:spacing w:val="0"/>
          <w:sz w:val="24"/>
          <w:szCs w:val="24"/>
          <w:highlight w:val="none"/>
          <w:lang w:eastAsia="zh-CN"/>
        </w:rPr>
      </w:pPr>
      <w:r>
        <w:rPr>
          <w:rStyle w:val="33"/>
          <w:rFonts w:hint="eastAsia" w:ascii="宋体" w:hAnsi="宋体" w:cs="宋体"/>
          <w:color w:val="auto"/>
          <w:spacing w:val="0"/>
          <w:sz w:val="24"/>
          <w:szCs w:val="24"/>
          <w:highlight w:val="none"/>
          <w:lang w:eastAsia="zh-CN"/>
        </w:rPr>
        <w:t>浦北县龙门镇人民政府：</w:t>
      </w:r>
    </w:p>
    <w:p w14:paraId="38A252DF">
      <w:pPr>
        <w:pStyle w:val="14"/>
        <w:pageBreakBefore w:val="0"/>
        <w:tabs>
          <w:tab w:val="left" w:pos="939"/>
        </w:tabs>
        <w:kinsoku/>
        <w:wordWrap w:val="0"/>
        <w:overflowPunct/>
        <w:topLinePunct/>
        <w:autoSpaceDE/>
        <w:autoSpaceDN/>
        <w:bidi w:val="0"/>
        <w:spacing w:line="360" w:lineRule="auto"/>
        <w:ind w:left="0" w:leftChars="0" w:firstLine="480" w:firstLineChars="200"/>
        <w:rPr>
          <w:rStyle w:val="33"/>
          <w:rFonts w:hint="eastAsia" w:ascii="宋体" w:hAnsi="宋体" w:eastAsia="宋体" w:cs="宋体"/>
          <w:color w:val="auto"/>
          <w:spacing w:val="0"/>
          <w:sz w:val="24"/>
          <w:szCs w:val="24"/>
          <w:highlight w:val="none"/>
        </w:rPr>
      </w:pPr>
      <w:r>
        <w:rPr>
          <w:rStyle w:val="33"/>
          <w:rFonts w:hint="eastAsia" w:ascii="宋体" w:hAnsi="宋体" w:eastAsia="宋体" w:cs="宋体"/>
          <w:color w:val="auto"/>
          <w:spacing w:val="0"/>
          <w:sz w:val="24"/>
          <w:szCs w:val="24"/>
          <w:highlight w:val="none"/>
        </w:rPr>
        <w:t>承诺我单位投入</w:t>
      </w:r>
      <w:r>
        <w:rPr>
          <w:rStyle w:val="33"/>
          <w:rFonts w:hint="eastAsia" w:ascii="宋体" w:hAnsi="宋体" w:cs="宋体"/>
          <w:color w:val="auto"/>
          <w:spacing w:val="0"/>
          <w:sz w:val="24"/>
          <w:szCs w:val="24"/>
          <w:highlight w:val="none"/>
          <w:u w:val="single"/>
          <w:lang w:eastAsia="zh-CN"/>
        </w:rPr>
        <w:t>浦北大红柑智慧农业示范带提升项目茅家上子塘基地产业路</w:t>
      </w:r>
      <w:r>
        <w:rPr>
          <w:rStyle w:val="33"/>
          <w:rFonts w:hint="eastAsia" w:ascii="宋体" w:hAnsi="宋体" w:eastAsia="宋体" w:cs="宋体"/>
          <w:color w:val="auto"/>
          <w:spacing w:val="0"/>
          <w:sz w:val="24"/>
          <w:szCs w:val="24"/>
          <w:highlight w:val="none"/>
        </w:rPr>
        <w:t>的项目经理（姓名：</w:t>
      </w:r>
      <w:r>
        <w:rPr>
          <w:rStyle w:val="33"/>
          <w:rFonts w:hint="eastAsia" w:ascii="宋体" w:hAnsi="宋体" w:eastAsia="宋体" w:cs="宋体"/>
          <w:color w:val="auto"/>
          <w:spacing w:val="0"/>
          <w:sz w:val="24"/>
          <w:szCs w:val="24"/>
          <w:highlight w:val="none"/>
          <w:u w:val="single"/>
        </w:rPr>
        <w:t xml:space="preserve">        </w:t>
      </w:r>
      <w:r>
        <w:rPr>
          <w:rStyle w:val="33"/>
          <w:rFonts w:hint="eastAsia" w:ascii="宋体" w:hAnsi="宋体" w:eastAsia="宋体" w:cs="宋体"/>
          <w:color w:val="auto"/>
          <w:spacing w:val="0"/>
          <w:sz w:val="24"/>
          <w:szCs w:val="24"/>
          <w:highlight w:val="none"/>
        </w:rPr>
        <w:t>身份证号码：</w:t>
      </w:r>
      <w:r>
        <w:rPr>
          <w:rStyle w:val="33"/>
          <w:rFonts w:hint="eastAsia" w:ascii="宋体" w:hAnsi="宋体" w:eastAsia="宋体" w:cs="宋体"/>
          <w:color w:val="auto"/>
          <w:spacing w:val="0"/>
          <w:sz w:val="24"/>
          <w:szCs w:val="24"/>
          <w:highlight w:val="none"/>
          <w:u w:val="single"/>
        </w:rPr>
        <w:t xml:space="preserve">                          </w:t>
      </w:r>
      <w:r>
        <w:rPr>
          <w:rStyle w:val="33"/>
          <w:rFonts w:hint="eastAsia" w:ascii="宋体" w:hAnsi="宋体" w:eastAsia="宋体" w:cs="宋体"/>
          <w:color w:val="auto"/>
          <w:spacing w:val="0"/>
          <w:sz w:val="24"/>
          <w:szCs w:val="24"/>
          <w:highlight w:val="none"/>
        </w:rPr>
        <w:t>）是本单位的在岗人员，且未担任超过两个在建或中标未开工项目的任何管理职务（时间从中标公示之日起至完工验收鉴定书或竣工验收鉴定书标明的验收日期）。如我单位有不符合上述要求的，采购人有权取消我单位成交资格，我单位自愿接受。</w:t>
      </w:r>
    </w:p>
    <w:p w14:paraId="679601F7">
      <w:pPr>
        <w:pStyle w:val="14"/>
        <w:pageBreakBefore w:val="0"/>
        <w:tabs>
          <w:tab w:val="left" w:pos="939"/>
        </w:tabs>
        <w:kinsoku/>
        <w:wordWrap w:val="0"/>
        <w:overflowPunct/>
        <w:topLinePunct/>
        <w:autoSpaceDE/>
        <w:autoSpaceDN/>
        <w:bidi w:val="0"/>
        <w:spacing w:line="360" w:lineRule="auto"/>
        <w:ind w:left="0" w:leftChars="0" w:firstLine="630" w:firstLineChars="300"/>
        <w:rPr>
          <w:rStyle w:val="33"/>
          <w:rFonts w:hint="eastAsia" w:ascii="宋体" w:hAnsi="宋体" w:eastAsia="宋体" w:cs="宋体"/>
          <w:color w:val="auto"/>
          <w:spacing w:val="0"/>
          <w:highlight w:val="none"/>
        </w:rPr>
      </w:pPr>
    </w:p>
    <w:p w14:paraId="1B0CDA02">
      <w:pPr>
        <w:pageBreakBefore w:val="0"/>
        <w:kinsoku/>
        <w:wordWrap w:val="0"/>
        <w:overflowPunct/>
        <w:topLinePunct/>
        <w:autoSpaceDE/>
        <w:autoSpaceDN/>
        <w:bidi w:val="0"/>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5A363606">
      <w:pPr>
        <w:pageBreakBefore w:val="0"/>
        <w:kinsoku/>
        <w:wordWrap w:val="0"/>
        <w:overflowPunct/>
        <w:topLinePunct/>
        <w:autoSpaceDE/>
        <w:autoSpaceDN/>
        <w:bidi w:val="0"/>
        <w:spacing w:line="360" w:lineRule="auto"/>
        <w:ind w:right="480" w:firstLine="3360" w:firstLineChars="14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p>
    <w:p w14:paraId="2D1C0173">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46596C11">
      <w:pPr>
        <w:pStyle w:val="14"/>
        <w:pageBreakBefore w:val="0"/>
        <w:tabs>
          <w:tab w:val="left" w:pos="939"/>
        </w:tabs>
        <w:kinsoku/>
        <w:wordWrap w:val="0"/>
        <w:overflowPunct/>
        <w:topLinePunct/>
        <w:autoSpaceDE/>
        <w:autoSpaceDN/>
        <w:bidi w:val="0"/>
        <w:spacing w:line="360" w:lineRule="auto"/>
        <w:ind w:left="0" w:leftChars="0" w:firstLine="630" w:firstLineChars="300"/>
        <w:rPr>
          <w:rStyle w:val="33"/>
          <w:rFonts w:hint="eastAsia" w:ascii="宋体" w:hAnsi="宋体" w:eastAsia="宋体" w:cs="宋体"/>
          <w:color w:val="auto"/>
          <w:spacing w:val="0"/>
          <w:highlight w:val="none"/>
        </w:rPr>
        <w:sectPr>
          <w:pgSz w:w="11906" w:h="16838"/>
          <w:pgMar w:top="1440" w:right="1080" w:bottom="1440" w:left="1080" w:header="851" w:footer="992" w:gutter="0"/>
          <w:cols w:space="0" w:num="1"/>
          <w:docGrid w:type="lines" w:linePitch="312" w:charSpace="0"/>
        </w:sectPr>
      </w:pPr>
    </w:p>
    <w:p w14:paraId="169E98F9">
      <w:pPr>
        <w:pageBreakBefore w:val="0"/>
        <w:kinsoku/>
        <w:wordWrap w:val="0"/>
        <w:overflowPunct/>
        <w:topLinePunct/>
        <w:autoSpaceDE/>
        <w:autoSpaceDN/>
        <w:bidi w:val="0"/>
        <w:spacing w:line="360" w:lineRule="auto"/>
        <w:ind w:right="420"/>
        <w:contextualSpacing/>
        <w:jc w:val="left"/>
        <w:rPr>
          <w:rFonts w:hint="eastAsia" w:ascii="宋体" w:hAnsi="宋体" w:eastAsia="宋体" w:cs="宋体"/>
          <w:b/>
          <w:color w:val="auto"/>
          <w:spacing w:val="0"/>
          <w:position w:val="0"/>
          <w:sz w:val="32"/>
          <w:szCs w:val="32"/>
          <w:highlight w:val="none"/>
        </w:rPr>
      </w:pPr>
      <w:r>
        <w:rPr>
          <w:rFonts w:hint="eastAsia" w:ascii="宋体" w:hAnsi="宋体" w:eastAsia="宋体" w:cs="宋体"/>
          <w:b/>
          <w:bCs/>
          <w:color w:val="auto"/>
          <w:spacing w:val="0"/>
          <w:position w:val="0"/>
          <w:sz w:val="32"/>
          <w:szCs w:val="32"/>
          <w:highlight w:val="none"/>
        </w:rPr>
        <w:t>二、</w:t>
      </w:r>
      <w:r>
        <w:rPr>
          <w:rFonts w:hint="eastAsia" w:ascii="宋体" w:hAnsi="宋体" w:eastAsia="宋体" w:cs="宋体"/>
          <w:b/>
          <w:color w:val="auto"/>
          <w:spacing w:val="0"/>
          <w:position w:val="0"/>
          <w:sz w:val="32"/>
          <w:szCs w:val="32"/>
          <w:highlight w:val="none"/>
        </w:rPr>
        <w:t xml:space="preserve">报价文件格式 </w:t>
      </w:r>
    </w:p>
    <w:p w14:paraId="79F65367">
      <w:pPr>
        <w:pageBreakBefore w:val="0"/>
        <w:kinsoku/>
        <w:wordWrap w:val="0"/>
        <w:overflowPunct/>
        <w:topLinePunct/>
        <w:autoSpaceDE/>
        <w:autoSpaceDN/>
        <w:bidi w:val="0"/>
        <w:snapToGrid w:val="0"/>
        <w:spacing w:before="156" w:beforeLines="50" w:after="50" w:line="360" w:lineRule="auto"/>
        <w:jc w:val="left"/>
        <w:rPr>
          <w:rFonts w:hint="eastAsia" w:ascii="宋体" w:hAnsi="宋体" w:eastAsia="宋体" w:cs="宋体"/>
          <w:b/>
          <w:color w:val="auto"/>
          <w:spacing w:val="0"/>
          <w:position w:val="0"/>
          <w:sz w:val="32"/>
          <w:szCs w:val="32"/>
          <w:highlight w:val="none"/>
        </w:rPr>
      </w:pPr>
      <w:r>
        <w:rPr>
          <w:rFonts w:hint="eastAsia" w:ascii="宋体" w:hAnsi="宋体" w:eastAsia="宋体" w:cs="宋体"/>
          <w:b/>
          <w:color w:val="auto"/>
          <w:spacing w:val="0"/>
          <w:position w:val="0"/>
          <w:sz w:val="32"/>
          <w:szCs w:val="32"/>
          <w:highlight w:val="none"/>
        </w:rPr>
        <w:t>1.报价文件封面格式</w:t>
      </w:r>
    </w:p>
    <w:p w14:paraId="41EE2388">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32"/>
          <w:szCs w:val="20"/>
          <w:highlight w:val="none"/>
        </w:rPr>
      </w:pPr>
      <w:r>
        <w:rPr>
          <w:rFonts w:hint="eastAsia" w:ascii="宋体" w:hAnsi="宋体" w:eastAsia="宋体" w:cs="宋体"/>
          <w:color w:val="auto"/>
          <w:spacing w:val="0"/>
          <w:position w:val="0"/>
          <w:sz w:val="24"/>
          <w:highlight w:val="none"/>
        </w:rPr>
        <w:t xml:space="preserve">                                                    </w:t>
      </w:r>
    </w:p>
    <w:p w14:paraId="5D1B0358">
      <w:pPr>
        <w:pageBreakBefore w:val="0"/>
        <w:kinsoku/>
        <w:wordWrap w:val="0"/>
        <w:overflowPunct/>
        <w:topLinePunct/>
        <w:autoSpaceDE/>
        <w:autoSpaceDN/>
        <w:bidi w:val="0"/>
        <w:snapToGrid w:val="0"/>
        <w:spacing w:before="156" w:beforeLines="50" w:after="50"/>
        <w:jc w:val="center"/>
        <w:rPr>
          <w:rFonts w:hint="eastAsia" w:ascii="宋体" w:hAnsi="宋体" w:eastAsia="宋体" w:cs="宋体"/>
          <w:color w:val="auto"/>
          <w:spacing w:val="0"/>
          <w:position w:val="0"/>
          <w:sz w:val="24"/>
          <w:szCs w:val="20"/>
          <w:highlight w:val="none"/>
        </w:rPr>
      </w:pPr>
      <w:r>
        <w:rPr>
          <w:rFonts w:hint="eastAsia" w:ascii="宋体" w:hAnsi="宋体" w:eastAsia="宋体" w:cs="宋体"/>
          <w:color w:val="auto"/>
          <w:spacing w:val="0"/>
          <w:position w:val="0"/>
          <w:sz w:val="44"/>
          <w:szCs w:val="44"/>
          <w:highlight w:val="none"/>
        </w:rPr>
        <w:t xml:space="preserve">电 子 </w:t>
      </w:r>
      <w:r>
        <w:rPr>
          <w:rFonts w:hint="eastAsia" w:ascii="宋体" w:hAnsi="宋体" w:eastAsia="宋体" w:cs="宋体"/>
          <w:color w:val="auto"/>
          <w:spacing w:val="0"/>
          <w:position w:val="0"/>
          <w:sz w:val="44"/>
          <w:szCs w:val="44"/>
          <w:highlight w:val="none"/>
          <w:lang w:eastAsia="zh-CN"/>
        </w:rPr>
        <w:t>响</w:t>
      </w:r>
      <w:r>
        <w:rPr>
          <w:rFonts w:hint="eastAsia" w:ascii="宋体" w:hAnsi="宋体" w:eastAsia="宋体" w:cs="宋体"/>
          <w:color w:val="auto"/>
          <w:spacing w:val="0"/>
          <w:position w:val="0"/>
          <w:sz w:val="44"/>
          <w:szCs w:val="44"/>
          <w:highlight w:val="none"/>
          <w:lang w:val="en-US" w:eastAsia="zh-CN"/>
        </w:rPr>
        <w:t xml:space="preserve"> </w:t>
      </w:r>
      <w:r>
        <w:rPr>
          <w:rFonts w:hint="eastAsia" w:ascii="宋体" w:hAnsi="宋体" w:eastAsia="宋体" w:cs="宋体"/>
          <w:color w:val="auto"/>
          <w:spacing w:val="0"/>
          <w:position w:val="0"/>
          <w:sz w:val="44"/>
          <w:szCs w:val="44"/>
          <w:highlight w:val="none"/>
          <w:lang w:eastAsia="zh-CN"/>
        </w:rPr>
        <w:t>应</w:t>
      </w:r>
      <w:r>
        <w:rPr>
          <w:rFonts w:hint="eastAsia" w:ascii="宋体" w:hAnsi="宋体" w:eastAsia="宋体" w:cs="宋体"/>
          <w:color w:val="auto"/>
          <w:spacing w:val="0"/>
          <w:position w:val="0"/>
          <w:sz w:val="44"/>
          <w:szCs w:val="44"/>
          <w:highlight w:val="none"/>
        </w:rPr>
        <w:t xml:space="preserve"> 文 件</w:t>
      </w:r>
    </w:p>
    <w:p w14:paraId="315236DB">
      <w:pPr>
        <w:pageBreakBefore w:val="0"/>
        <w:kinsoku/>
        <w:wordWrap w:val="0"/>
        <w:overflowPunct/>
        <w:topLinePunct/>
        <w:autoSpaceDE/>
        <w:autoSpaceDN/>
        <w:bidi w:val="0"/>
        <w:snapToGrid w:val="0"/>
        <w:spacing w:before="156" w:beforeLines="50" w:after="50"/>
        <w:rPr>
          <w:rFonts w:hint="eastAsia" w:ascii="宋体" w:hAnsi="宋体" w:eastAsia="宋体" w:cs="宋体"/>
          <w:color w:val="auto"/>
          <w:spacing w:val="0"/>
          <w:position w:val="0"/>
          <w:sz w:val="24"/>
          <w:szCs w:val="20"/>
          <w:highlight w:val="none"/>
        </w:rPr>
      </w:pPr>
    </w:p>
    <w:p w14:paraId="43DCC89F">
      <w:pPr>
        <w:pageBreakBefore w:val="0"/>
        <w:kinsoku/>
        <w:wordWrap w:val="0"/>
        <w:overflowPunct/>
        <w:topLinePunct/>
        <w:autoSpaceDE/>
        <w:autoSpaceDN/>
        <w:bidi w:val="0"/>
        <w:snapToGrid w:val="0"/>
        <w:spacing w:before="156" w:beforeLines="50" w:after="50"/>
        <w:rPr>
          <w:rFonts w:hint="eastAsia" w:ascii="宋体" w:hAnsi="宋体" w:eastAsia="宋体" w:cs="宋体"/>
          <w:color w:val="auto"/>
          <w:spacing w:val="0"/>
          <w:position w:val="0"/>
          <w:sz w:val="24"/>
          <w:szCs w:val="20"/>
          <w:highlight w:val="none"/>
        </w:rPr>
      </w:pPr>
    </w:p>
    <w:p w14:paraId="5E1ADE30">
      <w:pPr>
        <w:pageBreakBefore w:val="0"/>
        <w:kinsoku/>
        <w:wordWrap w:val="0"/>
        <w:overflowPunct/>
        <w:topLinePunct/>
        <w:autoSpaceDE/>
        <w:autoSpaceDN/>
        <w:bidi w:val="0"/>
        <w:snapToGrid w:val="0"/>
        <w:spacing w:before="156" w:beforeLines="50" w:after="50"/>
        <w:jc w:val="center"/>
        <w:rPr>
          <w:rFonts w:hint="eastAsia" w:ascii="宋体" w:hAnsi="宋体" w:eastAsia="宋体" w:cs="宋体"/>
          <w:bCs/>
          <w:color w:val="auto"/>
          <w:spacing w:val="0"/>
          <w:position w:val="0"/>
          <w:sz w:val="44"/>
          <w:szCs w:val="44"/>
          <w:highlight w:val="none"/>
        </w:rPr>
      </w:pPr>
      <w:r>
        <w:rPr>
          <w:rFonts w:hint="eastAsia" w:ascii="宋体" w:hAnsi="宋体" w:eastAsia="宋体" w:cs="宋体"/>
          <w:bCs/>
          <w:color w:val="auto"/>
          <w:spacing w:val="0"/>
          <w:position w:val="0"/>
          <w:sz w:val="44"/>
          <w:szCs w:val="44"/>
          <w:highlight w:val="none"/>
        </w:rPr>
        <w:t>报  价  文  件</w:t>
      </w:r>
    </w:p>
    <w:p w14:paraId="3ECFA498">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7C968E09">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1324357F">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4C44B069">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500CD96F">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1EDAAD13">
      <w:pPr>
        <w:pageBreakBefore w:val="0"/>
        <w:kinsoku/>
        <w:wordWrap w:val="0"/>
        <w:overflowPunct/>
        <w:topLinePunct/>
        <w:autoSpaceDE/>
        <w:autoSpaceDN/>
        <w:bidi w:val="0"/>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项目名称：</w:t>
      </w:r>
    </w:p>
    <w:p w14:paraId="7A80C886">
      <w:pPr>
        <w:pageBreakBefore w:val="0"/>
        <w:kinsoku/>
        <w:wordWrap w:val="0"/>
        <w:overflowPunct/>
        <w:topLinePunct/>
        <w:autoSpaceDE/>
        <w:autoSpaceDN/>
        <w:bidi w:val="0"/>
        <w:snapToGrid w:val="0"/>
        <w:spacing w:before="156" w:beforeLines="50" w:after="50"/>
        <w:ind w:firstLine="720" w:firstLineChars="225"/>
        <w:rPr>
          <w:rFonts w:hint="eastAsia" w:ascii="宋体" w:hAnsi="宋体" w:eastAsia="宋体" w:cs="宋体"/>
          <w:bCs/>
          <w:color w:val="auto"/>
          <w:spacing w:val="0"/>
          <w:position w:val="0"/>
          <w:sz w:val="32"/>
          <w:szCs w:val="32"/>
          <w:highlight w:val="none"/>
        </w:rPr>
      </w:pPr>
    </w:p>
    <w:p w14:paraId="1C32393E">
      <w:pPr>
        <w:pageBreakBefore w:val="0"/>
        <w:kinsoku/>
        <w:wordWrap w:val="0"/>
        <w:overflowPunct/>
        <w:topLinePunct/>
        <w:autoSpaceDE/>
        <w:autoSpaceDN/>
        <w:bidi w:val="0"/>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项目编号：</w:t>
      </w:r>
    </w:p>
    <w:p w14:paraId="21BF8165">
      <w:pPr>
        <w:pageBreakBefore w:val="0"/>
        <w:kinsoku/>
        <w:wordWrap w:val="0"/>
        <w:overflowPunct/>
        <w:topLinePunct/>
        <w:autoSpaceDE/>
        <w:autoSpaceDN/>
        <w:bidi w:val="0"/>
        <w:snapToGrid w:val="0"/>
        <w:spacing w:before="156" w:beforeLines="50" w:after="50"/>
        <w:ind w:firstLine="720" w:firstLineChars="225"/>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 xml:space="preserve"> </w:t>
      </w:r>
    </w:p>
    <w:p w14:paraId="4C63BB91">
      <w:pPr>
        <w:pStyle w:val="9"/>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供应商名称：</w:t>
      </w:r>
    </w:p>
    <w:p w14:paraId="419B9B03">
      <w:pPr>
        <w:pStyle w:val="9"/>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rPr>
      </w:pPr>
    </w:p>
    <w:p w14:paraId="35FEC713">
      <w:pPr>
        <w:pStyle w:val="9"/>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lang w:eastAsia="zh-CN"/>
        </w:rPr>
      </w:pPr>
      <w:r>
        <w:rPr>
          <w:rFonts w:hint="eastAsia" w:ascii="宋体" w:hAnsi="宋体" w:eastAsia="宋体" w:cs="宋体"/>
          <w:bCs/>
          <w:color w:val="auto"/>
          <w:spacing w:val="0"/>
          <w:position w:val="0"/>
          <w:sz w:val="32"/>
          <w:szCs w:val="32"/>
          <w:highlight w:val="none"/>
          <w:lang w:eastAsia="zh-CN"/>
        </w:rPr>
        <w:t>供应商地址：</w:t>
      </w:r>
    </w:p>
    <w:p w14:paraId="186D3078">
      <w:pPr>
        <w:pStyle w:val="9"/>
        <w:pageBreakBefore w:val="0"/>
        <w:kinsoku/>
        <w:wordWrap w:val="0"/>
        <w:overflowPunct/>
        <w:topLinePunct/>
        <w:autoSpaceDE/>
        <w:autoSpaceDN/>
        <w:bidi w:val="0"/>
        <w:snapToGrid w:val="0"/>
        <w:spacing w:before="50" w:after="50"/>
        <w:ind w:firstLine="640" w:firstLineChars="200"/>
        <w:rPr>
          <w:rFonts w:hint="eastAsia" w:ascii="宋体" w:hAnsi="宋体" w:eastAsia="宋体" w:cs="宋体"/>
          <w:bCs/>
          <w:color w:val="auto"/>
          <w:spacing w:val="0"/>
          <w:position w:val="0"/>
          <w:sz w:val="32"/>
          <w:szCs w:val="32"/>
          <w:highlight w:val="none"/>
        </w:rPr>
      </w:pPr>
    </w:p>
    <w:p w14:paraId="7362A402">
      <w:pPr>
        <w:pStyle w:val="9"/>
        <w:pageBreakBefore w:val="0"/>
        <w:kinsoku/>
        <w:wordWrap w:val="0"/>
        <w:overflowPunct/>
        <w:topLinePunct/>
        <w:autoSpaceDE/>
        <w:autoSpaceDN/>
        <w:bidi w:val="0"/>
        <w:snapToGrid w:val="0"/>
        <w:spacing w:before="50" w:after="50"/>
        <w:ind w:firstLine="720" w:firstLineChars="225"/>
        <w:rPr>
          <w:rFonts w:hint="eastAsia" w:ascii="宋体" w:hAnsi="宋体" w:eastAsia="宋体" w:cs="宋体"/>
          <w:bCs/>
          <w:color w:val="auto"/>
          <w:spacing w:val="0"/>
          <w:position w:val="0"/>
          <w:sz w:val="32"/>
          <w:szCs w:val="32"/>
          <w:highlight w:val="none"/>
        </w:rPr>
      </w:pPr>
    </w:p>
    <w:p w14:paraId="75628CF8">
      <w:pPr>
        <w:pStyle w:val="9"/>
        <w:pageBreakBefore w:val="0"/>
        <w:kinsoku/>
        <w:wordWrap w:val="0"/>
        <w:overflowPunct/>
        <w:topLinePunct/>
        <w:autoSpaceDE/>
        <w:autoSpaceDN/>
        <w:bidi w:val="0"/>
        <w:snapToGrid w:val="0"/>
        <w:spacing w:before="50" w:after="50"/>
        <w:ind w:firstLine="0"/>
        <w:rPr>
          <w:rFonts w:hint="eastAsia" w:ascii="宋体" w:hAnsi="宋体" w:eastAsia="宋体" w:cs="宋体"/>
          <w:bCs/>
          <w:color w:val="auto"/>
          <w:spacing w:val="0"/>
          <w:position w:val="0"/>
          <w:sz w:val="32"/>
          <w:szCs w:val="32"/>
          <w:highlight w:val="none"/>
        </w:rPr>
      </w:pPr>
    </w:p>
    <w:p w14:paraId="679BDF2F">
      <w:pPr>
        <w:pStyle w:val="9"/>
        <w:pageBreakBefore w:val="0"/>
        <w:kinsoku/>
        <w:wordWrap w:val="0"/>
        <w:overflowPunct/>
        <w:topLinePunct/>
        <w:autoSpaceDE/>
        <w:autoSpaceDN/>
        <w:bidi w:val="0"/>
        <w:snapToGrid w:val="0"/>
        <w:spacing w:before="50" w:after="50"/>
        <w:ind w:firstLine="1280" w:firstLineChars="400"/>
        <w:rPr>
          <w:rFonts w:hint="eastAsia" w:ascii="宋体" w:hAnsi="宋体" w:eastAsia="宋体" w:cs="宋体"/>
          <w:bCs/>
          <w:color w:val="auto"/>
          <w:spacing w:val="0"/>
          <w:position w:val="0"/>
          <w:sz w:val="32"/>
          <w:szCs w:val="32"/>
          <w:highlight w:val="none"/>
        </w:rPr>
      </w:pPr>
    </w:p>
    <w:p w14:paraId="6E6E9CAA">
      <w:pPr>
        <w:pageBreakBefore w:val="0"/>
        <w:kinsoku/>
        <w:wordWrap w:val="0"/>
        <w:overflowPunct/>
        <w:topLinePunct/>
        <w:autoSpaceDE/>
        <w:autoSpaceDN/>
        <w:bidi w:val="0"/>
        <w:snapToGrid w:val="0"/>
        <w:spacing w:before="156" w:beforeLines="50" w:after="50"/>
        <w:jc w:val="center"/>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32"/>
          <w:szCs w:val="32"/>
          <w:highlight w:val="none"/>
        </w:rPr>
        <w:t>年    月    日</w:t>
      </w:r>
    </w:p>
    <w:p w14:paraId="5E3A85C0">
      <w:pPr>
        <w:pageBreakBefore w:val="0"/>
        <w:kinsoku/>
        <w:wordWrap w:val="0"/>
        <w:overflowPunct/>
        <w:topLinePunct/>
        <w:autoSpaceDE/>
        <w:autoSpaceDN/>
        <w:bidi w:val="0"/>
        <w:snapToGrid w:val="0"/>
        <w:spacing w:before="156" w:beforeLines="50" w:after="50" w:line="360" w:lineRule="auto"/>
        <w:ind w:left="142"/>
        <w:jc w:val="left"/>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Cs w:val="21"/>
          <w:highlight w:val="none"/>
        </w:rPr>
        <w:br w:type="page"/>
      </w:r>
      <w:r>
        <w:rPr>
          <w:rFonts w:hint="eastAsia" w:ascii="宋体" w:hAnsi="宋体" w:eastAsia="宋体" w:cs="宋体"/>
          <w:b/>
          <w:bCs/>
          <w:color w:val="auto"/>
          <w:spacing w:val="0"/>
          <w:position w:val="0"/>
          <w:sz w:val="32"/>
          <w:szCs w:val="32"/>
          <w:highlight w:val="none"/>
        </w:rPr>
        <w:t>2.报价文件目录</w:t>
      </w:r>
    </w:p>
    <w:p w14:paraId="28AC75C5">
      <w:pPr>
        <w:pageBreakBefore w:val="0"/>
        <w:kinsoku/>
        <w:wordWrap w:val="0"/>
        <w:overflowPunct/>
        <w:topLinePunct/>
        <w:autoSpaceDE/>
        <w:autoSpaceDN/>
        <w:bidi w:val="0"/>
        <w:adjustRightInd w:val="0"/>
        <w:spacing w:line="360" w:lineRule="auto"/>
        <w:ind w:firstLine="640" w:firstLineChars="200"/>
        <w:rPr>
          <w:rFonts w:hint="eastAsia" w:ascii="宋体" w:hAnsi="宋体" w:eastAsia="宋体" w:cs="宋体"/>
          <w:b/>
          <w:bCs/>
          <w:color w:val="auto"/>
          <w:spacing w:val="0"/>
          <w:position w:val="0"/>
          <w:sz w:val="32"/>
          <w:szCs w:val="32"/>
          <w:highlight w:val="none"/>
        </w:rPr>
      </w:pPr>
      <w:r>
        <w:rPr>
          <w:rFonts w:hint="eastAsia" w:ascii="宋体" w:hAnsi="宋体" w:eastAsia="宋体" w:cs="宋体"/>
          <w:color w:val="auto"/>
          <w:spacing w:val="0"/>
          <w:position w:val="0"/>
          <w:sz w:val="32"/>
          <w:szCs w:val="32"/>
          <w:highlight w:val="none"/>
        </w:rPr>
        <w:t>根据磋商文件规定及供应商提供的材料自行编写目录（部分格式后附）。</w:t>
      </w:r>
      <w:r>
        <w:rPr>
          <w:rFonts w:hint="eastAsia" w:ascii="宋体" w:hAnsi="宋体" w:eastAsia="宋体" w:cs="宋体"/>
          <w:b/>
          <w:bCs/>
          <w:color w:val="auto"/>
          <w:spacing w:val="0"/>
          <w:position w:val="0"/>
          <w:sz w:val="32"/>
          <w:szCs w:val="32"/>
          <w:highlight w:val="none"/>
        </w:rPr>
        <w:br w:type="page"/>
      </w:r>
    </w:p>
    <w:p w14:paraId="657000EA">
      <w:pPr>
        <w:pStyle w:val="40"/>
        <w:keepNext w:val="0"/>
        <w:keepLines w:val="0"/>
        <w:pageBreakBefore w:val="0"/>
        <w:widowControl w:val="0"/>
        <w:kinsoku/>
        <w:wordWrap w:val="0"/>
        <w:overflowPunct/>
        <w:topLinePunct/>
        <w:autoSpaceDE/>
        <w:autoSpaceDN/>
        <w:bidi w:val="0"/>
        <w:adjustRightInd w:val="0"/>
        <w:snapToGrid/>
        <w:jc w:val="center"/>
        <w:textAlignment w:val="auto"/>
        <w:rPr>
          <w:rFonts w:hint="eastAsia" w:ascii="宋体" w:hAnsi="宋体" w:eastAsia="宋体" w:cs="宋体"/>
          <w:b/>
          <w:bCs/>
          <w:color w:val="auto"/>
          <w:spacing w:val="0"/>
          <w:position w:val="0"/>
          <w:sz w:val="32"/>
          <w:szCs w:val="32"/>
          <w:highlight w:val="none"/>
          <w:lang w:eastAsia="zh-CN"/>
        </w:rPr>
      </w:pPr>
      <w:r>
        <w:rPr>
          <w:rFonts w:hint="eastAsia" w:ascii="宋体" w:hAnsi="宋体" w:eastAsia="宋体" w:cs="宋体"/>
          <w:b/>
          <w:bCs/>
          <w:color w:val="auto"/>
          <w:spacing w:val="0"/>
          <w:position w:val="0"/>
          <w:sz w:val="32"/>
          <w:szCs w:val="32"/>
          <w:highlight w:val="none"/>
        </w:rPr>
        <w:t>磋商函</w:t>
      </w:r>
      <w:r>
        <w:rPr>
          <w:rFonts w:hint="eastAsia" w:ascii="宋体" w:hAnsi="宋体" w:eastAsia="宋体" w:cs="宋体"/>
          <w:b/>
          <w:bCs/>
          <w:color w:val="auto"/>
          <w:spacing w:val="0"/>
          <w:position w:val="0"/>
          <w:sz w:val="32"/>
          <w:szCs w:val="32"/>
          <w:highlight w:val="none"/>
          <w:lang w:eastAsia="zh-CN"/>
        </w:rPr>
        <w:t>（格式）</w:t>
      </w:r>
    </w:p>
    <w:p w14:paraId="66FC776A">
      <w:pPr>
        <w:pStyle w:val="40"/>
        <w:keepNext w:val="0"/>
        <w:keepLines w:val="0"/>
        <w:pageBreakBefore w:val="0"/>
        <w:widowControl w:val="0"/>
        <w:kinsoku/>
        <w:wordWrap w:val="0"/>
        <w:overflowPunct/>
        <w:topLinePunct/>
        <w:autoSpaceDE/>
        <w:autoSpaceDN/>
        <w:bidi w:val="0"/>
        <w:adjustRightInd w:val="0"/>
        <w:snapToGrid/>
        <w:jc w:val="both"/>
        <w:textAlignment w:val="auto"/>
        <w:rPr>
          <w:rFonts w:hint="eastAsia" w:ascii="宋体" w:hAnsi="宋体" w:eastAsia="宋体" w:cs="宋体"/>
          <w:b w:val="0"/>
          <w:bCs w:val="0"/>
          <w:color w:val="auto"/>
          <w:spacing w:val="0"/>
          <w:position w:val="0"/>
          <w:sz w:val="21"/>
          <w:szCs w:val="24"/>
          <w:highlight w:val="none"/>
        </w:rPr>
      </w:pPr>
    </w:p>
    <w:p w14:paraId="6182F2D7">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致：</w:t>
      </w:r>
      <w:r>
        <w:rPr>
          <w:rFonts w:hint="eastAsia" w:ascii="宋体" w:hAnsi="宋体" w:eastAsia="宋体" w:cs="宋体"/>
          <w:color w:val="auto"/>
          <w:spacing w:val="0"/>
          <w:position w:val="0"/>
          <w:sz w:val="22"/>
          <w:szCs w:val="22"/>
          <w:highlight w:val="none"/>
          <w:u w:val="single"/>
        </w:rPr>
        <w:t>（采购人名称）</w:t>
      </w:r>
    </w:p>
    <w:p w14:paraId="11ED7B15">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1、根据你方项目编号为</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u w:val="single"/>
          <w:lang w:eastAsia="zh-CN"/>
        </w:rPr>
        <w:t>（</w:t>
      </w:r>
      <w:r>
        <w:rPr>
          <w:rFonts w:hint="eastAsia" w:ascii="宋体" w:hAnsi="宋体" w:eastAsia="宋体" w:cs="宋体"/>
          <w:b w:val="0"/>
          <w:bCs w:val="0"/>
          <w:color w:val="auto"/>
          <w:spacing w:val="0"/>
          <w:position w:val="0"/>
          <w:sz w:val="21"/>
          <w:szCs w:val="24"/>
          <w:highlight w:val="none"/>
          <w:u w:val="single"/>
        </w:rPr>
        <w:t>项目编号</w:t>
      </w:r>
      <w:r>
        <w:rPr>
          <w:rFonts w:hint="eastAsia" w:ascii="宋体" w:hAnsi="宋体" w:eastAsia="宋体" w:cs="宋体"/>
          <w:b w:val="0"/>
          <w:bCs w:val="0"/>
          <w:color w:val="auto"/>
          <w:spacing w:val="0"/>
          <w:position w:val="0"/>
          <w:sz w:val="21"/>
          <w:szCs w:val="24"/>
          <w:highlight w:val="none"/>
          <w:u w:val="single"/>
          <w:lang w:eastAsia="zh-CN"/>
        </w:rPr>
        <w:t>）</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rPr>
        <w:t>的</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u w:val="single"/>
          <w:lang w:eastAsia="zh-CN"/>
        </w:rPr>
        <w:t>（</w:t>
      </w:r>
      <w:r>
        <w:rPr>
          <w:rFonts w:hint="eastAsia" w:ascii="宋体" w:hAnsi="宋体" w:eastAsia="宋体" w:cs="宋体"/>
          <w:b w:val="0"/>
          <w:bCs w:val="0"/>
          <w:color w:val="auto"/>
          <w:spacing w:val="0"/>
          <w:position w:val="0"/>
          <w:sz w:val="21"/>
          <w:szCs w:val="24"/>
          <w:highlight w:val="none"/>
          <w:u w:val="single"/>
        </w:rPr>
        <w:t>项目名称</w:t>
      </w:r>
      <w:r>
        <w:rPr>
          <w:rFonts w:hint="eastAsia" w:ascii="宋体" w:hAnsi="宋体" w:eastAsia="宋体" w:cs="宋体"/>
          <w:b w:val="0"/>
          <w:bCs w:val="0"/>
          <w:color w:val="auto"/>
          <w:spacing w:val="0"/>
          <w:position w:val="0"/>
          <w:sz w:val="21"/>
          <w:szCs w:val="24"/>
          <w:highlight w:val="none"/>
          <w:u w:val="single"/>
          <w:lang w:eastAsia="zh-CN"/>
        </w:rPr>
        <w:t>）</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rPr>
        <w:t>工程竞争性磋商文件，遵照《中华人民共和国</w:t>
      </w:r>
      <w:r>
        <w:rPr>
          <w:rFonts w:hint="eastAsia" w:ascii="宋体" w:hAnsi="宋体" w:eastAsia="宋体" w:cs="宋体"/>
          <w:b w:val="0"/>
          <w:bCs w:val="0"/>
          <w:color w:val="auto"/>
          <w:spacing w:val="0"/>
          <w:position w:val="0"/>
          <w:sz w:val="21"/>
          <w:szCs w:val="24"/>
          <w:highlight w:val="none"/>
          <w:lang w:eastAsia="zh-CN"/>
        </w:rPr>
        <w:t>政府</w:t>
      </w:r>
      <w:r>
        <w:rPr>
          <w:rFonts w:hint="eastAsia" w:ascii="宋体" w:hAnsi="宋体" w:eastAsia="宋体" w:cs="宋体"/>
          <w:b w:val="0"/>
          <w:bCs w:val="0"/>
          <w:color w:val="auto"/>
          <w:spacing w:val="0"/>
          <w:position w:val="0"/>
          <w:sz w:val="21"/>
          <w:szCs w:val="24"/>
          <w:highlight w:val="none"/>
        </w:rPr>
        <w:t>采购法》、《中华人民共和国</w:t>
      </w:r>
      <w:r>
        <w:rPr>
          <w:rFonts w:hint="eastAsia" w:ascii="宋体" w:hAnsi="宋体" w:eastAsia="宋体" w:cs="宋体"/>
          <w:b w:val="0"/>
          <w:bCs w:val="0"/>
          <w:color w:val="auto"/>
          <w:spacing w:val="0"/>
          <w:position w:val="0"/>
          <w:sz w:val="21"/>
          <w:szCs w:val="24"/>
          <w:highlight w:val="none"/>
          <w:lang w:eastAsia="zh-CN"/>
        </w:rPr>
        <w:t>政府</w:t>
      </w:r>
      <w:r>
        <w:rPr>
          <w:rFonts w:hint="eastAsia" w:ascii="宋体" w:hAnsi="宋体" w:eastAsia="宋体" w:cs="宋体"/>
          <w:b w:val="0"/>
          <w:bCs w:val="0"/>
          <w:color w:val="auto"/>
          <w:spacing w:val="0"/>
          <w:position w:val="0"/>
          <w:sz w:val="21"/>
          <w:szCs w:val="24"/>
          <w:highlight w:val="none"/>
        </w:rPr>
        <w:t>采购法实施条例》、《</w:t>
      </w:r>
      <w:r>
        <w:rPr>
          <w:rFonts w:hint="eastAsia" w:ascii="宋体" w:hAnsi="宋体" w:eastAsia="宋体" w:cs="宋体"/>
          <w:b w:val="0"/>
          <w:bCs w:val="0"/>
          <w:color w:val="auto"/>
          <w:spacing w:val="0"/>
          <w:position w:val="0"/>
          <w:sz w:val="21"/>
          <w:szCs w:val="24"/>
          <w:highlight w:val="none"/>
          <w:lang w:eastAsia="zh-CN"/>
        </w:rPr>
        <w:t>政府</w:t>
      </w:r>
      <w:r>
        <w:rPr>
          <w:rFonts w:hint="eastAsia" w:ascii="宋体" w:hAnsi="宋体" w:eastAsia="宋体" w:cs="宋体"/>
          <w:b w:val="0"/>
          <w:bCs w:val="0"/>
          <w:color w:val="auto"/>
          <w:spacing w:val="0"/>
          <w:position w:val="0"/>
          <w:sz w:val="21"/>
          <w:szCs w:val="24"/>
          <w:highlight w:val="none"/>
        </w:rPr>
        <w:t>采购竞争性磋商采购方式管理暂行办法》等有关规定，经踏勘项目现场和研究上述竞争性磋商文件的磋商须知、合同 条款、图纸、工程建设标准和工程量清单及其他有关文件后，我方愿以人民币</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大 写</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u w:val="single"/>
          <w:lang w:val="en-US" w:eastAsia="zh-CN"/>
        </w:rPr>
        <w:t xml:space="preserve">               </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u w:val="single"/>
          <w:lang w:eastAsia="zh-CN"/>
        </w:rPr>
        <w:t>（</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u w:val="single"/>
          <w:lang w:val="en-US" w:eastAsia="zh-CN"/>
        </w:rPr>
        <w:t xml:space="preserve">     </w:t>
      </w:r>
      <w:r>
        <w:rPr>
          <w:rFonts w:hint="eastAsia" w:ascii="宋体" w:hAnsi="宋体" w:eastAsia="宋体" w:cs="宋体"/>
          <w:b w:val="0"/>
          <w:bCs w:val="0"/>
          <w:color w:val="auto"/>
          <w:spacing w:val="0"/>
          <w:position w:val="0"/>
          <w:sz w:val="21"/>
          <w:szCs w:val="24"/>
          <w:highlight w:val="none"/>
          <w:u w:val="single"/>
        </w:rPr>
        <w:t xml:space="preserve">   元</w:t>
      </w:r>
      <w:r>
        <w:rPr>
          <w:rFonts w:hint="eastAsia" w:ascii="宋体" w:hAnsi="宋体" w:eastAsia="宋体" w:cs="宋体"/>
          <w:b w:val="0"/>
          <w:bCs w:val="0"/>
          <w:color w:val="auto"/>
          <w:spacing w:val="0"/>
          <w:position w:val="0"/>
          <w:sz w:val="21"/>
          <w:szCs w:val="24"/>
          <w:highlight w:val="none"/>
          <w:u w:val="single"/>
          <w:lang w:eastAsia="zh-CN"/>
        </w:rPr>
        <w:t>）</w:t>
      </w:r>
      <w:r>
        <w:rPr>
          <w:rFonts w:hint="eastAsia" w:ascii="宋体" w:hAnsi="宋体" w:eastAsia="宋体" w:cs="宋体"/>
          <w:b w:val="0"/>
          <w:bCs w:val="0"/>
          <w:color w:val="auto"/>
          <w:spacing w:val="0"/>
          <w:position w:val="0"/>
          <w:sz w:val="21"/>
          <w:szCs w:val="24"/>
          <w:highlight w:val="none"/>
        </w:rPr>
        <w:t>的磋商报价并按上述图纸、合同条款、工程建设标准和工程量清单</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如有时</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的条件要求承包上述工程的施工、竣工，并承担任何质量缺陷保修责任。我方保证工程质量</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u w:val="single"/>
          <w:lang w:val="en-US" w:eastAsia="zh-CN"/>
        </w:rPr>
        <w:t xml:space="preserve">                 </w:t>
      </w:r>
      <w:r>
        <w:rPr>
          <w:rFonts w:hint="eastAsia" w:ascii="宋体" w:hAnsi="宋体" w:eastAsia="宋体" w:cs="宋体"/>
          <w:b w:val="0"/>
          <w:bCs w:val="0"/>
          <w:color w:val="auto"/>
          <w:spacing w:val="0"/>
          <w:position w:val="0"/>
          <w:sz w:val="21"/>
          <w:szCs w:val="24"/>
          <w:highlight w:val="none"/>
        </w:rPr>
        <w:t>。</w:t>
      </w:r>
    </w:p>
    <w:p w14:paraId="71F0A0C8">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2、我方已详细审核全部竞争性磋商文件，包括修改文件</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如有时</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及有关附件。</w:t>
      </w:r>
    </w:p>
    <w:p w14:paraId="45C61F2E">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3、我方承认磋商函附录是我方磋商函的组成部分。</w:t>
      </w:r>
    </w:p>
    <w:p w14:paraId="57B6450A">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4、我方承诺已经具备《</w:t>
      </w:r>
      <w:r>
        <w:rPr>
          <w:rFonts w:hint="eastAsia" w:ascii="宋体" w:hAnsi="宋体" w:eastAsia="宋体" w:cs="宋体"/>
          <w:b w:val="0"/>
          <w:bCs w:val="0"/>
          <w:color w:val="auto"/>
          <w:spacing w:val="0"/>
          <w:position w:val="0"/>
          <w:sz w:val="21"/>
          <w:szCs w:val="24"/>
          <w:highlight w:val="none"/>
          <w:lang w:eastAsia="zh-CN"/>
        </w:rPr>
        <w:t>中华人民共和国政府采购法</w:t>
      </w:r>
      <w:r>
        <w:rPr>
          <w:rFonts w:hint="eastAsia" w:ascii="宋体" w:hAnsi="宋体" w:eastAsia="宋体" w:cs="宋体"/>
          <w:b w:val="0"/>
          <w:bCs w:val="0"/>
          <w:color w:val="auto"/>
          <w:spacing w:val="0"/>
          <w:position w:val="0"/>
          <w:sz w:val="21"/>
          <w:szCs w:val="24"/>
          <w:highlight w:val="none"/>
        </w:rPr>
        <w:t>》中规定的参加招标投标采购活动的供应商应当具备的条件：</w:t>
      </w:r>
    </w:p>
    <w:p w14:paraId="0C5E6EF8">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1</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具有独立承担民事责任的能力；</w:t>
      </w:r>
    </w:p>
    <w:p w14:paraId="31A53524">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2</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具有良好的商业信誉和健全的财务会计制度；</w:t>
      </w:r>
    </w:p>
    <w:p w14:paraId="2F656EA7">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3</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具有履行合同所必需的设备和专业技术能力；</w:t>
      </w:r>
    </w:p>
    <w:p w14:paraId="756D667C">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4</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有依法缴纳税收和社会保障资金的良好记录；</w:t>
      </w:r>
    </w:p>
    <w:p w14:paraId="782AA918">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5</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参加招标投标采购活动前三年内，在经营活动中没有重大违法记录；</w:t>
      </w:r>
    </w:p>
    <w:p w14:paraId="49379A35">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6</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法律、行政法规规定的其他条件。</w:t>
      </w:r>
    </w:p>
    <w:p w14:paraId="7EE4D900">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5、一旦我方成交，我方保证按合同书中规定的工期</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u w:val="single"/>
          <w:lang w:val="en-US" w:eastAsia="zh-CN"/>
        </w:rPr>
        <w:t xml:space="preserve">     </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u w:val="none"/>
        </w:rPr>
        <w:t>日</w:t>
      </w:r>
      <w:r>
        <w:rPr>
          <w:rFonts w:hint="eastAsia" w:ascii="宋体" w:hAnsi="宋体" w:eastAsia="宋体" w:cs="宋体"/>
          <w:b w:val="0"/>
          <w:bCs w:val="0"/>
          <w:color w:val="auto"/>
          <w:spacing w:val="0"/>
          <w:position w:val="0"/>
          <w:sz w:val="21"/>
          <w:szCs w:val="24"/>
          <w:highlight w:val="none"/>
        </w:rPr>
        <w:t>历天内完成并移交全部工程。</w:t>
      </w:r>
    </w:p>
    <w:p w14:paraId="77F96AC4">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val="en-US" w:eastAsia="zh-CN"/>
        </w:rPr>
        <w:t>6</w:t>
      </w:r>
      <w:r>
        <w:rPr>
          <w:rFonts w:hint="eastAsia" w:ascii="宋体" w:hAnsi="宋体" w:eastAsia="宋体" w:cs="宋体"/>
          <w:b w:val="0"/>
          <w:bCs w:val="0"/>
          <w:color w:val="auto"/>
          <w:spacing w:val="0"/>
          <w:position w:val="0"/>
          <w:sz w:val="21"/>
          <w:szCs w:val="24"/>
          <w:highlight w:val="none"/>
        </w:rPr>
        <w:t>、我方同意所提交的响应文件在竞争性磋商文件的“磋商须知”中第 11 条规定的响应文件有效期内有效，在此期间内如果成交，我方将受此约束。</w:t>
      </w:r>
    </w:p>
    <w:p w14:paraId="5F49C07D">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val="en-US" w:eastAsia="zh-CN"/>
        </w:rPr>
        <w:t>7</w:t>
      </w:r>
      <w:r>
        <w:rPr>
          <w:rFonts w:hint="eastAsia" w:ascii="宋体" w:hAnsi="宋体" w:eastAsia="宋体" w:cs="宋体"/>
          <w:b w:val="0"/>
          <w:bCs w:val="0"/>
          <w:color w:val="auto"/>
          <w:spacing w:val="0"/>
          <w:position w:val="0"/>
          <w:sz w:val="21"/>
          <w:szCs w:val="24"/>
          <w:highlight w:val="none"/>
        </w:rPr>
        <w:t>、除非另外达成协议并生效，你方的成交通知书和本响应文件将成为约束双方的合同文件的组成部分。</w:t>
      </w:r>
    </w:p>
    <w:p w14:paraId="403FCE9F">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p>
    <w:p w14:paraId="3967C67E">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供 应 商（电子签章）：</w:t>
      </w:r>
      <w:r>
        <w:rPr>
          <w:rFonts w:hint="eastAsia" w:ascii="宋体" w:hAnsi="宋体" w:eastAsia="宋体" w:cs="宋体"/>
          <w:b w:val="0"/>
          <w:bCs w:val="0"/>
          <w:color w:val="auto"/>
          <w:spacing w:val="0"/>
          <w:position w:val="0"/>
          <w:sz w:val="21"/>
          <w:szCs w:val="21"/>
          <w:highlight w:val="none"/>
          <w:u w:val="single"/>
        </w:rPr>
        <w:t xml:space="preserve">      </w:t>
      </w:r>
      <w:r>
        <w:rPr>
          <w:rFonts w:hint="eastAsia" w:ascii="宋体" w:hAnsi="宋体" w:eastAsia="宋体" w:cs="宋体"/>
          <w:b w:val="0"/>
          <w:bCs w:val="0"/>
          <w:color w:val="auto"/>
          <w:spacing w:val="0"/>
          <w:position w:val="0"/>
          <w:sz w:val="21"/>
          <w:szCs w:val="21"/>
          <w:highlight w:val="none"/>
          <w:u w:val="single"/>
          <w:lang w:val="en-US" w:eastAsia="zh-CN"/>
        </w:rPr>
        <w:t xml:space="preserve">    </w:t>
      </w:r>
      <w:r>
        <w:rPr>
          <w:rFonts w:hint="eastAsia" w:ascii="宋体" w:hAnsi="宋体" w:eastAsia="宋体" w:cs="宋体"/>
          <w:b w:val="0"/>
          <w:bCs w:val="0"/>
          <w:color w:val="auto"/>
          <w:spacing w:val="0"/>
          <w:position w:val="0"/>
          <w:sz w:val="21"/>
          <w:szCs w:val="21"/>
          <w:highlight w:val="none"/>
          <w:u w:val="single"/>
        </w:rPr>
        <w:t xml:space="preserve">       </w:t>
      </w:r>
    </w:p>
    <w:p w14:paraId="2EF0E744">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法定代表人或其委托代理人</w:t>
      </w:r>
      <w:r>
        <w:rPr>
          <w:rFonts w:hint="eastAsia" w:ascii="宋体" w:hAnsi="宋体" w:eastAsia="宋体" w:cs="宋体"/>
          <w:color w:val="auto"/>
          <w:spacing w:val="0"/>
          <w:position w:val="0"/>
          <w:sz w:val="21"/>
          <w:szCs w:val="21"/>
          <w:highlight w:val="none"/>
        </w:rPr>
        <w:t>（签字或者电子签名）</w:t>
      </w:r>
      <w:r>
        <w:rPr>
          <w:rFonts w:hint="eastAsia" w:ascii="宋体" w:hAnsi="宋体" w:eastAsia="宋体" w:cs="宋体"/>
          <w:b w:val="0"/>
          <w:bCs w:val="0"/>
          <w:color w:val="auto"/>
          <w:spacing w:val="0"/>
          <w:position w:val="0"/>
          <w:sz w:val="21"/>
          <w:szCs w:val="21"/>
          <w:highlight w:val="none"/>
        </w:rPr>
        <w:t>：</w:t>
      </w:r>
      <w:r>
        <w:rPr>
          <w:rFonts w:hint="eastAsia" w:ascii="宋体" w:hAnsi="宋体" w:eastAsia="宋体" w:cs="宋体"/>
          <w:b w:val="0"/>
          <w:bCs w:val="0"/>
          <w:color w:val="auto"/>
          <w:spacing w:val="0"/>
          <w:position w:val="0"/>
          <w:sz w:val="21"/>
          <w:szCs w:val="21"/>
          <w:highlight w:val="none"/>
          <w:u w:val="single"/>
          <w:lang w:val="en-US" w:eastAsia="zh-CN"/>
        </w:rPr>
        <w:t xml:space="preserve">         </w:t>
      </w:r>
      <w:r>
        <w:rPr>
          <w:rFonts w:hint="eastAsia" w:ascii="宋体" w:hAnsi="宋体" w:eastAsia="宋体" w:cs="宋体"/>
          <w:b w:val="0"/>
          <w:bCs w:val="0"/>
          <w:color w:val="auto"/>
          <w:spacing w:val="0"/>
          <w:position w:val="0"/>
          <w:sz w:val="21"/>
          <w:szCs w:val="21"/>
          <w:highlight w:val="none"/>
        </w:rPr>
        <w:t xml:space="preserve">    </w:t>
      </w:r>
    </w:p>
    <w:p w14:paraId="09510A5A">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 xml:space="preserve">单位地址：     </w:t>
      </w:r>
    </w:p>
    <w:p w14:paraId="7B449480">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 xml:space="preserve">邮政编码：   </w:t>
      </w:r>
      <w:r>
        <w:rPr>
          <w:rFonts w:hint="eastAsia" w:ascii="宋体" w:hAnsi="宋体" w:eastAsia="宋体" w:cs="宋体"/>
          <w:b w:val="0"/>
          <w:bCs w:val="0"/>
          <w:color w:val="auto"/>
          <w:spacing w:val="0"/>
          <w:position w:val="0"/>
          <w:sz w:val="21"/>
          <w:szCs w:val="21"/>
          <w:highlight w:val="none"/>
          <w:lang w:val="en-US" w:eastAsia="zh-CN"/>
        </w:rPr>
        <w:t xml:space="preserve">      </w:t>
      </w:r>
      <w:r>
        <w:rPr>
          <w:rFonts w:hint="eastAsia" w:ascii="宋体" w:hAnsi="宋体" w:eastAsia="宋体" w:cs="宋体"/>
          <w:b w:val="0"/>
          <w:bCs w:val="0"/>
          <w:color w:val="auto"/>
          <w:spacing w:val="0"/>
          <w:position w:val="0"/>
          <w:sz w:val="21"/>
          <w:szCs w:val="21"/>
          <w:highlight w:val="none"/>
        </w:rPr>
        <w:t xml:space="preserve">  电话：   </w:t>
      </w:r>
      <w:r>
        <w:rPr>
          <w:rFonts w:hint="eastAsia" w:ascii="宋体" w:hAnsi="宋体" w:eastAsia="宋体" w:cs="宋体"/>
          <w:b w:val="0"/>
          <w:bCs w:val="0"/>
          <w:color w:val="auto"/>
          <w:spacing w:val="0"/>
          <w:position w:val="0"/>
          <w:sz w:val="21"/>
          <w:szCs w:val="21"/>
          <w:highlight w:val="none"/>
          <w:lang w:val="en-US" w:eastAsia="zh-CN"/>
        </w:rPr>
        <w:t xml:space="preserve">      </w:t>
      </w:r>
      <w:r>
        <w:rPr>
          <w:rFonts w:hint="eastAsia" w:ascii="宋体" w:hAnsi="宋体" w:eastAsia="宋体" w:cs="宋体"/>
          <w:b w:val="0"/>
          <w:bCs w:val="0"/>
          <w:color w:val="auto"/>
          <w:spacing w:val="0"/>
          <w:position w:val="0"/>
          <w:sz w:val="21"/>
          <w:szCs w:val="21"/>
          <w:highlight w:val="none"/>
        </w:rPr>
        <w:t xml:space="preserve">   传真：</w:t>
      </w:r>
    </w:p>
    <w:p w14:paraId="66661481">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开户银行名称：</w:t>
      </w:r>
    </w:p>
    <w:p w14:paraId="61F7BD6B">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开户银行账号：</w:t>
      </w:r>
    </w:p>
    <w:p w14:paraId="0AAE6A66">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开户银行地址：</w:t>
      </w:r>
    </w:p>
    <w:p w14:paraId="36F9F17A">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 xml:space="preserve">日期：   </w:t>
      </w:r>
      <w:r>
        <w:rPr>
          <w:rFonts w:hint="eastAsia" w:ascii="宋体" w:hAnsi="宋体" w:eastAsia="宋体" w:cs="宋体"/>
          <w:b w:val="0"/>
          <w:bCs w:val="0"/>
          <w:color w:val="auto"/>
          <w:spacing w:val="0"/>
          <w:position w:val="0"/>
          <w:sz w:val="21"/>
          <w:szCs w:val="21"/>
          <w:highlight w:val="none"/>
          <w:lang w:val="en-US" w:eastAsia="zh-CN"/>
        </w:rPr>
        <w:t xml:space="preserve"> </w:t>
      </w:r>
      <w:r>
        <w:rPr>
          <w:rFonts w:hint="eastAsia" w:ascii="宋体" w:hAnsi="宋体" w:eastAsia="宋体" w:cs="宋体"/>
          <w:b w:val="0"/>
          <w:bCs w:val="0"/>
          <w:color w:val="auto"/>
          <w:spacing w:val="0"/>
          <w:position w:val="0"/>
          <w:sz w:val="21"/>
          <w:szCs w:val="21"/>
          <w:highlight w:val="none"/>
        </w:rPr>
        <w:t xml:space="preserve">  年 </w:t>
      </w:r>
      <w:r>
        <w:rPr>
          <w:rFonts w:hint="eastAsia" w:ascii="宋体" w:hAnsi="宋体" w:eastAsia="宋体" w:cs="宋体"/>
          <w:b w:val="0"/>
          <w:bCs w:val="0"/>
          <w:color w:val="auto"/>
          <w:spacing w:val="0"/>
          <w:position w:val="0"/>
          <w:sz w:val="21"/>
          <w:szCs w:val="21"/>
          <w:highlight w:val="none"/>
          <w:lang w:val="en-US" w:eastAsia="zh-CN"/>
        </w:rPr>
        <w:t xml:space="preserve">   </w:t>
      </w:r>
      <w:r>
        <w:rPr>
          <w:rFonts w:hint="eastAsia" w:ascii="宋体" w:hAnsi="宋体" w:eastAsia="宋体" w:cs="宋体"/>
          <w:b w:val="0"/>
          <w:bCs w:val="0"/>
          <w:color w:val="auto"/>
          <w:spacing w:val="0"/>
          <w:position w:val="0"/>
          <w:sz w:val="21"/>
          <w:szCs w:val="21"/>
          <w:highlight w:val="none"/>
        </w:rPr>
        <w:t xml:space="preserve">月 </w:t>
      </w:r>
      <w:r>
        <w:rPr>
          <w:rFonts w:hint="eastAsia" w:ascii="宋体" w:hAnsi="宋体" w:eastAsia="宋体" w:cs="宋体"/>
          <w:b w:val="0"/>
          <w:bCs w:val="0"/>
          <w:color w:val="auto"/>
          <w:spacing w:val="0"/>
          <w:position w:val="0"/>
          <w:sz w:val="21"/>
          <w:szCs w:val="21"/>
          <w:highlight w:val="none"/>
          <w:lang w:val="en-US" w:eastAsia="zh-CN"/>
        </w:rPr>
        <w:t xml:space="preserve"> </w:t>
      </w:r>
      <w:r>
        <w:rPr>
          <w:rFonts w:hint="eastAsia" w:ascii="宋体" w:hAnsi="宋体" w:eastAsia="宋体" w:cs="宋体"/>
          <w:b w:val="0"/>
          <w:bCs w:val="0"/>
          <w:color w:val="auto"/>
          <w:spacing w:val="0"/>
          <w:position w:val="0"/>
          <w:sz w:val="21"/>
          <w:szCs w:val="21"/>
          <w:highlight w:val="none"/>
        </w:rPr>
        <w:t xml:space="preserve"> 日</w:t>
      </w:r>
    </w:p>
    <w:p w14:paraId="2D02DF92">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p>
    <w:p w14:paraId="18A722AB">
      <w:pPr>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br w:type="page"/>
      </w:r>
    </w:p>
    <w:p w14:paraId="622790D3">
      <w:pPr>
        <w:pStyle w:val="40"/>
        <w:keepNext w:val="0"/>
        <w:keepLines w:val="0"/>
        <w:pageBreakBefore w:val="0"/>
        <w:widowControl w:val="0"/>
        <w:kinsoku/>
        <w:wordWrap w:val="0"/>
        <w:overflowPunct/>
        <w:topLinePunct/>
        <w:autoSpaceDE/>
        <w:autoSpaceDN/>
        <w:bidi w:val="0"/>
        <w:adjustRightInd w:val="0"/>
        <w:snapToGrid/>
        <w:spacing w:line="360" w:lineRule="exact"/>
        <w:jc w:val="center"/>
        <w:textAlignment w:val="auto"/>
        <w:rPr>
          <w:rFonts w:hint="eastAsia" w:ascii="宋体" w:hAnsi="宋体" w:eastAsia="宋体" w:cs="宋体"/>
          <w:b/>
          <w:bCs/>
          <w:color w:val="auto"/>
          <w:spacing w:val="0"/>
          <w:position w:val="0"/>
          <w:sz w:val="28"/>
          <w:szCs w:val="28"/>
          <w:highlight w:val="none"/>
          <w:lang w:eastAsia="zh-CN"/>
        </w:rPr>
      </w:pPr>
      <w:r>
        <w:rPr>
          <w:rFonts w:hint="eastAsia" w:ascii="宋体" w:hAnsi="宋体" w:eastAsia="宋体" w:cs="宋体"/>
          <w:b/>
          <w:bCs/>
          <w:color w:val="auto"/>
          <w:spacing w:val="0"/>
          <w:position w:val="0"/>
          <w:sz w:val="28"/>
          <w:szCs w:val="28"/>
          <w:highlight w:val="none"/>
        </w:rPr>
        <w:t>磋商函附录</w:t>
      </w:r>
      <w:r>
        <w:rPr>
          <w:rFonts w:hint="eastAsia" w:ascii="宋体" w:hAnsi="宋体" w:eastAsia="宋体" w:cs="宋体"/>
          <w:b/>
          <w:bCs/>
          <w:color w:val="auto"/>
          <w:spacing w:val="0"/>
          <w:position w:val="0"/>
          <w:sz w:val="28"/>
          <w:szCs w:val="28"/>
          <w:highlight w:val="none"/>
          <w:lang w:eastAsia="zh-CN"/>
        </w:rPr>
        <w:t>（格式）</w:t>
      </w:r>
    </w:p>
    <w:p w14:paraId="6E42BF5F">
      <w:pPr>
        <w:pStyle w:val="40"/>
        <w:keepNext w:val="0"/>
        <w:keepLines w:val="0"/>
        <w:pageBreakBefore w:val="0"/>
        <w:widowControl w:val="0"/>
        <w:kinsoku/>
        <w:wordWrap w:val="0"/>
        <w:overflowPunct/>
        <w:topLinePunct/>
        <w:autoSpaceDE/>
        <w:autoSpaceDN/>
        <w:bidi w:val="0"/>
        <w:adjustRightInd w:val="0"/>
        <w:snapToGrid/>
        <w:spacing w:line="360" w:lineRule="exact"/>
        <w:jc w:val="center"/>
        <w:textAlignment w:val="auto"/>
        <w:rPr>
          <w:rFonts w:hint="eastAsia" w:ascii="宋体" w:hAnsi="宋体" w:eastAsia="宋体" w:cs="宋体"/>
          <w:b/>
          <w:bCs/>
          <w:color w:val="auto"/>
          <w:spacing w:val="0"/>
          <w:position w:val="0"/>
          <w:sz w:val="28"/>
          <w:szCs w:val="28"/>
          <w:highlight w:val="none"/>
          <w:lang w:eastAsia="zh-CN"/>
        </w:rPr>
      </w:pPr>
    </w:p>
    <w:tbl>
      <w:tblPr>
        <w:tblStyle w:val="52"/>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3424"/>
        <w:gridCol w:w="2818"/>
        <w:gridCol w:w="1696"/>
      </w:tblGrid>
      <w:tr w14:paraId="07D8E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96" w:type="dxa"/>
            <w:vAlign w:val="top"/>
          </w:tcPr>
          <w:p w14:paraId="37FC71B8">
            <w:pPr>
              <w:pageBreakBefore w:val="0"/>
              <w:kinsoku/>
              <w:wordWrap w:val="0"/>
              <w:overflowPunct/>
              <w:topLinePunct/>
              <w:autoSpaceDE/>
              <w:autoSpaceDN/>
              <w:bidi w:val="0"/>
              <w:spacing w:before="181" w:line="230" w:lineRule="auto"/>
              <w:ind w:left="292"/>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序号</w:t>
            </w:r>
          </w:p>
        </w:tc>
        <w:tc>
          <w:tcPr>
            <w:tcW w:w="3424" w:type="dxa"/>
            <w:vAlign w:val="top"/>
          </w:tcPr>
          <w:p w14:paraId="359E3AD9">
            <w:pPr>
              <w:pageBreakBefore w:val="0"/>
              <w:kinsoku/>
              <w:wordWrap w:val="0"/>
              <w:overflowPunct/>
              <w:topLinePunct/>
              <w:autoSpaceDE/>
              <w:autoSpaceDN/>
              <w:bidi w:val="0"/>
              <w:spacing w:before="181" w:line="228" w:lineRule="auto"/>
              <w:ind w:left="1298"/>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条款内容</w:t>
            </w:r>
          </w:p>
        </w:tc>
        <w:tc>
          <w:tcPr>
            <w:tcW w:w="2818" w:type="dxa"/>
            <w:vAlign w:val="top"/>
          </w:tcPr>
          <w:p w14:paraId="6ADE3B8A">
            <w:pPr>
              <w:pageBreakBefore w:val="0"/>
              <w:kinsoku/>
              <w:wordWrap w:val="0"/>
              <w:overflowPunct/>
              <w:topLinePunct/>
              <w:autoSpaceDE/>
              <w:autoSpaceDN/>
              <w:bidi w:val="0"/>
              <w:spacing w:before="181" w:line="228" w:lineRule="auto"/>
              <w:ind w:left="10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约定内容</w:t>
            </w:r>
          </w:p>
        </w:tc>
        <w:tc>
          <w:tcPr>
            <w:tcW w:w="1696" w:type="dxa"/>
            <w:vAlign w:val="top"/>
          </w:tcPr>
          <w:p w14:paraId="0C47108D">
            <w:pPr>
              <w:pageBreakBefore w:val="0"/>
              <w:kinsoku/>
              <w:wordWrap w:val="0"/>
              <w:overflowPunct/>
              <w:topLinePunct/>
              <w:autoSpaceDE/>
              <w:autoSpaceDN/>
              <w:bidi w:val="0"/>
              <w:spacing w:before="181" w:line="230" w:lineRule="auto"/>
              <w:ind w:left="64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备注</w:t>
            </w:r>
          </w:p>
        </w:tc>
      </w:tr>
      <w:tr w14:paraId="6D95A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6EB28A7E">
            <w:pPr>
              <w:pageBreakBefore w:val="0"/>
              <w:kinsoku/>
              <w:wordWrap w:val="0"/>
              <w:overflowPunct/>
              <w:topLinePunct/>
              <w:autoSpaceDE/>
              <w:autoSpaceDN/>
              <w:bidi w:val="0"/>
              <w:spacing w:before="211" w:line="193" w:lineRule="auto"/>
              <w:ind w:left="467"/>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p>
        </w:tc>
        <w:tc>
          <w:tcPr>
            <w:tcW w:w="3424" w:type="dxa"/>
            <w:vAlign w:val="top"/>
          </w:tcPr>
          <w:p w14:paraId="2657D38E">
            <w:pPr>
              <w:pageBreakBefore w:val="0"/>
              <w:kinsoku/>
              <w:wordWrap w:val="0"/>
              <w:overflowPunct/>
              <w:topLinePunct/>
              <w:autoSpaceDE/>
              <w:autoSpaceDN/>
              <w:bidi w:val="0"/>
              <w:spacing w:before="180" w:line="229" w:lineRule="auto"/>
              <w:ind w:left="13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项目经理</w:t>
            </w:r>
          </w:p>
        </w:tc>
        <w:tc>
          <w:tcPr>
            <w:tcW w:w="2818" w:type="dxa"/>
            <w:vAlign w:val="top"/>
          </w:tcPr>
          <w:p w14:paraId="26FD09D7">
            <w:pPr>
              <w:pageBreakBefore w:val="0"/>
              <w:kinsoku/>
              <w:wordWrap w:val="0"/>
              <w:overflowPunct/>
              <w:topLinePunct/>
              <w:autoSpaceDE/>
              <w:autoSpaceDN/>
              <w:bidi w:val="0"/>
              <w:spacing w:before="180" w:line="228" w:lineRule="auto"/>
              <w:ind w:left="0" w:lef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姓名：</w:t>
            </w:r>
          </w:p>
        </w:tc>
        <w:tc>
          <w:tcPr>
            <w:tcW w:w="1696" w:type="dxa"/>
            <w:vAlign w:val="top"/>
          </w:tcPr>
          <w:p w14:paraId="04AC819B">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r>
      <w:tr w14:paraId="0EF84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vAlign w:val="top"/>
          </w:tcPr>
          <w:p w14:paraId="2D49C697">
            <w:pPr>
              <w:pageBreakBefore w:val="0"/>
              <w:kinsoku/>
              <w:wordWrap w:val="0"/>
              <w:overflowPunct/>
              <w:topLinePunct/>
              <w:autoSpaceDE/>
              <w:autoSpaceDN/>
              <w:bidi w:val="0"/>
              <w:spacing w:before="211" w:line="192" w:lineRule="auto"/>
              <w:ind w:left="454"/>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w:t>
            </w:r>
          </w:p>
        </w:tc>
        <w:tc>
          <w:tcPr>
            <w:tcW w:w="3424" w:type="dxa"/>
            <w:vAlign w:val="top"/>
          </w:tcPr>
          <w:p w14:paraId="610F5519">
            <w:pPr>
              <w:pageBreakBefore w:val="0"/>
              <w:kinsoku/>
              <w:wordWrap w:val="0"/>
              <w:overflowPunct/>
              <w:topLinePunct/>
              <w:autoSpaceDE/>
              <w:autoSpaceDN/>
              <w:bidi w:val="0"/>
              <w:spacing w:before="179" w:line="228" w:lineRule="auto"/>
              <w:ind w:left="993"/>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响应文件有效期</w:t>
            </w:r>
          </w:p>
        </w:tc>
        <w:tc>
          <w:tcPr>
            <w:tcW w:w="2818" w:type="dxa"/>
            <w:vAlign w:val="top"/>
          </w:tcPr>
          <w:p w14:paraId="7C3C760A">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c>
          <w:tcPr>
            <w:tcW w:w="1696" w:type="dxa"/>
            <w:vAlign w:val="top"/>
          </w:tcPr>
          <w:p w14:paraId="7C4FB669">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r>
      <w:tr w14:paraId="79A62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vAlign w:val="top"/>
          </w:tcPr>
          <w:p w14:paraId="003E8115">
            <w:pPr>
              <w:pageBreakBefore w:val="0"/>
              <w:kinsoku/>
              <w:wordWrap w:val="0"/>
              <w:overflowPunct/>
              <w:topLinePunct/>
              <w:autoSpaceDE/>
              <w:autoSpaceDN/>
              <w:bidi w:val="0"/>
              <w:spacing w:before="212" w:line="190" w:lineRule="auto"/>
              <w:ind w:left="45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w:t>
            </w:r>
          </w:p>
        </w:tc>
        <w:tc>
          <w:tcPr>
            <w:tcW w:w="3424" w:type="dxa"/>
            <w:vAlign w:val="top"/>
          </w:tcPr>
          <w:p w14:paraId="4DF78F7F">
            <w:pPr>
              <w:pageBreakBefore w:val="0"/>
              <w:kinsoku/>
              <w:wordWrap w:val="0"/>
              <w:overflowPunct/>
              <w:topLinePunct/>
              <w:autoSpaceDE/>
              <w:autoSpaceDN/>
              <w:bidi w:val="0"/>
              <w:spacing w:before="179" w:line="229" w:lineRule="auto"/>
              <w:ind w:left="151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工期</w:t>
            </w:r>
          </w:p>
        </w:tc>
        <w:tc>
          <w:tcPr>
            <w:tcW w:w="2818" w:type="dxa"/>
            <w:vAlign w:val="top"/>
          </w:tcPr>
          <w:p w14:paraId="709C4299">
            <w:pPr>
              <w:pageBreakBefore w:val="0"/>
              <w:tabs>
                <w:tab w:val="left" w:pos="1506"/>
              </w:tabs>
              <w:kinsoku/>
              <w:wordWrap w:val="0"/>
              <w:overflowPunct/>
              <w:topLinePunct/>
              <w:autoSpaceDE/>
              <w:autoSpaceDN/>
              <w:bidi w:val="0"/>
              <w:spacing w:before="179" w:line="229" w:lineRule="auto"/>
              <w:ind w:left="832"/>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u w:val="single" w:color="auto"/>
              </w:rPr>
              <w:tab/>
            </w:r>
            <w:r>
              <w:rPr>
                <w:rFonts w:hint="eastAsia" w:ascii="宋体" w:hAnsi="宋体" w:eastAsia="宋体" w:cs="宋体"/>
                <w:color w:val="auto"/>
                <w:spacing w:val="0"/>
                <w:position w:val="0"/>
                <w:sz w:val="21"/>
                <w:szCs w:val="21"/>
                <w:highlight w:val="none"/>
              </w:rPr>
              <w:t>日历天</w:t>
            </w:r>
          </w:p>
        </w:tc>
        <w:tc>
          <w:tcPr>
            <w:tcW w:w="1696" w:type="dxa"/>
            <w:vAlign w:val="top"/>
          </w:tcPr>
          <w:p w14:paraId="0189E67B">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r>
      <w:tr w14:paraId="33A8E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1E248621">
            <w:pPr>
              <w:pageBreakBefore w:val="0"/>
              <w:kinsoku/>
              <w:wordWrap w:val="0"/>
              <w:overflowPunct/>
              <w:topLinePunct/>
              <w:autoSpaceDE/>
              <w:autoSpaceDN/>
              <w:bidi w:val="0"/>
              <w:spacing w:before="215" w:line="192" w:lineRule="auto"/>
              <w:ind w:left="451"/>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w:t>
            </w:r>
          </w:p>
        </w:tc>
        <w:tc>
          <w:tcPr>
            <w:tcW w:w="3424" w:type="dxa"/>
            <w:vAlign w:val="top"/>
          </w:tcPr>
          <w:p w14:paraId="5DB23D34">
            <w:pPr>
              <w:pageBreakBefore w:val="0"/>
              <w:kinsoku/>
              <w:wordWrap w:val="0"/>
              <w:overflowPunct/>
              <w:topLinePunct/>
              <w:autoSpaceDE/>
              <w:autoSpaceDN/>
              <w:bidi w:val="0"/>
              <w:spacing w:before="182" w:line="229" w:lineRule="auto"/>
              <w:ind w:left="1191"/>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质量保证金</w:t>
            </w:r>
          </w:p>
        </w:tc>
        <w:tc>
          <w:tcPr>
            <w:tcW w:w="2818" w:type="dxa"/>
            <w:vAlign w:val="top"/>
          </w:tcPr>
          <w:p w14:paraId="075561F9">
            <w:pPr>
              <w:pageBreakBefore w:val="0"/>
              <w:kinsoku/>
              <w:wordWrap w:val="0"/>
              <w:overflowPunct/>
              <w:topLinePunct/>
              <w:autoSpaceDE/>
              <w:autoSpaceDN/>
              <w:bidi w:val="0"/>
              <w:spacing w:before="182" w:line="227" w:lineRule="auto"/>
              <w:ind w:left="69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结算价的</w:t>
            </w:r>
            <w:r>
              <w:rPr>
                <w:rFonts w:hint="eastAsia" w:ascii="宋体" w:hAnsi="宋体" w:eastAsia="宋体" w:cs="宋体"/>
                <w:color w:val="auto"/>
                <w:spacing w:val="0"/>
                <w:position w:val="0"/>
                <w:sz w:val="21"/>
                <w:szCs w:val="21"/>
                <w:highlight w:val="none"/>
                <w:u w:val="single" w:color="auto"/>
              </w:rPr>
              <w:t xml:space="preserve">  </w:t>
            </w:r>
            <w:r>
              <w:rPr>
                <w:rFonts w:hint="eastAsia" w:ascii="宋体" w:hAnsi="宋体" w:eastAsia="宋体" w:cs="宋体"/>
                <w:color w:val="auto"/>
                <w:spacing w:val="0"/>
                <w:position w:val="0"/>
                <w:sz w:val="21"/>
                <w:szCs w:val="21"/>
                <w:highlight w:val="none"/>
                <w:u w:val="single" w:color="auto"/>
                <w:lang w:val="en-US" w:eastAsia="zh-CN"/>
              </w:rPr>
              <w:t xml:space="preserve">  </w:t>
            </w:r>
            <w:r>
              <w:rPr>
                <w:rFonts w:hint="eastAsia" w:ascii="宋体" w:hAnsi="宋体" w:eastAsia="宋体" w:cs="宋体"/>
                <w:color w:val="auto"/>
                <w:spacing w:val="0"/>
                <w:position w:val="0"/>
                <w:sz w:val="21"/>
                <w:szCs w:val="21"/>
                <w:highlight w:val="none"/>
                <w:u w:val="single" w:color="auto"/>
              </w:rPr>
              <w:t xml:space="preserve">   </w:t>
            </w:r>
            <w:r>
              <w:rPr>
                <w:rFonts w:hint="eastAsia" w:ascii="宋体" w:hAnsi="宋体" w:eastAsia="宋体" w:cs="宋体"/>
                <w:color w:val="auto"/>
                <w:spacing w:val="0"/>
                <w:position w:val="0"/>
                <w:sz w:val="21"/>
                <w:szCs w:val="21"/>
                <w:highlight w:val="none"/>
              </w:rPr>
              <w:t>%</w:t>
            </w:r>
          </w:p>
        </w:tc>
        <w:tc>
          <w:tcPr>
            <w:tcW w:w="1696" w:type="dxa"/>
            <w:vAlign w:val="top"/>
          </w:tcPr>
          <w:p w14:paraId="1936DBFE">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r>
      <w:tr w14:paraId="16A83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Align w:val="top"/>
          </w:tcPr>
          <w:p w14:paraId="2242CB2A">
            <w:pPr>
              <w:pageBreakBefore w:val="0"/>
              <w:kinsoku/>
              <w:wordWrap w:val="0"/>
              <w:overflowPunct/>
              <w:topLinePunct/>
              <w:autoSpaceDE/>
              <w:autoSpaceDN/>
              <w:bidi w:val="0"/>
              <w:spacing w:before="215" w:line="189" w:lineRule="auto"/>
              <w:ind w:left="45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w:t>
            </w:r>
          </w:p>
        </w:tc>
        <w:tc>
          <w:tcPr>
            <w:tcW w:w="3424" w:type="dxa"/>
            <w:vAlign w:val="top"/>
          </w:tcPr>
          <w:p w14:paraId="4CDCD11F">
            <w:pPr>
              <w:pageBreakBefore w:val="0"/>
              <w:kinsoku/>
              <w:wordWrap w:val="0"/>
              <w:overflowPunct/>
              <w:topLinePunct/>
              <w:autoSpaceDE/>
              <w:autoSpaceDN/>
              <w:bidi w:val="0"/>
              <w:spacing w:before="181" w:line="229" w:lineRule="auto"/>
              <w:ind w:left="1297"/>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质量标准</w:t>
            </w:r>
          </w:p>
        </w:tc>
        <w:tc>
          <w:tcPr>
            <w:tcW w:w="2818" w:type="dxa"/>
            <w:vAlign w:val="top"/>
          </w:tcPr>
          <w:p w14:paraId="0CBF3A43">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c>
          <w:tcPr>
            <w:tcW w:w="1696" w:type="dxa"/>
            <w:vAlign w:val="top"/>
          </w:tcPr>
          <w:p w14:paraId="693FDC09">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r>
      <w:tr w14:paraId="45E13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vAlign w:val="top"/>
          </w:tcPr>
          <w:p w14:paraId="30D8E308">
            <w:pPr>
              <w:pageBreakBefore w:val="0"/>
              <w:kinsoku/>
              <w:wordWrap w:val="0"/>
              <w:overflowPunct/>
              <w:topLinePunct/>
              <w:autoSpaceDE/>
              <w:autoSpaceDN/>
              <w:bidi w:val="0"/>
              <w:spacing w:before="181" w:line="325" w:lineRule="exact"/>
              <w:ind w:left="30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3424" w:type="dxa"/>
            <w:vAlign w:val="top"/>
          </w:tcPr>
          <w:p w14:paraId="242990F0">
            <w:pPr>
              <w:pageBreakBefore w:val="0"/>
              <w:kinsoku/>
              <w:wordWrap w:val="0"/>
              <w:overflowPunct/>
              <w:topLinePunct/>
              <w:autoSpaceDE/>
              <w:autoSpaceDN/>
              <w:bidi w:val="0"/>
              <w:spacing w:before="181" w:line="325" w:lineRule="exact"/>
              <w:ind w:left="1521"/>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2818" w:type="dxa"/>
            <w:vAlign w:val="top"/>
          </w:tcPr>
          <w:p w14:paraId="08ADB23E">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c>
          <w:tcPr>
            <w:tcW w:w="1696" w:type="dxa"/>
            <w:vAlign w:val="top"/>
          </w:tcPr>
          <w:p w14:paraId="219A904E">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r>
      <w:tr w14:paraId="2C01A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934" w:type="dxa"/>
            <w:gridSpan w:val="4"/>
            <w:vAlign w:val="top"/>
          </w:tcPr>
          <w:p w14:paraId="18438E73">
            <w:pPr>
              <w:keepNext w:val="0"/>
              <w:keepLines w:val="0"/>
              <w:pageBreakBefore w:val="0"/>
              <w:widowControl w:val="0"/>
              <w:kinsoku/>
              <w:wordWrap w:val="0"/>
              <w:overflowPunct/>
              <w:topLinePunct/>
              <w:autoSpaceDE/>
              <w:autoSpaceDN/>
              <w:bidi w:val="0"/>
              <w:adjustRightInd/>
              <w:snapToGrid/>
              <w:spacing w:line="400" w:lineRule="exact"/>
              <w:ind w:left="119" w:right="102" w:firstLine="6"/>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备注：供应商在响应竞争性磋商文件中规定的实质性要求和条件的基础上，可做出其他有利于采购单位的承诺。此类承诺可在本表中予以补充填写。</w:t>
            </w:r>
          </w:p>
        </w:tc>
      </w:tr>
    </w:tbl>
    <w:p w14:paraId="4120E1EA">
      <w:pPr>
        <w:pStyle w:val="40"/>
        <w:keepNext w:val="0"/>
        <w:keepLines w:val="0"/>
        <w:pageBreakBefore w:val="0"/>
        <w:widowControl w:val="0"/>
        <w:kinsoku/>
        <w:wordWrap w:val="0"/>
        <w:overflowPunct/>
        <w:topLinePunct/>
        <w:autoSpaceDE/>
        <w:autoSpaceDN/>
        <w:bidi w:val="0"/>
        <w:adjustRightInd w:val="0"/>
        <w:snapToGrid/>
        <w:spacing w:line="360" w:lineRule="exact"/>
        <w:ind w:firstLine="482" w:firstLineChars="200"/>
        <w:jc w:val="both"/>
        <w:textAlignment w:val="auto"/>
        <w:rPr>
          <w:rFonts w:hint="eastAsia" w:ascii="宋体" w:hAnsi="宋体" w:eastAsia="宋体" w:cs="宋体"/>
          <w:b/>
          <w:bCs/>
          <w:color w:val="auto"/>
          <w:spacing w:val="0"/>
          <w:position w:val="0"/>
          <w:sz w:val="24"/>
          <w:szCs w:val="32"/>
          <w:highlight w:val="none"/>
        </w:rPr>
      </w:pPr>
    </w:p>
    <w:p w14:paraId="3B682366">
      <w:pPr>
        <w:pageBreakBefore w:val="0"/>
        <w:kinsoku/>
        <w:wordWrap w:val="0"/>
        <w:overflowPunct/>
        <w:topLinePunct/>
        <w:autoSpaceDE/>
        <w:autoSpaceDN/>
        <w:bidi w:val="0"/>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02C44E30">
      <w:pPr>
        <w:pageBreakBefore w:val="0"/>
        <w:kinsoku/>
        <w:wordWrap w:val="0"/>
        <w:overflowPunct/>
        <w:topLinePunct/>
        <w:autoSpaceDE/>
        <w:autoSpaceDN/>
        <w:bidi w:val="0"/>
        <w:spacing w:line="360" w:lineRule="auto"/>
        <w:ind w:right="480" w:firstLine="3360" w:firstLineChars="14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p>
    <w:p w14:paraId="0F9F3C49">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3FD12013">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43DDF0C5">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343FC076">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3E7A3259">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7F005159">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4D2D256B">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1237F016">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39B60958">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34F76D4B">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496C2ABE">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kern w:val="2"/>
          <w:position w:val="0"/>
          <w:sz w:val="32"/>
          <w:szCs w:val="32"/>
          <w:highlight w:val="none"/>
          <w:lang w:val="en-US" w:eastAsia="zh-CN" w:bidi="ar-SA"/>
        </w:rPr>
      </w:pPr>
    </w:p>
    <w:p w14:paraId="37512BC8">
      <w:pPr>
        <w:pageBreakBefore w:val="0"/>
        <w:kinsoku/>
        <w:wordWrap w:val="0"/>
        <w:overflowPunct/>
        <w:topLinePunct/>
        <w:autoSpaceDE/>
        <w:autoSpaceDN/>
        <w:bidi w:val="0"/>
        <w:spacing w:line="360" w:lineRule="auto"/>
        <w:jc w:val="center"/>
        <w:rPr>
          <w:rFonts w:hint="eastAsia" w:ascii="宋体" w:hAnsi="宋体" w:eastAsia="宋体" w:cs="宋体"/>
          <w:b/>
          <w:bCs/>
          <w:color w:val="auto"/>
          <w:spacing w:val="0"/>
          <w:kern w:val="2"/>
          <w:position w:val="0"/>
          <w:sz w:val="32"/>
          <w:szCs w:val="32"/>
          <w:highlight w:val="none"/>
          <w:lang w:val="en-US" w:eastAsia="zh-CN" w:bidi="ar-SA"/>
        </w:rPr>
      </w:pPr>
      <w:r>
        <w:rPr>
          <w:rFonts w:hint="eastAsia" w:ascii="宋体" w:hAnsi="宋体" w:eastAsia="宋体" w:cs="宋体"/>
          <w:b/>
          <w:bCs/>
          <w:color w:val="auto"/>
          <w:spacing w:val="0"/>
          <w:kern w:val="2"/>
          <w:position w:val="0"/>
          <w:sz w:val="32"/>
          <w:szCs w:val="32"/>
          <w:highlight w:val="none"/>
          <w:lang w:val="en-US" w:eastAsia="zh-CN" w:bidi="ar-SA"/>
        </w:rPr>
        <w:t>竞标报价表（格式）</w:t>
      </w:r>
    </w:p>
    <w:p w14:paraId="7110FF0C">
      <w:pPr>
        <w:pageBreakBefore w:val="0"/>
        <w:kinsoku/>
        <w:wordWrap w:val="0"/>
        <w:overflowPunct/>
        <w:topLinePunct/>
        <w:autoSpaceDE/>
        <w:autoSpaceDN/>
        <w:bidi w:val="0"/>
        <w:spacing w:line="440" w:lineRule="exact"/>
        <w:jc w:val="center"/>
        <w:rPr>
          <w:rFonts w:hint="eastAsia" w:ascii="宋体" w:hAnsi="宋体" w:eastAsia="宋体" w:cs="宋体"/>
          <w:bCs/>
          <w:color w:val="auto"/>
          <w:spacing w:val="0"/>
          <w:position w:val="0"/>
          <w:sz w:val="32"/>
          <w:szCs w:val="32"/>
          <w:highlight w:val="none"/>
        </w:rPr>
      </w:pPr>
    </w:p>
    <w:p w14:paraId="2ED35804">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highlight w:val="none"/>
          <w:lang w:val="en-US" w:eastAsia="zh-CN"/>
        </w:rPr>
        <w:t xml:space="preserve">                </w:t>
      </w:r>
      <w:r>
        <w:rPr>
          <w:rFonts w:hint="eastAsia" w:ascii="宋体" w:hAnsi="宋体" w:eastAsia="宋体" w:cs="宋体"/>
          <w:color w:val="auto"/>
          <w:spacing w:val="0"/>
          <w:position w:val="0"/>
          <w:sz w:val="24"/>
          <w:highlight w:val="none"/>
        </w:rPr>
        <w:t>单位：元</w:t>
      </w:r>
    </w:p>
    <w:tbl>
      <w:tblPr>
        <w:tblStyle w:val="31"/>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29BA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0E3DECEF">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C8F4B11">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eastAsia="zh-CN"/>
              </w:rPr>
              <w:t>标的</w:t>
            </w:r>
            <w:r>
              <w:rPr>
                <w:rFonts w:hint="eastAsia" w:ascii="宋体" w:hAnsi="宋体" w:eastAsia="宋体" w:cs="宋体"/>
                <w:color w:val="auto"/>
                <w:spacing w:val="0"/>
                <w:position w:val="0"/>
                <w:sz w:val="24"/>
                <w:highlight w:val="none"/>
              </w:rPr>
              <w:t>名称</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2D6F18A">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6105E61C">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sz w:val="24"/>
                <w:highlight w:val="none"/>
                <w:lang w:eastAsia="zh-CN"/>
              </w:rPr>
              <w:t>竞标报价（元）</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74AE9A3">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备注</w:t>
            </w:r>
          </w:p>
        </w:tc>
      </w:tr>
      <w:tr w14:paraId="7DAB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7036D81F">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9E579CB">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877BADD">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5F138730">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FAF0840">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tc>
      </w:tr>
      <w:tr w14:paraId="6EE9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51341F68">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sz w:val="24"/>
                <w:highlight w:val="none"/>
                <w:lang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61200B32">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0F8CDB2">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3D0D51DD">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5878899">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tc>
      </w:tr>
      <w:tr w14:paraId="662B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noWrap w:val="0"/>
            <w:vAlign w:val="center"/>
          </w:tcPr>
          <w:p w14:paraId="770DDDDC">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合计金额（人民币）</w:t>
            </w:r>
            <w:r>
              <w:rPr>
                <w:rFonts w:hint="eastAsia" w:ascii="宋体" w:hAnsi="宋体" w:eastAsia="宋体" w:cs="宋体"/>
                <w:color w:val="auto"/>
                <w:spacing w:val="0"/>
                <w:position w:val="0"/>
                <w:sz w:val="24"/>
                <w:highlight w:val="none"/>
                <w:u w:val="single"/>
              </w:rPr>
              <w:t xml:space="preserve">大写：                      </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w:t>
            </w:r>
          </w:p>
        </w:tc>
      </w:tr>
    </w:tbl>
    <w:p w14:paraId="7F75B4C5">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4"/>
          <w:highlight w:val="none"/>
        </w:rPr>
      </w:pPr>
    </w:p>
    <w:p w14:paraId="0BA4FB16">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 xml:space="preserve"> </w:t>
      </w:r>
    </w:p>
    <w:p w14:paraId="6E29602C">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 供应商的报价表必须加盖供应商电子签章并由法定代表人或者委托代理人签字或者电子签名，</w:t>
      </w:r>
      <w:r>
        <w:rPr>
          <w:rFonts w:hint="eastAsia" w:ascii="宋体" w:hAnsi="宋体" w:eastAsia="宋体" w:cs="宋体"/>
          <w:b/>
          <w:color w:val="auto"/>
          <w:spacing w:val="0"/>
          <w:position w:val="0"/>
          <w:sz w:val="24"/>
          <w:highlight w:val="none"/>
        </w:rPr>
        <w:t>否则其响应文件按无效处理</w:t>
      </w:r>
      <w:r>
        <w:rPr>
          <w:rFonts w:hint="eastAsia" w:ascii="宋体" w:hAnsi="宋体" w:eastAsia="宋体" w:cs="宋体"/>
          <w:color w:val="auto"/>
          <w:spacing w:val="0"/>
          <w:position w:val="0"/>
          <w:sz w:val="24"/>
          <w:highlight w:val="none"/>
        </w:rPr>
        <w:t>。</w:t>
      </w:r>
    </w:p>
    <w:p w14:paraId="150A5547">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b/>
          <w:color w:val="auto"/>
          <w:spacing w:val="0"/>
          <w:position w:val="0"/>
          <w:sz w:val="24"/>
          <w:highlight w:val="none"/>
        </w:rPr>
      </w:pPr>
      <w:r>
        <w:rPr>
          <w:rFonts w:hint="eastAsia" w:ascii="宋体" w:hAnsi="宋体" w:eastAsia="宋体" w:cs="宋体"/>
          <w:bCs/>
          <w:color w:val="auto"/>
          <w:spacing w:val="0"/>
          <w:position w:val="0"/>
          <w:sz w:val="24"/>
          <w:highlight w:val="none"/>
        </w:rPr>
        <w:t>2.</w:t>
      </w:r>
      <w:r>
        <w:rPr>
          <w:rFonts w:hint="eastAsia" w:ascii="宋体" w:hAnsi="宋体" w:eastAsia="宋体" w:cs="宋体"/>
          <w:color w:val="auto"/>
          <w:spacing w:val="0"/>
          <w:position w:val="0"/>
          <w:sz w:val="24"/>
          <w:highlight w:val="none"/>
        </w:rPr>
        <w:t xml:space="preserve"> 报价一经涂改，应在涂改处加盖供应商公章或者加盖电子签章或者由法定代表人或者授权委托人签字（或者电子签名）</w:t>
      </w:r>
      <w:r>
        <w:rPr>
          <w:rFonts w:hint="eastAsia" w:ascii="宋体" w:hAnsi="宋体" w:eastAsia="宋体" w:cs="宋体"/>
          <w:b/>
          <w:color w:val="auto"/>
          <w:spacing w:val="0"/>
          <w:position w:val="0"/>
          <w:sz w:val="24"/>
          <w:highlight w:val="none"/>
        </w:rPr>
        <w:t>，否则其响应文件按无效处理。</w:t>
      </w:r>
    </w:p>
    <w:p w14:paraId="636E0B06">
      <w:pPr>
        <w:pageBreakBefore w:val="0"/>
        <w:kinsoku/>
        <w:wordWrap w:val="0"/>
        <w:overflowPunct/>
        <w:topLinePunct/>
        <w:autoSpaceDE/>
        <w:autoSpaceDN/>
        <w:bidi w:val="0"/>
        <w:spacing w:line="360" w:lineRule="auto"/>
        <w:ind w:firstLine="643" w:firstLineChars="200"/>
        <w:contextualSpacing/>
        <w:jc w:val="left"/>
        <w:rPr>
          <w:rFonts w:hint="eastAsia" w:ascii="宋体" w:hAnsi="宋体" w:eastAsia="宋体" w:cs="宋体"/>
          <w:b/>
          <w:bCs/>
          <w:color w:val="auto"/>
          <w:spacing w:val="0"/>
          <w:position w:val="0"/>
          <w:sz w:val="32"/>
          <w:szCs w:val="32"/>
          <w:highlight w:val="none"/>
          <w:lang w:val="en-US" w:eastAsia="zh-CN"/>
        </w:rPr>
      </w:pPr>
      <w:r>
        <w:rPr>
          <w:rFonts w:hint="eastAsia" w:ascii="宋体" w:hAnsi="宋体" w:eastAsia="宋体" w:cs="宋体"/>
          <w:b/>
          <w:bCs/>
          <w:color w:val="auto"/>
          <w:spacing w:val="0"/>
          <w:position w:val="0"/>
          <w:sz w:val="32"/>
          <w:szCs w:val="32"/>
          <w:highlight w:val="none"/>
          <w:lang w:val="en-US" w:eastAsia="zh-CN"/>
        </w:rPr>
        <w:t>3.在广西政府采购云平台评审过程中，供应商提交的</w:t>
      </w:r>
      <w:r>
        <w:rPr>
          <w:rFonts w:hint="eastAsia" w:ascii="宋体" w:hAnsi="宋体" w:eastAsia="宋体" w:cs="宋体"/>
          <w:b/>
          <w:bCs/>
          <w:color w:val="auto"/>
          <w:spacing w:val="0"/>
          <w:position w:val="0"/>
          <w:sz w:val="32"/>
          <w:szCs w:val="32"/>
          <w:highlight w:val="none"/>
        </w:rPr>
        <w:t>最后报价与首次报价相比有调整的</w:t>
      </w:r>
      <w:r>
        <w:rPr>
          <w:rFonts w:hint="eastAsia" w:ascii="宋体" w:hAnsi="宋体" w:eastAsia="宋体" w:cs="宋体"/>
          <w:b/>
          <w:bCs/>
          <w:color w:val="auto"/>
          <w:spacing w:val="0"/>
          <w:position w:val="0"/>
          <w:sz w:val="32"/>
          <w:szCs w:val="32"/>
          <w:highlight w:val="none"/>
          <w:lang w:eastAsia="zh-CN"/>
        </w:rPr>
        <w:t>，必须同时上传相对应的“已标价的工程量清单”作为附件，</w:t>
      </w:r>
      <w:r>
        <w:rPr>
          <w:rFonts w:hint="eastAsia" w:ascii="宋体" w:hAnsi="宋体" w:eastAsia="宋体" w:cs="宋体"/>
          <w:b/>
          <w:bCs/>
          <w:color w:val="auto"/>
          <w:spacing w:val="0"/>
          <w:position w:val="0"/>
          <w:sz w:val="32"/>
          <w:szCs w:val="32"/>
          <w:highlight w:val="none"/>
        </w:rPr>
        <w:t>否则其响应文件按无效处理。</w:t>
      </w:r>
    </w:p>
    <w:p w14:paraId="1657691C">
      <w:pPr>
        <w:pageBreakBefore w:val="0"/>
        <w:kinsoku/>
        <w:wordWrap w:val="0"/>
        <w:overflowPunct/>
        <w:topLinePunct/>
        <w:autoSpaceDE/>
        <w:autoSpaceDN/>
        <w:bidi w:val="0"/>
        <w:spacing w:line="360" w:lineRule="auto"/>
        <w:ind w:right="-817" w:rightChars="-389"/>
        <w:contextualSpacing/>
        <w:rPr>
          <w:rFonts w:hint="eastAsia" w:ascii="宋体" w:hAnsi="宋体" w:eastAsia="宋体" w:cs="宋体"/>
          <w:color w:val="auto"/>
          <w:spacing w:val="0"/>
          <w:position w:val="0"/>
          <w:sz w:val="24"/>
          <w:highlight w:val="none"/>
        </w:rPr>
      </w:pPr>
    </w:p>
    <w:p w14:paraId="45DE1B6A">
      <w:pPr>
        <w:pageBreakBefore w:val="0"/>
        <w:kinsoku/>
        <w:wordWrap w:val="0"/>
        <w:overflowPunct/>
        <w:topLinePunct/>
        <w:autoSpaceDE/>
        <w:autoSpaceDN/>
        <w:bidi w:val="0"/>
        <w:spacing w:line="360" w:lineRule="auto"/>
        <w:ind w:right="-817" w:rightChars="-389"/>
        <w:contextualSpacing/>
        <w:rPr>
          <w:rFonts w:hint="eastAsia" w:ascii="宋体" w:hAnsi="宋体" w:eastAsia="宋体" w:cs="宋体"/>
          <w:color w:val="auto"/>
          <w:spacing w:val="0"/>
          <w:position w:val="0"/>
          <w:sz w:val="24"/>
          <w:highlight w:val="none"/>
        </w:rPr>
      </w:pPr>
    </w:p>
    <w:p w14:paraId="771B3D0B">
      <w:pPr>
        <w:pageBreakBefore w:val="0"/>
        <w:kinsoku/>
        <w:wordWrap w:val="0"/>
        <w:overflowPunct/>
        <w:topLinePunct/>
        <w:autoSpaceDE/>
        <w:autoSpaceDN/>
        <w:bidi w:val="0"/>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56096FE4">
      <w:pPr>
        <w:pageBreakBefore w:val="0"/>
        <w:kinsoku/>
        <w:wordWrap w:val="0"/>
        <w:overflowPunct/>
        <w:topLinePunct/>
        <w:autoSpaceDE/>
        <w:autoSpaceDN/>
        <w:bidi w:val="0"/>
        <w:spacing w:line="360" w:lineRule="auto"/>
        <w:ind w:right="480" w:firstLine="3360" w:firstLineChars="14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p>
    <w:p w14:paraId="2C931D11">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6B23C2F3">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5D4A820F">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3FAACEF5">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419DD283">
      <w:pPr>
        <w:pStyle w:val="40"/>
        <w:keepNext w:val="0"/>
        <w:keepLines w:val="0"/>
        <w:pageBreakBefore w:val="0"/>
        <w:widowControl w:val="0"/>
        <w:kinsoku/>
        <w:wordWrap w:val="0"/>
        <w:overflowPunct/>
        <w:topLinePunct/>
        <w:autoSpaceDE/>
        <w:autoSpaceDN/>
        <w:bidi w:val="0"/>
        <w:adjustRightInd w:val="0"/>
        <w:snapToGrid/>
        <w:spacing w:line="360" w:lineRule="auto"/>
        <w:jc w:val="center"/>
        <w:textAlignment w:val="auto"/>
        <w:rPr>
          <w:rFonts w:hint="eastAsia" w:ascii="宋体" w:hAnsi="宋体" w:eastAsia="宋体" w:cs="宋体"/>
          <w:b/>
          <w:bCs/>
          <w:color w:val="auto"/>
          <w:spacing w:val="0"/>
          <w:position w:val="0"/>
          <w:sz w:val="32"/>
          <w:szCs w:val="40"/>
          <w:highlight w:val="none"/>
        </w:rPr>
      </w:pPr>
      <w:r>
        <w:rPr>
          <w:rFonts w:hint="eastAsia" w:ascii="宋体" w:hAnsi="宋体" w:eastAsia="宋体" w:cs="宋体"/>
          <w:b/>
          <w:bCs/>
          <w:color w:val="auto"/>
          <w:spacing w:val="0"/>
          <w:position w:val="0"/>
          <w:sz w:val="32"/>
          <w:szCs w:val="40"/>
          <w:highlight w:val="none"/>
        </w:rPr>
        <w:t>已标价工程量清单</w:t>
      </w:r>
    </w:p>
    <w:p w14:paraId="44B5F4EA">
      <w:pPr>
        <w:pStyle w:val="40"/>
        <w:keepNext w:val="0"/>
        <w:keepLines w:val="0"/>
        <w:pageBreakBefore w:val="0"/>
        <w:widowControl w:val="0"/>
        <w:kinsoku/>
        <w:wordWrap w:val="0"/>
        <w:overflowPunct/>
        <w:topLinePunct/>
        <w:autoSpaceDE/>
        <w:autoSpaceDN/>
        <w:bidi w:val="0"/>
        <w:adjustRightInd w:val="0"/>
        <w:snapToGrid/>
        <w:spacing w:line="360" w:lineRule="auto"/>
        <w:ind w:firstLine="420" w:firstLineChars="200"/>
        <w:jc w:val="both"/>
        <w:textAlignment w:val="auto"/>
        <w:rPr>
          <w:rFonts w:hint="eastAsia" w:ascii="宋体" w:hAnsi="宋体" w:eastAsia="宋体" w:cs="宋体"/>
          <w:b w:val="0"/>
          <w:bCs w:val="0"/>
          <w:color w:val="auto"/>
          <w:spacing w:val="0"/>
          <w:position w:val="0"/>
          <w:sz w:val="21"/>
          <w:szCs w:val="24"/>
          <w:highlight w:val="none"/>
        </w:rPr>
      </w:pPr>
    </w:p>
    <w:p w14:paraId="6EB33C72">
      <w:pPr>
        <w:pStyle w:val="40"/>
        <w:keepNext w:val="0"/>
        <w:keepLines w:val="0"/>
        <w:pageBreakBefore w:val="0"/>
        <w:widowControl w:val="0"/>
        <w:kinsoku/>
        <w:wordWrap w:val="0"/>
        <w:overflowPunct/>
        <w:topLinePunct/>
        <w:autoSpaceDE/>
        <w:autoSpaceDN/>
        <w:bidi w:val="0"/>
        <w:adjustRightInd w:val="0"/>
        <w:snapToGrid/>
        <w:spacing w:line="360" w:lineRule="auto"/>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1、说明：已标价工程量清单按规范中的“工程量清单”中的相关清单表格式填写。构成合同文件的已标价工程量清单包括规范中的“工程量清单”有关工程量清单、磋商报价以及其他说明的内容。</w:t>
      </w:r>
    </w:p>
    <w:p w14:paraId="02E32C67">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22A5EFC6">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1E263E10">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302C9E87">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19C7CEF7">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04B9F5BD">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19444928">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1E3D9E12">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66980ECE">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4116ADD2">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1806484E">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20FD53DC">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07511414">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07C05569">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0455E626">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0060FFC5">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612B4664">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7C52BAC8">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53A7EB55">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7203CEAC">
      <w:pPr>
        <w:pageBreakBefore w:val="0"/>
        <w:kinsoku/>
        <w:wordWrap w:val="0"/>
        <w:overflowPunct/>
        <w:topLinePunct/>
        <w:autoSpaceDE/>
        <w:autoSpaceDN/>
        <w:bidi w:val="0"/>
        <w:spacing w:line="360" w:lineRule="auto"/>
        <w:contextualSpacing/>
        <w:jc w:val="both"/>
        <w:rPr>
          <w:rFonts w:hint="eastAsia" w:ascii="宋体" w:hAnsi="宋体" w:eastAsia="宋体" w:cs="宋体"/>
          <w:b/>
          <w:color w:val="auto"/>
          <w:spacing w:val="0"/>
          <w:position w:val="0"/>
          <w:sz w:val="32"/>
          <w:szCs w:val="32"/>
          <w:highlight w:val="none"/>
        </w:rPr>
      </w:pPr>
      <w:r>
        <w:rPr>
          <w:rFonts w:hint="eastAsia" w:ascii="宋体" w:hAnsi="宋体" w:eastAsia="宋体" w:cs="宋体"/>
          <w:b/>
          <w:bCs/>
          <w:color w:val="auto"/>
          <w:spacing w:val="0"/>
          <w:position w:val="0"/>
          <w:sz w:val="32"/>
          <w:szCs w:val="32"/>
          <w:highlight w:val="none"/>
        </w:rPr>
        <w:t>三、</w:t>
      </w:r>
      <w:r>
        <w:rPr>
          <w:rFonts w:hint="eastAsia" w:ascii="宋体" w:hAnsi="宋体" w:eastAsia="宋体" w:cs="宋体"/>
          <w:b/>
          <w:color w:val="auto"/>
          <w:spacing w:val="0"/>
          <w:position w:val="0"/>
          <w:sz w:val="32"/>
          <w:szCs w:val="32"/>
          <w:highlight w:val="none"/>
        </w:rPr>
        <w:t>商务技术文件格式</w:t>
      </w:r>
    </w:p>
    <w:p w14:paraId="583DECB6">
      <w:pPr>
        <w:pageBreakBefore w:val="0"/>
        <w:kinsoku/>
        <w:wordWrap w:val="0"/>
        <w:overflowPunct/>
        <w:topLinePunct/>
        <w:autoSpaceDE/>
        <w:autoSpaceDN/>
        <w:bidi w:val="0"/>
        <w:snapToGrid w:val="0"/>
        <w:spacing w:before="156" w:beforeLines="50" w:after="50" w:line="360" w:lineRule="auto"/>
        <w:jc w:val="left"/>
        <w:rPr>
          <w:rFonts w:hint="eastAsia" w:ascii="宋体" w:hAnsi="宋体" w:eastAsia="宋体" w:cs="宋体"/>
          <w:b/>
          <w:color w:val="auto"/>
          <w:spacing w:val="0"/>
          <w:position w:val="0"/>
          <w:sz w:val="32"/>
          <w:szCs w:val="32"/>
          <w:highlight w:val="none"/>
        </w:rPr>
      </w:pPr>
      <w:r>
        <w:rPr>
          <w:rFonts w:hint="eastAsia" w:ascii="宋体" w:hAnsi="宋体" w:eastAsia="宋体" w:cs="宋体"/>
          <w:b/>
          <w:color w:val="auto"/>
          <w:spacing w:val="0"/>
          <w:position w:val="0"/>
          <w:sz w:val="32"/>
          <w:szCs w:val="32"/>
          <w:highlight w:val="none"/>
        </w:rPr>
        <w:t>1.商务技术文件封面格式</w:t>
      </w:r>
    </w:p>
    <w:p w14:paraId="5BFB3DCB">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32"/>
          <w:szCs w:val="20"/>
          <w:highlight w:val="none"/>
        </w:rPr>
      </w:pPr>
      <w:r>
        <w:rPr>
          <w:rFonts w:hint="eastAsia" w:ascii="宋体" w:hAnsi="宋体" w:eastAsia="宋体" w:cs="宋体"/>
          <w:color w:val="auto"/>
          <w:spacing w:val="0"/>
          <w:position w:val="0"/>
          <w:sz w:val="24"/>
          <w:highlight w:val="none"/>
        </w:rPr>
        <w:t xml:space="preserve">                                                    </w:t>
      </w:r>
    </w:p>
    <w:p w14:paraId="6A288E73">
      <w:pPr>
        <w:pageBreakBefore w:val="0"/>
        <w:kinsoku/>
        <w:wordWrap w:val="0"/>
        <w:overflowPunct/>
        <w:topLinePunct/>
        <w:autoSpaceDE/>
        <w:autoSpaceDN/>
        <w:bidi w:val="0"/>
        <w:snapToGrid w:val="0"/>
        <w:spacing w:before="156" w:beforeLines="50" w:after="50"/>
        <w:jc w:val="center"/>
        <w:rPr>
          <w:rFonts w:hint="eastAsia" w:ascii="宋体" w:hAnsi="宋体" w:eastAsia="宋体" w:cs="宋体"/>
          <w:color w:val="auto"/>
          <w:spacing w:val="0"/>
          <w:position w:val="0"/>
          <w:sz w:val="24"/>
          <w:szCs w:val="20"/>
          <w:highlight w:val="none"/>
        </w:rPr>
      </w:pPr>
      <w:r>
        <w:rPr>
          <w:rFonts w:hint="eastAsia" w:ascii="宋体" w:hAnsi="宋体" w:eastAsia="宋体" w:cs="宋体"/>
          <w:color w:val="auto"/>
          <w:spacing w:val="0"/>
          <w:position w:val="0"/>
          <w:sz w:val="44"/>
          <w:szCs w:val="44"/>
          <w:highlight w:val="none"/>
        </w:rPr>
        <w:t xml:space="preserve">电 子 </w:t>
      </w:r>
      <w:r>
        <w:rPr>
          <w:rFonts w:hint="eastAsia" w:ascii="宋体" w:hAnsi="宋体" w:eastAsia="宋体" w:cs="宋体"/>
          <w:color w:val="auto"/>
          <w:spacing w:val="0"/>
          <w:position w:val="0"/>
          <w:sz w:val="44"/>
          <w:szCs w:val="44"/>
          <w:highlight w:val="none"/>
          <w:lang w:eastAsia="zh-CN"/>
        </w:rPr>
        <w:t>响</w:t>
      </w:r>
      <w:r>
        <w:rPr>
          <w:rFonts w:hint="eastAsia" w:ascii="宋体" w:hAnsi="宋体" w:eastAsia="宋体" w:cs="宋体"/>
          <w:color w:val="auto"/>
          <w:spacing w:val="0"/>
          <w:position w:val="0"/>
          <w:sz w:val="44"/>
          <w:szCs w:val="44"/>
          <w:highlight w:val="none"/>
          <w:lang w:val="en-US" w:eastAsia="zh-CN"/>
        </w:rPr>
        <w:t xml:space="preserve"> </w:t>
      </w:r>
      <w:r>
        <w:rPr>
          <w:rFonts w:hint="eastAsia" w:ascii="宋体" w:hAnsi="宋体" w:eastAsia="宋体" w:cs="宋体"/>
          <w:color w:val="auto"/>
          <w:spacing w:val="0"/>
          <w:position w:val="0"/>
          <w:sz w:val="44"/>
          <w:szCs w:val="44"/>
          <w:highlight w:val="none"/>
          <w:lang w:eastAsia="zh-CN"/>
        </w:rPr>
        <w:t>应</w:t>
      </w:r>
      <w:r>
        <w:rPr>
          <w:rFonts w:hint="eastAsia" w:ascii="宋体" w:hAnsi="宋体" w:eastAsia="宋体" w:cs="宋体"/>
          <w:color w:val="auto"/>
          <w:spacing w:val="0"/>
          <w:position w:val="0"/>
          <w:sz w:val="44"/>
          <w:szCs w:val="44"/>
          <w:highlight w:val="none"/>
        </w:rPr>
        <w:t xml:space="preserve"> 文 件</w:t>
      </w:r>
    </w:p>
    <w:p w14:paraId="0A3DCDEB">
      <w:pPr>
        <w:pageBreakBefore w:val="0"/>
        <w:kinsoku/>
        <w:wordWrap w:val="0"/>
        <w:overflowPunct/>
        <w:topLinePunct/>
        <w:autoSpaceDE/>
        <w:autoSpaceDN/>
        <w:bidi w:val="0"/>
        <w:snapToGrid w:val="0"/>
        <w:spacing w:before="156" w:beforeLines="50" w:after="50"/>
        <w:rPr>
          <w:rFonts w:hint="eastAsia" w:ascii="宋体" w:hAnsi="宋体" w:eastAsia="宋体" w:cs="宋体"/>
          <w:color w:val="auto"/>
          <w:spacing w:val="0"/>
          <w:position w:val="0"/>
          <w:sz w:val="24"/>
          <w:szCs w:val="20"/>
          <w:highlight w:val="none"/>
        </w:rPr>
      </w:pPr>
    </w:p>
    <w:p w14:paraId="2DE553A7">
      <w:pPr>
        <w:pageBreakBefore w:val="0"/>
        <w:kinsoku/>
        <w:wordWrap w:val="0"/>
        <w:overflowPunct/>
        <w:topLinePunct/>
        <w:autoSpaceDE/>
        <w:autoSpaceDN/>
        <w:bidi w:val="0"/>
        <w:snapToGrid w:val="0"/>
        <w:spacing w:before="156" w:beforeLines="50" w:after="50"/>
        <w:rPr>
          <w:rFonts w:hint="eastAsia" w:ascii="宋体" w:hAnsi="宋体" w:eastAsia="宋体" w:cs="宋体"/>
          <w:color w:val="auto"/>
          <w:spacing w:val="0"/>
          <w:position w:val="0"/>
          <w:sz w:val="24"/>
          <w:szCs w:val="20"/>
          <w:highlight w:val="none"/>
        </w:rPr>
      </w:pPr>
    </w:p>
    <w:p w14:paraId="1FD76333">
      <w:pPr>
        <w:pageBreakBefore w:val="0"/>
        <w:kinsoku/>
        <w:wordWrap w:val="0"/>
        <w:overflowPunct/>
        <w:topLinePunct/>
        <w:autoSpaceDE/>
        <w:autoSpaceDN/>
        <w:bidi w:val="0"/>
        <w:snapToGrid w:val="0"/>
        <w:spacing w:before="156" w:beforeLines="50" w:after="50"/>
        <w:jc w:val="center"/>
        <w:rPr>
          <w:rFonts w:hint="eastAsia" w:ascii="宋体" w:hAnsi="宋体" w:eastAsia="宋体" w:cs="宋体"/>
          <w:bCs/>
          <w:color w:val="auto"/>
          <w:spacing w:val="0"/>
          <w:position w:val="0"/>
          <w:sz w:val="44"/>
          <w:szCs w:val="44"/>
          <w:highlight w:val="none"/>
        </w:rPr>
      </w:pPr>
      <w:r>
        <w:rPr>
          <w:rFonts w:hint="eastAsia" w:ascii="宋体" w:hAnsi="宋体" w:eastAsia="宋体" w:cs="宋体"/>
          <w:bCs/>
          <w:color w:val="auto"/>
          <w:spacing w:val="0"/>
          <w:position w:val="0"/>
          <w:sz w:val="44"/>
          <w:szCs w:val="44"/>
          <w:highlight w:val="none"/>
        </w:rPr>
        <w:t>商  务  技  术  文  件</w:t>
      </w:r>
    </w:p>
    <w:p w14:paraId="7FC0EBE5">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018B0D9C">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60D09A7A">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70A7A02A">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77CEE75C">
      <w:pPr>
        <w:pageBreakBefore w:val="0"/>
        <w:kinsoku/>
        <w:wordWrap w:val="0"/>
        <w:overflowPunct/>
        <w:topLinePunct/>
        <w:autoSpaceDE/>
        <w:autoSpaceDN/>
        <w:bidi w:val="0"/>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项目名称：</w:t>
      </w:r>
    </w:p>
    <w:p w14:paraId="2637F1CB">
      <w:pPr>
        <w:pageBreakBefore w:val="0"/>
        <w:kinsoku/>
        <w:wordWrap w:val="0"/>
        <w:overflowPunct/>
        <w:topLinePunct/>
        <w:autoSpaceDE/>
        <w:autoSpaceDN/>
        <w:bidi w:val="0"/>
        <w:snapToGrid w:val="0"/>
        <w:spacing w:before="156" w:beforeLines="50" w:after="50"/>
        <w:ind w:firstLine="720" w:firstLineChars="225"/>
        <w:rPr>
          <w:rFonts w:hint="eastAsia" w:ascii="宋体" w:hAnsi="宋体" w:eastAsia="宋体" w:cs="宋体"/>
          <w:bCs/>
          <w:color w:val="auto"/>
          <w:spacing w:val="0"/>
          <w:position w:val="0"/>
          <w:sz w:val="32"/>
          <w:szCs w:val="32"/>
          <w:highlight w:val="none"/>
        </w:rPr>
      </w:pPr>
    </w:p>
    <w:p w14:paraId="057D03CB">
      <w:pPr>
        <w:pageBreakBefore w:val="0"/>
        <w:kinsoku/>
        <w:wordWrap w:val="0"/>
        <w:overflowPunct/>
        <w:topLinePunct/>
        <w:autoSpaceDE/>
        <w:autoSpaceDN/>
        <w:bidi w:val="0"/>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项目编号：</w:t>
      </w:r>
    </w:p>
    <w:p w14:paraId="235CE665">
      <w:pPr>
        <w:pageBreakBefore w:val="0"/>
        <w:kinsoku/>
        <w:wordWrap w:val="0"/>
        <w:overflowPunct/>
        <w:topLinePunct/>
        <w:autoSpaceDE/>
        <w:autoSpaceDN/>
        <w:bidi w:val="0"/>
        <w:snapToGrid w:val="0"/>
        <w:spacing w:before="156" w:beforeLines="50" w:after="50"/>
        <w:ind w:firstLine="720" w:firstLineChars="225"/>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 xml:space="preserve"> </w:t>
      </w:r>
    </w:p>
    <w:p w14:paraId="2BD621C3">
      <w:pPr>
        <w:pStyle w:val="9"/>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供应商名称：</w:t>
      </w:r>
    </w:p>
    <w:p w14:paraId="3A2C1D1E">
      <w:pPr>
        <w:pStyle w:val="9"/>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rPr>
      </w:pPr>
    </w:p>
    <w:p w14:paraId="4C0EB9AB">
      <w:pPr>
        <w:pStyle w:val="9"/>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lang w:eastAsia="zh-CN"/>
        </w:rPr>
      </w:pPr>
      <w:r>
        <w:rPr>
          <w:rFonts w:hint="eastAsia" w:ascii="宋体" w:hAnsi="宋体" w:eastAsia="宋体" w:cs="宋体"/>
          <w:bCs/>
          <w:color w:val="auto"/>
          <w:spacing w:val="0"/>
          <w:position w:val="0"/>
          <w:sz w:val="32"/>
          <w:szCs w:val="32"/>
          <w:highlight w:val="none"/>
          <w:lang w:eastAsia="zh-CN"/>
        </w:rPr>
        <w:t>供应商地址：</w:t>
      </w:r>
    </w:p>
    <w:p w14:paraId="73F66758">
      <w:pPr>
        <w:pStyle w:val="9"/>
        <w:pageBreakBefore w:val="0"/>
        <w:kinsoku/>
        <w:wordWrap w:val="0"/>
        <w:overflowPunct/>
        <w:topLinePunct/>
        <w:autoSpaceDE/>
        <w:autoSpaceDN/>
        <w:bidi w:val="0"/>
        <w:snapToGrid w:val="0"/>
        <w:spacing w:before="50" w:after="50"/>
        <w:ind w:firstLine="640" w:firstLineChars="200"/>
        <w:rPr>
          <w:rFonts w:hint="eastAsia" w:ascii="宋体" w:hAnsi="宋体" w:eastAsia="宋体" w:cs="宋体"/>
          <w:bCs/>
          <w:color w:val="auto"/>
          <w:spacing w:val="0"/>
          <w:position w:val="0"/>
          <w:sz w:val="32"/>
          <w:szCs w:val="32"/>
          <w:highlight w:val="none"/>
        </w:rPr>
      </w:pPr>
    </w:p>
    <w:p w14:paraId="39950C5A">
      <w:pPr>
        <w:pStyle w:val="9"/>
        <w:pageBreakBefore w:val="0"/>
        <w:kinsoku/>
        <w:wordWrap w:val="0"/>
        <w:overflowPunct/>
        <w:topLinePunct/>
        <w:autoSpaceDE/>
        <w:autoSpaceDN/>
        <w:bidi w:val="0"/>
        <w:snapToGrid w:val="0"/>
        <w:spacing w:before="50" w:after="50"/>
        <w:ind w:firstLine="720" w:firstLineChars="225"/>
        <w:rPr>
          <w:rFonts w:hint="eastAsia" w:ascii="宋体" w:hAnsi="宋体" w:eastAsia="宋体" w:cs="宋体"/>
          <w:bCs/>
          <w:color w:val="auto"/>
          <w:spacing w:val="0"/>
          <w:position w:val="0"/>
          <w:sz w:val="32"/>
          <w:szCs w:val="32"/>
          <w:highlight w:val="none"/>
        </w:rPr>
      </w:pPr>
    </w:p>
    <w:p w14:paraId="5B867F3E">
      <w:pPr>
        <w:pStyle w:val="9"/>
        <w:pageBreakBefore w:val="0"/>
        <w:kinsoku/>
        <w:wordWrap w:val="0"/>
        <w:overflowPunct/>
        <w:topLinePunct/>
        <w:autoSpaceDE/>
        <w:autoSpaceDN/>
        <w:bidi w:val="0"/>
        <w:snapToGrid w:val="0"/>
        <w:spacing w:before="50" w:after="50"/>
        <w:ind w:firstLine="1280" w:firstLineChars="400"/>
        <w:rPr>
          <w:rFonts w:hint="eastAsia" w:ascii="宋体" w:hAnsi="宋体" w:eastAsia="宋体" w:cs="宋体"/>
          <w:bCs/>
          <w:color w:val="auto"/>
          <w:spacing w:val="0"/>
          <w:position w:val="0"/>
          <w:sz w:val="32"/>
          <w:szCs w:val="32"/>
          <w:highlight w:val="none"/>
        </w:rPr>
      </w:pPr>
    </w:p>
    <w:p w14:paraId="08DA152E">
      <w:pPr>
        <w:pageBreakBefore w:val="0"/>
        <w:kinsoku/>
        <w:wordWrap w:val="0"/>
        <w:overflowPunct/>
        <w:topLinePunct/>
        <w:autoSpaceDE/>
        <w:autoSpaceDN/>
        <w:bidi w:val="0"/>
        <w:snapToGrid w:val="0"/>
        <w:spacing w:before="156" w:beforeLines="50" w:after="50"/>
        <w:jc w:val="center"/>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32"/>
          <w:szCs w:val="32"/>
          <w:highlight w:val="none"/>
        </w:rPr>
        <w:t>年    月    日</w:t>
      </w:r>
    </w:p>
    <w:p w14:paraId="38F0AC73">
      <w:pPr>
        <w:pageBreakBefore w:val="0"/>
        <w:kinsoku/>
        <w:wordWrap w:val="0"/>
        <w:overflowPunct/>
        <w:topLinePunct/>
        <w:autoSpaceDE/>
        <w:autoSpaceDN/>
        <w:bidi w:val="0"/>
        <w:snapToGrid w:val="0"/>
        <w:spacing w:before="156" w:beforeLines="50" w:after="50" w:line="360" w:lineRule="auto"/>
        <w:ind w:right="480" w:firstLine="240" w:firstLineChars="100"/>
        <w:jc w:val="left"/>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 w:val="24"/>
          <w:highlight w:val="none"/>
        </w:rPr>
        <w:br w:type="page"/>
      </w:r>
      <w:r>
        <w:rPr>
          <w:rFonts w:hint="eastAsia" w:ascii="宋体" w:hAnsi="宋体" w:eastAsia="宋体" w:cs="宋体"/>
          <w:b/>
          <w:bCs/>
          <w:color w:val="auto"/>
          <w:spacing w:val="0"/>
          <w:position w:val="0"/>
          <w:sz w:val="32"/>
          <w:szCs w:val="32"/>
          <w:highlight w:val="none"/>
        </w:rPr>
        <w:t>2.商务技术文件目录</w:t>
      </w:r>
    </w:p>
    <w:p w14:paraId="1F52770E">
      <w:pPr>
        <w:pageBreakBefore w:val="0"/>
        <w:kinsoku/>
        <w:wordWrap w:val="0"/>
        <w:overflowPunct/>
        <w:topLinePunct/>
        <w:autoSpaceDE/>
        <w:autoSpaceDN/>
        <w:bidi w:val="0"/>
        <w:snapToGrid w:val="0"/>
        <w:spacing w:before="156" w:beforeLines="50" w:after="50" w:line="360" w:lineRule="auto"/>
        <w:ind w:firstLine="640" w:firstLineChars="200"/>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32"/>
          <w:szCs w:val="32"/>
          <w:highlight w:val="none"/>
        </w:rPr>
        <w:t>根据磋商文件规定及供应商提供的材料自行编写目录（部分格式后附）。</w:t>
      </w:r>
    </w:p>
    <w:p w14:paraId="37CF2909">
      <w:pPr>
        <w:pageBreakBefore w:val="0"/>
        <w:kinsoku/>
        <w:wordWrap w:val="0"/>
        <w:overflowPunct/>
        <w:topLinePunct/>
        <w:autoSpaceDE/>
        <w:autoSpaceDN/>
        <w:bidi w:val="0"/>
        <w:spacing w:line="400" w:lineRule="exact"/>
        <w:rPr>
          <w:rFonts w:hint="eastAsia" w:ascii="宋体" w:hAnsi="宋体" w:eastAsia="宋体" w:cs="宋体"/>
          <w:color w:val="auto"/>
          <w:spacing w:val="0"/>
          <w:position w:val="0"/>
          <w:sz w:val="32"/>
          <w:szCs w:val="32"/>
          <w:highlight w:val="none"/>
        </w:rPr>
      </w:pPr>
    </w:p>
    <w:p w14:paraId="145410A4">
      <w:pPr>
        <w:pageBreakBefore w:val="0"/>
        <w:kinsoku/>
        <w:wordWrap w:val="0"/>
        <w:overflowPunct/>
        <w:topLinePunct/>
        <w:autoSpaceDE/>
        <w:autoSpaceDN/>
        <w:bidi w:val="0"/>
        <w:spacing w:line="520" w:lineRule="exact"/>
        <w:jc w:val="center"/>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44"/>
          <w:szCs w:val="44"/>
          <w:highlight w:val="none"/>
        </w:rPr>
        <w:br w:type="page"/>
      </w:r>
      <w:r>
        <w:rPr>
          <w:rFonts w:hint="eastAsia" w:ascii="宋体" w:hAnsi="宋体" w:eastAsia="宋体" w:cs="宋体"/>
          <w:color w:val="auto"/>
          <w:spacing w:val="0"/>
          <w:position w:val="0"/>
          <w:sz w:val="36"/>
          <w:szCs w:val="36"/>
          <w:highlight w:val="none"/>
        </w:rPr>
        <w:t>无串通竞标行为的承诺函</w:t>
      </w:r>
      <w:r>
        <w:rPr>
          <w:rFonts w:hint="eastAsia" w:ascii="宋体" w:hAnsi="宋体" w:eastAsia="宋体" w:cs="宋体"/>
          <w:color w:val="auto"/>
          <w:spacing w:val="0"/>
          <w:position w:val="0"/>
          <w:sz w:val="36"/>
          <w:szCs w:val="36"/>
          <w:highlight w:val="none"/>
          <w:lang w:eastAsia="zh-CN"/>
        </w:rPr>
        <w:t>（格式）</w:t>
      </w:r>
    </w:p>
    <w:p w14:paraId="2525A94B">
      <w:pPr>
        <w:pageBreakBefore w:val="0"/>
        <w:kinsoku/>
        <w:wordWrap w:val="0"/>
        <w:overflowPunct/>
        <w:topLinePunct/>
        <w:autoSpaceDE/>
        <w:autoSpaceDN/>
        <w:bidi w:val="0"/>
        <w:spacing w:line="360" w:lineRule="auto"/>
        <w:ind w:firstLine="640" w:firstLineChars="200"/>
        <w:contextualSpacing/>
        <w:rPr>
          <w:rFonts w:hint="eastAsia" w:ascii="宋体" w:hAnsi="宋体" w:eastAsia="宋体" w:cs="宋体"/>
          <w:color w:val="auto"/>
          <w:spacing w:val="0"/>
          <w:position w:val="0"/>
          <w:sz w:val="32"/>
          <w:szCs w:val="32"/>
          <w:highlight w:val="none"/>
        </w:rPr>
      </w:pPr>
    </w:p>
    <w:p w14:paraId="2CF745E8">
      <w:pPr>
        <w:pageBreakBefore w:val="0"/>
        <w:kinsoku/>
        <w:wordWrap w:val="0"/>
        <w:overflowPunct/>
        <w:topLinePunct/>
        <w:autoSpaceDE/>
        <w:autoSpaceDN/>
        <w:bidi w:val="0"/>
        <w:spacing w:line="360" w:lineRule="auto"/>
        <w:ind w:firstLine="482" w:firstLineChars="200"/>
        <w:contextualSpacing/>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一、我方承诺无下列相互串通竞标的情形：</w:t>
      </w:r>
    </w:p>
    <w:p w14:paraId="4C8FF66D">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1.不同供应商的响应文件由同一单位或者个人编制； </w:t>
      </w:r>
    </w:p>
    <w:p w14:paraId="29048475">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2.不同供应商委托同一单位或者个人办理竞标事宜；</w:t>
      </w:r>
    </w:p>
    <w:p w14:paraId="1B3807F2">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3.不同供应商的响应文件载明的项目管理员为同一个人；</w:t>
      </w:r>
    </w:p>
    <w:p w14:paraId="4CCD8BEC">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4.不同供应商的响应文件异常一致或者竞标报价呈规律性差异；</w:t>
      </w:r>
    </w:p>
    <w:p w14:paraId="3D029920">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5.不同供应商的响应文件相互混装；</w:t>
      </w:r>
    </w:p>
    <w:p w14:paraId="48774393">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6.不同供应商的磋商保证金从同一单位或者个人账户转出。</w:t>
      </w:r>
    </w:p>
    <w:p w14:paraId="5791E4F3">
      <w:pPr>
        <w:pageBreakBefore w:val="0"/>
        <w:kinsoku/>
        <w:wordWrap w:val="0"/>
        <w:overflowPunct/>
        <w:topLinePunct/>
        <w:autoSpaceDE/>
        <w:autoSpaceDN/>
        <w:bidi w:val="0"/>
        <w:spacing w:line="360" w:lineRule="auto"/>
        <w:ind w:firstLine="482" w:firstLineChars="200"/>
        <w:contextualSpacing/>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二、我方承诺无下列恶意串通的情形：</w:t>
      </w:r>
    </w:p>
    <w:p w14:paraId="026B11A5">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1.供应商直接或者间接从采购人或者采购代理机构处获得其他供应商的相关信息并修改其响应文件；</w:t>
      </w:r>
    </w:p>
    <w:p w14:paraId="3EE8ADF7">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2.供应商按照采购人或者采购代理机构的授意撤换、修改响应文件；</w:t>
      </w:r>
    </w:p>
    <w:p w14:paraId="1E8CD70C">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3.供应商之间协商报价、技术方案等响应文件的实质性内容；</w:t>
      </w:r>
    </w:p>
    <w:p w14:paraId="17245F16">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4.属于同一集团、协会、商会等组织成员的供应商按照该组织要求协同参加政府采购活动；</w:t>
      </w:r>
    </w:p>
    <w:p w14:paraId="201A4EC4">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5.供应商之间事先约定一致抬高或者压低竞标报价，或者在竞争性磋商项目中事先约定轮流以高价位或者低价位成交，或者事先约定由某一特定供应商成交，然后再参加竞标；</w:t>
      </w:r>
    </w:p>
    <w:p w14:paraId="41493ABE">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6.供应商之间商定部分供应商放弃参加政府采购活动或者放弃成交；</w:t>
      </w:r>
    </w:p>
    <w:p w14:paraId="257CECD4">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7.供应商与采购人或者采购代理机构之间、供应商相互之间，为谋求特定供应商成交或者排斥其他供应商的其他串通行为。</w:t>
      </w:r>
    </w:p>
    <w:p w14:paraId="50F4BDD1">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p>
    <w:p w14:paraId="3DB919E3">
      <w:pPr>
        <w:pageBreakBefore w:val="0"/>
        <w:kinsoku/>
        <w:wordWrap w:val="0"/>
        <w:overflowPunct/>
        <w:topLinePunct/>
        <w:autoSpaceDE/>
        <w:autoSpaceDN/>
        <w:bidi w:val="0"/>
        <w:spacing w:line="360" w:lineRule="auto"/>
        <w:ind w:firstLine="482" w:firstLineChars="200"/>
        <w:contextualSpacing/>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以上情形一经核查属实，我方愿意承担一切后果，并不再寻求任何旨在减轻或者免除法律责任的辩解。</w:t>
      </w:r>
    </w:p>
    <w:p w14:paraId="0791265E">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6D9FCABB">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1CD072BC">
      <w:pPr>
        <w:pageBreakBefore w:val="0"/>
        <w:kinsoku/>
        <w:wordWrap w:val="0"/>
        <w:overflowPunct/>
        <w:topLinePunct/>
        <w:autoSpaceDE/>
        <w:autoSpaceDN/>
        <w:bidi w:val="0"/>
        <w:spacing w:line="360" w:lineRule="auto"/>
        <w:ind w:firstLine="3600" w:firstLineChars="15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供应商（电子签章）：</w:t>
      </w:r>
    </w:p>
    <w:p w14:paraId="438A1667">
      <w:pPr>
        <w:pageBreakBefore w:val="0"/>
        <w:kinsoku/>
        <w:wordWrap w:val="0"/>
        <w:overflowPunct/>
        <w:topLinePunct/>
        <w:autoSpaceDE/>
        <w:autoSpaceDN/>
        <w:bidi w:val="0"/>
        <w:spacing w:line="360" w:lineRule="auto"/>
        <w:ind w:firstLine="480" w:firstLineChars="200"/>
        <w:contextualSpacing/>
        <w:jc w:val="center"/>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24"/>
          <w:highlight w:val="none"/>
        </w:rPr>
        <w:t xml:space="preserve">                               年   月   日</w:t>
      </w:r>
    </w:p>
    <w:p w14:paraId="55F08990">
      <w:pPr>
        <w:pageBreakBefore w:val="0"/>
        <w:kinsoku/>
        <w:wordWrap w:val="0"/>
        <w:overflowPunct/>
        <w:topLinePunct/>
        <w:autoSpaceDE/>
        <w:autoSpaceDN/>
        <w:bidi w:val="0"/>
        <w:spacing w:line="520" w:lineRule="exact"/>
        <w:jc w:val="center"/>
        <w:rPr>
          <w:rFonts w:hint="eastAsia" w:ascii="宋体" w:hAnsi="宋体" w:eastAsia="宋体" w:cs="宋体"/>
          <w:color w:val="auto"/>
          <w:spacing w:val="0"/>
          <w:position w:val="0"/>
          <w:sz w:val="32"/>
          <w:szCs w:val="32"/>
          <w:highlight w:val="none"/>
        </w:rPr>
      </w:pPr>
      <w:r>
        <w:rPr>
          <w:rFonts w:hint="eastAsia" w:ascii="宋体" w:hAnsi="宋体" w:eastAsia="宋体" w:cs="宋体"/>
          <w:bCs/>
          <w:color w:val="auto"/>
          <w:spacing w:val="0"/>
          <w:position w:val="0"/>
          <w:sz w:val="44"/>
          <w:szCs w:val="44"/>
          <w:highlight w:val="none"/>
        </w:rPr>
        <w:br w:type="page"/>
      </w:r>
      <w:r>
        <w:rPr>
          <w:rFonts w:hint="eastAsia" w:ascii="宋体" w:hAnsi="宋体" w:eastAsia="宋体" w:cs="宋体"/>
          <w:bCs/>
          <w:color w:val="auto"/>
          <w:spacing w:val="0"/>
          <w:position w:val="0"/>
          <w:sz w:val="44"/>
          <w:szCs w:val="44"/>
          <w:highlight w:val="none"/>
        </w:rPr>
        <w:t>法定代表人证明书</w:t>
      </w:r>
    </w:p>
    <w:p w14:paraId="779E6B19">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32"/>
          <w:szCs w:val="32"/>
          <w:highlight w:val="none"/>
        </w:rPr>
      </w:pPr>
    </w:p>
    <w:p w14:paraId="3E5181E3">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供应商名称：</w:t>
      </w:r>
      <w:r>
        <w:rPr>
          <w:rFonts w:hint="eastAsia" w:ascii="宋体" w:hAnsi="宋体" w:eastAsia="宋体" w:cs="宋体"/>
          <w:color w:val="auto"/>
          <w:spacing w:val="0"/>
          <w:position w:val="0"/>
          <w:sz w:val="24"/>
          <w:highlight w:val="none"/>
          <w:u w:val="single"/>
        </w:rPr>
        <w:t xml:space="preserve">                                         </w:t>
      </w:r>
    </w:p>
    <w:p w14:paraId="39905B7F">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地    址：</w:t>
      </w:r>
      <w:r>
        <w:rPr>
          <w:rFonts w:hint="eastAsia" w:ascii="宋体" w:hAnsi="宋体" w:eastAsia="宋体" w:cs="宋体"/>
          <w:color w:val="auto"/>
          <w:spacing w:val="0"/>
          <w:position w:val="0"/>
          <w:sz w:val="24"/>
          <w:highlight w:val="none"/>
          <w:u w:val="single"/>
        </w:rPr>
        <w:t xml:space="preserve">                                           </w:t>
      </w:r>
    </w:p>
    <w:p w14:paraId="22F655C2">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姓    名：</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性     别：</w:t>
      </w:r>
      <w:r>
        <w:rPr>
          <w:rFonts w:hint="eastAsia" w:ascii="宋体" w:hAnsi="宋体" w:eastAsia="宋体" w:cs="宋体"/>
          <w:color w:val="auto"/>
          <w:spacing w:val="0"/>
          <w:position w:val="0"/>
          <w:sz w:val="24"/>
          <w:highlight w:val="none"/>
          <w:u w:val="single"/>
        </w:rPr>
        <w:t xml:space="preserve">                </w:t>
      </w:r>
    </w:p>
    <w:p w14:paraId="749041EB">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年    龄：</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职     务：</w:t>
      </w:r>
      <w:r>
        <w:rPr>
          <w:rFonts w:hint="eastAsia" w:ascii="宋体" w:hAnsi="宋体" w:eastAsia="宋体" w:cs="宋体"/>
          <w:color w:val="auto"/>
          <w:spacing w:val="0"/>
          <w:position w:val="0"/>
          <w:sz w:val="24"/>
          <w:highlight w:val="none"/>
          <w:u w:val="single"/>
        </w:rPr>
        <w:t xml:space="preserve">                </w:t>
      </w:r>
    </w:p>
    <w:p w14:paraId="7B2C00E7">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身份证号码：</w:t>
      </w:r>
      <w:r>
        <w:rPr>
          <w:rFonts w:hint="eastAsia" w:ascii="宋体" w:hAnsi="宋体" w:eastAsia="宋体" w:cs="宋体"/>
          <w:color w:val="auto"/>
          <w:spacing w:val="0"/>
          <w:position w:val="0"/>
          <w:sz w:val="24"/>
          <w:highlight w:val="none"/>
          <w:u w:val="single"/>
        </w:rPr>
        <w:t xml:space="preserve">                                        </w:t>
      </w:r>
    </w:p>
    <w:p w14:paraId="36FCB271">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系</w:t>
      </w:r>
      <w:r>
        <w:rPr>
          <w:rFonts w:hint="eastAsia" w:ascii="宋体" w:hAnsi="宋体" w:eastAsia="宋体" w:cs="宋体"/>
          <w:color w:val="auto"/>
          <w:spacing w:val="0"/>
          <w:position w:val="0"/>
          <w:sz w:val="24"/>
          <w:highlight w:val="none"/>
          <w:u w:val="single"/>
        </w:rPr>
        <w:t>（供应商名称）</w:t>
      </w:r>
      <w:r>
        <w:rPr>
          <w:rFonts w:hint="eastAsia" w:ascii="宋体" w:hAnsi="宋体" w:eastAsia="宋体" w:cs="宋体"/>
          <w:color w:val="auto"/>
          <w:spacing w:val="0"/>
          <w:position w:val="0"/>
          <w:sz w:val="24"/>
          <w:highlight w:val="none"/>
        </w:rPr>
        <w:t>的法定代表人。</w:t>
      </w:r>
    </w:p>
    <w:p w14:paraId="29679E06">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特此证明。</w:t>
      </w:r>
    </w:p>
    <w:p w14:paraId="1A8A0343">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p>
    <w:p w14:paraId="5181641F">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p>
    <w:p w14:paraId="79FF8060">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p>
    <w:p w14:paraId="7357586E">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附件：法定代表人有效身份证正反面复印件</w:t>
      </w:r>
    </w:p>
    <w:p w14:paraId="0C4207A6">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p>
    <w:p w14:paraId="677AAD7A">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p>
    <w:p w14:paraId="7FA168A2">
      <w:pPr>
        <w:pageBreakBefore w:val="0"/>
        <w:kinsoku/>
        <w:wordWrap w:val="0"/>
        <w:overflowPunct/>
        <w:topLinePunct/>
        <w:autoSpaceDE/>
        <w:autoSpaceDN/>
        <w:bidi w:val="0"/>
        <w:spacing w:line="360" w:lineRule="auto"/>
        <w:ind w:left="540" w:firstLine="3000" w:firstLineChars="125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供应商（电子签章）：</w:t>
      </w:r>
      <w:r>
        <w:rPr>
          <w:rFonts w:hint="eastAsia" w:ascii="宋体" w:hAnsi="宋体" w:eastAsia="宋体" w:cs="宋体"/>
          <w:color w:val="auto"/>
          <w:spacing w:val="0"/>
          <w:position w:val="0"/>
          <w:sz w:val="24"/>
          <w:highlight w:val="none"/>
          <w:u w:val="single"/>
        </w:rPr>
        <w:t xml:space="preserve">               </w:t>
      </w:r>
    </w:p>
    <w:p w14:paraId="23F35F50">
      <w:pPr>
        <w:pageBreakBefore w:val="0"/>
        <w:kinsoku/>
        <w:wordWrap w:val="0"/>
        <w:overflowPunct/>
        <w:topLinePunct/>
        <w:autoSpaceDE/>
        <w:autoSpaceDN/>
        <w:bidi w:val="0"/>
        <w:spacing w:line="360" w:lineRule="auto"/>
        <w:ind w:firstLine="4080" w:firstLineChars="17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年</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月</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日</w:t>
      </w:r>
    </w:p>
    <w:p w14:paraId="059A6267">
      <w:pPr>
        <w:pageBreakBefore w:val="0"/>
        <w:kinsoku/>
        <w:wordWrap w:val="0"/>
        <w:overflowPunct/>
        <w:topLinePunct/>
        <w:autoSpaceDE/>
        <w:autoSpaceDN/>
        <w:bidi w:val="0"/>
        <w:spacing w:line="360" w:lineRule="auto"/>
        <w:contextualSpacing/>
        <w:jc w:val="center"/>
        <w:rPr>
          <w:rFonts w:hint="eastAsia" w:ascii="宋体" w:hAnsi="宋体" w:eastAsia="宋体" w:cs="宋体"/>
          <w:b/>
          <w:color w:val="auto"/>
          <w:spacing w:val="0"/>
          <w:position w:val="0"/>
          <w:sz w:val="24"/>
          <w:highlight w:val="none"/>
        </w:rPr>
      </w:pPr>
    </w:p>
    <w:p w14:paraId="0D60A4F4">
      <w:pPr>
        <w:pageBreakBefore w:val="0"/>
        <w:kinsoku/>
        <w:wordWrap w:val="0"/>
        <w:overflowPunct/>
        <w:topLinePunct/>
        <w:autoSpaceDE/>
        <w:autoSpaceDN/>
        <w:bidi w:val="0"/>
        <w:adjustRightInd w:val="0"/>
        <w:snapToGrid w:val="0"/>
        <w:spacing w:line="300" w:lineRule="auto"/>
        <w:jc w:val="left"/>
        <w:rPr>
          <w:rFonts w:hint="eastAsia" w:ascii="宋体" w:hAnsi="宋体" w:eastAsia="宋体" w:cs="宋体"/>
          <w:b/>
          <w:color w:val="auto"/>
          <w:spacing w:val="0"/>
          <w:position w:val="0"/>
          <w:szCs w:val="21"/>
          <w:highlight w:val="none"/>
        </w:rPr>
      </w:pPr>
    </w:p>
    <w:p w14:paraId="1230394A">
      <w:pPr>
        <w:pageBreakBefore w:val="0"/>
        <w:kinsoku/>
        <w:wordWrap w:val="0"/>
        <w:overflowPunct/>
        <w:topLinePunct/>
        <w:autoSpaceDE/>
        <w:autoSpaceDN/>
        <w:bidi w:val="0"/>
        <w:spacing w:line="500" w:lineRule="exact"/>
        <w:jc w:val="center"/>
        <w:rPr>
          <w:rFonts w:hint="eastAsia" w:ascii="宋体" w:hAnsi="宋体" w:eastAsia="宋体" w:cs="宋体"/>
          <w:color w:val="auto"/>
          <w:spacing w:val="0"/>
          <w:position w:val="0"/>
          <w:sz w:val="44"/>
          <w:szCs w:val="44"/>
          <w:highlight w:val="none"/>
        </w:rPr>
      </w:pPr>
      <w:r>
        <w:rPr>
          <w:rFonts w:hint="eastAsia" w:ascii="宋体" w:hAnsi="宋体" w:eastAsia="宋体" w:cs="宋体"/>
          <w:color w:val="auto"/>
          <w:spacing w:val="0"/>
          <w:position w:val="0"/>
          <w:sz w:val="44"/>
          <w:szCs w:val="44"/>
          <w:highlight w:val="none"/>
        </w:rPr>
        <w:br w:type="page"/>
      </w:r>
      <w:bookmarkStart w:id="88" w:name="_Hlk65853643"/>
      <w:r>
        <w:rPr>
          <w:rFonts w:hint="eastAsia" w:ascii="宋体" w:hAnsi="宋体" w:eastAsia="宋体" w:cs="宋体"/>
          <w:color w:val="auto"/>
          <w:spacing w:val="0"/>
          <w:position w:val="0"/>
          <w:sz w:val="44"/>
          <w:szCs w:val="44"/>
          <w:highlight w:val="none"/>
        </w:rPr>
        <w:t>授权委托书</w:t>
      </w:r>
    </w:p>
    <w:p w14:paraId="167A1AEB">
      <w:pPr>
        <w:pageBreakBefore w:val="0"/>
        <w:kinsoku/>
        <w:wordWrap w:val="0"/>
        <w:overflowPunct/>
        <w:topLinePunct/>
        <w:autoSpaceDE/>
        <w:autoSpaceDN/>
        <w:bidi w:val="0"/>
        <w:spacing w:line="520" w:lineRule="exact"/>
        <w:jc w:val="center"/>
        <w:rPr>
          <w:rFonts w:hint="eastAsia" w:ascii="宋体" w:hAnsi="宋体" w:eastAsia="宋体" w:cs="宋体"/>
          <w:color w:val="auto"/>
          <w:spacing w:val="0"/>
          <w:position w:val="0"/>
          <w:sz w:val="44"/>
          <w:szCs w:val="44"/>
          <w:highlight w:val="none"/>
        </w:rPr>
      </w:pPr>
      <w:r>
        <w:rPr>
          <w:rFonts w:hint="eastAsia" w:ascii="宋体" w:hAnsi="宋体" w:eastAsia="宋体" w:cs="宋体"/>
          <w:color w:val="auto"/>
          <w:spacing w:val="0"/>
          <w:position w:val="0"/>
          <w:sz w:val="32"/>
          <w:szCs w:val="32"/>
          <w:highlight w:val="none"/>
        </w:rPr>
        <w:t>（如有委托时）</w:t>
      </w:r>
    </w:p>
    <w:p w14:paraId="0A19BE52">
      <w:pPr>
        <w:pageBreakBefore w:val="0"/>
        <w:kinsoku/>
        <w:wordWrap w:val="0"/>
        <w:overflowPunct/>
        <w:topLinePunct/>
        <w:autoSpaceDE/>
        <w:autoSpaceDN/>
        <w:bidi w:val="0"/>
        <w:spacing w:line="520" w:lineRule="exact"/>
        <w:rPr>
          <w:rFonts w:hint="eastAsia" w:ascii="宋体" w:hAnsi="宋体" w:eastAsia="宋体" w:cs="宋体"/>
          <w:color w:val="auto"/>
          <w:spacing w:val="0"/>
          <w:position w:val="0"/>
          <w:sz w:val="32"/>
          <w:szCs w:val="32"/>
          <w:highlight w:val="none"/>
        </w:rPr>
      </w:pPr>
    </w:p>
    <w:p w14:paraId="03EA1749">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致：</w:t>
      </w:r>
      <w:r>
        <w:rPr>
          <w:rFonts w:hint="eastAsia" w:ascii="宋体" w:hAnsi="宋体" w:eastAsia="宋体" w:cs="宋体"/>
          <w:color w:val="auto"/>
          <w:spacing w:val="0"/>
          <w:position w:val="0"/>
          <w:sz w:val="24"/>
          <w:highlight w:val="none"/>
          <w:u w:val="single"/>
        </w:rPr>
        <w:t>（采购人名称）</w:t>
      </w:r>
      <w:r>
        <w:rPr>
          <w:rFonts w:hint="eastAsia" w:ascii="宋体" w:hAnsi="宋体" w:eastAsia="宋体" w:cs="宋体"/>
          <w:color w:val="auto"/>
          <w:spacing w:val="0"/>
          <w:position w:val="0"/>
          <w:sz w:val="24"/>
          <w:highlight w:val="none"/>
        </w:rPr>
        <w:t>：</w:t>
      </w:r>
    </w:p>
    <w:p w14:paraId="02C66DE5">
      <w:pPr>
        <w:pageBreakBefore w:val="0"/>
        <w:kinsoku/>
        <w:wordWrap w:val="0"/>
        <w:overflowPunct/>
        <w:topLinePunct/>
        <w:autoSpaceDE/>
        <w:autoSpaceDN/>
        <w:bidi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我</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u w:val="single"/>
        </w:rPr>
        <w:t>姓名</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系</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u w:val="single"/>
        </w:rPr>
        <w:t>供应商名称</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的（</w:t>
      </w:r>
      <w:r>
        <w:rPr>
          <w:rFonts w:hint="eastAsia" w:ascii="宋体" w:hAnsi="宋体" w:eastAsia="宋体" w:cs="宋体"/>
          <w:color w:val="auto"/>
          <w:spacing w:val="0"/>
          <w:position w:val="0"/>
          <w:sz w:val="24"/>
          <w:highlight w:val="none"/>
          <w:u w:val="single"/>
        </w:rPr>
        <w:t>□法定代表人/□负责人</w:t>
      </w:r>
      <w:r>
        <w:rPr>
          <w:rFonts w:hint="eastAsia" w:ascii="宋体" w:hAnsi="宋体" w:eastAsia="宋体" w:cs="宋体"/>
          <w:color w:val="auto"/>
          <w:spacing w:val="0"/>
          <w:position w:val="0"/>
          <w:sz w:val="24"/>
          <w:highlight w:val="none"/>
        </w:rPr>
        <w:t>），现授权</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u w:val="single"/>
        </w:rPr>
        <w:t>姓名</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rPr>
        <w:t>以我方的名义参加</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项目的竞标活动，并代表我方全权办理针对上述项目的所有采购程序和环节的具体事务和签署相关文件。</w:t>
      </w:r>
    </w:p>
    <w:p w14:paraId="6DB2A65B">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我方对委托代理人的签字或者电子签名事项负全部责任。</w:t>
      </w:r>
    </w:p>
    <w:p w14:paraId="441B4662">
      <w:pPr>
        <w:pageBreakBefore w:val="0"/>
        <w:kinsoku/>
        <w:wordWrap w:val="0"/>
        <w:overflowPunct/>
        <w:topLinePunct/>
        <w:autoSpaceDE/>
        <w:autoSpaceDN/>
        <w:bidi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本授权书自签署之日起生效，在撤销授权的书面通知以前，本授权书一直有效。委托代理人在授权书有效期内签署的所有文件不因授权的撤销而失效。</w:t>
      </w:r>
    </w:p>
    <w:p w14:paraId="0F1918D6">
      <w:pPr>
        <w:pageBreakBefore w:val="0"/>
        <w:kinsoku/>
        <w:wordWrap w:val="0"/>
        <w:overflowPunct/>
        <w:topLinePunct/>
        <w:autoSpaceDE/>
        <w:autoSpaceDN/>
        <w:bidi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委托代理人无转委托权，特此委托。</w:t>
      </w:r>
    </w:p>
    <w:p w14:paraId="23BC4317">
      <w:pPr>
        <w:pageBreakBefore w:val="0"/>
        <w:kinsoku/>
        <w:wordWrap w:val="0"/>
        <w:overflowPunct/>
        <w:topLinePunct/>
        <w:autoSpaceDE/>
        <w:autoSpaceDN/>
        <w:bidi w:val="0"/>
        <w:spacing w:line="360" w:lineRule="auto"/>
        <w:ind w:firstLine="480" w:firstLineChars="200"/>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sz w:val="24"/>
          <w:highlight w:val="none"/>
          <w:lang w:eastAsia="zh-CN"/>
        </w:rPr>
        <w:t>附：委托代理人有效身份证正反面复印件</w:t>
      </w:r>
    </w:p>
    <w:p w14:paraId="38638D6F">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p>
    <w:p w14:paraId="7FC25C04">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委托代理人（签字或者电子签名）：     法定代表人（签字或者盖章或者电子签名）：                    </w:t>
      </w:r>
    </w:p>
    <w:p w14:paraId="63D7A41E">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委托代理人身份证号码：                              </w:t>
      </w:r>
    </w:p>
    <w:p w14:paraId="4073A074">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p>
    <w:p w14:paraId="347E5921">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供应商（电子签章）：                      </w:t>
      </w:r>
    </w:p>
    <w:p w14:paraId="62717FBF">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年    月    日</w:t>
      </w:r>
    </w:p>
    <w:p w14:paraId="4CCC3D9D">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p>
    <w:p w14:paraId="44E4615B">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p>
    <w:p w14:paraId="72700647">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p>
    <w:p w14:paraId="55AADDF0">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p>
    <w:p w14:paraId="399ADC07">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p>
    <w:p w14:paraId="396412E1">
      <w:pPr>
        <w:pageBreakBefore w:val="0"/>
        <w:kinsoku/>
        <w:wordWrap w:val="0"/>
        <w:overflowPunct/>
        <w:topLinePunct/>
        <w:autoSpaceDE/>
        <w:autoSpaceDN/>
        <w:bidi w:val="0"/>
        <w:spacing w:line="360" w:lineRule="auto"/>
        <w:ind w:firstLine="480" w:firstLineChars="200"/>
        <w:rPr>
          <w:rFonts w:hint="eastAsia" w:ascii="宋体" w:hAnsi="宋体" w:eastAsia="宋体" w:cs="宋体"/>
          <w:b/>
          <w:color w:val="auto"/>
          <w:spacing w:val="0"/>
          <w:position w:val="0"/>
          <w:sz w:val="24"/>
          <w:highlight w:val="none"/>
        </w:rPr>
        <w:sectPr>
          <w:pgSz w:w="11906" w:h="16838"/>
          <w:pgMar w:top="1440" w:right="1080" w:bottom="1440" w:left="1080" w:header="851" w:footer="992" w:gutter="0"/>
          <w:cols w:space="0" w:num="1"/>
          <w:docGrid w:type="lines" w:linePitch="312" w:charSpace="0"/>
        </w:sectPr>
      </w:pPr>
      <w:r>
        <w:rPr>
          <w:rFonts w:hint="eastAsia" w:ascii="宋体" w:hAnsi="宋体" w:eastAsia="宋体" w:cs="宋体"/>
          <w:color w:val="auto"/>
          <w:spacing w:val="0"/>
          <w:position w:val="0"/>
          <w:sz w:val="24"/>
          <w:highlight w:val="none"/>
        </w:rPr>
        <w:t>注：法定代表人必须在授权委托书上签字或者盖章或者电子签名，委托代理人必须在授权委托书上签字或者电子签名，</w:t>
      </w:r>
      <w:r>
        <w:rPr>
          <w:rFonts w:hint="eastAsia" w:ascii="宋体" w:hAnsi="宋体" w:eastAsia="宋体" w:cs="宋体"/>
          <w:b/>
          <w:color w:val="auto"/>
          <w:spacing w:val="0"/>
          <w:position w:val="0"/>
          <w:sz w:val="24"/>
          <w:highlight w:val="none"/>
        </w:rPr>
        <w:t>否则其响应文件按无效处理。</w:t>
      </w:r>
    </w:p>
    <w:p w14:paraId="6F52049D">
      <w:pPr>
        <w:pageBreakBefore w:val="0"/>
        <w:tabs>
          <w:tab w:val="left" w:pos="826"/>
        </w:tabs>
        <w:kinsoku/>
        <w:wordWrap w:val="0"/>
        <w:overflowPunct/>
        <w:topLinePunct/>
        <w:autoSpaceDE/>
        <w:autoSpaceDN/>
        <w:bidi w:val="0"/>
        <w:snapToGrid w:val="0"/>
        <w:ind w:firstLine="883" w:firstLineChars="200"/>
        <w:jc w:val="center"/>
        <w:rPr>
          <w:rFonts w:hint="eastAsia" w:ascii="宋体" w:hAnsi="宋体" w:eastAsia="宋体" w:cs="宋体"/>
          <w:b/>
          <w:color w:val="auto"/>
          <w:spacing w:val="0"/>
          <w:sz w:val="44"/>
          <w:szCs w:val="44"/>
          <w:highlight w:val="none"/>
        </w:rPr>
      </w:pPr>
      <w:r>
        <w:rPr>
          <w:rFonts w:hint="eastAsia" w:ascii="宋体" w:hAnsi="宋体" w:eastAsia="宋体" w:cs="宋体"/>
          <w:b/>
          <w:color w:val="auto"/>
          <w:spacing w:val="0"/>
          <w:sz w:val="44"/>
          <w:szCs w:val="44"/>
          <w:highlight w:val="none"/>
        </w:rPr>
        <w:t>农民工工资保证金承诺书</w:t>
      </w:r>
    </w:p>
    <w:p w14:paraId="7DED4500">
      <w:pPr>
        <w:pageBreakBefore w:val="0"/>
        <w:tabs>
          <w:tab w:val="left" w:pos="826"/>
        </w:tabs>
        <w:kinsoku/>
        <w:wordWrap w:val="0"/>
        <w:overflowPunct/>
        <w:topLinePunct/>
        <w:autoSpaceDE/>
        <w:autoSpaceDN/>
        <w:bidi w:val="0"/>
        <w:snapToGrid w:val="0"/>
        <w:ind w:firstLine="602" w:firstLineChars="200"/>
        <w:rPr>
          <w:rFonts w:hint="eastAsia" w:ascii="宋体" w:hAnsi="宋体" w:eastAsia="宋体" w:cs="宋体"/>
          <w:b/>
          <w:color w:val="auto"/>
          <w:spacing w:val="0"/>
          <w:sz w:val="30"/>
          <w:szCs w:val="30"/>
          <w:highlight w:val="none"/>
        </w:rPr>
      </w:pPr>
    </w:p>
    <w:p w14:paraId="4734A2FE">
      <w:pPr>
        <w:pStyle w:val="78"/>
        <w:keepNext w:val="0"/>
        <w:keepLines w:val="0"/>
        <w:pageBreakBefore w:val="0"/>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lang w:eastAsia="zh-CN"/>
        </w:rPr>
        <w:t>（采购</w:t>
      </w:r>
      <w:r>
        <w:rPr>
          <w:rFonts w:hint="eastAsia" w:ascii="宋体" w:hAnsi="宋体" w:eastAsia="宋体" w:cs="宋体"/>
          <w:color w:val="auto"/>
          <w:spacing w:val="0"/>
          <w:sz w:val="24"/>
          <w:szCs w:val="24"/>
          <w:highlight w:val="none"/>
          <w:u w:val="single"/>
        </w:rPr>
        <w:t>人</w:t>
      </w:r>
      <w:r>
        <w:rPr>
          <w:rFonts w:hint="eastAsia" w:ascii="宋体" w:hAnsi="宋体" w:eastAsia="宋体" w:cs="宋体"/>
          <w:color w:val="auto"/>
          <w:spacing w:val="0"/>
          <w:sz w:val="24"/>
          <w:szCs w:val="24"/>
          <w:highlight w:val="none"/>
          <w:u w:val="single"/>
          <w:lang w:eastAsia="zh-CN"/>
        </w:rPr>
        <w:t>）</w:t>
      </w:r>
    </w:p>
    <w:p w14:paraId="7C525572">
      <w:pPr>
        <w:keepNext w:val="0"/>
        <w:keepLines w:val="0"/>
        <w:pageBreakBefore w:val="0"/>
        <w:widowControl/>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lang w:val="en-US" w:eastAsia="zh-CN" w:bidi="ar"/>
        </w:rPr>
      </w:pPr>
    </w:p>
    <w:p w14:paraId="67742028">
      <w:pPr>
        <w:keepNext w:val="0"/>
        <w:keepLines w:val="0"/>
        <w:pageBreakBefore w:val="0"/>
        <w:widowControl/>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kern w:val="0"/>
          <w:sz w:val="24"/>
          <w:szCs w:val="24"/>
          <w:highlight w:val="none"/>
          <w:lang w:val="en-US" w:eastAsia="zh-CN" w:bidi="ar"/>
        </w:rPr>
        <w:t>根据《关于建立交通行业农民工工资保证金制度的通知》（桂劳社发[2007]147 号）、《关于明确农民工工资保证金制度有关问题的通知》（桂薪联发〔2016〕2 号），在</w:t>
      </w:r>
      <w:r>
        <w:rPr>
          <w:rFonts w:hint="eastAsia" w:ascii="宋体" w:hAnsi="宋体" w:eastAsia="宋体" w:cs="宋体"/>
          <w:color w:val="auto"/>
          <w:spacing w:val="0"/>
          <w:kern w:val="0"/>
          <w:sz w:val="24"/>
          <w:szCs w:val="24"/>
          <w:highlight w:val="none"/>
          <w:u w:val="single"/>
          <w:lang w:val="en-US" w:eastAsia="zh-CN" w:bidi="ar"/>
        </w:rPr>
        <w:t xml:space="preserve">         （项目名称）           </w:t>
      </w:r>
      <w:r>
        <w:rPr>
          <w:rFonts w:hint="eastAsia" w:ascii="宋体" w:hAnsi="宋体" w:eastAsia="宋体" w:cs="宋体"/>
          <w:color w:val="auto"/>
          <w:spacing w:val="0"/>
          <w:kern w:val="0"/>
          <w:sz w:val="24"/>
          <w:szCs w:val="24"/>
          <w:highlight w:val="none"/>
          <w:lang w:val="en-US" w:eastAsia="zh-CN" w:bidi="ar"/>
        </w:rPr>
        <w:t xml:space="preserve">采购的竞标中，我单位对农民工工资的支付作出以下郑重承诺： </w:t>
      </w:r>
    </w:p>
    <w:p w14:paraId="03FA158C">
      <w:pPr>
        <w:keepNext w:val="0"/>
        <w:keepLines w:val="0"/>
        <w:pageBreakBefore w:val="0"/>
        <w:widowControl/>
        <w:numPr>
          <w:ilvl w:val="0"/>
          <w:numId w:val="0"/>
        </w:numPr>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（一）我单位在本采购项目递交响应文件截止时间</w:t>
      </w:r>
      <w:r>
        <w:rPr>
          <w:rFonts w:hint="eastAsia" w:ascii="宋体" w:hAnsi="宋体" w:eastAsia="宋体" w:cs="宋体"/>
          <w:color w:val="auto"/>
          <w:spacing w:val="0"/>
          <w:kern w:val="0"/>
          <w:sz w:val="24"/>
          <w:szCs w:val="24"/>
          <w:highlight w:val="none"/>
          <w:u w:val="single"/>
          <w:lang w:val="en-US" w:eastAsia="zh-CN" w:bidi="ar"/>
        </w:rPr>
        <w:t xml:space="preserve"> </w:t>
      </w:r>
      <w:r>
        <w:rPr>
          <w:rFonts w:hint="eastAsia" w:ascii="宋体" w:hAnsi="宋体" w:cs="宋体"/>
          <w:color w:val="auto"/>
          <w:spacing w:val="0"/>
          <w:kern w:val="0"/>
          <w:sz w:val="24"/>
          <w:szCs w:val="24"/>
          <w:highlight w:val="none"/>
          <w:u w:val="single"/>
          <w:lang w:val="en-US" w:eastAsia="zh-CN" w:bidi="ar"/>
        </w:rPr>
        <w:t xml:space="preserve">  </w:t>
      </w:r>
      <w:r>
        <w:rPr>
          <w:rFonts w:hint="eastAsia" w:ascii="宋体" w:hAnsi="宋体" w:eastAsia="宋体" w:cs="宋体"/>
          <w:color w:val="auto"/>
          <w:spacing w:val="0"/>
          <w:kern w:val="0"/>
          <w:sz w:val="24"/>
          <w:szCs w:val="24"/>
          <w:highlight w:val="none"/>
          <w:u w:val="single"/>
          <w:lang w:val="en-US" w:eastAsia="zh-CN" w:bidi="ar"/>
        </w:rPr>
        <w:t xml:space="preserve">    年    月    日（开标日）</w:t>
      </w:r>
      <w:r>
        <w:rPr>
          <w:rFonts w:hint="eastAsia" w:ascii="宋体" w:hAnsi="宋体" w:eastAsia="宋体" w:cs="宋体"/>
          <w:color w:val="auto"/>
          <w:spacing w:val="0"/>
          <w:kern w:val="0"/>
          <w:sz w:val="24"/>
          <w:szCs w:val="24"/>
          <w:highlight w:val="none"/>
          <w:lang w:val="en-US" w:eastAsia="zh-CN" w:bidi="ar"/>
        </w:rPr>
        <w:t xml:space="preserve">前所承建的工程项目，不存在拖欠或克扣农民工工资的行为。 </w:t>
      </w:r>
    </w:p>
    <w:p w14:paraId="75CCD336">
      <w:pPr>
        <w:keepNext w:val="0"/>
        <w:keepLines w:val="0"/>
        <w:pageBreakBefore w:val="0"/>
        <w:widowControl/>
        <w:numPr>
          <w:ilvl w:val="0"/>
          <w:numId w:val="0"/>
        </w:numPr>
        <w:suppressLineNumbers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kern w:val="2"/>
          <w:sz w:val="21"/>
          <w:szCs w:val="24"/>
          <w:highlight w:val="none"/>
          <w:lang w:val="en-US" w:eastAsia="zh-CN" w:bidi="ar-SA"/>
        </w:rPr>
        <w:t>（二）</w:t>
      </w:r>
      <w:r>
        <w:rPr>
          <w:rFonts w:hint="eastAsia" w:ascii="宋体" w:hAnsi="宋体" w:eastAsia="宋体" w:cs="宋体"/>
          <w:color w:val="auto"/>
          <w:spacing w:val="0"/>
          <w:kern w:val="0"/>
          <w:sz w:val="24"/>
          <w:szCs w:val="24"/>
          <w:highlight w:val="none"/>
          <w:lang w:val="en-US" w:eastAsia="zh-CN" w:bidi="ar"/>
        </w:rPr>
        <w:t xml:space="preserve">竞标中标后，我单位同意在工程项目所在地商业银行开设农民工工资保证金专用账户，并按采购文件规定的竞标保证金额度预存一定数额的资金作为农民工工资保证金或出具工程项目所在地的商业银行的银行保函，并到工程项目所在地具有管辖权的人力资源社会保障部门备案。 </w:t>
      </w:r>
    </w:p>
    <w:p w14:paraId="27D0A1E1">
      <w:pPr>
        <w:keepNext w:val="0"/>
        <w:keepLines w:val="0"/>
        <w:pageBreakBefore w:val="0"/>
        <w:widowControl/>
        <w:numPr>
          <w:ilvl w:val="0"/>
          <w:numId w:val="0"/>
        </w:numPr>
        <w:suppressLineNumbers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kern w:val="2"/>
          <w:sz w:val="21"/>
          <w:szCs w:val="24"/>
          <w:highlight w:val="none"/>
          <w:lang w:val="en-US" w:eastAsia="zh-CN" w:bidi="ar-SA"/>
        </w:rPr>
        <w:t>（三）</w:t>
      </w:r>
      <w:r>
        <w:rPr>
          <w:rFonts w:hint="eastAsia" w:ascii="宋体" w:hAnsi="宋体" w:eastAsia="宋体" w:cs="宋体"/>
          <w:color w:val="auto"/>
          <w:spacing w:val="0"/>
          <w:kern w:val="0"/>
          <w:sz w:val="24"/>
          <w:szCs w:val="24"/>
          <w:highlight w:val="none"/>
          <w:lang w:val="en-US" w:eastAsia="zh-CN" w:bidi="ar"/>
        </w:rPr>
        <w:t>我单位向建设单位承诺依法足额支付农民工工资，一旦我单位（包含我单位的分包商）承建的</w:t>
      </w:r>
      <w:r>
        <w:rPr>
          <w:rFonts w:hint="eastAsia" w:ascii="宋体" w:hAnsi="宋体" w:eastAsia="宋体" w:cs="宋体"/>
          <w:color w:val="auto"/>
          <w:spacing w:val="0"/>
          <w:kern w:val="0"/>
          <w:sz w:val="24"/>
          <w:szCs w:val="24"/>
          <w:highlight w:val="none"/>
          <w:u w:val="single"/>
          <w:lang w:val="en-US" w:eastAsia="zh-CN" w:bidi="ar"/>
        </w:rPr>
        <w:t xml:space="preserve">         （项目名称）           </w:t>
      </w:r>
      <w:r>
        <w:rPr>
          <w:rFonts w:hint="eastAsia" w:ascii="宋体" w:hAnsi="宋体" w:eastAsia="宋体" w:cs="宋体"/>
          <w:color w:val="auto"/>
          <w:spacing w:val="0"/>
          <w:kern w:val="0"/>
          <w:sz w:val="24"/>
          <w:szCs w:val="24"/>
          <w:highlight w:val="none"/>
          <w:lang w:val="en-US" w:eastAsia="zh-CN" w:bidi="ar"/>
        </w:rPr>
        <w:t xml:space="preserve">施工出现拖欠农民工工资情况的，可由劳动保障、交通主管部门（或授权机构）及建设单位根据相关规定从其农民工工资保证金中先予支取。 </w:t>
      </w:r>
    </w:p>
    <w:p w14:paraId="2C23681E">
      <w:pPr>
        <w:keepNext w:val="0"/>
        <w:keepLines w:val="0"/>
        <w:pageBreakBefore w:val="0"/>
        <w:widowControl/>
        <w:numPr>
          <w:ilvl w:val="0"/>
          <w:numId w:val="0"/>
        </w:numPr>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kern w:val="2"/>
          <w:sz w:val="24"/>
          <w:szCs w:val="24"/>
          <w:highlight w:val="none"/>
          <w:lang w:val="en-US" w:eastAsia="zh-CN" w:bidi="ar-SA"/>
        </w:rPr>
        <w:t>（四）</w:t>
      </w:r>
      <w:r>
        <w:rPr>
          <w:rFonts w:hint="eastAsia" w:ascii="宋体" w:hAnsi="宋体" w:eastAsia="宋体" w:cs="宋体"/>
          <w:color w:val="auto"/>
          <w:spacing w:val="0"/>
          <w:kern w:val="0"/>
          <w:sz w:val="24"/>
          <w:szCs w:val="24"/>
          <w:highlight w:val="none"/>
          <w:lang w:val="en-US" w:eastAsia="zh-CN" w:bidi="ar"/>
        </w:rPr>
        <w:t>其它未尽事宜按《关于建立交通行业农民工工资保证金制度的通知》（桂劳社发[2007]147 号）、《关于明确农民工工资保证金制度有关问题的通知》（桂薪联发〔2016〕2 号）的有关规定执行</w:t>
      </w:r>
      <w:r>
        <w:rPr>
          <w:rFonts w:hint="eastAsia" w:ascii="宋体" w:hAnsi="宋体" w:eastAsia="宋体" w:cs="宋体"/>
          <w:color w:val="auto"/>
          <w:spacing w:val="0"/>
          <w:sz w:val="24"/>
          <w:szCs w:val="24"/>
          <w:highlight w:val="none"/>
        </w:rPr>
        <w:t>。</w:t>
      </w:r>
    </w:p>
    <w:p w14:paraId="11C1677C">
      <w:pPr>
        <w:keepNext w:val="0"/>
        <w:keepLines w:val="0"/>
        <w:pageBreakBefore w:val="0"/>
        <w:kinsoku/>
        <w:wordWrap w:val="0"/>
        <w:overflowPunct/>
        <w:topLinePunct/>
        <w:autoSpaceDE/>
        <w:autoSpaceDN/>
        <w:bidi w:val="0"/>
        <w:adjustRightInd/>
        <w:snapToGrid/>
        <w:spacing w:line="360" w:lineRule="auto"/>
        <w:ind w:firstLine="482" w:firstLineChars="200"/>
        <w:textAlignment w:val="auto"/>
        <w:rPr>
          <w:rFonts w:hint="eastAsia" w:ascii="宋体" w:hAnsi="宋体" w:eastAsia="宋体" w:cs="宋体"/>
          <w:b/>
          <w:color w:val="auto"/>
          <w:spacing w:val="0"/>
          <w:position w:val="0"/>
          <w:sz w:val="24"/>
          <w:highlight w:val="none"/>
        </w:rPr>
      </w:pPr>
    </w:p>
    <w:p w14:paraId="63E409C4">
      <w:pPr>
        <w:keepNext w:val="0"/>
        <w:keepLines w:val="0"/>
        <w:pageBreakBefore w:val="0"/>
        <w:kinsoku/>
        <w:wordWrap w:val="0"/>
        <w:overflowPunct/>
        <w:topLinePunct/>
        <w:autoSpaceDE/>
        <w:autoSpaceDN/>
        <w:bidi w:val="0"/>
        <w:adjustRightInd/>
        <w:snapToGrid/>
        <w:spacing w:line="360" w:lineRule="auto"/>
        <w:ind w:firstLine="482" w:firstLineChars="200"/>
        <w:textAlignment w:val="auto"/>
        <w:rPr>
          <w:rFonts w:hint="eastAsia" w:ascii="宋体" w:hAnsi="宋体" w:eastAsia="宋体" w:cs="宋体"/>
          <w:b/>
          <w:color w:val="auto"/>
          <w:spacing w:val="0"/>
          <w:position w:val="0"/>
          <w:sz w:val="24"/>
          <w:highlight w:val="none"/>
        </w:rPr>
      </w:pPr>
    </w:p>
    <w:p w14:paraId="406DBF0E">
      <w:pPr>
        <w:pageBreakBefore w:val="0"/>
        <w:kinsoku/>
        <w:wordWrap w:val="0"/>
        <w:overflowPunct/>
        <w:topLinePunct/>
        <w:autoSpaceDE/>
        <w:autoSpaceDN/>
        <w:bidi w:val="0"/>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619E39F0">
      <w:pPr>
        <w:pageBreakBefore w:val="0"/>
        <w:kinsoku/>
        <w:wordWrap w:val="0"/>
        <w:overflowPunct/>
        <w:topLinePunct/>
        <w:autoSpaceDE/>
        <w:autoSpaceDN/>
        <w:bidi w:val="0"/>
        <w:spacing w:line="360" w:lineRule="auto"/>
        <w:ind w:right="480" w:firstLine="3360" w:firstLineChars="14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p>
    <w:p w14:paraId="6C3B79C8">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403DF4E3">
      <w:pPr>
        <w:keepNext w:val="0"/>
        <w:keepLines w:val="0"/>
        <w:pageBreakBefore w:val="0"/>
        <w:kinsoku/>
        <w:wordWrap w:val="0"/>
        <w:overflowPunct/>
        <w:topLinePunct/>
        <w:autoSpaceDE/>
        <w:autoSpaceDN/>
        <w:bidi w:val="0"/>
        <w:adjustRightInd/>
        <w:snapToGrid/>
        <w:spacing w:line="360" w:lineRule="auto"/>
        <w:ind w:firstLine="482" w:firstLineChars="200"/>
        <w:textAlignment w:val="auto"/>
        <w:rPr>
          <w:rFonts w:hint="eastAsia" w:ascii="宋体" w:hAnsi="宋体" w:eastAsia="宋体" w:cs="宋体"/>
          <w:b/>
          <w:color w:val="auto"/>
          <w:spacing w:val="0"/>
          <w:position w:val="0"/>
          <w:sz w:val="24"/>
          <w:highlight w:val="none"/>
        </w:rPr>
        <w:sectPr>
          <w:pgSz w:w="11906" w:h="16838"/>
          <w:pgMar w:top="1440" w:right="1080" w:bottom="1440" w:left="1080" w:header="851" w:footer="992" w:gutter="0"/>
          <w:cols w:space="0" w:num="1"/>
          <w:docGrid w:type="lines" w:linePitch="312" w:charSpace="0"/>
        </w:sectPr>
      </w:pPr>
    </w:p>
    <w:p w14:paraId="4AEA9BB0">
      <w:pPr>
        <w:pageBreakBefore w:val="0"/>
        <w:kinsoku/>
        <w:wordWrap w:val="0"/>
        <w:overflowPunct/>
        <w:topLinePunct/>
        <w:autoSpaceDE/>
        <w:autoSpaceDN/>
        <w:bidi w:val="0"/>
        <w:spacing w:line="360" w:lineRule="auto"/>
        <w:ind w:firstLine="420" w:firstLineChars="200"/>
        <w:jc w:val="left"/>
        <w:rPr>
          <w:rFonts w:hint="eastAsia" w:ascii="宋体" w:hAnsi="宋体" w:eastAsia="宋体" w:cs="宋体"/>
          <w:color w:val="auto"/>
          <w:spacing w:val="0"/>
          <w:position w:val="0"/>
          <w:szCs w:val="21"/>
          <w:highlight w:val="none"/>
        </w:rPr>
      </w:pPr>
    </w:p>
    <w:bookmarkEnd w:id="88"/>
    <w:p w14:paraId="5B2C47DD">
      <w:pPr>
        <w:pageBreakBefore w:val="0"/>
        <w:kinsoku/>
        <w:wordWrap w:val="0"/>
        <w:overflowPunct/>
        <w:topLinePunct/>
        <w:autoSpaceDE/>
        <w:autoSpaceDN/>
        <w:bidi w:val="0"/>
        <w:spacing w:line="500" w:lineRule="exact"/>
        <w:jc w:val="center"/>
        <w:rPr>
          <w:rFonts w:hint="eastAsia" w:ascii="宋体" w:hAnsi="宋体" w:eastAsia="宋体" w:cs="宋体"/>
          <w:bCs/>
          <w:color w:val="auto"/>
          <w:spacing w:val="0"/>
          <w:position w:val="0"/>
          <w:sz w:val="44"/>
          <w:szCs w:val="44"/>
          <w:highlight w:val="none"/>
        </w:rPr>
      </w:pPr>
      <w:r>
        <w:rPr>
          <w:rFonts w:hint="eastAsia" w:ascii="宋体" w:hAnsi="宋体" w:eastAsia="宋体" w:cs="宋体"/>
          <w:bCs/>
          <w:color w:val="auto"/>
          <w:spacing w:val="0"/>
          <w:position w:val="0"/>
          <w:sz w:val="44"/>
          <w:szCs w:val="44"/>
          <w:highlight w:val="none"/>
        </w:rPr>
        <w:t>施工组织设计</w:t>
      </w:r>
    </w:p>
    <w:p w14:paraId="20399FEC">
      <w:pPr>
        <w:pageBreakBefore w:val="0"/>
        <w:kinsoku/>
        <w:wordWrap w:val="0"/>
        <w:overflowPunct/>
        <w:topLinePunct/>
        <w:autoSpaceDE/>
        <w:autoSpaceDN/>
        <w:bidi w:val="0"/>
        <w:spacing w:line="500" w:lineRule="exact"/>
        <w:jc w:val="center"/>
        <w:rPr>
          <w:rFonts w:hint="eastAsia" w:ascii="宋体" w:hAnsi="宋体" w:eastAsia="宋体" w:cs="宋体"/>
          <w:bCs/>
          <w:color w:val="auto"/>
          <w:spacing w:val="0"/>
          <w:position w:val="0"/>
          <w:sz w:val="28"/>
          <w:szCs w:val="28"/>
          <w:highlight w:val="none"/>
        </w:rPr>
      </w:pPr>
      <w:r>
        <w:rPr>
          <w:rFonts w:hint="eastAsia" w:ascii="宋体" w:hAnsi="宋体" w:eastAsia="宋体" w:cs="宋体"/>
          <w:bCs/>
          <w:color w:val="auto"/>
          <w:spacing w:val="0"/>
          <w:position w:val="0"/>
          <w:sz w:val="28"/>
          <w:szCs w:val="28"/>
          <w:highlight w:val="none"/>
        </w:rPr>
        <w:t>由供应商根据本项目“采购需求”及评审内容自行编写。</w:t>
      </w:r>
    </w:p>
    <w:p w14:paraId="5AA5958D">
      <w:pPr>
        <w:pageBreakBefore w:val="0"/>
        <w:kinsoku/>
        <w:wordWrap w:val="0"/>
        <w:overflowPunct/>
        <w:topLinePunct/>
        <w:autoSpaceDE/>
        <w:autoSpaceDN/>
        <w:bidi w:val="0"/>
        <w:spacing w:line="500" w:lineRule="exact"/>
        <w:jc w:val="center"/>
        <w:rPr>
          <w:rFonts w:hint="eastAsia" w:ascii="宋体" w:hAnsi="宋体" w:eastAsia="宋体" w:cs="宋体"/>
          <w:bCs/>
          <w:color w:val="auto"/>
          <w:spacing w:val="0"/>
          <w:position w:val="0"/>
          <w:sz w:val="28"/>
          <w:szCs w:val="28"/>
          <w:highlight w:val="none"/>
        </w:rPr>
      </w:pPr>
      <w:r>
        <w:rPr>
          <w:rFonts w:hint="eastAsia" w:ascii="宋体" w:hAnsi="宋体" w:eastAsia="宋体" w:cs="宋体"/>
          <w:bCs/>
          <w:color w:val="auto"/>
          <w:spacing w:val="0"/>
          <w:position w:val="0"/>
          <w:sz w:val="28"/>
          <w:szCs w:val="28"/>
          <w:highlight w:val="none"/>
        </w:rPr>
        <w:t>（格式自拟）</w:t>
      </w:r>
    </w:p>
    <w:p w14:paraId="09182229">
      <w:pPr>
        <w:pageBreakBefore w:val="0"/>
        <w:kinsoku/>
        <w:wordWrap w:val="0"/>
        <w:overflowPunct/>
        <w:topLinePunct/>
        <w:autoSpaceDE/>
        <w:autoSpaceDN/>
        <w:bidi w:val="0"/>
        <w:adjustRightInd w:val="0"/>
        <w:snapToGrid w:val="0"/>
        <w:spacing w:line="300" w:lineRule="auto"/>
        <w:jc w:val="center"/>
        <w:rPr>
          <w:rFonts w:hint="eastAsia" w:ascii="宋体" w:hAnsi="宋体" w:eastAsia="宋体" w:cs="宋体"/>
          <w:bCs/>
          <w:color w:val="auto"/>
          <w:spacing w:val="0"/>
          <w:position w:val="0"/>
          <w:sz w:val="36"/>
          <w:szCs w:val="36"/>
          <w:highlight w:val="none"/>
          <w:lang w:eastAsia="zh-CN"/>
        </w:rPr>
      </w:pPr>
      <w:r>
        <w:rPr>
          <w:rFonts w:hint="eastAsia" w:ascii="宋体" w:hAnsi="宋体" w:eastAsia="宋体" w:cs="宋体"/>
          <w:bCs/>
          <w:color w:val="auto"/>
          <w:spacing w:val="0"/>
          <w:position w:val="0"/>
          <w:sz w:val="44"/>
          <w:szCs w:val="44"/>
          <w:highlight w:val="none"/>
        </w:rPr>
        <w:br w:type="page"/>
      </w:r>
      <w:r>
        <w:rPr>
          <w:rFonts w:hint="eastAsia" w:ascii="宋体" w:hAnsi="宋体" w:eastAsia="宋体" w:cs="宋体"/>
          <w:bCs/>
          <w:color w:val="auto"/>
          <w:spacing w:val="0"/>
          <w:position w:val="0"/>
          <w:sz w:val="36"/>
          <w:szCs w:val="36"/>
          <w:highlight w:val="none"/>
        </w:rPr>
        <w:t>项目管理机构配备情况表</w:t>
      </w:r>
      <w:r>
        <w:rPr>
          <w:rFonts w:hint="eastAsia" w:ascii="宋体" w:hAnsi="宋体" w:eastAsia="宋体" w:cs="宋体"/>
          <w:bCs/>
          <w:color w:val="auto"/>
          <w:spacing w:val="0"/>
          <w:position w:val="0"/>
          <w:sz w:val="36"/>
          <w:szCs w:val="36"/>
          <w:highlight w:val="none"/>
          <w:lang w:eastAsia="zh-CN"/>
        </w:rPr>
        <w:t>（格式）</w:t>
      </w:r>
    </w:p>
    <w:p w14:paraId="2ADE72FC">
      <w:pPr>
        <w:pageBreakBefore w:val="0"/>
        <w:kinsoku/>
        <w:wordWrap w:val="0"/>
        <w:overflowPunct/>
        <w:topLinePunct/>
        <w:autoSpaceDE/>
        <w:autoSpaceDN/>
        <w:bidi w:val="0"/>
        <w:adjustRightInd w:val="0"/>
        <w:snapToGrid w:val="0"/>
        <w:spacing w:line="300" w:lineRule="auto"/>
        <w:jc w:val="center"/>
        <w:rPr>
          <w:rFonts w:hint="eastAsia" w:ascii="宋体" w:hAnsi="宋体" w:eastAsia="宋体" w:cs="宋体"/>
          <w:bCs/>
          <w:color w:val="auto"/>
          <w:spacing w:val="0"/>
          <w:position w:val="0"/>
          <w:sz w:val="36"/>
          <w:szCs w:val="36"/>
          <w:highlight w:val="none"/>
          <w:lang w:val="en-US" w:eastAsia="zh-CN"/>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4A3F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noWrap w:val="0"/>
            <w:vAlign w:val="center"/>
          </w:tcPr>
          <w:p w14:paraId="1A6E52E0">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岗位</w:t>
            </w:r>
          </w:p>
        </w:tc>
        <w:tc>
          <w:tcPr>
            <w:tcW w:w="670" w:type="dxa"/>
            <w:vMerge w:val="restart"/>
            <w:noWrap w:val="0"/>
            <w:vAlign w:val="center"/>
          </w:tcPr>
          <w:p w14:paraId="326BF41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姓名</w:t>
            </w:r>
          </w:p>
        </w:tc>
        <w:tc>
          <w:tcPr>
            <w:tcW w:w="829" w:type="dxa"/>
            <w:vMerge w:val="restart"/>
            <w:noWrap w:val="0"/>
            <w:vAlign w:val="center"/>
          </w:tcPr>
          <w:p w14:paraId="562A503F">
            <w:pPr>
              <w:pageBreakBefore w:val="0"/>
              <w:kinsoku/>
              <w:wordWrap w:val="0"/>
              <w:overflowPunct/>
              <w:topLinePunct/>
              <w:autoSpaceDE/>
              <w:autoSpaceDN/>
              <w:bidi w:val="0"/>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身份证号</w:t>
            </w:r>
          </w:p>
        </w:tc>
        <w:tc>
          <w:tcPr>
            <w:tcW w:w="816" w:type="dxa"/>
            <w:vMerge w:val="restart"/>
            <w:noWrap w:val="0"/>
            <w:vAlign w:val="center"/>
          </w:tcPr>
          <w:p w14:paraId="03AE1270">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highlight w:val="none"/>
              </w:rPr>
              <w:t>职称</w:t>
            </w:r>
            <w:r>
              <w:rPr>
                <w:rFonts w:hint="eastAsia" w:ascii="宋体" w:hAnsi="宋体" w:cs="宋体"/>
                <w:color w:val="auto"/>
                <w:spacing w:val="0"/>
                <w:position w:val="0"/>
                <w:highlight w:val="none"/>
                <w:lang w:eastAsia="zh-CN"/>
              </w:rPr>
              <w:t>（如有）</w:t>
            </w:r>
          </w:p>
        </w:tc>
        <w:tc>
          <w:tcPr>
            <w:tcW w:w="4188" w:type="dxa"/>
            <w:gridSpan w:val="4"/>
            <w:noWrap w:val="0"/>
            <w:vAlign w:val="center"/>
          </w:tcPr>
          <w:p w14:paraId="1289F6C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highlight w:val="none"/>
              </w:rPr>
              <w:t>执业或职业资格</w:t>
            </w:r>
            <w:r>
              <w:rPr>
                <w:rFonts w:hint="eastAsia" w:ascii="宋体" w:hAnsi="宋体" w:cs="宋体"/>
                <w:color w:val="auto"/>
                <w:spacing w:val="0"/>
                <w:position w:val="0"/>
                <w:highlight w:val="none"/>
                <w:lang w:eastAsia="zh-CN"/>
              </w:rPr>
              <w:t>（如有）</w:t>
            </w:r>
          </w:p>
        </w:tc>
        <w:tc>
          <w:tcPr>
            <w:tcW w:w="2443" w:type="dxa"/>
            <w:gridSpan w:val="2"/>
            <w:noWrap w:val="0"/>
            <w:vAlign w:val="center"/>
          </w:tcPr>
          <w:p w14:paraId="01B2ED41">
            <w:pPr>
              <w:pageBreakBefore w:val="0"/>
              <w:kinsoku/>
              <w:wordWrap w:val="0"/>
              <w:overflowPunct/>
              <w:topLinePunct/>
              <w:autoSpaceDE/>
              <w:autoSpaceDN/>
              <w:bidi w:val="0"/>
              <w:jc w:val="left"/>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承担完工、在建工程情况</w:t>
            </w:r>
          </w:p>
        </w:tc>
      </w:tr>
      <w:tr w14:paraId="7F7D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noWrap w:val="0"/>
            <w:vAlign w:val="center"/>
          </w:tcPr>
          <w:p w14:paraId="4DC65677">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p>
        </w:tc>
        <w:tc>
          <w:tcPr>
            <w:tcW w:w="670" w:type="dxa"/>
            <w:vMerge w:val="continue"/>
            <w:noWrap w:val="0"/>
            <w:vAlign w:val="center"/>
          </w:tcPr>
          <w:p w14:paraId="4EEB7248">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p>
        </w:tc>
        <w:tc>
          <w:tcPr>
            <w:tcW w:w="829" w:type="dxa"/>
            <w:vMerge w:val="continue"/>
            <w:noWrap w:val="0"/>
            <w:vAlign w:val="center"/>
          </w:tcPr>
          <w:p w14:paraId="433563D9">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p>
        </w:tc>
        <w:tc>
          <w:tcPr>
            <w:tcW w:w="816" w:type="dxa"/>
            <w:vMerge w:val="continue"/>
            <w:noWrap w:val="0"/>
            <w:vAlign w:val="center"/>
          </w:tcPr>
          <w:p w14:paraId="238574C8">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p>
        </w:tc>
        <w:tc>
          <w:tcPr>
            <w:tcW w:w="1148" w:type="dxa"/>
            <w:noWrap w:val="0"/>
            <w:vAlign w:val="center"/>
          </w:tcPr>
          <w:p w14:paraId="0B83EE20">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证书名称</w:t>
            </w:r>
          </w:p>
        </w:tc>
        <w:tc>
          <w:tcPr>
            <w:tcW w:w="1148" w:type="dxa"/>
            <w:noWrap w:val="0"/>
            <w:vAlign w:val="center"/>
          </w:tcPr>
          <w:p w14:paraId="4B98749D">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级别</w:t>
            </w:r>
          </w:p>
        </w:tc>
        <w:tc>
          <w:tcPr>
            <w:tcW w:w="1148" w:type="dxa"/>
            <w:noWrap w:val="0"/>
            <w:vAlign w:val="center"/>
          </w:tcPr>
          <w:p w14:paraId="7E6E5D2D">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证号</w:t>
            </w:r>
          </w:p>
        </w:tc>
        <w:tc>
          <w:tcPr>
            <w:tcW w:w="744" w:type="dxa"/>
            <w:noWrap w:val="0"/>
            <w:vAlign w:val="center"/>
          </w:tcPr>
          <w:p w14:paraId="16FC2863">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专业</w:t>
            </w:r>
          </w:p>
        </w:tc>
        <w:tc>
          <w:tcPr>
            <w:tcW w:w="1167" w:type="dxa"/>
            <w:noWrap w:val="0"/>
            <w:vAlign w:val="center"/>
          </w:tcPr>
          <w:p w14:paraId="38C56CFB">
            <w:pPr>
              <w:pageBreakBefore w:val="0"/>
              <w:kinsoku/>
              <w:wordWrap w:val="0"/>
              <w:overflowPunct/>
              <w:topLinePunct/>
              <w:autoSpaceDE/>
              <w:autoSpaceDN/>
              <w:bidi w:val="0"/>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完工/在建</w:t>
            </w:r>
          </w:p>
        </w:tc>
        <w:tc>
          <w:tcPr>
            <w:tcW w:w="1276" w:type="dxa"/>
            <w:noWrap w:val="0"/>
            <w:vAlign w:val="center"/>
          </w:tcPr>
          <w:p w14:paraId="47B1A027">
            <w:pPr>
              <w:pageBreakBefore w:val="0"/>
              <w:kinsoku/>
              <w:wordWrap w:val="0"/>
              <w:overflowPunct/>
              <w:topLinePunct/>
              <w:autoSpaceDE/>
              <w:autoSpaceDN/>
              <w:bidi w:val="0"/>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主要项目</w:t>
            </w:r>
          </w:p>
          <w:p w14:paraId="0A419745">
            <w:pPr>
              <w:pageBreakBefore w:val="0"/>
              <w:kinsoku/>
              <w:wordWrap w:val="0"/>
              <w:overflowPunct/>
              <w:topLinePunct/>
              <w:autoSpaceDE/>
              <w:autoSpaceDN/>
              <w:bidi w:val="0"/>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名称</w:t>
            </w:r>
          </w:p>
        </w:tc>
      </w:tr>
      <w:tr w14:paraId="2C8A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3BB68527">
            <w:pPr>
              <w:pStyle w:val="71"/>
              <w:pageBreakBefore w:val="0"/>
              <w:kinsoku/>
              <w:wordWrap w:val="0"/>
              <w:overflowPunct/>
              <w:topLinePunct/>
              <w:autoSpaceDE/>
              <w:autoSpaceDN/>
              <w:bidi w:val="0"/>
              <w:spacing w:line="240" w:lineRule="auto"/>
              <w:ind w:firstLine="0"/>
              <w:rPr>
                <w:rFonts w:hint="eastAsia" w:ascii="宋体" w:hAnsi="宋体" w:eastAsia="宋体" w:cs="宋体"/>
                <w:color w:val="auto"/>
                <w:spacing w:val="0"/>
                <w:position w:val="0"/>
                <w:sz w:val="21"/>
                <w:szCs w:val="21"/>
                <w:highlight w:val="none"/>
                <w:lang w:eastAsia="zh-CN"/>
              </w:rPr>
            </w:pPr>
          </w:p>
        </w:tc>
        <w:tc>
          <w:tcPr>
            <w:tcW w:w="670" w:type="dxa"/>
            <w:noWrap w:val="0"/>
            <w:vAlign w:val="center"/>
          </w:tcPr>
          <w:p w14:paraId="3CE4A78C">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40A7F9A1">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78184E45">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3FD3B1CE">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7E4C392D">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428B3405">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357A2DBE">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6128A379">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580EC440">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r>
      <w:tr w14:paraId="4BB9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22A7EFBF">
            <w:pPr>
              <w:pStyle w:val="71"/>
              <w:pageBreakBefore w:val="0"/>
              <w:kinsoku/>
              <w:wordWrap w:val="0"/>
              <w:overflowPunct/>
              <w:topLinePunct/>
              <w:autoSpaceDE/>
              <w:autoSpaceDN/>
              <w:bidi w:val="0"/>
              <w:spacing w:line="240" w:lineRule="auto"/>
              <w:ind w:firstLine="0"/>
              <w:rPr>
                <w:rFonts w:hint="eastAsia" w:ascii="宋体" w:hAnsi="宋体" w:eastAsia="宋体" w:cs="宋体"/>
                <w:color w:val="auto"/>
                <w:spacing w:val="0"/>
                <w:position w:val="0"/>
                <w:sz w:val="21"/>
                <w:szCs w:val="21"/>
                <w:highlight w:val="none"/>
                <w:lang w:eastAsia="zh-CN"/>
              </w:rPr>
            </w:pPr>
          </w:p>
        </w:tc>
        <w:tc>
          <w:tcPr>
            <w:tcW w:w="670" w:type="dxa"/>
            <w:noWrap w:val="0"/>
            <w:vAlign w:val="center"/>
          </w:tcPr>
          <w:p w14:paraId="6CF8EF60">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1BADA52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19266BC2">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2528DA66">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61F3C88F">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462575D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173CA88C">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48D73304">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1220AE7F">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r>
      <w:tr w14:paraId="75B8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75C00C1E">
            <w:pPr>
              <w:pStyle w:val="71"/>
              <w:pageBreakBefore w:val="0"/>
              <w:kinsoku/>
              <w:wordWrap w:val="0"/>
              <w:overflowPunct/>
              <w:topLinePunct/>
              <w:autoSpaceDE/>
              <w:autoSpaceDN/>
              <w:bidi w:val="0"/>
              <w:spacing w:line="240" w:lineRule="auto"/>
              <w:ind w:firstLine="0"/>
              <w:rPr>
                <w:rFonts w:hint="eastAsia" w:ascii="宋体" w:hAnsi="宋体" w:eastAsia="宋体" w:cs="宋体"/>
                <w:color w:val="auto"/>
                <w:spacing w:val="0"/>
                <w:position w:val="0"/>
                <w:sz w:val="21"/>
                <w:szCs w:val="21"/>
                <w:highlight w:val="none"/>
                <w:lang w:eastAsia="zh-CN"/>
              </w:rPr>
            </w:pPr>
          </w:p>
        </w:tc>
        <w:tc>
          <w:tcPr>
            <w:tcW w:w="670" w:type="dxa"/>
            <w:noWrap w:val="0"/>
            <w:vAlign w:val="center"/>
          </w:tcPr>
          <w:p w14:paraId="5A659603">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50569A21">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210BF47E">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0FCE1738">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3C35E52D">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57C45CBC">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75B42D94">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743FEFF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6206F93B">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r>
      <w:tr w14:paraId="2E16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5FDDC9E7">
            <w:pPr>
              <w:pStyle w:val="71"/>
              <w:pageBreakBefore w:val="0"/>
              <w:kinsoku/>
              <w:wordWrap w:val="0"/>
              <w:overflowPunct/>
              <w:topLinePunct/>
              <w:autoSpaceDE/>
              <w:autoSpaceDN/>
              <w:bidi w:val="0"/>
              <w:spacing w:line="240" w:lineRule="auto"/>
              <w:ind w:firstLine="0"/>
              <w:rPr>
                <w:rFonts w:hint="eastAsia" w:ascii="宋体" w:hAnsi="宋体" w:eastAsia="宋体" w:cs="宋体"/>
                <w:color w:val="auto"/>
                <w:spacing w:val="0"/>
                <w:position w:val="0"/>
                <w:sz w:val="21"/>
                <w:szCs w:val="21"/>
                <w:highlight w:val="none"/>
                <w:lang w:eastAsia="zh-CN"/>
              </w:rPr>
            </w:pPr>
          </w:p>
        </w:tc>
        <w:tc>
          <w:tcPr>
            <w:tcW w:w="670" w:type="dxa"/>
            <w:noWrap w:val="0"/>
            <w:vAlign w:val="center"/>
          </w:tcPr>
          <w:p w14:paraId="16F8424F">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45EB4B77">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31E8B6B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6D5449B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01265D6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0A7E29C9">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096F1473">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06BA596F">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7BF9E8F8">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r>
      <w:tr w14:paraId="58EE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41C5219C">
            <w:pPr>
              <w:pageBreakBefore w:val="0"/>
              <w:kinsoku/>
              <w:wordWrap w:val="0"/>
              <w:overflowPunct/>
              <w:topLinePunct/>
              <w:autoSpaceDE/>
              <w:autoSpaceDN/>
              <w:bidi w:val="0"/>
              <w:jc w:val="left"/>
              <w:rPr>
                <w:rFonts w:hint="eastAsia" w:ascii="宋体" w:hAnsi="宋体" w:eastAsia="宋体" w:cs="宋体"/>
                <w:color w:val="auto"/>
                <w:spacing w:val="0"/>
                <w:position w:val="0"/>
                <w:szCs w:val="21"/>
                <w:highlight w:val="none"/>
              </w:rPr>
            </w:pPr>
          </w:p>
        </w:tc>
        <w:tc>
          <w:tcPr>
            <w:tcW w:w="670" w:type="dxa"/>
            <w:noWrap w:val="0"/>
            <w:vAlign w:val="center"/>
          </w:tcPr>
          <w:p w14:paraId="0B3B2D08">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63B2619E">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1EECB0A1">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7E3CE29B">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3DAD633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5B09FF72">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49202152">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0320024C">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25DFEE47">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r>
      <w:tr w14:paraId="1359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62B80ACF">
            <w:pPr>
              <w:pageBreakBefore w:val="0"/>
              <w:kinsoku/>
              <w:wordWrap w:val="0"/>
              <w:overflowPunct/>
              <w:topLinePunct/>
              <w:autoSpaceDE/>
              <w:autoSpaceDN/>
              <w:bidi w:val="0"/>
              <w:jc w:val="left"/>
              <w:rPr>
                <w:rFonts w:hint="eastAsia" w:ascii="宋体" w:hAnsi="宋体" w:eastAsia="宋体" w:cs="宋体"/>
                <w:color w:val="auto"/>
                <w:spacing w:val="0"/>
                <w:position w:val="0"/>
                <w:szCs w:val="21"/>
                <w:highlight w:val="none"/>
              </w:rPr>
            </w:pPr>
          </w:p>
        </w:tc>
        <w:tc>
          <w:tcPr>
            <w:tcW w:w="670" w:type="dxa"/>
            <w:noWrap w:val="0"/>
            <w:vAlign w:val="center"/>
          </w:tcPr>
          <w:p w14:paraId="11DC658C">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4FCE70D0">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6FB0CC67">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589ABA4C">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0C6C5DDF">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7827218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513ADE39">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61614BF9">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1B5E535F">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r>
      <w:tr w14:paraId="3B2A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4A94B16C">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670" w:type="dxa"/>
            <w:noWrap w:val="0"/>
            <w:vAlign w:val="center"/>
          </w:tcPr>
          <w:p w14:paraId="05ACE7A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7A3CAF03">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0D4E2796">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4888DE7E">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6047C822">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3DE7F249">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4864F1F7">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5F8B1FB4">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37E6F2DF">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r>
      <w:tr w14:paraId="6769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9866" w:type="dxa"/>
            <w:gridSpan w:val="10"/>
            <w:noWrap w:val="0"/>
            <w:vAlign w:val="center"/>
          </w:tcPr>
          <w:p w14:paraId="7D41C9D8">
            <w:pPr>
              <w:pageBreakBefore w:val="0"/>
              <w:kinsoku/>
              <w:wordWrap w:val="0"/>
              <w:overflowPunct/>
              <w:topLinePunct/>
              <w:autoSpaceDE/>
              <w:autoSpaceDN/>
              <w:bidi w:val="0"/>
              <w:ind w:firstLine="420" w:firstLineChars="200"/>
              <w:jc w:val="both"/>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6FDD6296">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4"/>
          <w:szCs w:val="20"/>
          <w:highlight w:val="none"/>
        </w:rPr>
      </w:pPr>
      <w:r>
        <w:rPr>
          <w:rFonts w:hint="eastAsia" w:ascii="宋体" w:hAnsi="宋体" w:eastAsia="宋体" w:cs="宋体"/>
          <w:color w:val="auto"/>
          <w:spacing w:val="0"/>
          <w:position w:val="0"/>
          <w:sz w:val="24"/>
          <w:szCs w:val="20"/>
          <w:highlight w:val="none"/>
        </w:rPr>
        <w:t>备注：</w:t>
      </w:r>
    </w:p>
    <w:p w14:paraId="3267E20C">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0"/>
          <w:highlight w:val="none"/>
        </w:rPr>
      </w:pPr>
      <w:r>
        <w:rPr>
          <w:rFonts w:hint="eastAsia" w:ascii="宋体" w:hAnsi="宋体" w:eastAsia="宋体" w:cs="宋体"/>
          <w:color w:val="auto"/>
          <w:spacing w:val="0"/>
          <w:position w:val="0"/>
          <w:sz w:val="24"/>
          <w:szCs w:val="20"/>
          <w:highlight w:val="none"/>
        </w:rPr>
        <w:t>1.本表所列岗位的所有管理人员的情况均应如实填写。可按以上格式扩展为多页填写。</w:t>
      </w:r>
    </w:p>
    <w:p w14:paraId="1EA7A086">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0"/>
          <w:highlight w:val="none"/>
        </w:rPr>
      </w:pPr>
      <w:r>
        <w:rPr>
          <w:rFonts w:hint="eastAsia" w:ascii="宋体" w:hAnsi="宋体" w:eastAsia="宋体" w:cs="宋体"/>
          <w:color w:val="auto"/>
          <w:spacing w:val="0"/>
          <w:position w:val="0"/>
          <w:sz w:val="24"/>
          <w:szCs w:val="20"/>
          <w:highlight w:val="none"/>
        </w:rPr>
        <w:t>2.附各岗位人员资格证件（如有）扫描件</w:t>
      </w:r>
      <w:r>
        <w:rPr>
          <w:rFonts w:hint="eastAsia" w:ascii="宋体" w:hAnsi="宋体" w:eastAsia="宋体" w:cs="宋体"/>
          <w:color w:val="auto"/>
          <w:spacing w:val="0"/>
          <w:position w:val="0"/>
          <w:sz w:val="24"/>
          <w:szCs w:val="20"/>
          <w:highlight w:val="none"/>
          <w:lang w:val="en-US" w:eastAsia="zh-CN"/>
        </w:rPr>
        <w:t>，</w:t>
      </w:r>
      <w:r>
        <w:rPr>
          <w:rFonts w:hint="eastAsia" w:ascii="宋体" w:hAnsi="宋体" w:eastAsia="宋体" w:cs="宋体"/>
          <w:color w:val="auto"/>
          <w:spacing w:val="0"/>
          <w:position w:val="0"/>
          <w:sz w:val="24"/>
          <w:szCs w:val="20"/>
          <w:highlight w:val="none"/>
        </w:rPr>
        <w:t>以上扫描件均为原件的扫描件</w:t>
      </w:r>
      <w:r>
        <w:rPr>
          <w:rFonts w:hint="eastAsia" w:ascii="宋体" w:hAnsi="宋体" w:eastAsia="宋体" w:cs="宋体"/>
          <w:color w:val="auto"/>
          <w:spacing w:val="0"/>
          <w:position w:val="0"/>
          <w:sz w:val="24"/>
          <w:szCs w:val="20"/>
          <w:highlight w:val="none"/>
          <w:lang w:eastAsia="zh-CN"/>
        </w:rPr>
        <w:t>。</w:t>
      </w:r>
    </w:p>
    <w:p w14:paraId="0674FDD4">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0"/>
          <w:highlight w:val="none"/>
        </w:rPr>
      </w:pPr>
    </w:p>
    <w:p w14:paraId="7C2DE1B5">
      <w:pPr>
        <w:pageBreakBefore w:val="0"/>
        <w:kinsoku/>
        <w:wordWrap w:val="0"/>
        <w:overflowPunct/>
        <w:topLinePunct/>
        <w:autoSpaceDE/>
        <w:autoSpaceDN/>
        <w:bidi w:val="0"/>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1B5D61CC">
      <w:pPr>
        <w:pageBreakBefore w:val="0"/>
        <w:kinsoku/>
        <w:wordWrap w:val="0"/>
        <w:overflowPunct/>
        <w:topLinePunct/>
        <w:autoSpaceDE/>
        <w:autoSpaceDN/>
        <w:bidi w:val="0"/>
        <w:spacing w:line="360" w:lineRule="auto"/>
        <w:ind w:right="480" w:firstLine="3360" w:firstLineChars="14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p>
    <w:p w14:paraId="549537B6">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3E809705">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p>
    <w:p w14:paraId="0671AABD">
      <w:pPr>
        <w:pageBreakBefore w:val="0"/>
        <w:kinsoku/>
        <w:wordWrap w:val="0"/>
        <w:overflowPunct/>
        <w:topLinePunct/>
        <w:autoSpaceDE/>
        <w:autoSpaceDN/>
        <w:bidi w:val="0"/>
        <w:spacing w:before="100" w:line="225" w:lineRule="auto"/>
        <w:ind w:left="16"/>
        <w:outlineLvl w:val="1"/>
        <w:rPr>
          <w:rFonts w:hint="eastAsia" w:ascii="宋体" w:hAnsi="宋体" w:eastAsia="宋体" w:cs="宋体"/>
          <w:color w:val="auto"/>
          <w:spacing w:val="0"/>
          <w:position w:val="0"/>
          <w:sz w:val="31"/>
          <w:szCs w:val="31"/>
          <w:highlight w:val="none"/>
        </w:rPr>
      </w:pPr>
      <w:r>
        <w:rPr>
          <w:rFonts w:hint="eastAsia" w:ascii="宋体" w:hAnsi="宋体" w:eastAsia="宋体" w:cs="宋体"/>
          <w:b/>
          <w:color w:val="auto"/>
          <w:spacing w:val="0"/>
          <w:position w:val="0"/>
          <w:sz w:val="32"/>
          <w:szCs w:val="32"/>
          <w:highlight w:val="none"/>
        </w:rPr>
        <w:br w:type="page"/>
      </w:r>
    </w:p>
    <w:p w14:paraId="39741787">
      <w:pPr>
        <w:pStyle w:val="40"/>
        <w:keepNext w:val="0"/>
        <w:keepLines w:val="0"/>
        <w:pageBreakBefore w:val="0"/>
        <w:widowControl w:val="0"/>
        <w:kinsoku/>
        <w:wordWrap w:val="0"/>
        <w:overflowPunct/>
        <w:topLinePunct/>
        <w:autoSpaceDE/>
        <w:autoSpaceDN/>
        <w:bidi w:val="0"/>
        <w:adjustRightInd w:val="0"/>
        <w:snapToGrid/>
        <w:spacing w:line="400" w:lineRule="exact"/>
        <w:textAlignment w:val="auto"/>
        <w:rPr>
          <w:rFonts w:hint="eastAsia" w:ascii="宋体" w:hAnsi="宋体" w:eastAsia="宋体" w:cs="宋体"/>
          <w:b/>
          <w:bCs/>
          <w:color w:val="auto"/>
          <w:spacing w:val="0"/>
          <w:position w:val="0"/>
          <w:sz w:val="24"/>
          <w:szCs w:val="32"/>
          <w:highlight w:val="none"/>
        </w:rPr>
      </w:pPr>
      <w:r>
        <w:rPr>
          <w:rFonts w:hint="eastAsia" w:ascii="宋体" w:hAnsi="宋体" w:eastAsia="宋体" w:cs="宋体"/>
          <w:b/>
          <w:bCs/>
          <w:color w:val="auto"/>
          <w:spacing w:val="0"/>
          <w:position w:val="0"/>
          <w:sz w:val="24"/>
          <w:szCs w:val="32"/>
          <w:highlight w:val="none"/>
        </w:rPr>
        <w:t>附：大型</w:t>
      </w:r>
      <w:r>
        <w:rPr>
          <w:rFonts w:hint="eastAsia" w:ascii="宋体" w:hAnsi="宋体" w:eastAsia="宋体" w:cs="宋体"/>
          <w:b/>
          <w:bCs/>
          <w:color w:val="auto"/>
          <w:spacing w:val="0"/>
          <w:position w:val="0"/>
          <w:sz w:val="24"/>
          <w:szCs w:val="32"/>
          <w:highlight w:val="none"/>
          <w:lang w:eastAsia="zh-CN"/>
        </w:rPr>
        <w:t>、</w:t>
      </w:r>
      <w:r>
        <w:rPr>
          <w:rFonts w:hint="eastAsia" w:ascii="宋体" w:hAnsi="宋体" w:eastAsia="宋体" w:cs="宋体"/>
          <w:b/>
          <w:bCs/>
          <w:color w:val="auto"/>
          <w:spacing w:val="0"/>
          <w:position w:val="0"/>
          <w:sz w:val="24"/>
          <w:szCs w:val="32"/>
          <w:highlight w:val="none"/>
        </w:rPr>
        <w:t>中型和小型、微型企业划型标准</w:t>
      </w:r>
    </w:p>
    <w:p w14:paraId="59F2F7F4">
      <w:pPr>
        <w:pStyle w:val="40"/>
        <w:keepNext w:val="0"/>
        <w:keepLines w:val="0"/>
        <w:pageBreakBefore w:val="0"/>
        <w:widowControl w:val="0"/>
        <w:kinsoku/>
        <w:wordWrap w:val="0"/>
        <w:overflowPunct/>
        <w:topLinePunct/>
        <w:autoSpaceDE/>
        <w:autoSpaceDN/>
        <w:bidi w:val="0"/>
        <w:adjustRightInd w:val="0"/>
        <w:snapToGrid/>
        <w:spacing w:line="400" w:lineRule="exact"/>
        <w:jc w:val="center"/>
        <w:textAlignment w:val="auto"/>
        <w:rPr>
          <w:rFonts w:hint="eastAsia" w:ascii="宋体" w:hAnsi="宋体" w:eastAsia="宋体" w:cs="宋体"/>
          <w:b/>
          <w:bCs/>
          <w:color w:val="auto"/>
          <w:spacing w:val="0"/>
          <w:position w:val="0"/>
          <w:sz w:val="24"/>
          <w:szCs w:val="32"/>
          <w:highlight w:val="none"/>
        </w:rPr>
      </w:pPr>
      <w:r>
        <w:rPr>
          <w:rFonts w:hint="eastAsia" w:ascii="宋体" w:hAnsi="宋体" w:eastAsia="宋体" w:cs="宋体"/>
          <w:b/>
          <w:bCs/>
          <w:color w:val="auto"/>
          <w:spacing w:val="0"/>
          <w:position w:val="0"/>
          <w:sz w:val="24"/>
          <w:szCs w:val="32"/>
          <w:highlight w:val="none"/>
        </w:rPr>
        <w:t>根据</w:t>
      </w:r>
      <w:r>
        <w:rPr>
          <w:rFonts w:hint="eastAsia" w:ascii="宋体" w:hAnsi="宋体" w:eastAsia="宋体" w:cs="宋体"/>
          <w:b/>
          <w:bCs/>
          <w:color w:val="auto"/>
          <w:spacing w:val="0"/>
          <w:position w:val="0"/>
          <w:sz w:val="24"/>
          <w:szCs w:val="32"/>
          <w:highlight w:val="none"/>
          <w:lang w:eastAsia="zh-CN"/>
        </w:rPr>
        <w:t>（</w:t>
      </w:r>
      <w:r>
        <w:rPr>
          <w:rFonts w:hint="eastAsia" w:ascii="宋体" w:hAnsi="宋体" w:eastAsia="宋体" w:cs="宋体"/>
          <w:b/>
          <w:bCs/>
          <w:color w:val="auto"/>
          <w:spacing w:val="0"/>
          <w:position w:val="0"/>
          <w:sz w:val="24"/>
          <w:szCs w:val="32"/>
          <w:highlight w:val="none"/>
        </w:rPr>
        <w:t>工信部联企业[2011]300 号</w:t>
      </w:r>
      <w:r>
        <w:rPr>
          <w:rFonts w:hint="eastAsia" w:ascii="宋体" w:hAnsi="宋体" w:eastAsia="宋体" w:cs="宋体"/>
          <w:b/>
          <w:bCs/>
          <w:color w:val="auto"/>
          <w:spacing w:val="0"/>
          <w:position w:val="0"/>
          <w:sz w:val="24"/>
          <w:szCs w:val="32"/>
          <w:highlight w:val="none"/>
          <w:lang w:eastAsia="zh-CN"/>
        </w:rPr>
        <w:t>）</w:t>
      </w:r>
      <w:r>
        <w:rPr>
          <w:rFonts w:hint="eastAsia" w:ascii="宋体" w:hAnsi="宋体" w:eastAsia="宋体" w:cs="宋体"/>
          <w:b/>
          <w:bCs/>
          <w:color w:val="auto"/>
          <w:spacing w:val="0"/>
          <w:position w:val="0"/>
          <w:sz w:val="24"/>
          <w:szCs w:val="32"/>
          <w:highlight w:val="none"/>
        </w:rPr>
        <w:t>文</w:t>
      </w:r>
    </w:p>
    <w:tbl>
      <w:tblPr>
        <w:tblStyle w:val="52"/>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1187"/>
        <w:gridCol w:w="900"/>
        <w:gridCol w:w="1399"/>
        <w:gridCol w:w="1535"/>
        <w:gridCol w:w="1295"/>
        <w:gridCol w:w="1004"/>
      </w:tblGrid>
      <w:tr w14:paraId="53962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184" w:type="dxa"/>
            <w:vAlign w:val="top"/>
          </w:tcPr>
          <w:p w14:paraId="32195BC6">
            <w:pPr>
              <w:keepNext w:val="0"/>
              <w:keepLines w:val="0"/>
              <w:pageBreakBefore w:val="0"/>
              <w:widowControl w:val="0"/>
              <w:kinsoku/>
              <w:wordWrap w:val="0"/>
              <w:overflowPunct/>
              <w:topLinePunct/>
              <w:autoSpaceDE/>
              <w:autoSpaceDN/>
              <w:bidi w:val="0"/>
              <w:adjustRightInd/>
              <w:snapToGrid/>
              <w:spacing w:before="104" w:line="200" w:lineRule="exact"/>
              <w:ind w:left="12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行业名称</w:t>
            </w:r>
          </w:p>
        </w:tc>
        <w:tc>
          <w:tcPr>
            <w:tcW w:w="1187" w:type="dxa"/>
            <w:vAlign w:val="top"/>
          </w:tcPr>
          <w:p w14:paraId="4512A8F1">
            <w:pPr>
              <w:keepNext w:val="0"/>
              <w:keepLines w:val="0"/>
              <w:pageBreakBefore w:val="0"/>
              <w:widowControl w:val="0"/>
              <w:kinsoku/>
              <w:wordWrap w:val="0"/>
              <w:overflowPunct/>
              <w:topLinePunct/>
              <w:autoSpaceDE/>
              <w:autoSpaceDN/>
              <w:bidi w:val="0"/>
              <w:adjustRightInd/>
              <w:snapToGrid/>
              <w:spacing w:before="104" w:line="200" w:lineRule="exact"/>
              <w:ind w:left="12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指标名称</w:t>
            </w:r>
          </w:p>
        </w:tc>
        <w:tc>
          <w:tcPr>
            <w:tcW w:w="900" w:type="dxa"/>
            <w:vAlign w:val="top"/>
          </w:tcPr>
          <w:p w14:paraId="47A29B39">
            <w:pPr>
              <w:keepNext w:val="0"/>
              <w:keepLines w:val="0"/>
              <w:pageBreakBefore w:val="0"/>
              <w:widowControl w:val="0"/>
              <w:kinsoku/>
              <w:wordWrap w:val="0"/>
              <w:overflowPunct/>
              <w:topLinePunct/>
              <w:autoSpaceDE/>
              <w:autoSpaceDN/>
              <w:bidi w:val="0"/>
              <w:adjustRightInd/>
              <w:snapToGrid/>
              <w:spacing w:before="104" w:line="200" w:lineRule="exact"/>
              <w:ind w:left="22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单位</w:t>
            </w:r>
          </w:p>
        </w:tc>
        <w:tc>
          <w:tcPr>
            <w:tcW w:w="1399" w:type="dxa"/>
            <w:vAlign w:val="top"/>
          </w:tcPr>
          <w:p w14:paraId="2F7FC533">
            <w:pPr>
              <w:keepNext w:val="0"/>
              <w:keepLines w:val="0"/>
              <w:pageBreakBefore w:val="0"/>
              <w:widowControl w:val="0"/>
              <w:kinsoku/>
              <w:wordWrap w:val="0"/>
              <w:overflowPunct/>
              <w:topLinePunct/>
              <w:autoSpaceDE/>
              <w:autoSpaceDN/>
              <w:bidi w:val="0"/>
              <w:adjustRightInd/>
              <w:snapToGrid/>
              <w:spacing w:before="104" w:line="200" w:lineRule="exact"/>
              <w:ind w:left="47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大型</w:t>
            </w:r>
          </w:p>
        </w:tc>
        <w:tc>
          <w:tcPr>
            <w:tcW w:w="1535" w:type="dxa"/>
            <w:vAlign w:val="top"/>
          </w:tcPr>
          <w:p w14:paraId="68C86FFF">
            <w:pPr>
              <w:keepNext w:val="0"/>
              <w:keepLines w:val="0"/>
              <w:pageBreakBefore w:val="0"/>
              <w:widowControl w:val="0"/>
              <w:kinsoku/>
              <w:wordWrap w:val="0"/>
              <w:overflowPunct/>
              <w:topLinePunct/>
              <w:autoSpaceDE/>
              <w:autoSpaceDN/>
              <w:bidi w:val="0"/>
              <w:adjustRightInd/>
              <w:snapToGrid/>
              <w:spacing w:before="104" w:line="200" w:lineRule="exact"/>
              <w:ind w:left="57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中型</w:t>
            </w:r>
          </w:p>
        </w:tc>
        <w:tc>
          <w:tcPr>
            <w:tcW w:w="1295" w:type="dxa"/>
            <w:vAlign w:val="top"/>
          </w:tcPr>
          <w:p w14:paraId="7BE14859">
            <w:pPr>
              <w:keepNext w:val="0"/>
              <w:keepLines w:val="0"/>
              <w:pageBreakBefore w:val="0"/>
              <w:widowControl w:val="0"/>
              <w:kinsoku/>
              <w:wordWrap w:val="0"/>
              <w:overflowPunct/>
              <w:topLinePunct/>
              <w:autoSpaceDE/>
              <w:autoSpaceDN/>
              <w:bidi w:val="0"/>
              <w:adjustRightInd/>
              <w:snapToGrid/>
              <w:spacing w:before="105" w:line="200" w:lineRule="exact"/>
              <w:ind w:left="42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小型</w:t>
            </w:r>
          </w:p>
        </w:tc>
        <w:tc>
          <w:tcPr>
            <w:tcW w:w="1004" w:type="dxa"/>
            <w:vAlign w:val="top"/>
          </w:tcPr>
          <w:p w14:paraId="587C1005">
            <w:pPr>
              <w:keepNext w:val="0"/>
              <w:keepLines w:val="0"/>
              <w:pageBreakBefore w:val="0"/>
              <w:widowControl w:val="0"/>
              <w:kinsoku/>
              <w:wordWrap w:val="0"/>
              <w:overflowPunct/>
              <w:topLinePunct/>
              <w:autoSpaceDE/>
              <w:autoSpaceDN/>
              <w:bidi w:val="0"/>
              <w:adjustRightInd/>
              <w:snapToGrid/>
              <w:spacing w:before="104" w:line="200" w:lineRule="exact"/>
              <w:ind w:left="27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微型</w:t>
            </w:r>
          </w:p>
        </w:tc>
      </w:tr>
      <w:tr w14:paraId="2BAFA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84" w:type="dxa"/>
            <w:vAlign w:val="top"/>
          </w:tcPr>
          <w:p w14:paraId="020BBC98">
            <w:pPr>
              <w:keepNext w:val="0"/>
              <w:keepLines w:val="0"/>
              <w:pageBreakBefore w:val="0"/>
              <w:widowControl w:val="0"/>
              <w:kinsoku/>
              <w:wordWrap w:val="0"/>
              <w:overflowPunct/>
              <w:topLinePunct/>
              <w:autoSpaceDE/>
              <w:autoSpaceDN/>
              <w:bidi w:val="0"/>
              <w:adjustRightInd/>
              <w:snapToGrid/>
              <w:spacing w:before="99"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农林牧渔</w:t>
            </w:r>
          </w:p>
        </w:tc>
        <w:tc>
          <w:tcPr>
            <w:tcW w:w="1187" w:type="dxa"/>
            <w:vAlign w:val="top"/>
          </w:tcPr>
          <w:p w14:paraId="6F54B9BE">
            <w:pPr>
              <w:keepNext w:val="0"/>
              <w:keepLines w:val="0"/>
              <w:pageBreakBefore w:val="0"/>
              <w:widowControl w:val="0"/>
              <w:kinsoku/>
              <w:wordWrap w:val="0"/>
              <w:overflowPunct/>
              <w:topLinePunct/>
              <w:autoSpaceDE/>
              <w:autoSpaceDN/>
              <w:bidi w:val="0"/>
              <w:adjustRightInd/>
              <w:snapToGrid/>
              <w:spacing w:before="100"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7A5951A9">
            <w:pPr>
              <w:keepNext w:val="0"/>
              <w:keepLines w:val="0"/>
              <w:pageBreakBefore w:val="0"/>
              <w:widowControl w:val="0"/>
              <w:kinsoku/>
              <w:wordWrap w:val="0"/>
              <w:overflowPunct/>
              <w:topLinePunct/>
              <w:autoSpaceDE/>
              <w:autoSpaceDN/>
              <w:bidi w:val="0"/>
              <w:adjustRightInd/>
              <w:snapToGrid/>
              <w:spacing w:before="100"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4E508FF6">
            <w:pPr>
              <w:keepNext w:val="0"/>
              <w:keepLines w:val="0"/>
              <w:pageBreakBefore w:val="0"/>
              <w:widowControl w:val="0"/>
              <w:kinsoku/>
              <w:wordWrap w:val="0"/>
              <w:overflowPunct/>
              <w:topLinePunct/>
              <w:autoSpaceDE/>
              <w:autoSpaceDN/>
              <w:bidi w:val="0"/>
              <w:adjustRightInd/>
              <w:snapToGrid/>
              <w:spacing w:before="100"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≥20000</w:t>
            </w:r>
          </w:p>
        </w:tc>
        <w:tc>
          <w:tcPr>
            <w:tcW w:w="1535" w:type="dxa"/>
            <w:vAlign w:val="top"/>
          </w:tcPr>
          <w:p w14:paraId="4C36F8E5">
            <w:pPr>
              <w:keepNext w:val="0"/>
              <w:keepLines w:val="0"/>
              <w:pageBreakBefore w:val="0"/>
              <w:widowControl w:val="0"/>
              <w:kinsoku/>
              <w:wordWrap w:val="0"/>
              <w:overflowPunct/>
              <w:topLinePunct/>
              <w:autoSpaceDE/>
              <w:autoSpaceDN/>
              <w:bidi w:val="0"/>
              <w:adjustRightInd/>
              <w:snapToGrid/>
              <w:spacing w:before="141" w:line="200" w:lineRule="exact"/>
              <w:ind w:left="23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500-20000</w:t>
            </w:r>
          </w:p>
        </w:tc>
        <w:tc>
          <w:tcPr>
            <w:tcW w:w="1295" w:type="dxa"/>
            <w:vAlign w:val="top"/>
          </w:tcPr>
          <w:p w14:paraId="5EFCD3E6">
            <w:pPr>
              <w:keepNext w:val="0"/>
              <w:keepLines w:val="0"/>
              <w:pageBreakBefore w:val="0"/>
              <w:widowControl w:val="0"/>
              <w:kinsoku/>
              <w:wordWrap w:val="0"/>
              <w:overflowPunct/>
              <w:topLinePunct/>
              <w:autoSpaceDE/>
              <w:autoSpaceDN/>
              <w:bidi w:val="0"/>
              <w:adjustRightInd/>
              <w:snapToGrid/>
              <w:spacing w:before="141" w:line="200" w:lineRule="exact"/>
              <w:ind w:left="29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50-500</w:t>
            </w:r>
          </w:p>
        </w:tc>
        <w:tc>
          <w:tcPr>
            <w:tcW w:w="1004" w:type="dxa"/>
            <w:vAlign w:val="top"/>
          </w:tcPr>
          <w:p w14:paraId="66255EB0">
            <w:pPr>
              <w:keepNext w:val="0"/>
              <w:keepLines w:val="0"/>
              <w:pageBreakBefore w:val="0"/>
              <w:widowControl w:val="0"/>
              <w:kinsoku/>
              <w:wordWrap w:val="0"/>
              <w:overflowPunct/>
              <w:topLinePunct/>
              <w:autoSpaceDE/>
              <w:autoSpaceDN/>
              <w:bidi w:val="0"/>
              <w:adjustRightInd/>
              <w:snapToGrid/>
              <w:spacing w:before="100"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w:t>
            </w:r>
          </w:p>
        </w:tc>
      </w:tr>
      <w:tr w14:paraId="496BD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vAlign w:val="top"/>
          </w:tcPr>
          <w:p w14:paraId="7539A003">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221B9DA3">
            <w:pPr>
              <w:keepNext w:val="0"/>
              <w:keepLines w:val="0"/>
              <w:pageBreakBefore w:val="0"/>
              <w:widowControl w:val="0"/>
              <w:kinsoku/>
              <w:wordWrap w:val="0"/>
              <w:overflowPunct/>
              <w:topLinePunct/>
              <w:autoSpaceDE/>
              <w:autoSpaceDN/>
              <w:bidi w:val="0"/>
              <w:adjustRightInd/>
              <w:snapToGrid/>
              <w:spacing w:before="75"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工业</w:t>
            </w:r>
          </w:p>
        </w:tc>
        <w:tc>
          <w:tcPr>
            <w:tcW w:w="1187" w:type="dxa"/>
            <w:vAlign w:val="top"/>
          </w:tcPr>
          <w:p w14:paraId="256079D8">
            <w:pPr>
              <w:keepNext w:val="0"/>
              <w:keepLines w:val="0"/>
              <w:pageBreakBefore w:val="0"/>
              <w:widowControl w:val="0"/>
              <w:kinsoku/>
              <w:wordWrap w:val="0"/>
              <w:overflowPunct/>
              <w:topLinePunct/>
              <w:autoSpaceDE/>
              <w:autoSpaceDN/>
              <w:bidi w:val="0"/>
              <w:adjustRightInd/>
              <w:snapToGrid/>
              <w:spacing w:before="101"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36BD05FE">
            <w:pPr>
              <w:keepNext w:val="0"/>
              <w:keepLines w:val="0"/>
              <w:pageBreakBefore w:val="0"/>
              <w:widowControl w:val="0"/>
              <w:kinsoku/>
              <w:wordWrap w:val="0"/>
              <w:overflowPunct/>
              <w:topLinePunct/>
              <w:autoSpaceDE/>
              <w:autoSpaceDN/>
              <w:bidi w:val="0"/>
              <w:adjustRightInd/>
              <w:snapToGrid/>
              <w:spacing w:before="101"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3C85CFA6">
            <w:pPr>
              <w:keepNext w:val="0"/>
              <w:keepLines w:val="0"/>
              <w:pageBreakBefore w:val="0"/>
              <w:widowControl w:val="0"/>
              <w:kinsoku/>
              <w:wordWrap w:val="0"/>
              <w:overflowPunct/>
              <w:topLinePunct/>
              <w:autoSpaceDE/>
              <w:autoSpaceDN/>
              <w:bidi w:val="0"/>
              <w:adjustRightInd/>
              <w:snapToGrid/>
              <w:spacing w:before="101"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w:t>
            </w:r>
          </w:p>
        </w:tc>
        <w:tc>
          <w:tcPr>
            <w:tcW w:w="1535" w:type="dxa"/>
            <w:vAlign w:val="top"/>
          </w:tcPr>
          <w:p w14:paraId="70318560">
            <w:pPr>
              <w:keepNext w:val="0"/>
              <w:keepLines w:val="0"/>
              <w:pageBreakBefore w:val="0"/>
              <w:widowControl w:val="0"/>
              <w:kinsoku/>
              <w:wordWrap w:val="0"/>
              <w:overflowPunct/>
              <w:topLinePunct/>
              <w:autoSpaceDE/>
              <w:autoSpaceDN/>
              <w:bidi w:val="0"/>
              <w:adjustRightInd/>
              <w:snapToGrid/>
              <w:spacing w:before="142" w:line="200" w:lineRule="exact"/>
              <w:ind w:left="29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300-1000</w:t>
            </w:r>
          </w:p>
        </w:tc>
        <w:tc>
          <w:tcPr>
            <w:tcW w:w="1295" w:type="dxa"/>
            <w:vAlign w:val="top"/>
          </w:tcPr>
          <w:p w14:paraId="1D98EBC0">
            <w:pPr>
              <w:keepNext w:val="0"/>
              <w:keepLines w:val="0"/>
              <w:pageBreakBefore w:val="0"/>
              <w:widowControl w:val="0"/>
              <w:kinsoku/>
              <w:wordWrap w:val="0"/>
              <w:overflowPunct/>
              <w:topLinePunct/>
              <w:autoSpaceDE/>
              <w:autoSpaceDN/>
              <w:bidi w:val="0"/>
              <w:adjustRightInd/>
              <w:snapToGrid/>
              <w:spacing w:before="142" w:line="200" w:lineRule="exact"/>
              <w:ind w:left="29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20-300</w:t>
            </w:r>
          </w:p>
        </w:tc>
        <w:tc>
          <w:tcPr>
            <w:tcW w:w="1004" w:type="dxa"/>
            <w:vAlign w:val="top"/>
          </w:tcPr>
          <w:p w14:paraId="72C0FB62">
            <w:pPr>
              <w:keepNext w:val="0"/>
              <w:keepLines w:val="0"/>
              <w:pageBreakBefore w:val="0"/>
              <w:widowControl w:val="0"/>
              <w:kinsoku/>
              <w:wordWrap w:val="0"/>
              <w:overflowPunct/>
              <w:topLinePunct/>
              <w:autoSpaceDE/>
              <w:autoSpaceDN/>
              <w:bidi w:val="0"/>
              <w:adjustRightInd/>
              <w:snapToGrid/>
              <w:spacing w:before="101"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w:t>
            </w:r>
          </w:p>
        </w:tc>
      </w:tr>
      <w:tr w14:paraId="2C206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59F16DD1">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5E93C605">
            <w:pPr>
              <w:keepNext w:val="0"/>
              <w:keepLines w:val="0"/>
              <w:pageBreakBefore w:val="0"/>
              <w:widowControl w:val="0"/>
              <w:kinsoku/>
              <w:wordWrap w:val="0"/>
              <w:overflowPunct/>
              <w:topLinePunct/>
              <w:autoSpaceDE/>
              <w:autoSpaceDN/>
              <w:bidi w:val="0"/>
              <w:adjustRightInd/>
              <w:snapToGrid/>
              <w:spacing w:before="101"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5BE50CBC">
            <w:pPr>
              <w:keepNext w:val="0"/>
              <w:keepLines w:val="0"/>
              <w:pageBreakBefore w:val="0"/>
              <w:widowControl w:val="0"/>
              <w:kinsoku/>
              <w:wordWrap w:val="0"/>
              <w:overflowPunct/>
              <w:topLinePunct/>
              <w:autoSpaceDE/>
              <w:autoSpaceDN/>
              <w:bidi w:val="0"/>
              <w:adjustRightInd/>
              <w:snapToGrid/>
              <w:spacing w:before="101"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2C590F3B">
            <w:pPr>
              <w:keepNext w:val="0"/>
              <w:keepLines w:val="0"/>
              <w:pageBreakBefore w:val="0"/>
              <w:widowControl w:val="0"/>
              <w:kinsoku/>
              <w:wordWrap w:val="0"/>
              <w:overflowPunct/>
              <w:topLinePunct/>
              <w:autoSpaceDE/>
              <w:autoSpaceDN/>
              <w:bidi w:val="0"/>
              <w:adjustRightInd/>
              <w:snapToGrid/>
              <w:spacing w:before="101"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≥40000</w:t>
            </w:r>
          </w:p>
        </w:tc>
        <w:tc>
          <w:tcPr>
            <w:tcW w:w="1535" w:type="dxa"/>
            <w:vAlign w:val="top"/>
          </w:tcPr>
          <w:p w14:paraId="2A4CC0C4">
            <w:pPr>
              <w:keepNext w:val="0"/>
              <w:keepLines w:val="0"/>
              <w:pageBreakBefore w:val="0"/>
              <w:widowControl w:val="0"/>
              <w:kinsoku/>
              <w:wordWrap w:val="0"/>
              <w:overflowPunct/>
              <w:topLinePunct/>
              <w:autoSpaceDE/>
              <w:autoSpaceDN/>
              <w:bidi w:val="0"/>
              <w:adjustRightInd/>
              <w:snapToGrid/>
              <w:spacing w:before="142" w:line="200" w:lineRule="exact"/>
              <w:ind w:left="17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2000-40000</w:t>
            </w:r>
          </w:p>
        </w:tc>
        <w:tc>
          <w:tcPr>
            <w:tcW w:w="1295" w:type="dxa"/>
            <w:vAlign w:val="top"/>
          </w:tcPr>
          <w:p w14:paraId="5D24B27A">
            <w:pPr>
              <w:keepNext w:val="0"/>
              <w:keepLines w:val="0"/>
              <w:pageBreakBefore w:val="0"/>
              <w:widowControl w:val="0"/>
              <w:kinsoku/>
              <w:wordWrap w:val="0"/>
              <w:overflowPunct/>
              <w:topLinePunct/>
              <w:autoSpaceDE/>
              <w:autoSpaceDN/>
              <w:bidi w:val="0"/>
              <w:adjustRightInd/>
              <w:snapToGrid/>
              <w:spacing w:before="142" w:line="200" w:lineRule="exact"/>
              <w:ind w:left="17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300-2000</w:t>
            </w:r>
          </w:p>
        </w:tc>
        <w:tc>
          <w:tcPr>
            <w:tcW w:w="1004" w:type="dxa"/>
            <w:vAlign w:val="top"/>
          </w:tcPr>
          <w:p w14:paraId="7A95E799">
            <w:pPr>
              <w:keepNext w:val="0"/>
              <w:keepLines w:val="0"/>
              <w:pageBreakBefore w:val="0"/>
              <w:widowControl w:val="0"/>
              <w:kinsoku/>
              <w:wordWrap w:val="0"/>
              <w:overflowPunct/>
              <w:topLinePunct/>
              <w:autoSpaceDE/>
              <w:autoSpaceDN/>
              <w:bidi w:val="0"/>
              <w:adjustRightInd/>
              <w:snapToGrid/>
              <w:spacing w:before="101"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r>
      <w:tr w14:paraId="27AD3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vAlign w:val="top"/>
          </w:tcPr>
          <w:p w14:paraId="0B3B4FCF">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1F0869D5">
            <w:pPr>
              <w:keepNext w:val="0"/>
              <w:keepLines w:val="0"/>
              <w:pageBreakBefore w:val="0"/>
              <w:widowControl w:val="0"/>
              <w:kinsoku/>
              <w:wordWrap w:val="0"/>
              <w:overflowPunct/>
              <w:topLinePunct/>
              <w:autoSpaceDE/>
              <w:autoSpaceDN/>
              <w:bidi w:val="0"/>
              <w:adjustRightInd/>
              <w:snapToGrid/>
              <w:spacing w:before="74" w:line="200" w:lineRule="exact"/>
              <w:ind w:left="244"/>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建筑业</w:t>
            </w:r>
          </w:p>
        </w:tc>
        <w:tc>
          <w:tcPr>
            <w:tcW w:w="1187" w:type="dxa"/>
            <w:vAlign w:val="top"/>
          </w:tcPr>
          <w:p w14:paraId="00E36620">
            <w:pPr>
              <w:keepNext w:val="0"/>
              <w:keepLines w:val="0"/>
              <w:pageBreakBefore w:val="0"/>
              <w:widowControl w:val="0"/>
              <w:kinsoku/>
              <w:wordWrap w:val="0"/>
              <w:overflowPunct/>
              <w:topLinePunct/>
              <w:autoSpaceDE/>
              <w:autoSpaceDN/>
              <w:bidi w:val="0"/>
              <w:adjustRightInd/>
              <w:snapToGrid/>
              <w:spacing w:before="101"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75B31CB3">
            <w:pPr>
              <w:keepNext w:val="0"/>
              <w:keepLines w:val="0"/>
              <w:pageBreakBefore w:val="0"/>
              <w:widowControl w:val="0"/>
              <w:kinsoku/>
              <w:wordWrap w:val="0"/>
              <w:overflowPunct/>
              <w:topLinePunct/>
              <w:autoSpaceDE/>
              <w:autoSpaceDN/>
              <w:bidi w:val="0"/>
              <w:adjustRightInd/>
              <w:snapToGrid/>
              <w:spacing w:before="101"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68E0D680">
            <w:pPr>
              <w:keepNext w:val="0"/>
              <w:keepLines w:val="0"/>
              <w:pageBreakBefore w:val="0"/>
              <w:widowControl w:val="0"/>
              <w:kinsoku/>
              <w:wordWrap w:val="0"/>
              <w:overflowPunct/>
              <w:topLinePunct/>
              <w:autoSpaceDE/>
              <w:autoSpaceDN/>
              <w:bidi w:val="0"/>
              <w:adjustRightInd/>
              <w:snapToGrid/>
              <w:spacing w:before="100"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≥80000</w:t>
            </w:r>
          </w:p>
        </w:tc>
        <w:tc>
          <w:tcPr>
            <w:tcW w:w="1535" w:type="dxa"/>
            <w:vAlign w:val="top"/>
          </w:tcPr>
          <w:p w14:paraId="6714BBBF">
            <w:pPr>
              <w:keepNext w:val="0"/>
              <w:keepLines w:val="0"/>
              <w:pageBreakBefore w:val="0"/>
              <w:widowControl w:val="0"/>
              <w:kinsoku/>
              <w:wordWrap w:val="0"/>
              <w:overflowPunct/>
              <w:topLinePunct/>
              <w:autoSpaceDE/>
              <w:autoSpaceDN/>
              <w:bidi w:val="0"/>
              <w:adjustRightInd/>
              <w:snapToGrid/>
              <w:spacing w:before="141" w:line="200" w:lineRule="exact"/>
              <w:ind w:left="174"/>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6000-80000</w:t>
            </w:r>
          </w:p>
        </w:tc>
        <w:tc>
          <w:tcPr>
            <w:tcW w:w="1295" w:type="dxa"/>
            <w:vAlign w:val="top"/>
          </w:tcPr>
          <w:p w14:paraId="66E3F5C5">
            <w:pPr>
              <w:keepNext w:val="0"/>
              <w:keepLines w:val="0"/>
              <w:pageBreakBefore w:val="0"/>
              <w:widowControl w:val="0"/>
              <w:kinsoku/>
              <w:wordWrap w:val="0"/>
              <w:overflowPunct/>
              <w:topLinePunct/>
              <w:autoSpaceDE/>
              <w:autoSpaceDN/>
              <w:bidi w:val="0"/>
              <w:adjustRightInd/>
              <w:snapToGrid/>
              <w:spacing w:before="141" w:line="200" w:lineRule="exact"/>
              <w:ind w:left="17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300-6000</w:t>
            </w:r>
          </w:p>
        </w:tc>
        <w:tc>
          <w:tcPr>
            <w:tcW w:w="1004" w:type="dxa"/>
            <w:vAlign w:val="top"/>
          </w:tcPr>
          <w:p w14:paraId="3E2FE902">
            <w:pPr>
              <w:keepNext w:val="0"/>
              <w:keepLines w:val="0"/>
              <w:pageBreakBefore w:val="0"/>
              <w:widowControl w:val="0"/>
              <w:kinsoku/>
              <w:wordWrap w:val="0"/>
              <w:overflowPunct/>
              <w:topLinePunct/>
              <w:autoSpaceDE/>
              <w:autoSpaceDN/>
              <w:bidi w:val="0"/>
              <w:adjustRightInd/>
              <w:snapToGrid/>
              <w:spacing w:before="100"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r>
      <w:tr w14:paraId="24EB6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460BCF41">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76C23048">
            <w:pPr>
              <w:keepNext w:val="0"/>
              <w:keepLines w:val="0"/>
              <w:pageBreakBefore w:val="0"/>
              <w:widowControl w:val="0"/>
              <w:kinsoku/>
              <w:wordWrap w:val="0"/>
              <w:overflowPunct/>
              <w:topLinePunct/>
              <w:autoSpaceDE/>
              <w:autoSpaceDN/>
              <w:bidi w:val="0"/>
              <w:adjustRightInd/>
              <w:snapToGrid/>
              <w:spacing w:before="101" w:line="200" w:lineRule="exact"/>
              <w:ind w:left="13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资产总额</w:t>
            </w:r>
          </w:p>
        </w:tc>
        <w:tc>
          <w:tcPr>
            <w:tcW w:w="900" w:type="dxa"/>
            <w:vAlign w:val="top"/>
          </w:tcPr>
          <w:p w14:paraId="7059A456">
            <w:pPr>
              <w:keepNext w:val="0"/>
              <w:keepLines w:val="0"/>
              <w:pageBreakBefore w:val="0"/>
              <w:widowControl w:val="0"/>
              <w:kinsoku/>
              <w:wordWrap w:val="0"/>
              <w:overflowPunct/>
              <w:topLinePunct/>
              <w:autoSpaceDE/>
              <w:autoSpaceDN/>
              <w:bidi w:val="0"/>
              <w:adjustRightInd/>
              <w:snapToGrid/>
              <w:spacing w:before="101"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22095D4B">
            <w:pPr>
              <w:keepNext w:val="0"/>
              <w:keepLines w:val="0"/>
              <w:pageBreakBefore w:val="0"/>
              <w:widowControl w:val="0"/>
              <w:kinsoku/>
              <w:wordWrap w:val="0"/>
              <w:overflowPunct/>
              <w:topLinePunct/>
              <w:autoSpaceDE/>
              <w:autoSpaceDN/>
              <w:bidi w:val="0"/>
              <w:adjustRightInd/>
              <w:snapToGrid/>
              <w:spacing w:before="101"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≥80000</w:t>
            </w:r>
          </w:p>
        </w:tc>
        <w:tc>
          <w:tcPr>
            <w:tcW w:w="1535" w:type="dxa"/>
            <w:vAlign w:val="top"/>
          </w:tcPr>
          <w:p w14:paraId="33E97473">
            <w:pPr>
              <w:keepNext w:val="0"/>
              <w:keepLines w:val="0"/>
              <w:pageBreakBefore w:val="0"/>
              <w:widowControl w:val="0"/>
              <w:kinsoku/>
              <w:wordWrap w:val="0"/>
              <w:overflowPunct/>
              <w:topLinePunct/>
              <w:autoSpaceDE/>
              <w:autoSpaceDN/>
              <w:bidi w:val="0"/>
              <w:adjustRightInd/>
              <w:snapToGrid/>
              <w:spacing w:before="142" w:line="200" w:lineRule="exact"/>
              <w:ind w:left="17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5000-80000</w:t>
            </w:r>
          </w:p>
        </w:tc>
        <w:tc>
          <w:tcPr>
            <w:tcW w:w="1295" w:type="dxa"/>
            <w:vAlign w:val="top"/>
          </w:tcPr>
          <w:p w14:paraId="14419C7F">
            <w:pPr>
              <w:keepNext w:val="0"/>
              <w:keepLines w:val="0"/>
              <w:pageBreakBefore w:val="0"/>
              <w:widowControl w:val="0"/>
              <w:kinsoku/>
              <w:wordWrap w:val="0"/>
              <w:overflowPunct/>
              <w:topLinePunct/>
              <w:autoSpaceDE/>
              <w:autoSpaceDN/>
              <w:bidi w:val="0"/>
              <w:adjustRightInd/>
              <w:snapToGrid/>
              <w:spacing w:before="142" w:line="200" w:lineRule="exact"/>
              <w:ind w:left="17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300-5000</w:t>
            </w:r>
          </w:p>
        </w:tc>
        <w:tc>
          <w:tcPr>
            <w:tcW w:w="1004" w:type="dxa"/>
            <w:vAlign w:val="top"/>
          </w:tcPr>
          <w:p w14:paraId="70BDCA0C">
            <w:pPr>
              <w:keepNext w:val="0"/>
              <w:keepLines w:val="0"/>
              <w:pageBreakBefore w:val="0"/>
              <w:widowControl w:val="0"/>
              <w:kinsoku/>
              <w:wordWrap w:val="0"/>
              <w:overflowPunct/>
              <w:topLinePunct/>
              <w:autoSpaceDE/>
              <w:autoSpaceDN/>
              <w:bidi w:val="0"/>
              <w:adjustRightInd/>
              <w:snapToGrid/>
              <w:spacing w:before="101"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r>
      <w:tr w14:paraId="25437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vAlign w:val="top"/>
          </w:tcPr>
          <w:p w14:paraId="03C0206B">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28712D16">
            <w:pPr>
              <w:keepNext w:val="0"/>
              <w:keepLines w:val="0"/>
              <w:pageBreakBefore w:val="0"/>
              <w:widowControl w:val="0"/>
              <w:kinsoku/>
              <w:wordWrap w:val="0"/>
              <w:overflowPunct/>
              <w:topLinePunct/>
              <w:autoSpaceDE/>
              <w:autoSpaceDN/>
              <w:bidi w:val="0"/>
              <w:adjustRightInd/>
              <w:snapToGrid/>
              <w:spacing w:before="74" w:line="200" w:lineRule="exact"/>
              <w:ind w:left="244"/>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批发业</w:t>
            </w:r>
          </w:p>
        </w:tc>
        <w:tc>
          <w:tcPr>
            <w:tcW w:w="1187" w:type="dxa"/>
            <w:vAlign w:val="top"/>
          </w:tcPr>
          <w:p w14:paraId="458F53E7">
            <w:pPr>
              <w:keepNext w:val="0"/>
              <w:keepLines w:val="0"/>
              <w:pageBreakBefore w:val="0"/>
              <w:widowControl w:val="0"/>
              <w:kinsoku/>
              <w:wordWrap w:val="0"/>
              <w:overflowPunct/>
              <w:topLinePunct/>
              <w:autoSpaceDE/>
              <w:autoSpaceDN/>
              <w:bidi w:val="0"/>
              <w:adjustRightInd/>
              <w:snapToGrid/>
              <w:spacing w:before="101"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3EF89D35">
            <w:pPr>
              <w:keepNext w:val="0"/>
              <w:keepLines w:val="0"/>
              <w:pageBreakBefore w:val="0"/>
              <w:widowControl w:val="0"/>
              <w:kinsoku/>
              <w:wordWrap w:val="0"/>
              <w:overflowPunct/>
              <w:topLinePunct/>
              <w:autoSpaceDE/>
              <w:autoSpaceDN/>
              <w:bidi w:val="0"/>
              <w:adjustRightInd/>
              <w:snapToGrid/>
              <w:spacing w:before="101"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50FB6562">
            <w:pPr>
              <w:keepNext w:val="0"/>
              <w:keepLines w:val="0"/>
              <w:pageBreakBefore w:val="0"/>
              <w:widowControl w:val="0"/>
              <w:kinsoku/>
              <w:wordWrap w:val="0"/>
              <w:overflowPunct/>
              <w:topLinePunct/>
              <w:autoSpaceDE/>
              <w:autoSpaceDN/>
              <w:bidi w:val="0"/>
              <w:adjustRightInd/>
              <w:snapToGrid/>
              <w:spacing w:before="101"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w:t>
            </w:r>
          </w:p>
        </w:tc>
        <w:tc>
          <w:tcPr>
            <w:tcW w:w="1535" w:type="dxa"/>
            <w:vAlign w:val="top"/>
          </w:tcPr>
          <w:p w14:paraId="5D8715CB">
            <w:pPr>
              <w:keepNext w:val="0"/>
              <w:keepLines w:val="0"/>
              <w:pageBreakBefore w:val="0"/>
              <w:widowControl w:val="0"/>
              <w:kinsoku/>
              <w:wordWrap w:val="0"/>
              <w:overflowPunct/>
              <w:topLinePunct/>
              <w:autoSpaceDE/>
              <w:autoSpaceDN/>
              <w:bidi w:val="0"/>
              <w:adjustRightInd/>
              <w:snapToGrid/>
              <w:spacing w:before="142" w:line="200" w:lineRule="exact"/>
              <w:ind w:left="41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20-200</w:t>
            </w:r>
          </w:p>
        </w:tc>
        <w:tc>
          <w:tcPr>
            <w:tcW w:w="1295" w:type="dxa"/>
            <w:vAlign w:val="top"/>
          </w:tcPr>
          <w:p w14:paraId="1E4077E0">
            <w:pPr>
              <w:keepNext w:val="0"/>
              <w:keepLines w:val="0"/>
              <w:pageBreakBefore w:val="0"/>
              <w:widowControl w:val="0"/>
              <w:kinsoku/>
              <w:wordWrap w:val="0"/>
              <w:overflowPunct/>
              <w:topLinePunct/>
              <w:autoSpaceDE/>
              <w:autoSpaceDN/>
              <w:bidi w:val="0"/>
              <w:adjustRightInd/>
              <w:snapToGrid/>
              <w:spacing w:before="142" w:line="200" w:lineRule="exact"/>
              <w:ind w:left="41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5-20</w:t>
            </w:r>
          </w:p>
        </w:tc>
        <w:tc>
          <w:tcPr>
            <w:tcW w:w="1004" w:type="dxa"/>
            <w:vAlign w:val="top"/>
          </w:tcPr>
          <w:p w14:paraId="69E82A52">
            <w:pPr>
              <w:keepNext w:val="0"/>
              <w:keepLines w:val="0"/>
              <w:pageBreakBefore w:val="0"/>
              <w:widowControl w:val="0"/>
              <w:kinsoku/>
              <w:wordWrap w:val="0"/>
              <w:overflowPunct/>
              <w:topLinePunct/>
              <w:autoSpaceDE/>
              <w:autoSpaceDN/>
              <w:bidi w:val="0"/>
              <w:adjustRightInd/>
              <w:snapToGrid/>
              <w:spacing w:before="101"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w:t>
            </w:r>
          </w:p>
        </w:tc>
      </w:tr>
      <w:tr w14:paraId="1BA00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50E1F6E0">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5D8A5206">
            <w:pPr>
              <w:keepNext w:val="0"/>
              <w:keepLines w:val="0"/>
              <w:pageBreakBefore w:val="0"/>
              <w:widowControl w:val="0"/>
              <w:kinsoku/>
              <w:wordWrap w:val="0"/>
              <w:overflowPunct/>
              <w:topLinePunct/>
              <w:autoSpaceDE/>
              <w:autoSpaceDN/>
              <w:bidi w:val="0"/>
              <w:adjustRightInd/>
              <w:snapToGrid/>
              <w:spacing w:before="102"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70BD0C71">
            <w:pPr>
              <w:keepNext w:val="0"/>
              <w:keepLines w:val="0"/>
              <w:pageBreakBefore w:val="0"/>
              <w:widowControl w:val="0"/>
              <w:kinsoku/>
              <w:wordWrap w:val="0"/>
              <w:overflowPunct/>
              <w:topLinePunct/>
              <w:autoSpaceDE/>
              <w:autoSpaceDN/>
              <w:bidi w:val="0"/>
              <w:adjustRightInd/>
              <w:snapToGrid/>
              <w:spacing w:before="102"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36B3300E">
            <w:pPr>
              <w:keepNext w:val="0"/>
              <w:keepLines w:val="0"/>
              <w:pageBreakBefore w:val="0"/>
              <w:widowControl w:val="0"/>
              <w:kinsoku/>
              <w:wordWrap w:val="0"/>
              <w:overflowPunct/>
              <w:topLinePunct/>
              <w:autoSpaceDE/>
              <w:autoSpaceDN/>
              <w:bidi w:val="0"/>
              <w:adjustRightInd/>
              <w:snapToGrid/>
              <w:spacing w:before="102"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≥40000</w:t>
            </w:r>
          </w:p>
        </w:tc>
        <w:tc>
          <w:tcPr>
            <w:tcW w:w="1535" w:type="dxa"/>
            <w:vAlign w:val="top"/>
          </w:tcPr>
          <w:p w14:paraId="00B64452">
            <w:pPr>
              <w:keepNext w:val="0"/>
              <w:keepLines w:val="0"/>
              <w:pageBreakBefore w:val="0"/>
              <w:widowControl w:val="0"/>
              <w:kinsoku/>
              <w:wordWrap w:val="0"/>
              <w:overflowPunct/>
              <w:topLinePunct/>
              <w:autoSpaceDE/>
              <w:autoSpaceDN/>
              <w:bidi w:val="0"/>
              <w:adjustRightInd/>
              <w:snapToGrid/>
              <w:spacing w:before="143" w:line="200" w:lineRule="exact"/>
              <w:ind w:left="17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5000-40000</w:t>
            </w:r>
          </w:p>
        </w:tc>
        <w:tc>
          <w:tcPr>
            <w:tcW w:w="1295" w:type="dxa"/>
            <w:vAlign w:val="top"/>
          </w:tcPr>
          <w:p w14:paraId="537FD0E8">
            <w:pPr>
              <w:keepNext w:val="0"/>
              <w:keepLines w:val="0"/>
              <w:pageBreakBefore w:val="0"/>
              <w:widowControl w:val="0"/>
              <w:kinsoku/>
              <w:wordWrap w:val="0"/>
              <w:overflowPunct/>
              <w:topLinePunct/>
              <w:autoSpaceDE/>
              <w:autoSpaceDN/>
              <w:bidi w:val="0"/>
              <w:adjustRightInd/>
              <w:snapToGrid/>
              <w:spacing w:before="143" w:line="200" w:lineRule="exact"/>
              <w:ind w:left="13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1000-5000</w:t>
            </w:r>
          </w:p>
        </w:tc>
        <w:tc>
          <w:tcPr>
            <w:tcW w:w="1004" w:type="dxa"/>
            <w:vAlign w:val="top"/>
          </w:tcPr>
          <w:p w14:paraId="1D73E987">
            <w:pPr>
              <w:keepNext w:val="0"/>
              <w:keepLines w:val="0"/>
              <w:pageBreakBefore w:val="0"/>
              <w:widowControl w:val="0"/>
              <w:kinsoku/>
              <w:wordWrap w:val="0"/>
              <w:overflowPunct/>
              <w:topLinePunct/>
              <w:autoSpaceDE/>
              <w:autoSpaceDN/>
              <w:bidi w:val="0"/>
              <w:adjustRightInd/>
              <w:snapToGrid/>
              <w:spacing w:before="102" w:line="200" w:lineRule="exact"/>
              <w:ind w:left="16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w:t>
            </w:r>
          </w:p>
        </w:tc>
      </w:tr>
      <w:tr w14:paraId="0023B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vAlign w:val="top"/>
          </w:tcPr>
          <w:p w14:paraId="307D31EE">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252A0461">
            <w:pPr>
              <w:keepNext w:val="0"/>
              <w:keepLines w:val="0"/>
              <w:pageBreakBefore w:val="0"/>
              <w:widowControl w:val="0"/>
              <w:kinsoku/>
              <w:wordWrap w:val="0"/>
              <w:overflowPunct/>
              <w:topLinePunct/>
              <w:autoSpaceDE/>
              <w:autoSpaceDN/>
              <w:bidi w:val="0"/>
              <w:adjustRightInd/>
              <w:snapToGrid/>
              <w:spacing w:before="75" w:line="200" w:lineRule="exact"/>
              <w:ind w:left="24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零售业</w:t>
            </w:r>
          </w:p>
        </w:tc>
        <w:tc>
          <w:tcPr>
            <w:tcW w:w="1187" w:type="dxa"/>
            <w:vAlign w:val="top"/>
          </w:tcPr>
          <w:p w14:paraId="7C5C9F81">
            <w:pPr>
              <w:keepNext w:val="0"/>
              <w:keepLines w:val="0"/>
              <w:pageBreakBefore w:val="0"/>
              <w:widowControl w:val="0"/>
              <w:kinsoku/>
              <w:wordWrap w:val="0"/>
              <w:overflowPunct/>
              <w:topLinePunct/>
              <w:autoSpaceDE/>
              <w:autoSpaceDN/>
              <w:bidi w:val="0"/>
              <w:adjustRightInd/>
              <w:snapToGrid/>
              <w:spacing w:before="102"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099EFE45">
            <w:pPr>
              <w:keepNext w:val="0"/>
              <w:keepLines w:val="0"/>
              <w:pageBreakBefore w:val="0"/>
              <w:widowControl w:val="0"/>
              <w:kinsoku/>
              <w:wordWrap w:val="0"/>
              <w:overflowPunct/>
              <w:topLinePunct/>
              <w:autoSpaceDE/>
              <w:autoSpaceDN/>
              <w:bidi w:val="0"/>
              <w:adjustRightInd/>
              <w:snapToGrid/>
              <w:spacing w:before="101"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0C4A0507">
            <w:pPr>
              <w:keepNext w:val="0"/>
              <w:keepLines w:val="0"/>
              <w:pageBreakBefore w:val="0"/>
              <w:widowControl w:val="0"/>
              <w:kinsoku/>
              <w:wordWrap w:val="0"/>
              <w:overflowPunct/>
              <w:topLinePunct/>
              <w:autoSpaceDE/>
              <w:autoSpaceDN/>
              <w:bidi w:val="0"/>
              <w:adjustRightInd/>
              <w:snapToGrid/>
              <w:spacing w:before="102"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c>
          <w:tcPr>
            <w:tcW w:w="1535" w:type="dxa"/>
            <w:vAlign w:val="top"/>
          </w:tcPr>
          <w:p w14:paraId="72CFBFCD">
            <w:pPr>
              <w:keepNext w:val="0"/>
              <w:keepLines w:val="0"/>
              <w:pageBreakBefore w:val="0"/>
              <w:widowControl w:val="0"/>
              <w:kinsoku/>
              <w:wordWrap w:val="0"/>
              <w:overflowPunct/>
              <w:topLinePunct/>
              <w:autoSpaceDE/>
              <w:autoSpaceDN/>
              <w:bidi w:val="0"/>
              <w:adjustRightInd/>
              <w:snapToGrid/>
              <w:spacing w:before="143" w:line="200" w:lineRule="exact"/>
              <w:ind w:left="41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50-300</w:t>
            </w:r>
          </w:p>
        </w:tc>
        <w:tc>
          <w:tcPr>
            <w:tcW w:w="1295" w:type="dxa"/>
            <w:vAlign w:val="top"/>
          </w:tcPr>
          <w:p w14:paraId="2AB1751E">
            <w:pPr>
              <w:keepNext w:val="0"/>
              <w:keepLines w:val="0"/>
              <w:pageBreakBefore w:val="0"/>
              <w:widowControl w:val="0"/>
              <w:kinsoku/>
              <w:wordWrap w:val="0"/>
              <w:overflowPunct/>
              <w:topLinePunct/>
              <w:autoSpaceDE/>
              <w:autoSpaceDN/>
              <w:bidi w:val="0"/>
              <w:adjustRightInd/>
              <w:snapToGrid/>
              <w:spacing w:before="143" w:line="200" w:lineRule="exact"/>
              <w:ind w:left="37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10-50</w:t>
            </w:r>
          </w:p>
        </w:tc>
        <w:tc>
          <w:tcPr>
            <w:tcW w:w="1004" w:type="dxa"/>
            <w:vAlign w:val="top"/>
          </w:tcPr>
          <w:p w14:paraId="64858180">
            <w:pPr>
              <w:keepNext w:val="0"/>
              <w:keepLines w:val="0"/>
              <w:pageBreakBefore w:val="0"/>
              <w:widowControl w:val="0"/>
              <w:kinsoku/>
              <w:wordWrap w:val="0"/>
              <w:overflowPunct/>
              <w:topLinePunct/>
              <w:autoSpaceDE/>
              <w:autoSpaceDN/>
              <w:bidi w:val="0"/>
              <w:adjustRightInd/>
              <w:snapToGrid/>
              <w:spacing w:before="102"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w:t>
            </w:r>
          </w:p>
        </w:tc>
      </w:tr>
      <w:tr w14:paraId="05640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84" w:type="dxa"/>
            <w:vMerge w:val="continue"/>
            <w:tcBorders>
              <w:top w:val="nil"/>
            </w:tcBorders>
            <w:vAlign w:val="top"/>
          </w:tcPr>
          <w:p w14:paraId="355A8F0B">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52325A05">
            <w:pPr>
              <w:keepNext w:val="0"/>
              <w:keepLines w:val="0"/>
              <w:pageBreakBefore w:val="0"/>
              <w:widowControl w:val="0"/>
              <w:kinsoku/>
              <w:wordWrap w:val="0"/>
              <w:overflowPunct/>
              <w:topLinePunct/>
              <w:autoSpaceDE/>
              <w:autoSpaceDN/>
              <w:bidi w:val="0"/>
              <w:adjustRightInd/>
              <w:snapToGrid/>
              <w:spacing w:before="102"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4873DAD9">
            <w:pPr>
              <w:keepNext w:val="0"/>
              <w:keepLines w:val="0"/>
              <w:pageBreakBefore w:val="0"/>
              <w:widowControl w:val="0"/>
              <w:kinsoku/>
              <w:wordWrap w:val="0"/>
              <w:overflowPunct/>
              <w:topLinePunct/>
              <w:autoSpaceDE/>
              <w:autoSpaceDN/>
              <w:bidi w:val="0"/>
              <w:adjustRightInd/>
              <w:snapToGrid/>
              <w:spacing w:before="102"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415E3DE6">
            <w:pPr>
              <w:keepNext w:val="0"/>
              <w:keepLines w:val="0"/>
              <w:pageBreakBefore w:val="0"/>
              <w:widowControl w:val="0"/>
              <w:kinsoku/>
              <w:wordWrap w:val="0"/>
              <w:overflowPunct/>
              <w:topLinePunct/>
              <w:autoSpaceDE/>
              <w:autoSpaceDN/>
              <w:bidi w:val="0"/>
              <w:adjustRightInd/>
              <w:snapToGrid/>
              <w:spacing w:before="101" w:line="200" w:lineRule="exact"/>
              <w:ind w:left="30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≤20000</w:t>
            </w:r>
          </w:p>
        </w:tc>
        <w:tc>
          <w:tcPr>
            <w:tcW w:w="1535" w:type="dxa"/>
            <w:vAlign w:val="top"/>
          </w:tcPr>
          <w:p w14:paraId="14DCEF57">
            <w:pPr>
              <w:keepNext w:val="0"/>
              <w:keepLines w:val="0"/>
              <w:pageBreakBefore w:val="0"/>
              <w:widowControl w:val="0"/>
              <w:kinsoku/>
              <w:wordWrap w:val="0"/>
              <w:overflowPunct/>
              <w:topLinePunct/>
              <w:autoSpaceDE/>
              <w:autoSpaceDN/>
              <w:bidi w:val="0"/>
              <w:adjustRightInd/>
              <w:snapToGrid/>
              <w:spacing w:before="142" w:line="200" w:lineRule="exact"/>
              <w:ind w:left="23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500-20000</w:t>
            </w:r>
          </w:p>
        </w:tc>
        <w:tc>
          <w:tcPr>
            <w:tcW w:w="1295" w:type="dxa"/>
            <w:vAlign w:val="top"/>
          </w:tcPr>
          <w:p w14:paraId="47116456">
            <w:pPr>
              <w:keepNext w:val="0"/>
              <w:keepLines w:val="0"/>
              <w:pageBreakBefore w:val="0"/>
              <w:widowControl w:val="0"/>
              <w:kinsoku/>
              <w:wordWrap w:val="0"/>
              <w:overflowPunct/>
              <w:topLinePunct/>
              <w:autoSpaceDE/>
              <w:autoSpaceDN/>
              <w:bidi w:val="0"/>
              <w:adjustRightInd/>
              <w:snapToGrid/>
              <w:spacing w:before="142" w:line="200" w:lineRule="exact"/>
              <w:ind w:left="25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100-500</w:t>
            </w:r>
          </w:p>
        </w:tc>
        <w:tc>
          <w:tcPr>
            <w:tcW w:w="1004" w:type="dxa"/>
            <w:vAlign w:val="top"/>
          </w:tcPr>
          <w:p w14:paraId="2DBC4BEE">
            <w:pPr>
              <w:keepNext w:val="0"/>
              <w:keepLines w:val="0"/>
              <w:pageBreakBefore w:val="0"/>
              <w:widowControl w:val="0"/>
              <w:kinsoku/>
              <w:wordWrap w:val="0"/>
              <w:overflowPunct/>
              <w:topLinePunct/>
              <w:autoSpaceDE/>
              <w:autoSpaceDN/>
              <w:bidi w:val="0"/>
              <w:adjustRightInd/>
              <w:snapToGrid/>
              <w:spacing w:before="101"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3AD05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vAlign w:val="top"/>
          </w:tcPr>
          <w:p w14:paraId="5EE5E903">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4B2307EA">
            <w:pPr>
              <w:keepNext w:val="0"/>
              <w:keepLines w:val="0"/>
              <w:pageBreakBefore w:val="0"/>
              <w:widowControl w:val="0"/>
              <w:kinsoku/>
              <w:wordWrap w:val="0"/>
              <w:overflowPunct/>
              <w:topLinePunct/>
              <w:autoSpaceDE/>
              <w:autoSpaceDN/>
              <w:bidi w:val="0"/>
              <w:adjustRightInd/>
              <w:snapToGrid/>
              <w:spacing w:before="75" w:line="200" w:lineRule="exact"/>
              <w:ind w:left="1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交通运输</w:t>
            </w:r>
          </w:p>
        </w:tc>
        <w:tc>
          <w:tcPr>
            <w:tcW w:w="1187" w:type="dxa"/>
            <w:vAlign w:val="top"/>
          </w:tcPr>
          <w:p w14:paraId="3A3D97FF">
            <w:pPr>
              <w:keepNext w:val="0"/>
              <w:keepLines w:val="0"/>
              <w:pageBreakBefore w:val="0"/>
              <w:widowControl w:val="0"/>
              <w:kinsoku/>
              <w:wordWrap w:val="0"/>
              <w:overflowPunct/>
              <w:topLinePunct/>
              <w:autoSpaceDE/>
              <w:autoSpaceDN/>
              <w:bidi w:val="0"/>
              <w:adjustRightInd/>
              <w:snapToGrid/>
              <w:spacing w:before="102"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0AACC973">
            <w:pPr>
              <w:keepNext w:val="0"/>
              <w:keepLines w:val="0"/>
              <w:pageBreakBefore w:val="0"/>
              <w:widowControl w:val="0"/>
              <w:kinsoku/>
              <w:wordWrap w:val="0"/>
              <w:overflowPunct/>
              <w:topLinePunct/>
              <w:autoSpaceDE/>
              <w:autoSpaceDN/>
              <w:bidi w:val="0"/>
              <w:adjustRightInd/>
              <w:snapToGrid/>
              <w:spacing w:before="102"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7C8D2BE6">
            <w:pPr>
              <w:keepNext w:val="0"/>
              <w:keepLines w:val="0"/>
              <w:pageBreakBefore w:val="0"/>
              <w:widowControl w:val="0"/>
              <w:kinsoku/>
              <w:wordWrap w:val="0"/>
              <w:overflowPunct/>
              <w:topLinePunct/>
              <w:autoSpaceDE/>
              <w:autoSpaceDN/>
              <w:bidi w:val="0"/>
              <w:adjustRightInd/>
              <w:snapToGrid/>
              <w:spacing w:before="102"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w:t>
            </w:r>
          </w:p>
        </w:tc>
        <w:tc>
          <w:tcPr>
            <w:tcW w:w="1535" w:type="dxa"/>
            <w:vAlign w:val="top"/>
          </w:tcPr>
          <w:p w14:paraId="5AB951F1">
            <w:pPr>
              <w:keepNext w:val="0"/>
              <w:keepLines w:val="0"/>
              <w:pageBreakBefore w:val="0"/>
              <w:widowControl w:val="0"/>
              <w:kinsoku/>
              <w:wordWrap w:val="0"/>
              <w:overflowPunct/>
              <w:topLinePunct/>
              <w:autoSpaceDE/>
              <w:autoSpaceDN/>
              <w:bidi w:val="0"/>
              <w:adjustRightInd/>
              <w:snapToGrid/>
              <w:spacing w:before="143" w:line="200" w:lineRule="exact"/>
              <w:ind w:left="29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300-1000</w:t>
            </w:r>
          </w:p>
        </w:tc>
        <w:tc>
          <w:tcPr>
            <w:tcW w:w="1295" w:type="dxa"/>
            <w:vAlign w:val="top"/>
          </w:tcPr>
          <w:p w14:paraId="7F39248D">
            <w:pPr>
              <w:keepNext w:val="0"/>
              <w:keepLines w:val="0"/>
              <w:pageBreakBefore w:val="0"/>
              <w:widowControl w:val="0"/>
              <w:kinsoku/>
              <w:wordWrap w:val="0"/>
              <w:overflowPunct/>
              <w:topLinePunct/>
              <w:autoSpaceDE/>
              <w:autoSpaceDN/>
              <w:bidi w:val="0"/>
              <w:adjustRightInd/>
              <w:snapToGrid/>
              <w:spacing w:before="143" w:line="200" w:lineRule="exact"/>
              <w:ind w:left="29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20-300</w:t>
            </w:r>
          </w:p>
        </w:tc>
        <w:tc>
          <w:tcPr>
            <w:tcW w:w="1004" w:type="dxa"/>
            <w:vAlign w:val="top"/>
          </w:tcPr>
          <w:p w14:paraId="60777439">
            <w:pPr>
              <w:keepNext w:val="0"/>
              <w:keepLines w:val="0"/>
              <w:pageBreakBefore w:val="0"/>
              <w:widowControl w:val="0"/>
              <w:kinsoku/>
              <w:wordWrap w:val="0"/>
              <w:overflowPunct/>
              <w:topLinePunct/>
              <w:autoSpaceDE/>
              <w:autoSpaceDN/>
              <w:bidi w:val="0"/>
              <w:adjustRightInd/>
              <w:snapToGrid/>
              <w:spacing w:before="102"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w:t>
            </w:r>
          </w:p>
        </w:tc>
      </w:tr>
      <w:tr w14:paraId="06197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431390AC">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4F5A2149">
            <w:pPr>
              <w:keepNext w:val="0"/>
              <w:keepLines w:val="0"/>
              <w:pageBreakBefore w:val="0"/>
              <w:widowControl w:val="0"/>
              <w:kinsoku/>
              <w:wordWrap w:val="0"/>
              <w:overflowPunct/>
              <w:topLinePunct/>
              <w:autoSpaceDE/>
              <w:autoSpaceDN/>
              <w:bidi w:val="0"/>
              <w:adjustRightInd/>
              <w:snapToGrid/>
              <w:spacing w:before="105"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65E5240C">
            <w:pPr>
              <w:keepNext w:val="0"/>
              <w:keepLines w:val="0"/>
              <w:pageBreakBefore w:val="0"/>
              <w:widowControl w:val="0"/>
              <w:kinsoku/>
              <w:wordWrap w:val="0"/>
              <w:overflowPunct/>
              <w:topLinePunct/>
              <w:autoSpaceDE/>
              <w:autoSpaceDN/>
              <w:bidi w:val="0"/>
              <w:adjustRightInd/>
              <w:snapToGrid/>
              <w:spacing w:before="105"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61E3FA7D">
            <w:pPr>
              <w:keepNext w:val="0"/>
              <w:keepLines w:val="0"/>
              <w:pageBreakBefore w:val="0"/>
              <w:widowControl w:val="0"/>
              <w:kinsoku/>
              <w:wordWrap w:val="0"/>
              <w:overflowPunct/>
              <w:topLinePunct/>
              <w:autoSpaceDE/>
              <w:autoSpaceDN/>
              <w:bidi w:val="0"/>
              <w:adjustRightInd/>
              <w:snapToGrid/>
              <w:spacing w:before="104"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≥30000</w:t>
            </w:r>
          </w:p>
        </w:tc>
        <w:tc>
          <w:tcPr>
            <w:tcW w:w="1535" w:type="dxa"/>
            <w:vAlign w:val="top"/>
          </w:tcPr>
          <w:p w14:paraId="61D6FEDB">
            <w:pPr>
              <w:keepNext w:val="0"/>
              <w:keepLines w:val="0"/>
              <w:pageBreakBefore w:val="0"/>
              <w:widowControl w:val="0"/>
              <w:kinsoku/>
              <w:wordWrap w:val="0"/>
              <w:overflowPunct/>
              <w:topLinePunct/>
              <w:autoSpaceDE/>
              <w:autoSpaceDN/>
              <w:bidi w:val="0"/>
              <w:adjustRightInd/>
              <w:snapToGrid/>
              <w:spacing w:before="145" w:line="200" w:lineRule="exact"/>
              <w:ind w:left="17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3000-30000</w:t>
            </w:r>
          </w:p>
        </w:tc>
        <w:tc>
          <w:tcPr>
            <w:tcW w:w="1295" w:type="dxa"/>
            <w:vAlign w:val="top"/>
          </w:tcPr>
          <w:p w14:paraId="23A226E2">
            <w:pPr>
              <w:keepNext w:val="0"/>
              <w:keepLines w:val="0"/>
              <w:pageBreakBefore w:val="0"/>
              <w:widowControl w:val="0"/>
              <w:kinsoku/>
              <w:wordWrap w:val="0"/>
              <w:overflowPunct/>
              <w:topLinePunct/>
              <w:autoSpaceDE/>
              <w:autoSpaceDN/>
              <w:bidi w:val="0"/>
              <w:adjustRightInd/>
              <w:snapToGrid/>
              <w:spacing w:before="145" w:line="200" w:lineRule="exact"/>
              <w:ind w:left="17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200-3000</w:t>
            </w:r>
          </w:p>
        </w:tc>
        <w:tc>
          <w:tcPr>
            <w:tcW w:w="1004" w:type="dxa"/>
            <w:vAlign w:val="top"/>
          </w:tcPr>
          <w:p w14:paraId="45A452C4">
            <w:pPr>
              <w:keepNext w:val="0"/>
              <w:keepLines w:val="0"/>
              <w:pageBreakBefore w:val="0"/>
              <w:widowControl w:val="0"/>
              <w:kinsoku/>
              <w:wordWrap w:val="0"/>
              <w:overflowPunct/>
              <w:topLinePunct/>
              <w:autoSpaceDE/>
              <w:autoSpaceDN/>
              <w:bidi w:val="0"/>
              <w:adjustRightInd/>
              <w:snapToGrid/>
              <w:spacing w:before="104"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w:t>
            </w:r>
          </w:p>
        </w:tc>
      </w:tr>
      <w:tr w14:paraId="22694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217FB5CC">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03E3154E">
            <w:pPr>
              <w:keepNext w:val="0"/>
              <w:keepLines w:val="0"/>
              <w:pageBreakBefore w:val="0"/>
              <w:widowControl w:val="0"/>
              <w:kinsoku/>
              <w:wordWrap w:val="0"/>
              <w:overflowPunct/>
              <w:topLinePunct/>
              <w:autoSpaceDE/>
              <w:autoSpaceDN/>
              <w:bidi w:val="0"/>
              <w:adjustRightInd/>
              <w:snapToGrid/>
              <w:spacing w:before="75" w:line="200" w:lineRule="exact"/>
              <w:ind w:left="369"/>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仓储</w:t>
            </w:r>
          </w:p>
        </w:tc>
        <w:tc>
          <w:tcPr>
            <w:tcW w:w="1187" w:type="dxa"/>
            <w:vAlign w:val="top"/>
          </w:tcPr>
          <w:p w14:paraId="7FB620FA">
            <w:pPr>
              <w:keepNext w:val="0"/>
              <w:keepLines w:val="0"/>
              <w:pageBreakBefore w:val="0"/>
              <w:widowControl w:val="0"/>
              <w:kinsoku/>
              <w:wordWrap w:val="0"/>
              <w:overflowPunct/>
              <w:topLinePunct/>
              <w:autoSpaceDE/>
              <w:autoSpaceDN/>
              <w:bidi w:val="0"/>
              <w:adjustRightInd/>
              <w:snapToGrid/>
              <w:spacing w:before="104"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60D2CE39">
            <w:pPr>
              <w:keepNext w:val="0"/>
              <w:keepLines w:val="0"/>
              <w:pageBreakBefore w:val="0"/>
              <w:widowControl w:val="0"/>
              <w:kinsoku/>
              <w:wordWrap w:val="0"/>
              <w:overflowPunct/>
              <w:topLinePunct/>
              <w:autoSpaceDE/>
              <w:autoSpaceDN/>
              <w:bidi w:val="0"/>
              <w:adjustRightInd/>
              <w:snapToGrid/>
              <w:spacing w:before="104"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19FDE6CF">
            <w:pPr>
              <w:keepNext w:val="0"/>
              <w:keepLines w:val="0"/>
              <w:pageBreakBefore w:val="0"/>
              <w:widowControl w:val="0"/>
              <w:kinsoku/>
              <w:wordWrap w:val="0"/>
              <w:overflowPunct/>
              <w:topLinePunct/>
              <w:autoSpaceDE/>
              <w:autoSpaceDN/>
              <w:bidi w:val="0"/>
              <w:adjustRightInd/>
              <w:snapToGrid/>
              <w:spacing w:before="104"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w:t>
            </w:r>
          </w:p>
        </w:tc>
        <w:tc>
          <w:tcPr>
            <w:tcW w:w="1535" w:type="dxa"/>
            <w:vAlign w:val="top"/>
          </w:tcPr>
          <w:p w14:paraId="76E0A8DD">
            <w:pPr>
              <w:keepNext w:val="0"/>
              <w:keepLines w:val="0"/>
              <w:pageBreakBefore w:val="0"/>
              <w:widowControl w:val="0"/>
              <w:kinsoku/>
              <w:wordWrap w:val="0"/>
              <w:overflowPunct/>
              <w:topLinePunct/>
              <w:autoSpaceDE/>
              <w:autoSpaceDN/>
              <w:bidi w:val="0"/>
              <w:adjustRightInd/>
              <w:snapToGrid/>
              <w:spacing w:before="145"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100-200</w:t>
            </w:r>
          </w:p>
        </w:tc>
        <w:tc>
          <w:tcPr>
            <w:tcW w:w="1295" w:type="dxa"/>
            <w:vAlign w:val="top"/>
          </w:tcPr>
          <w:p w14:paraId="57AE5268">
            <w:pPr>
              <w:keepNext w:val="0"/>
              <w:keepLines w:val="0"/>
              <w:pageBreakBefore w:val="0"/>
              <w:widowControl w:val="0"/>
              <w:kinsoku/>
              <w:wordWrap w:val="0"/>
              <w:overflowPunct/>
              <w:topLinePunct/>
              <w:autoSpaceDE/>
              <w:autoSpaceDN/>
              <w:bidi w:val="0"/>
              <w:adjustRightInd/>
              <w:snapToGrid/>
              <w:spacing w:before="145" w:line="200" w:lineRule="exact"/>
              <w:ind w:left="29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20-100</w:t>
            </w:r>
          </w:p>
        </w:tc>
        <w:tc>
          <w:tcPr>
            <w:tcW w:w="1004" w:type="dxa"/>
            <w:vAlign w:val="top"/>
          </w:tcPr>
          <w:p w14:paraId="21AD6A47">
            <w:pPr>
              <w:keepNext w:val="0"/>
              <w:keepLines w:val="0"/>
              <w:pageBreakBefore w:val="0"/>
              <w:widowControl w:val="0"/>
              <w:kinsoku/>
              <w:wordWrap w:val="0"/>
              <w:overflowPunct/>
              <w:topLinePunct/>
              <w:autoSpaceDE/>
              <w:autoSpaceDN/>
              <w:bidi w:val="0"/>
              <w:adjustRightInd/>
              <w:snapToGrid/>
              <w:spacing w:before="104"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w:t>
            </w:r>
          </w:p>
        </w:tc>
      </w:tr>
      <w:tr w14:paraId="0DB26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65ADB687">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0DB1439B">
            <w:pPr>
              <w:keepNext w:val="0"/>
              <w:keepLines w:val="0"/>
              <w:pageBreakBefore w:val="0"/>
              <w:widowControl w:val="0"/>
              <w:kinsoku/>
              <w:wordWrap w:val="0"/>
              <w:overflowPunct/>
              <w:topLinePunct/>
              <w:autoSpaceDE/>
              <w:autoSpaceDN/>
              <w:bidi w:val="0"/>
              <w:adjustRightInd/>
              <w:snapToGrid/>
              <w:spacing w:before="104"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5B25ED03">
            <w:pPr>
              <w:keepNext w:val="0"/>
              <w:keepLines w:val="0"/>
              <w:pageBreakBefore w:val="0"/>
              <w:widowControl w:val="0"/>
              <w:kinsoku/>
              <w:wordWrap w:val="0"/>
              <w:overflowPunct/>
              <w:topLinePunct/>
              <w:autoSpaceDE/>
              <w:autoSpaceDN/>
              <w:bidi w:val="0"/>
              <w:adjustRightInd/>
              <w:snapToGrid/>
              <w:spacing w:before="104"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1AED3728">
            <w:pPr>
              <w:keepNext w:val="0"/>
              <w:keepLines w:val="0"/>
              <w:pageBreakBefore w:val="0"/>
              <w:widowControl w:val="0"/>
              <w:kinsoku/>
              <w:wordWrap w:val="0"/>
              <w:overflowPunct/>
              <w:topLinePunct/>
              <w:autoSpaceDE/>
              <w:autoSpaceDN/>
              <w:bidi w:val="0"/>
              <w:adjustRightInd/>
              <w:snapToGrid/>
              <w:spacing w:before="104"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≥30000</w:t>
            </w:r>
          </w:p>
        </w:tc>
        <w:tc>
          <w:tcPr>
            <w:tcW w:w="1535" w:type="dxa"/>
            <w:vAlign w:val="top"/>
          </w:tcPr>
          <w:p w14:paraId="0149A81A">
            <w:pPr>
              <w:keepNext w:val="0"/>
              <w:keepLines w:val="0"/>
              <w:pageBreakBefore w:val="0"/>
              <w:widowControl w:val="0"/>
              <w:kinsoku/>
              <w:wordWrap w:val="0"/>
              <w:overflowPunct/>
              <w:topLinePunct/>
              <w:autoSpaceDE/>
              <w:autoSpaceDN/>
              <w:bidi w:val="0"/>
              <w:adjustRightInd/>
              <w:snapToGrid/>
              <w:spacing w:before="145" w:line="200" w:lineRule="exact"/>
              <w:ind w:left="19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1000-30000</w:t>
            </w:r>
          </w:p>
        </w:tc>
        <w:tc>
          <w:tcPr>
            <w:tcW w:w="1295" w:type="dxa"/>
            <w:vAlign w:val="top"/>
          </w:tcPr>
          <w:p w14:paraId="56A54702">
            <w:pPr>
              <w:keepNext w:val="0"/>
              <w:keepLines w:val="0"/>
              <w:pageBreakBefore w:val="0"/>
              <w:widowControl w:val="0"/>
              <w:kinsoku/>
              <w:wordWrap w:val="0"/>
              <w:overflowPunct/>
              <w:topLinePunct/>
              <w:autoSpaceDE/>
              <w:autoSpaceDN/>
              <w:bidi w:val="0"/>
              <w:adjustRightInd/>
              <w:snapToGrid/>
              <w:spacing w:before="145" w:line="200" w:lineRule="exact"/>
              <w:ind w:left="19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100-1000</w:t>
            </w:r>
          </w:p>
        </w:tc>
        <w:tc>
          <w:tcPr>
            <w:tcW w:w="1004" w:type="dxa"/>
            <w:vAlign w:val="top"/>
          </w:tcPr>
          <w:p w14:paraId="356060CE">
            <w:pPr>
              <w:keepNext w:val="0"/>
              <w:keepLines w:val="0"/>
              <w:pageBreakBefore w:val="0"/>
              <w:widowControl w:val="0"/>
              <w:kinsoku/>
              <w:wordWrap w:val="0"/>
              <w:overflowPunct/>
              <w:topLinePunct/>
              <w:autoSpaceDE/>
              <w:autoSpaceDN/>
              <w:bidi w:val="0"/>
              <w:adjustRightInd/>
              <w:snapToGrid/>
              <w:spacing w:before="104"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1AA01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5B47BA42">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5866C0EC">
            <w:pPr>
              <w:keepNext w:val="0"/>
              <w:keepLines w:val="0"/>
              <w:pageBreakBefore w:val="0"/>
              <w:widowControl w:val="0"/>
              <w:kinsoku/>
              <w:wordWrap w:val="0"/>
              <w:overflowPunct/>
              <w:topLinePunct/>
              <w:autoSpaceDE/>
              <w:autoSpaceDN/>
              <w:bidi w:val="0"/>
              <w:adjustRightInd/>
              <w:snapToGrid/>
              <w:spacing w:before="75" w:line="200" w:lineRule="exact"/>
              <w:ind w:left="262"/>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邮政业</w:t>
            </w:r>
          </w:p>
        </w:tc>
        <w:tc>
          <w:tcPr>
            <w:tcW w:w="1187" w:type="dxa"/>
            <w:vAlign w:val="top"/>
          </w:tcPr>
          <w:p w14:paraId="125AD2DA">
            <w:pPr>
              <w:keepNext w:val="0"/>
              <w:keepLines w:val="0"/>
              <w:pageBreakBefore w:val="0"/>
              <w:widowControl w:val="0"/>
              <w:kinsoku/>
              <w:wordWrap w:val="0"/>
              <w:overflowPunct/>
              <w:topLinePunct/>
              <w:autoSpaceDE/>
              <w:autoSpaceDN/>
              <w:bidi w:val="0"/>
              <w:adjustRightInd/>
              <w:snapToGrid/>
              <w:spacing w:before="104"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28BC287C">
            <w:pPr>
              <w:keepNext w:val="0"/>
              <w:keepLines w:val="0"/>
              <w:pageBreakBefore w:val="0"/>
              <w:widowControl w:val="0"/>
              <w:kinsoku/>
              <w:wordWrap w:val="0"/>
              <w:overflowPunct/>
              <w:topLinePunct/>
              <w:autoSpaceDE/>
              <w:autoSpaceDN/>
              <w:bidi w:val="0"/>
              <w:adjustRightInd/>
              <w:snapToGrid/>
              <w:spacing w:before="104"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2B452710">
            <w:pPr>
              <w:keepNext w:val="0"/>
              <w:keepLines w:val="0"/>
              <w:pageBreakBefore w:val="0"/>
              <w:widowControl w:val="0"/>
              <w:kinsoku/>
              <w:wordWrap w:val="0"/>
              <w:overflowPunct/>
              <w:topLinePunct/>
              <w:autoSpaceDE/>
              <w:autoSpaceDN/>
              <w:bidi w:val="0"/>
              <w:adjustRightInd/>
              <w:snapToGrid/>
              <w:spacing w:before="104"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w:t>
            </w:r>
          </w:p>
        </w:tc>
        <w:tc>
          <w:tcPr>
            <w:tcW w:w="1535" w:type="dxa"/>
            <w:vAlign w:val="top"/>
          </w:tcPr>
          <w:p w14:paraId="10D381A0">
            <w:pPr>
              <w:keepNext w:val="0"/>
              <w:keepLines w:val="0"/>
              <w:pageBreakBefore w:val="0"/>
              <w:widowControl w:val="0"/>
              <w:kinsoku/>
              <w:wordWrap w:val="0"/>
              <w:overflowPunct/>
              <w:topLinePunct/>
              <w:autoSpaceDE/>
              <w:autoSpaceDN/>
              <w:bidi w:val="0"/>
              <w:adjustRightInd/>
              <w:snapToGrid/>
              <w:spacing w:before="145" w:line="200" w:lineRule="exact"/>
              <w:ind w:left="23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300- 1000</w:t>
            </w:r>
          </w:p>
        </w:tc>
        <w:tc>
          <w:tcPr>
            <w:tcW w:w="1295" w:type="dxa"/>
            <w:vAlign w:val="top"/>
          </w:tcPr>
          <w:p w14:paraId="38356FE4">
            <w:pPr>
              <w:keepNext w:val="0"/>
              <w:keepLines w:val="0"/>
              <w:pageBreakBefore w:val="0"/>
              <w:widowControl w:val="0"/>
              <w:kinsoku/>
              <w:wordWrap w:val="0"/>
              <w:overflowPunct/>
              <w:topLinePunct/>
              <w:autoSpaceDE/>
              <w:autoSpaceDN/>
              <w:bidi w:val="0"/>
              <w:adjustRightInd/>
              <w:snapToGrid/>
              <w:spacing w:before="145" w:line="200" w:lineRule="exact"/>
              <w:ind w:left="29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20-300</w:t>
            </w:r>
          </w:p>
        </w:tc>
        <w:tc>
          <w:tcPr>
            <w:tcW w:w="1004" w:type="dxa"/>
            <w:vAlign w:val="top"/>
          </w:tcPr>
          <w:p w14:paraId="4C299323">
            <w:pPr>
              <w:keepNext w:val="0"/>
              <w:keepLines w:val="0"/>
              <w:pageBreakBefore w:val="0"/>
              <w:widowControl w:val="0"/>
              <w:kinsoku/>
              <w:wordWrap w:val="0"/>
              <w:overflowPunct/>
              <w:topLinePunct/>
              <w:autoSpaceDE/>
              <w:autoSpaceDN/>
              <w:bidi w:val="0"/>
              <w:adjustRightInd/>
              <w:snapToGrid/>
              <w:spacing w:before="104"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w:t>
            </w:r>
          </w:p>
        </w:tc>
      </w:tr>
      <w:tr w14:paraId="7BF7E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continue"/>
            <w:tcBorders>
              <w:top w:val="nil"/>
            </w:tcBorders>
            <w:vAlign w:val="top"/>
          </w:tcPr>
          <w:p w14:paraId="634AD7DA">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70BBB82F">
            <w:pPr>
              <w:keepNext w:val="0"/>
              <w:keepLines w:val="0"/>
              <w:pageBreakBefore w:val="0"/>
              <w:widowControl w:val="0"/>
              <w:kinsoku/>
              <w:wordWrap w:val="0"/>
              <w:overflowPunct/>
              <w:topLinePunct/>
              <w:autoSpaceDE/>
              <w:autoSpaceDN/>
              <w:bidi w:val="0"/>
              <w:adjustRightInd/>
              <w:snapToGrid/>
              <w:spacing w:before="104"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1393893D">
            <w:pPr>
              <w:keepNext w:val="0"/>
              <w:keepLines w:val="0"/>
              <w:pageBreakBefore w:val="0"/>
              <w:widowControl w:val="0"/>
              <w:kinsoku/>
              <w:wordWrap w:val="0"/>
              <w:overflowPunct/>
              <w:topLinePunct/>
              <w:autoSpaceDE/>
              <w:autoSpaceDN/>
              <w:bidi w:val="0"/>
              <w:adjustRightInd/>
              <w:snapToGrid/>
              <w:spacing w:before="104"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5AFCA24F">
            <w:pPr>
              <w:keepNext w:val="0"/>
              <w:keepLines w:val="0"/>
              <w:pageBreakBefore w:val="0"/>
              <w:widowControl w:val="0"/>
              <w:kinsoku/>
              <w:wordWrap w:val="0"/>
              <w:overflowPunct/>
              <w:topLinePunct/>
              <w:autoSpaceDE/>
              <w:autoSpaceDN/>
              <w:bidi w:val="0"/>
              <w:adjustRightInd/>
              <w:snapToGrid/>
              <w:spacing w:before="104"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≥30000</w:t>
            </w:r>
          </w:p>
        </w:tc>
        <w:tc>
          <w:tcPr>
            <w:tcW w:w="1535" w:type="dxa"/>
            <w:vAlign w:val="top"/>
          </w:tcPr>
          <w:p w14:paraId="57EF3F17">
            <w:pPr>
              <w:keepNext w:val="0"/>
              <w:keepLines w:val="0"/>
              <w:pageBreakBefore w:val="0"/>
              <w:widowControl w:val="0"/>
              <w:kinsoku/>
              <w:wordWrap w:val="0"/>
              <w:overflowPunct/>
              <w:topLinePunct/>
              <w:autoSpaceDE/>
              <w:autoSpaceDN/>
              <w:bidi w:val="0"/>
              <w:adjustRightInd/>
              <w:snapToGrid/>
              <w:spacing w:before="145" w:line="200" w:lineRule="exact"/>
              <w:ind w:left="17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2000-30000</w:t>
            </w:r>
          </w:p>
        </w:tc>
        <w:tc>
          <w:tcPr>
            <w:tcW w:w="1295" w:type="dxa"/>
            <w:vAlign w:val="top"/>
          </w:tcPr>
          <w:p w14:paraId="72F85436">
            <w:pPr>
              <w:keepNext w:val="0"/>
              <w:keepLines w:val="0"/>
              <w:pageBreakBefore w:val="0"/>
              <w:widowControl w:val="0"/>
              <w:kinsoku/>
              <w:wordWrap w:val="0"/>
              <w:overflowPunct/>
              <w:topLinePunct/>
              <w:autoSpaceDE/>
              <w:autoSpaceDN/>
              <w:bidi w:val="0"/>
              <w:adjustRightInd/>
              <w:snapToGrid/>
              <w:spacing w:before="145" w:line="200" w:lineRule="exact"/>
              <w:ind w:left="19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100-2000</w:t>
            </w:r>
          </w:p>
        </w:tc>
        <w:tc>
          <w:tcPr>
            <w:tcW w:w="1004" w:type="dxa"/>
            <w:vAlign w:val="top"/>
          </w:tcPr>
          <w:p w14:paraId="3B754E96">
            <w:pPr>
              <w:keepNext w:val="0"/>
              <w:keepLines w:val="0"/>
              <w:pageBreakBefore w:val="0"/>
              <w:widowControl w:val="0"/>
              <w:kinsoku/>
              <w:wordWrap w:val="0"/>
              <w:overflowPunct/>
              <w:topLinePunct/>
              <w:autoSpaceDE/>
              <w:autoSpaceDN/>
              <w:bidi w:val="0"/>
              <w:adjustRightInd/>
              <w:snapToGrid/>
              <w:spacing w:before="104"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2A103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5C5696D0">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643D6749">
            <w:pPr>
              <w:keepNext w:val="0"/>
              <w:keepLines w:val="0"/>
              <w:pageBreakBefore w:val="0"/>
              <w:widowControl w:val="0"/>
              <w:kinsoku/>
              <w:wordWrap w:val="0"/>
              <w:overflowPunct/>
              <w:topLinePunct/>
              <w:autoSpaceDE/>
              <w:autoSpaceDN/>
              <w:bidi w:val="0"/>
              <w:adjustRightInd/>
              <w:snapToGrid/>
              <w:spacing w:before="75" w:line="200" w:lineRule="exact"/>
              <w:ind w:left="124"/>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住宿餐饮</w:t>
            </w:r>
          </w:p>
        </w:tc>
        <w:tc>
          <w:tcPr>
            <w:tcW w:w="1187" w:type="dxa"/>
            <w:vAlign w:val="top"/>
          </w:tcPr>
          <w:p w14:paraId="18DC5B8E">
            <w:pPr>
              <w:keepNext w:val="0"/>
              <w:keepLines w:val="0"/>
              <w:pageBreakBefore w:val="0"/>
              <w:widowControl w:val="0"/>
              <w:kinsoku/>
              <w:wordWrap w:val="0"/>
              <w:overflowPunct/>
              <w:topLinePunct/>
              <w:autoSpaceDE/>
              <w:autoSpaceDN/>
              <w:bidi w:val="0"/>
              <w:adjustRightInd/>
              <w:snapToGrid/>
              <w:spacing w:before="104"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1C54324C">
            <w:pPr>
              <w:keepNext w:val="0"/>
              <w:keepLines w:val="0"/>
              <w:pageBreakBefore w:val="0"/>
              <w:widowControl w:val="0"/>
              <w:kinsoku/>
              <w:wordWrap w:val="0"/>
              <w:overflowPunct/>
              <w:topLinePunct/>
              <w:autoSpaceDE/>
              <w:autoSpaceDN/>
              <w:bidi w:val="0"/>
              <w:adjustRightInd/>
              <w:snapToGrid/>
              <w:spacing w:before="103"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053F2BCA">
            <w:pPr>
              <w:keepNext w:val="0"/>
              <w:keepLines w:val="0"/>
              <w:pageBreakBefore w:val="0"/>
              <w:widowControl w:val="0"/>
              <w:kinsoku/>
              <w:wordWrap w:val="0"/>
              <w:overflowPunct/>
              <w:topLinePunct/>
              <w:autoSpaceDE/>
              <w:autoSpaceDN/>
              <w:bidi w:val="0"/>
              <w:adjustRightInd/>
              <w:snapToGrid/>
              <w:spacing w:before="103"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c>
          <w:tcPr>
            <w:tcW w:w="1535" w:type="dxa"/>
            <w:vAlign w:val="top"/>
          </w:tcPr>
          <w:p w14:paraId="2F2A8BA0">
            <w:pPr>
              <w:keepNext w:val="0"/>
              <w:keepLines w:val="0"/>
              <w:pageBreakBefore w:val="0"/>
              <w:widowControl w:val="0"/>
              <w:kinsoku/>
              <w:wordWrap w:val="0"/>
              <w:overflowPunct/>
              <w:topLinePunct/>
              <w:autoSpaceDE/>
              <w:autoSpaceDN/>
              <w:bidi w:val="0"/>
              <w:adjustRightInd/>
              <w:snapToGrid/>
              <w:spacing w:before="144"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100-300</w:t>
            </w:r>
          </w:p>
        </w:tc>
        <w:tc>
          <w:tcPr>
            <w:tcW w:w="1295" w:type="dxa"/>
            <w:vAlign w:val="top"/>
          </w:tcPr>
          <w:p w14:paraId="563218B3">
            <w:pPr>
              <w:keepNext w:val="0"/>
              <w:keepLines w:val="0"/>
              <w:pageBreakBefore w:val="0"/>
              <w:widowControl w:val="0"/>
              <w:kinsoku/>
              <w:wordWrap w:val="0"/>
              <w:overflowPunct/>
              <w:topLinePunct/>
              <w:autoSpaceDE/>
              <w:autoSpaceDN/>
              <w:bidi w:val="0"/>
              <w:adjustRightInd/>
              <w:snapToGrid/>
              <w:spacing w:before="144" w:line="200" w:lineRule="exact"/>
              <w:ind w:left="31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10-100</w:t>
            </w:r>
          </w:p>
        </w:tc>
        <w:tc>
          <w:tcPr>
            <w:tcW w:w="1004" w:type="dxa"/>
            <w:vAlign w:val="top"/>
          </w:tcPr>
          <w:p w14:paraId="6FC60927">
            <w:pPr>
              <w:keepNext w:val="0"/>
              <w:keepLines w:val="0"/>
              <w:pageBreakBefore w:val="0"/>
              <w:widowControl w:val="0"/>
              <w:kinsoku/>
              <w:wordWrap w:val="0"/>
              <w:overflowPunct/>
              <w:topLinePunct/>
              <w:autoSpaceDE/>
              <w:autoSpaceDN/>
              <w:bidi w:val="0"/>
              <w:adjustRightInd/>
              <w:snapToGrid/>
              <w:spacing w:before="103"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w:t>
            </w:r>
          </w:p>
        </w:tc>
      </w:tr>
      <w:tr w14:paraId="7236D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vAlign w:val="top"/>
          </w:tcPr>
          <w:p w14:paraId="32CDEBA8">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4AB988B1">
            <w:pPr>
              <w:keepNext w:val="0"/>
              <w:keepLines w:val="0"/>
              <w:pageBreakBefore w:val="0"/>
              <w:widowControl w:val="0"/>
              <w:kinsoku/>
              <w:wordWrap w:val="0"/>
              <w:overflowPunct/>
              <w:topLinePunct/>
              <w:autoSpaceDE/>
              <w:autoSpaceDN/>
              <w:bidi w:val="0"/>
              <w:adjustRightInd/>
              <w:snapToGrid/>
              <w:spacing w:before="103"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1A54BC35">
            <w:pPr>
              <w:keepNext w:val="0"/>
              <w:keepLines w:val="0"/>
              <w:pageBreakBefore w:val="0"/>
              <w:widowControl w:val="0"/>
              <w:kinsoku/>
              <w:wordWrap w:val="0"/>
              <w:overflowPunct/>
              <w:topLinePunct/>
              <w:autoSpaceDE/>
              <w:autoSpaceDN/>
              <w:bidi w:val="0"/>
              <w:adjustRightInd/>
              <w:snapToGrid/>
              <w:spacing w:before="103"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4172225A">
            <w:pPr>
              <w:keepNext w:val="0"/>
              <w:keepLines w:val="0"/>
              <w:pageBreakBefore w:val="0"/>
              <w:widowControl w:val="0"/>
              <w:kinsoku/>
              <w:wordWrap w:val="0"/>
              <w:overflowPunct/>
              <w:topLinePunct/>
              <w:autoSpaceDE/>
              <w:autoSpaceDN/>
              <w:bidi w:val="0"/>
              <w:adjustRightInd/>
              <w:snapToGrid/>
              <w:spacing w:before="103"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≥10000</w:t>
            </w:r>
          </w:p>
        </w:tc>
        <w:tc>
          <w:tcPr>
            <w:tcW w:w="1535" w:type="dxa"/>
            <w:vAlign w:val="top"/>
          </w:tcPr>
          <w:p w14:paraId="6314DEAE">
            <w:pPr>
              <w:keepNext w:val="0"/>
              <w:keepLines w:val="0"/>
              <w:pageBreakBefore w:val="0"/>
              <w:widowControl w:val="0"/>
              <w:kinsoku/>
              <w:wordWrap w:val="0"/>
              <w:overflowPunct/>
              <w:topLinePunct/>
              <w:autoSpaceDE/>
              <w:autoSpaceDN/>
              <w:bidi w:val="0"/>
              <w:adjustRightInd/>
              <w:snapToGrid/>
              <w:spacing w:before="144" w:line="200" w:lineRule="exact"/>
              <w:ind w:left="17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2000-10000</w:t>
            </w:r>
          </w:p>
        </w:tc>
        <w:tc>
          <w:tcPr>
            <w:tcW w:w="1295" w:type="dxa"/>
            <w:vAlign w:val="top"/>
          </w:tcPr>
          <w:p w14:paraId="485D72EB">
            <w:pPr>
              <w:keepNext w:val="0"/>
              <w:keepLines w:val="0"/>
              <w:pageBreakBefore w:val="0"/>
              <w:widowControl w:val="0"/>
              <w:kinsoku/>
              <w:wordWrap w:val="0"/>
              <w:overflowPunct/>
              <w:topLinePunct/>
              <w:autoSpaceDE/>
              <w:autoSpaceDN/>
              <w:bidi w:val="0"/>
              <w:adjustRightInd/>
              <w:snapToGrid/>
              <w:spacing w:before="144" w:line="200" w:lineRule="exact"/>
              <w:ind w:left="19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100-2000</w:t>
            </w:r>
          </w:p>
        </w:tc>
        <w:tc>
          <w:tcPr>
            <w:tcW w:w="1004" w:type="dxa"/>
            <w:vAlign w:val="top"/>
          </w:tcPr>
          <w:p w14:paraId="03422B69">
            <w:pPr>
              <w:keepNext w:val="0"/>
              <w:keepLines w:val="0"/>
              <w:pageBreakBefore w:val="0"/>
              <w:widowControl w:val="0"/>
              <w:kinsoku/>
              <w:wordWrap w:val="0"/>
              <w:overflowPunct/>
              <w:topLinePunct/>
              <w:autoSpaceDE/>
              <w:autoSpaceDN/>
              <w:bidi w:val="0"/>
              <w:adjustRightInd/>
              <w:snapToGrid/>
              <w:spacing w:before="103"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6CB5D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restart"/>
            <w:tcBorders>
              <w:bottom w:val="nil"/>
            </w:tcBorders>
            <w:vAlign w:val="top"/>
          </w:tcPr>
          <w:p w14:paraId="3062468E">
            <w:pPr>
              <w:keepNext w:val="0"/>
              <w:keepLines w:val="0"/>
              <w:pageBreakBefore w:val="0"/>
              <w:widowControl w:val="0"/>
              <w:kinsoku/>
              <w:wordWrap w:val="0"/>
              <w:overflowPunct/>
              <w:topLinePunct/>
              <w:autoSpaceDE/>
              <w:autoSpaceDN/>
              <w:bidi w:val="0"/>
              <w:adjustRightInd/>
              <w:snapToGrid/>
              <w:spacing w:before="172" w:line="200" w:lineRule="exact"/>
              <w:ind w:left="124" w:right="110" w:firstLine="124"/>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房地产 开发经营</w:t>
            </w:r>
          </w:p>
        </w:tc>
        <w:tc>
          <w:tcPr>
            <w:tcW w:w="1187" w:type="dxa"/>
            <w:vAlign w:val="top"/>
          </w:tcPr>
          <w:p w14:paraId="59276687">
            <w:pPr>
              <w:keepNext w:val="0"/>
              <w:keepLines w:val="0"/>
              <w:pageBreakBefore w:val="0"/>
              <w:widowControl w:val="0"/>
              <w:kinsoku/>
              <w:wordWrap w:val="0"/>
              <w:overflowPunct/>
              <w:topLinePunct/>
              <w:autoSpaceDE/>
              <w:autoSpaceDN/>
              <w:bidi w:val="0"/>
              <w:adjustRightInd/>
              <w:snapToGrid/>
              <w:spacing w:before="103" w:line="200" w:lineRule="exact"/>
              <w:ind w:left="13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资产总额</w:t>
            </w:r>
          </w:p>
        </w:tc>
        <w:tc>
          <w:tcPr>
            <w:tcW w:w="900" w:type="dxa"/>
            <w:vAlign w:val="top"/>
          </w:tcPr>
          <w:p w14:paraId="5BEB2467">
            <w:pPr>
              <w:keepNext w:val="0"/>
              <w:keepLines w:val="0"/>
              <w:pageBreakBefore w:val="0"/>
              <w:widowControl w:val="0"/>
              <w:kinsoku/>
              <w:wordWrap w:val="0"/>
              <w:overflowPunct/>
              <w:topLinePunct/>
              <w:autoSpaceDE/>
              <w:autoSpaceDN/>
              <w:bidi w:val="0"/>
              <w:adjustRightInd/>
              <w:snapToGrid/>
              <w:spacing w:before="103"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249430CD">
            <w:pPr>
              <w:keepNext w:val="0"/>
              <w:keepLines w:val="0"/>
              <w:pageBreakBefore w:val="0"/>
              <w:widowControl w:val="0"/>
              <w:kinsoku/>
              <w:wordWrap w:val="0"/>
              <w:overflowPunct/>
              <w:topLinePunct/>
              <w:autoSpaceDE/>
              <w:autoSpaceDN/>
              <w:bidi w:val="0"/>
              <w:adjustRightInd/>
              <w:snapToGrid/>
              <w:spacing w:before="103"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≥10000</w:t>
            </w:r>
          </w:p>
        </w:tc>
        <w:tc>
          <w:tcPr>
            <w:tcW w:w="1535" w:type="dxa"/>
            <w:vAlign w:val="top"/>
          </w:tcPr>
          <w:p w14:paraId="22FFF2AD">
            <w:pPr>
              <w:keepNext w:val="0"/>
              <w:keepLines w:val="0"/>
              <w:pageBreakBefore w:val="0"/>
              <w:widowControl w:val="0"/>
              <w:kinsoku/>
              <w:wordWrap w:val="0"/>
              <w:overflowPunct/>
              <w:topLinePunct/>
              <w:autoSpaceDE/>
              <w:autoSpaceDN/>
              <w:bidi w:val="0"/>
              <w:adjustRightInd/>
              <w:snapToGrid/>
              <w:spacing w:before="144" w:line="200" w:lineRule="exact"/>
              <w:ind w:left="17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5000-10000</w:t>
            </w:r>
          </w:p>
        </w:tc>
        <w:tc>
          <w:tcPr>
            <w:tcW w:w="1295" w:type="dxa"/>
            <w:vAlign w:val="top"/>
          </w:tcPr>
          <w:p w14:paraId="7FC6E917">
            <w:pPr>
              <w:keepNext w:val="0"/>
              <w:keepLines w:val="0"/>
              <w:pageBreakBefore w:val="0"/>
              <w:widowControl w:val="0"/>
              <w:kinsoku/>
              <w:wordWrap w:val="0"/>
              <w:overflowPunct/>
              <w:topLinePunct/>
              <w:autoSpaceDE/>
              <w:autoSpaceDN/>
              <w:bidi w:val="0"/>
              <w:adjustRightInd/>
              <w:snapToGrid/>
              <w:spacing w:before="103" w:line="200" w:lineRule="exact"/>
              <w:ind w:left="11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2000&lt;5000</w:t>
            </w:r>
          </w:p>
        </w:tc>
        <w:tc>
          <w:tcPr>
            <w:tcW w:w="1004" w:type="dxa"/>
            <w:vAlign w:val="top"/>
          </w:tcPr>
          <w:p w14:paraId="6D9D5928">
            <w:pPr>
              <w:keepNext w:val="0"/>
              <w:keepLines w:val="0"/>
              <w:pageBreakBefore w:val="0"/>
              <w:widowControl w:val="0"/>
              <w:kinsoku/>
              <w:wordWrap w:val="0"/>
              <w:overflowPunct/>
              <w:topLinePunct/>
              <w:autoSpaceDE/>
              <w:autoSpaceDN/>
              <w:bidi w:val="0"/>
              <w:adjustRightInd/>
              <w:snapToGrid/>
              <w:spacing w:before="103" w:line="200" w:lineRule="exact"/>
              <w:ind w:left="16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w:t>
            </w:r>
          </w:p>
        </w:tc>
      </w:tr>
      <w:tr w14:paraId="0132F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vAlign w:val="top"/>
          </w:tcPr>
          <w:p w14:paraId="20759086">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547C34FF">
            <w:pPr>
              <w:keepNext w:val="0"/>
              <w:keepLines w:val="0"/>
              <w:pageBreakBefore w:val="0"/>
              <w:widowControl w:val="0"/>
              <w:kinsoku/>
              <w:wordWrap w:val="0"/>
              <w:overflowPunct/>
              <w:topLinePunct/>
              <w:autoSpaceDE/>
              <w:autoSpaceDN/>
              <w:bidi w:val="0"/>
              <w:adjustRightInd/>
              <w:snapToGrid/>
              <w:spacing w:before="103"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1B6E0951">
            <w:pPr>
              <w:keepNext w:val="0"/>
              <w:keepLines w:val="0"/>
              <w:pageBreakBefore w:val="0"/>
              <w:widowControl w:val="0"/>
              <w:kinsoku/>
              <w:wordWrap w:val="0"/>
              <w:overflowPunct/>
              <w:topLinePunct/>
              <w:autoSpaceDE/>
              <w:autoSpaceDN/>
              <w:bidi w:val="0"/>
              <w:adjustRightInd/>
              <w:snapToGrid/>
              <w:spacing w:before="103"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41D54022">
            <w:pPr>
              <w:keepNext w:val="0"/>
              <w:keepLines w:val="0"/>
              <w:pageBreakBefore w:val="0"/>
              <w:widowControl w:val="0"/>
              <w:kinsoku/>
              <w:wordWrap w:val="0"/>
              <w:overflowPunct/>
              <w:topLinePunct/>
              <w:autoSpaceDE/>
              <w:autoSpaceDN/>
              <w:bidi w:val="0"/>
              <w:adjustRightInd/>
              <w:snapToGrid/>
              <w:spacing w:before="103" w:line="200" w:lineRule="exact"/>
              <w:ind w:left="25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≥200000</w:t>
            </w:r>
          </w:p>
        </w:tc>
        <w:tc>
          <w:tcPr>
            <w:tcW w:w="1535" w:type="dxa"/>
            <w:vAlign w:val="top"/>
          </w:tcPr>
          <w:p w14:paraId="0A2C8DC6">
            <w:pPr>
              <w:keepNext w:val="0"/>
              <w:keepLines w:val="0"/>
              <w:pageBreakBefore w:val="0"/>
              <w:widowControl w:val="0"/>
              <w:kinsoku/>
              <w:wordWrap w:val="0"/>
              <w:overflowPunct/>
              <w:topLinePunct/>
              <w:autoSpaceDE/>
              <w:autoSpaceDN/>
              <w:bidi w:val="0"/>
              <w:adjustRightInd/>
              <w:snapToGrid/>
              <w:spacing w:before="144" w:line="200" w:lineRule="exact"/>
              <w:ind w:left="1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1000-200000</w:t>
            </w:r>
          </w:p>
        </w:tc>
        <w:tc>
          <w:tcPr>
            <w:tcW w:w="1295" w:type="dxa"/>
            <w:vAlign w:val="top"/>
          </w:tcPr>
          <w:p w14:paraId="26E92B76">
            <w:pPr>
              <w:keepNext w:val="0"/>
              <w:keepLines w:val="0"/>
              <w:pageBreakBefore w:val="0"/>
              <w:widowControl w:val="0"/>
              <w:kinsoku/>
              <w:wordWrap w:val="0"/>
              <w:overflowPunct/>
              <w:topLinePunct/>
              <w:autoSpaceDE/>
              <w:autoSpaceDN/>
              <w:bidi w:val="0"/>
              <w:adjustRightInd/>
              <w:snapToGrid/>
              <w:spacing w:before="103" w:line="200" w:lineRule="exact"/>
              <w:ind w:left="13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100&lt;10000</w:t>
            </w:r>
          </w:p>
        </w:tc>
        <w:tc>
          <w:tcPr>
            <w:tcW w:w="1004" w:type="dxa"/>
            <w:vAlign w:val="top"/>
          </w:tcPr>
          <w:p w14:paraId="3B5584FD">
            <w:pPr>
              <w:keepNext w:val="0"/>
              <w:keepLines w:val="0"/>
              <w:pageBreakBefore w:val="0"/>
              <w:widowControl w:val="0"/>
              <w:kinsoku/>
              <w:wordWrap w:val="0"/>
              <w:overflowPunct/>
              <w:topLinePunct/>
              <w:autoSpaceDE/>
              <w:autoSpaceDN/>
              <w:bidi w:val="0"/>
              <w:adjustRightInd/>
              <w:snapToGrid/>
              <w:spacing w:before="103"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6080D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184" w:type="dxa"/>
            <w:vMerge w:val="restart"/>
            <w:tcBorders>
              <w:bottom w:val="nil"/>
            </w:tcBorders>
            <w:vAlign w:val="top"/>
          </w:tcPr>
          <w:p w14:paraId="16C74AC8">
            <w:pPr>
              <w:keepNext w:val="0"/>
              <w:keepLines w:val="0"/>
              <w:pageBreakBefore w:val="0"/>
              <w:widowControl w:val="0"/>
              <w:kinsoku/>
              <w:wordWrap w:val="0"/>
              <w:overflowPunct/>
              <w:topLinePunct/>
              <w:autoSpaceDE/>
              <w:autoSpaceDN/>
              <w:bidi w:val="0"/>
              <w:adjustRightInd/>
              <w:snapToGrid/>
              <w:spacing w:before="263"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物业管理</w:t>
            </w:r>
          </w:p>
        </w:tc>
        <w:tc>
          <w:tcPr>
            <w:tcW w:w="1187" w:type="dxa"/>
            <w:vAlign w:val="top"/>
          </w:tcPr>
          <w:p w14:paraId="2B480A96">
            <w:pPr>
              <w:keepNext w:val="0"/>
              <w:keepLines w:val="0"/>
              <w:pageBreakBefore w:val="0"/>
              <w:widowControl w:val="0"/>
              <w:kinsoku/>
              <w:wordWrap w:val="0"/>
              <w:overflowPunct/>
              <w:topLinePunct/>
              <w:autoSpaceDE/>
              <w:autoSpaceDN/>
              <w:bidi w:val="0"/>
              <w:adjustRightInd/>
              <w:snapToGrid/>
              <w:spacing w:before="40"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20F78F39">
            <w:pPr>
              <w:keepNext w:val="0"/>
              <w:keepLines w:val="0"/>
              <w:pageBreakBefore w:val="0"/>
              <w:widowControl w:val="0"/>
              <w:kinsoku/>
              <w:wordWrap w:val="0"/>
              <w:overflowPunct/>
              <w:topLinePunct/>
              <w:autoSpaceDE/>
              <w:autoSpaceDN/>
              <w:bidi w:val="0"/>
              <w:adjustRightInd/>
              <w:snapToGrid/>
              <w:spacing w:before="40"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5557A795">
            <w:pPr>
              <w:keepNext w:val="0"/>
              <w:keepLines w:val="0"/>
              <w:pageBreakBefore w:val="0"/>
              <w:widowControl w:val="0"/>
              <w:kinsoku/>
              <w:wordWrap w:val="0"/>
              <w:overflowPunct/>
              <w:topLinePunct/>
              <w:autoSpaceDE/>
              <w:autoSpaceDN/>
              <w:bidi w:val="0"/>
              <w:adjustRightInd/>
              <w:snapToGrid/>
              <w:spacing w:before="40"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w:t>
            </w:r>
          </w:p>
        </w:tc>
        <w:tc>
          <w:tcPr>
            <w:tcW w:w="1535" w:type="dxa"/>
            <w:vAlign w:val="top"/>
          </w:tcPr>
          <w:p w14:paraId="56DE1C30">
            <w:pPr>
              <w:keepNext w:val="0"/>
              <w:keepLines w:val="0"/>
              <w:pageBreakBefore w:val="0"/>
              <w:widowControl w:val="0"/>
              <w:kinsoku/>
              <w:wordWrap w:val="0"/>
              <w:overflowPunct/>
              <w:topLinePunct/>
              <w:autoSpaceDE/>
              <w:autoSpaceDN/>
              <w:bidi w:val="0"/>
              <w:adjustRightInd/>
              <w:snapToGrid/>
              <w:spacing w:before="81" w:line="200" w:lineRule="exact"/>
              <w:ind w:left="29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300-1000</w:t>
            </w:r>
          </w:p>
        </w:tc>
        <w:tc>
          <w:tcPr>
            <w:tcW w:w="1295" w:type="dxa"/>
            <w:vAlign w:val="top"/>
          </w:tcPr>
          <w:p w14:paraId="71DE0D77">
            <w:pPr>
              <w:keepNext w:val="0"/>
              <w:keepLines w:val="0"/>
              <w:pageBreakBefore w:val="0"/>
              <w:widowControl w:val="0"/>
              <w:kinsoku/>
              <w:wordWrap w:val="0"/>
              <w:overflowPunct/>
              <w:topLinePunct/>
              <w:autoSpaceDE/>
              <w:autoSpaceDN/>
              <w:bidi w:val="0"/>
              <w:adjustRightInd/>
              <w:snapToGrid/>
              <w:spacing w:before="81" w:line="200" w:lineRule="exact"/>
              <w:ind w:left="25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100-300</w:t>
            </w:r>
          </w:p>
        </w:tc>
        <w:tc>
          <w:tcPr>
            <w:tcW w:w="1004" w:type="dxa"/>
            <w:vAlign w:val="top"/>
          </w:tcPr>
          <w:p w14:paraId="7279BFCA">
            <w:pPr>
              <w:keepNext w:val="0"/>
              <w:keepLines w:val="0"/>
              <w:pageBreakBefore w:val="0"/>
              <w:widowControl w:val="0"/>
              <w:kinsoku/>
              <w:wordWrap w:val="0"/>
              <w:overflowPunct/>
              <w:topLinePunct/>
              <w:autoSpaceDE/>
              <w:autoSpaceDN/>
              <w:bidi w:val="0"/>
              <w:adjustRightInd/>
              <w:snapToGrid/>
              <w:spacing w:before="40"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66A17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3D823E2C">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41860FF5">
            <w:pPr>
              <w:keepNext w:val="0"/>
              <w:keepLines w:val="0"/>
              <w:pageBreakBefore w:val="0"/>
              <w:widowControl w:val="0"/>
              <w:kinsoku/>
              <w:wordWrap w:val="0"/>
              <w:overflowPunct/>
              <w:topLinePunct/>
              <w:autoSpaceDE/>
              <w:autoSpaceDN/>
              <w:bidi w:val="0"/>
              <w:adjustRightInd/>
              <w:snapToGrid/>
              <w:spacing w:before="103"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1CE93D12">
            <w:pPr>
              <w:keepNext w:val="0"/>
              <w:keepLines w:val="0"/>
              <w:pageBreakBefore w:val="0"/>
              <w:widowControl w:val="0"/>
              <w:kinsoku/>
              <w:wordWrap w:val="0"/>
              <w:overflowPunct/>
              <w:topLinePunct/>
              <w:autoSpaceDE/>
              <w:autoSpaceDN/>
              <w:bidi w:val="0"/>
              <w:adjustRightInd/>
              <w:snapToGrid/>
              <w:spacing w:before="103"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10D8EC32">
            <w:pPr>
              <w:keepNext w:val="0"/>
              <w:keepLines w:val="0"/>
              <w:pageBreakBefore w:val="0"/>
              <w:widowControl w:val="0"/>
              <w:kinsoku/>
              <w:wordWrap w:val="0"/>
              <w:overflowPunct/>
              <w:topLinePunct/>
              <w:autoSpaceDE/>
              <w:autoSpaceDN/>
              <w:bidi w:val="0"/>
              <w:adjustRightInd/>
              <w:snapToGrid/>
              <w:spacing w:before="103"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≥5000</w:t>
            </w:r>
          </w:p>
        </w:tc>
        <w:tc>
          <w:tcPr>
            <w:tcW w:w="1535" w:type="dxa"/>
            <w:vAlign w:val="top"/>
          </w:tcPr>
          <w:p w14:paraId="0CCA1ADF">
            <w:pPr>
              <w:keepNext w:val="0"/>
              <w:keepLines w:val="0"/>
              <w:pageBreakBefore w:val="0"/>
              <w:widowControl w:val="0"/>
              <w:kinsoku/>
              <w:wordWrap w:val="0"/>
              <w:overflowPunct/>
              <w:topLinePunct/>
              <w:autoSpaceDE/>
              <w:autoSpaceDN/>
              <w:bidi w:val="0"/>
              <w:adjustRightInd/>
              <w:snapToGrid/>
              <w:spacing w:before="144" w:line="200" w:lineRule="exact"/>
              <w:ind w:left="25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1000-5000</w:t>
            </w:r>
          </w:p>
        </w:tc>
        <w:tc>
          <w:tcPr>
            <w:tcW w:w="1295" w:type="dxa"/>
            <w:vAlign w:val="top"/>
          </w:tcPr>
          <w:p w14:paraId="17889638">
            <w:pPr>
              <w:keepNext w:val="0"/>
              <w:keepLines w:val="0"/>
              <w:pageBreakBefore w:val="0"/>
              <w:widowControl w:val="0"/>
              <w:kinsoku/>
              <w:wordWrap w:val="0"/>
              <w:overflowPunct/>
              <w:topLinePunct/>
              <w:autoSpaceDE/>
              <w:autoSpaceDN/>
              <w:bidi w:val="0"/>
              <w:adjustRightInd/>
              <w:snapToGrid/>
              <w:spacing w:before="144" w:line="200" w:lineRule="exact"/>
              <w:ind w:left="11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500- 1000</w:t>
            </w:r>
          </w:p>
        </w:tc>
        <w:tc>
          <w:tcPr>
            <w:tcW w:w="1004" w:type="dxa"/>
            <w:vAlign w:val="top"/>
          </w:tcPr>
          <w:p w14:paraId="3A062A8E">
            <w:pPr>
              <w:keepNext w:val="0"/>
              <w:keepLines w:val="0"/>
              <w:pageBreakBefore w:val="0"/>
              <w:widowControl w:val="0"/>
              <w:kinsoku/>
              <w:wordWrap w:val="0"/>
              <w:overflowPunct/>
              <w:topLinePunct/>
              <w:autoSpaceDE/>
              <w:autoSpaceDN/>
              <w:bidi w:val="0"/>
              <w:adjustRightInd/>
              <w:snapToGrid/>
              <w:spacing w:before="103"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w:t>
            </w:r>
          </w:p>
        </w:tc>
      </w:tr>
      <w:tr w14:paraId="0BB44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184" w:type="dxa"/>
            <w:vMerge w:val="restart"/>
            <w:tcBorders>
              <w:bottom w:val="nil"/>
            </w:tcBorders>
            <w:vAlign w:val="top"/>
          </w:tcPr>
          <w:p w14:paraId="40FB7592">
            <w:pPr>
              <w:keepNext w:val="0"/>
              <w:keepLines w:val="0"/>
              <w:pageBreakBefore w:val="0"/>
              <w:widowControl w:val="0"/>
              <w:kinsoku/>
              <w:wordWrap w:val="0"/>
              <w:overflowPunct/>
              <w:topLinePunct/>
              <w:autoSpaceDE/>
              <w:autoSpaceDN/>
              <w:bidi w:val="0"/>
              <w:adjustRightInd/>
              <w:snapToGrid/>
              <w:spacing w:before="263" w:line="200" w:lineRule="exact"/>
              <w:ind w:left="124"/>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信息传输</w:t>
            </w:r>
          </w:p>
        </w:tc>
        <w:tc>
          <w:tcPr>
            <w:tcW w:w="1187" w:type="dxa"/>
            <w:vAlign w:val="top"/>
          </w:tcPr>
          <w:p w14:paraId="0F5E11A8">
            <w:pPr>
              <w:keepNext w:val="0"/>
              <w:keepLines w:val="0"/>
              <w:pageBreakBefore w:val="0"/>
              <w:widowControl w:val="0"/>
              <w:kinsoku/>
              <w:wordWrap w:val="0"/>
              <w:overflowPunct/>
              <w:topLinePunct/>
              <w:autoSpaceDE/>
              <w:autoSpaceDN/>
              <w:bidi w:val="0"/>
              <w:adjustRightInd/>
              <w:snapToGrid/>
              <w:spacing w:before="40"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2AD1604F">
            <w:pPr>
              <w:keepNext w:val="0"/>
              <w:keepLines w:val="0"/>
              <w:pageBreakBefore w:val="0"/>
              <w:widowControl w:val="0"/>
              <w:kinsoku/>
              <w:wordWrap w:val="0"/>
              <w:overflowPunct/>
              <w:topLinePunct/>
              <w:autoSpaceDE/>
              <w:autoSpaceDN/>
              <w:bidi w:val="0"/>
              <w:adjustRightInd/>
              <w:snapToGrid/>
              <w:spacing w:before="40"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5790FCAD">
            <w:pPr>
              <w:keepNext w:val="0"/>
              <w:keepLines w:val="0"/>
              <w:pageBreakBefore w:val="0"/>
              <w:widowControl w:val="0"/>
              <w:kinsoku/>
              <w:wordWrap w:val="0"/>
              <w:overflowPunct/>
              <w:topLinePunct/>
              <w:autoSpaceDE/>
              <w:autoSpaceDN/>
              <w:bidi w:val="0"/>
              <w:adjustRightInd/>
              <w:snapToGrid/>
              <w:spacing w:before="40"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w:t>
            </w:r>
          </w:p>
        </w:tc>
        <w:tc>
          <w:tcPr>
            <w:tcW w:w="1535" w:type="dxa"/>
            <w:vAlign w:val="top"/>
          </w:tcPr>
          <w:p w14:paraId="3BBA7C69">
            <w:pPr>
              <w:keepNext w:val="0"/>
              <w:keepLines w:val="0"/>
              <w:pageBreakBefore w:val="0"/>
              <w:widowControl w:val="0"/>
              <w:kinsoku/>
              <w:wordWrap w:val="0"/>
              <w:overflowPunct/>
              <w:topLinePunct/>
              <w:autoSpaceDE/>
              <w:autoSpaceDN/>
              <w:bidi w:val="0"/>
              <w:adjustRightInd/>
              <w:snapToGrid/>
              <w:spacing w:before="82"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100-200</w:t>
            </w:r>
          </w:p>
        </w:tc>
        <w:tc>
          <w:tcPr>
            <w:tcW w:w="1295" w:type="dxa"/>
            <w:vAlign w:val="top"/>
          </w:tcPr>
          <w:p w14:paraId="623727F2">
            <w:pPr>
              <w:keepNext w:val="0"/>
              <w:keepLines w:val="0"/>
              <w:pageBreakBefore w:val="0"/>
              <w:widowControl w:val="0"/>
              <w:kinsoku/>
              <w:wordWrap w:val="0"/>
              <w:overflowPunct/>
              <w:topLinePunct/>
              <w:autoSpaceDE/>
              <w:autoSpaceDN/>
              <w:bidi w:val="0"/>
              <w:adjustRightInd/>
              <w:snapToGrid/>
              <w:spacing w:before="82" w:line="200" w:lineRule="exact"/>
              <w:ind w:left="31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10-100</w:t>
            </w:r>
          </w:p>
        </w:tc>
        <w:tc>
          <w:tcPr>
            <w:tcW w:w="1004" w:type="dxa"/>
            <w:vAlign w:val="top"/>
          </w:tcPr>
          <w:p w14:paraId="173384D2">
            <w:pPr>
              <w:keepNext w:val="0"/>
              <w:keepLines w:val="0"/>
              <w:pageBreakBefore w:val="0"/>
              <w:widowControl w:val="0"/>
              <w:kinsoku/>
              <w:wordWrap w:val="0"/>
              <w:overflowPunct/>
              <w:topLinePunct/>
              <w:autoSpaceDE/>
              <w:autoSpaceDN/>
              <w:bidi w:val="0"/>
              <w:adjustRightInd/>
              <w:snapToGrid/>
              <w:spacing w:before="40"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w:t>
            </w:r>
          </w:p>
        </w:tc>
      </w:tr>
      <w:tr w14:paraId="14854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vAlign w:val="top"/>
          </w:tcPr>
          <w:p w14:paraId="2E7CC11A">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4D7A9706">
            <w:pPr>
              <w:keepNext w:val="0"/>
              <w:keepLines w:val="0"/>
              <w:pageBreakBefore w:val="0"/>
              <w:widowControl w:val="0"/>
              <w:kinsoku/>
              <w:wordWrap w:val="0"/>
              <w:overflowPunct/>
              <w:topLinePunct/>
              <w:autoSpaceDE/>
              <w:autoSpaceDN/>
              <w:bidi w:val="0"/>
              <w:adjustRightInd/>
              <w:snapToGrid/>
              <w:spacing w:before="103"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608EF557">
            <w:pPr>
              <w:keepNext w:val="0"/>
              <w:keepLines w:val="0"/>
              <w:pageBreakBefore w:val="0"/>
              <w:widowControl w:val="0"/>
              <w:kinsoku/>
              <w:wordWrap w:val="0"/>
              <w:overflowPunct/>
              <w:topLinePunct/>
              <w:autoSpaceDE/>
              <w:autoSpaceDN/>
              <w:bidi w:val="0"/>
              <w:adjustRightInd/>
              <w:snapToGrid/>
              <w:spacing w:before="103"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669F4D09">
            <w:pPr>
              <w:keepNext w:val="0"/>
              <w:keepLines w:val="0"/>
              <w:pageBreakBefore w:val="0"/>
              <w:widowControl w:val="0"/>
              <w:kinsoku/>
              <w:wordWrap w:val="0"/>
              <w:overflowPunct/>
              <w:topLinePunct/>
              <w:autoSpaceDE/>
              <w:autoSpaceDN/>
              <w:bidi w:val="0"/>
              <w:adjustRightInd/>
              <w:snapToGrid/>
              <w:spacing w:before="103" w:line="200" w:lineRule="exact"/>
              <w:ind w:left="25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≥100000</w:t>
            </w:r>
          </w:p>
        </w:tc>
        <w:tc>
          <w:tcPr>
            <w:tcW w:w="1535" w:type="dxa"/>
            <w:vAlign w:val="top"/>
          </w:tcPr>
          <w:p w14:paraId="5697C5EE">
            <w:pPr>
              <w:keepNext w:val="0"/>
              <w:keepLines w:val="0"/>
              <w:pageBreakBefore w:val="0"/>
              <w:widowControl w:val="0"/>
              <w:kinsoku/>
              <w:wordWrap w:val="0"/>
              <w:overflowPunct/>
              <w:topLinePunct/>
              <w:autoSpaceDE/>
              <w:autoSpaceDN/>
              <w:bidi w:val="0"/>
              <w:adjustRightInd/>
              <w:snapToGrid/>
              <w:spacing w:before="144" w:line="200" w:lineRule="exact"/>
              <w:ind w:left="1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1000-100000</w:t>
            </w:r>
          </w:p>
        </w:tc>
        <w:tc>
          <w:tcPr>
            <w:tcW w:w="1295" w:type="dxa"/>
            <w:vAlign w:val="top"/>
          </w:tcPr>
          <w:p w14:paraId="4F1852D8">
            <w:pPr>
              <w:keepNext w:val="0"/>
              <w:keepLines w:val="0"/>
              <w:pageBreakBefore w:val="0"/>
              <w:widowControl w:val="0"/>
              <w:kinsoku/>
              <w:wordWrap w:val="0"/>
              <w:overflowPunct/>
              <w:topLinePunct/>
              <w:autoSpaceDE/>
              <w:autoSpaceDN/>
              <w:bidi w:val="0"/>
              <w:adjustRightInd/>
              <w:snapToGrid/>
              <w:spacing w:before="144" w:line="200" w:lineRule="exact"/>
              <w:ind w:left="19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100-1000</w:t>
            </w:r>
          </w:p>
        </w:tc>
        <w:tc>
          <w:tcPr>
            <w:tcW w:w="1004" w:type="dxa"/>
            <w:vAlign w:val="top"/>
          </w:tcPr>
          <w:p w14:paraId="238D3156">
            <w:pPr>
              <w:keepNext w:val="0"/>
              <w:keepLines w:val="0"/>
              <w:pageBreakBefore w:val="0"/>
              <w:widowControl w:val="0"/>
              <w:kinsoku/>
              <w:wordWrap w:val="0"/>
              <w:overflowPunct/>
              <w:topLinePunct/>
              <w:autoSpaceDE/>
              <w:autoSpaceDN/>
              <w:bidi w:val="0"/>
              <w:adjustRightInd/>
              <w:snapToGrid/>
              <w:spacing w:before="103"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17752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vAlign w:val="top"/>
          </w:tcPr>
          <w:p w14:paraId="721A5256">
            <w:pPr>
              <w:keepNext w:val="0"/>
              <w:keepLines w:val="0"/>
              <w:pageBreakBefore w:val="0"/>
              <w:widowControl w:val="0"/>
              <w:kinsoku/>
              <w:wordWrap w:val="0"/>
              <w:overflowPunct/>
              <w:topLinePunct/>
              <w:autoSpaceDE/>
              <w:autoSpaceDN/>
              <w:bidi w:val="0"/>
              <w:adjustRightInd/>
              <w:snapToGrid/>
              <w:spacing w:before="127" w:line="200" w:lineRule="exact"/>
              <w:ind w:left="124" w:right="110" w:firstLine="12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软件和 信息技术</w:t>
            </w:r>
          </w:p>
        </w:tc>
        <w:tc>
          <w:tcPr>
            <w:tcW w:w="1187" w:type="dxa"/>
            <w:vAlign w:val="top"/>
          </w:tcPr>
          <w:p w14:paraId="21071D65">
            <w:pPr>
              <w:keepNext w:val="0"/>
              <w:keepLines w:val="0"/>
              <w:pageBreakBefore w:val="0"/>
              <w:widowControl w:val="0"/>
              <w:kinsoku/>
              <w:wordWrap w:val="0"/>
              <w:overflowPunct/>
              <w:topLinePunct/>
              <w:autoSpaceDE/>
              <w:autoSpaceDN/>
              <w:bidi w:val="0"/>
              <w:adjustRightInd/>
              <w:snapToGrid/>
              <w:spacing w:before="57"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0669031A">
            <w:pPr>
              <w:keepNext w:val="0"/>
              <w:keepLines w:val="0"/>
              <w:pageBreakBefore w:val="0"/>
              <w:widowControl w:val="0"/>
              <w:kinsoku/>
              <w:wordWrap w:val="0"/>
              <w:overflowPunct/>
              <w:topLinePunct/>
              <w:autoSpaceDE/>
              <w:autoSpaceDN/>
              <w:bidi w:val="0"/>
              <w:adjustRightInd/>
              <w:snapToGrid/>
              <w:spacing w:before="57"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4E5388CD">
            <w:pPr>
              <w:keepNext w:val="0"/>
              <w:keepLines w:val="0"/>
              <w:pageBreakBefore w:val="0"/>
              <w:widowControl w:val="0"/>
              <w:kinsoku/>
              <w:wordWrap w:val="0"/>
              <w:overflowPunct/>
              <w:topLinePunct/>
              <w:autoSpaceDE/>
              <w:autoSpaceDN/>
              <w:bidi w:val="0"/>
              <w:adjustRightInd/>
              <w:snapToGrid/>
              <w:spacing w:before="57"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c>
          <w:tcPr>
            <w:tcW w:w="1535" w:type="dxa"/>
            <w:vAlign w:val="top"/>
          </w:tcPr>
          <w:p w14:paraId="61A64B0C">
            <w:pPr>
              <w:keepNext w:val="0"/>
              <w:keepLines w:val="0"/>
              <w:pageBreakBefore w:val="0"/>
              <w:widowControl w:val="0"/>
              <w:kinsoku/>
              <w:wordWrap w:val="0"/>
              <w:overflowPunct/>
              <w:topLinePunct/>
              <w:autoSpaceDE/>
              <w:autoSpaceDN/>
              <w:bidi w:val="0"/>
              <w:adjustRightInd/>
              <w:snapToGrid/>
              <w:spacing w:before="98"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100-300</w:t>
            </w:r>
          </w:p>
        </w:tc>
        <w:tc>
          <w:tcPr>
            <w:tcW w:w="1295" w:type="dxa"/>
            <w:vAlign w:val="top"/>
          </w:tcPr>
          <w:p w14:paraId="2B886A84">
            <w:pPr>
              <w:keepNext w:val="0"/>
              <w:keepLines w:val="0"/>
              <w:pageBreakBefore w:val="0"/>
              <w:widowControl w:val="0"/>
              <w:kinsoku/>
              <w:wordWrap w:val="0"/>
              <w:overflowPunct/>
              <w:topLinePunct/>
              <w:autoSpaceDE/>
              <w:autoSpaceDN/>
              <w:bidi w:val="0"/>
              <w:adjustRightInd/>
              <w:snapToGrid/>
              <w:spacing w:before="98" w:line="200" w:lineRule="exact"/>
              <w:ind w:left="31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10-100</w:t>
            </w:r>
          </w:p>
        </w:tc>
        <w:tc>
          <w:tcPr>
            <w:tcW w:w="1004" w:type="dxa"/>
            <w:vAlign w:val="top"/>
          </w:tcPr>
          <w:p w14:paraId="25E05A17">
            <w:pPr>
              <w:keepNext w:val="0"/>
              <w:keepLines w:val="0"/>
              <w:pageBreakBefore w:val="0"/>
              <w:widowControl w:val="0"/>
              <w:kinsoku/>
              <w:wordWrap w:val="0"/>
              <w:overflowPunct/>
              <w:topLinePunct/>
              <w:autoSpaceDE/>
              <w:autoSpaceDN/>
              <w:bidi w:val="0"/>
              <w:adjustRightInd/>
              <w:snapToGrid/>
              <w:spacing w:before="57"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w:t>
            </w:r>
          </w:p>
        </w:tc>
      </w:tr>
      <w:tr w14:paraId="693E8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vAlign w:val="top"/>
          </w:tcPr>
          <w:p w14:paraId="1D56BCEC">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421E4440">
            <w:pPr>
              <w:keepNext w:val="0"/>
              <w:keepLines w:val="0"/>
              <w:pageBreakBefore w:val="0"/>
              <w:widowControl w:val="0"/>
              <w:kinsoku/>
              <w:wordWrap w:val="0"/>
              <w:overflowPunct/>
              <w:topLinePunct/>
              <w:autoSpaceDE/>
              <w:autoSpaceDN/>
              <w:bidi w:val="0"/>
              <w:adjustRightInd/>
              <w:snapToGrid/>
              <w:spacing w:before="104"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2AA79D86">
            <w:pPr>
              <w:keepNext w:val="0"/>
              <w:keepLines w:val="0"/>
              <w:pageBreakBefore w:val="0"/>
              <w:widowControl w:val="0"/>
              <w:kinsoku/>
              <w:wordWrap w:val="0"/>
              <w:overflowPunct/>
              <w:topLinePunct/>
              <w:autoSpaceDE/>
              <w:autoSpaceDN/>
              <w:bidi w:val="0"/>
              <w:adjustRightInd/>
              <w:snapToGrid/>
              <w:spacing w:before="104"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17B22D2B">
            <w:pPr>
              <w:keepNext w:val="0"/>
              <w:keepLines w:val="0"/>
              <w:pageBreakBefore w:val="0"/>
              <w:widowControl w:val="0"/>
              <w:kinsoku/>
              <w:wordWrap w:val="0"/>
              <w:overflowPunct/>
              <w:topLinePunct/>
              <w:autoSpaceDE/>
              <w:autoSpaceDN/>
              <w:bidi w:val="0"/>
              <w:adjustRightInd/>
              <w:snapToGrid/>
              <w:spacing w:before="103"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≥10000</w:t>
            </w:r>
          </w:p>
        </w:tc>
        <w:tc>
          <w:tcPr>
            <w:tcW w:w="1535" w:type="dxa"/>
            <w:vAlign w:val="top"/>
          </w:tcPr>
          <w:p w14:paraId="24D548EF">
            <w:pPr>
              <w:keepNext w:val="0"/>
              <w:keepLines w:val="0"/>
              <w:pageBreakBefore w:val="0"/>
              <w:widowControl w:val="0"/>
              <w:kinsoku/>
              <w:wordWrap w:val="0"/>
              <w:overflowPunct/>
              <w:topLinePunct/>
              <w:autoSpaceDE/>
              <w:autoSpaceDN/>
              <w:bidi w:val="0"/>
              <w:adjustRightInd/>
              <w:snapToGrid/>
              <w:spacing w:before="144" w:line="200" w:lineRule="exact"/>
              <w:ind w:left="19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1000-10000</w:t>
            </w:r>
          </w:p>
        </w:tc>
        <w:tc>
          <w:tcPr>
            <w:tcW w:w="1295" w:type="dxa"/>
            <w:vAlign w:val="top"/>
          </w:tcPr>
          <w:p w14:paraId="01E3524C">
            <w:pPr>
              <w:keepNext w:val="0"/>
              <w:keepLines w:val="0"/>
              <w:pageBreakBefore w:val="0"/>
              <w:widowControl w:val="0"/>
              <w:kinsoku/>
              <w:wordWrap w:val="0"/>
              <w:overflowPunct/>
              <w:topLinePunct/>
              <w:autoSpaceDE/>
              <w:autoSpaceDN/>
              <w:bidi w:val="0"/>
              <w:adjustRightInd/>
              <w:snapToGrid/>
              <w:spacing w:before="144" w:line="200" w:lineRule="exact"/>
              <w:ind w:left="23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50-1000</w:t>
            </w:r>
          </w:p>
        </w:tc>
        <w:tc>
          <w:tcPr>
            <w:tcW w:w="1004" w:type="dxa"/>
            <w:vAlign w:val="top"/>
          </w:tcPr>
          <w:p w14:paraId="568F3AC3">
            <w:pPr>
              <w:keepNext w:val="0"/>
              <w:keepLines w:val="0"/>
              <w:pageBreakBefore w:val="0"/>
              <w:widowControl w:val="0"/>
              <w:kinsoku/>
              <w:wordWrap w:val="0"/>
              <w:overflowPunct/>
              <w:topLinePunct/>
              <w:autoSpaceDE/>
              <w:autoSpaceDN/>
              <w:bidi w:val="0"/>
              <w:adjustRightInd/>
              <w:snapToGrid/>
              <w:spacing w:before="103"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w:t>
            </w:r>
          </w:p>
        </w:tc>
      </w:tr>
      <w:tr w14:paraId="0A726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84" w:type="dxa"/>
            <w:vMerge w:val="restart"/>
            <w:tcBorders>
              <w:bottom w:val="nil"/>
            </w:tcBorders>
            <w:vAlign w:val="top"/>
          </w:tcPr>
          <w:p w14:paraId="62B1ACF4">
            <w:pPr>
              <w:keepNext w:val="0"/>
              <w:keepLines w:val="0"/>
              <w:pageBreakBefore w:val="0"/>
              <w:widowControl w:val="0"/>
              <w:kinsoku/>
              <w:wordWrap w:val="0"/>
              <w:overflowPunct/>
              <w:topLinePunct/>
              <w:autoSpaceDE/>
              <w:autoSpaceDN/>
              <w:bidi w:val="0"/>
              <w:adjustRightInd/>
              <w:snapToGrid/>
              <w:spacing w:before="117" w:line="200" w:lineRule="exact"/>
              <w:ind w:left="133" w:right="110" w:firstLine="112"/>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租赁和 商务服务</w:t>
            </w:r>
          </w:p>
        </w:tc>
        <w:tc>
          <w:tcPr>
            <w:tcW w:w="1187" w:type="dxa"/>
            <w:vAlign w:val="top"/>
          </w:tcPr>
          <w:p w14:paraId="2AFD11F6">
            <w:pPr>
              <w:keepNext w:val="0"/>
              <w:keepLines w:val="0"/>
              <w:pageBreakBefore w:val="0"/>
              <w:widowControl w:val="0"/>
              <w:kinsoku/>
              <w:wordWrap w:val="0"/>
              <w:overflowPunct/>
              <w:topLinePunct/>
              <w:autoSpaceDE/>
              <w:autoSpaceDN/>
              <w:bidi w:val="0"/>
              <w:adjustRightInd/>
              <w:snapToGrid/>
              <w:spacing w:before="48"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663DB61B">
            <w:pPr>
              <w:keepNext w:val="0"/>
              <w:keepLines w:val="0"/>
              <w:pageBreakBefore w:val="0"/>
              <w:widowControl w:val="0"/>
              <w:kinsoku/>
              <w:wordWrap w:val="0"/>
              <w:overflowPunct/>
              <w:topLinePunct/>
              <w:autoSpaceDE/>
              <w:autoSpaceDN/>
              <w:bidi w:val="0"/>
              <w:adjustRightInd/>
              <w:snapToGrid/>
              <w:spacing w:before="48"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393081A2">
            <w:pPr>
              <w:keepNext w:val="0"/>
              <w:keepLines w:val="0"/>
              <w:pageBreakBefore w:val="0"/>
              <w:widowControl w:val="0"/>
              <w:kinsoku/>
              <w:wordWrap w:val="0"/>
              <w:overflowPunct/>
              <w:topLinePunct/>
              <w:autoSpaceDE/>
              <w:autoSpaceDN/>
              <w:bidi w:val="0"/>
              <w:adjustRightInd/>
              <w:snapToGrid/>
              <w:spacing w:before="48"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c>
          <w:tcPr>
            <w:tcW w:w="1535" w:type="dxa"/>
            <w:vAlign w:val="top"/>
          </w:tcPr>
          <w:p w14:paraId="244D5EF6">
            <w:pPr>
              <w:keepNext w:val="0"/>
              <w:keepLines w:val="0"/>
              <w:pageBreakBefore w:val="0"/>
              <w:widowControl w:val="0"/>
              <w:kinsoku/>
              <w:wordWrap w:val="0"/>
              <w:overflowPunct/>
              <w:topLinePunct/>
              <w:autoSpaceDE/>
              <w:autoSpaceDN/>
              <w:bidi w:val="0"/>
              <w:adjustRightInd/>
              <w:snapToGrid/>
              <w:spacing w:before="89"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100-300</w:t>
            </w:r>
          </w:p>
        </w:tc>
        <w:tc>
          <w:tcPr>
            <w:tcW w:w="1295" w:type="dxa"/>
            <w:vAlign w:val="top"/>
          </w:tcPr>
          <w:p w14:paraId="0B51DFDD">
            <w:pPr>
              <w:keepNext w:val="0"/>
              <w:keepLines w:val="0"/>
              <w:pageBreakBefore w:val="0"/>
              <w:widowControl w:val="0"/>
              <w:kinsoku/>
              <w:wordWrap w:val="0"/>
              <w:overflowPunct/>
              <w:topLinePunct/>
              <w:autoSpaceDE/>
              <w:autoSpaceDN/>
              <w:bidi w:val="0"/>
              <w:adjustRightInd/>
              <w:snapToGrid/>
              <w:spacing w:before="89" w:line="200" w:lineRule="exact"/>
              <w:ind w:left="31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10-100</w:t>
            </w:r>
          </w:p>
        </w:tc>
        <w:tc>
          <w:tcPr>
            <w:tcW w:w="1004" w:type="dxa"/>
            <w:vAlign w:val="top"/>
          </w:tcPr>
          <w:p w14:paraId="233134F1">
            <w:pPr>
              <w:keepNext w:val="0"/>
              <w:keepLines w:val="0"/>
              <w:pageBreakBefore w:val="0"/>
              <w:widowControl w:val="0"/>
              <w:kinsoku/>
              <w:wordWrap w:val="0"/>
              <w:overflowPunct/>
              <w:topLinePunct/>
              <w:autoSpaceDE/>
              <w:autoSpaceDN/>
              <w:bidi w:val="0"/>
              <w:adjustRightInd/>
              <w:snapToGrid/>
              <w:spacing w:before="48"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w:t>
            </w:r>
          </w:p>
        </w:tc>
      </w:tr>
      <w:tr w14:paraId="7C5B0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84" w:type="dxa"/>
            <w:vMerge w:val="continue"/>
            <w:tcBorders>
              <w:top w:val="nil"/>
            </w:tcBorders>
            <w:vAlign w:val="top"/>
          </w:tcPr>
          <w:p w14:paraId="2654CA9F">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2E60140D">
            <w:pPr>
              <w:keepNext w:val="0"/>
              <w:keepLines w:val="0"/>
              <w:pageBreakBefore w:val="0"/>
              <w:widowControl w:val="0"/>
              <w:kinsoku/>
              <w:wordWrap w:val="0"/>
              <w:overflowPunct/>
              <w:topLinePunct/>
              <w:autoSpaceDE/>
              <w:autoSpaceDN/>
              <w:bidi w:val="0"/>
              <w:adjustRightInd/>
              <w:snapToGrid/>
              <w:spacing w:before="102" w:line="200" w:lineRule="exact"/>
              <w:ind w:left="13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资产总额</w:t>
            </w:r>
          </w:p>
        </w:tc>
        <w:tc>
          <w:tcPr>
            <w:tcW w:w="900" w:type="dxa"/>
            <w:vAlign w:val="top"/>
          </w:tcPr>
          <w:p w14:paraId="02D977E2">
            <w:pPr>
              <w:keepNext w:val="0"/>
              <w:keepLines w:val="0"/>
              <w:pageBreakBefore w:val="0"/>
              <w:widowControl w:val="0"/>
              <w:kinsoku/>
              <w:wordWrap w:val="0"/>
              <w:overflowPunct/>
              <w:topLinePunct/>
              <w:autoSpaceDE/>
              <w:autoSpaceDN/>
              <w:bidi w:val="0"/>
              <w:adjustRightInd/>
              <w:snapToGrid/>
              <w:spacing w:before="102"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4FA61A63">
            <w:pPr>
              <w:keepNext w:val="0"/>
              <w:keepLines w:val="0"/>
              <w:pageBreakBefore w:val="0"/>
              <w:widowControl w:val="0"/>
              <w:kinsoku/>
              <w:wordWrap w:val="0"/>
              <w:overflowPunct/>
              <w:topLinePunct/>
              <w:autoSpaceDE/>
              <w:autoSpaceDN/>
              <w:bidi w:val="0"/>
              <w:adjustRightInd/>
              <w:snapToGrid/>
              <w:spacing w:before="102" w:line="200" w:lineRule="exact"/>
              <w:ind w:left="25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≥120000</w:t>
            </w:r>
          </w:p>
        </w:tc>
        <w:tc>
          <w:tcPr>
            <w:tcW w:w="1535" w:type="dxa"/>
            <w:vAlign w:val="top"/>
          </w:tcPr>
          <w:p w14:paraId="6A5C98D7">
            <w:pPr>
              <w:keepNext w:val="0"/>
              <w:keepLines w:val="0"/>
              <w:pageBreakBefore w:val="0"/>
              <w:widowControl w:val="0"/>
              <w:kinsoku/>
              <w:wordWrap w:val="0"/>
              <w:overflowPunct/>
              <w:topLinePunct/>
              <w:autoSpaceDE/>
              <w:autoSpaceDN/>
              <w:bidi w:val="0"/>
              <w:adjustRightInd/>
              <w:snapToGrid/>
              <w:spacing w:before="143" w:line="200" w:lineRule="exact"/>
              <w:ind w:left="11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8000-120000</w:t>
            </w:r>
          </w:p>
        </w:tc>
        <w:tc>
          <w:tcPr>
            <w:tcW w:w="1295" w:type="dxa"/>
            <w:vAlign w:val="top"/>
          </w:tcPr>
          <w:p w14:paraId="0FAF4695">
            <w:pPr>
              <w:keepNext w:val="0"/>
              <w:keepLines w:val="0"/>
              <w:pageBreakBefore w:val="0"/>
              <w:widowControl w:val="0"/>
              <w:kinsoku/>
              <w:wordWrap w:val="0"/>
              <w:overflowPunct/>
              <w:topLinePunct/>
              <w:autoSpaceDE/>
              <w:autoSpaceDN/>
              <w:bidi w:val="0"/>
              <w:adjustRightInd/>
              <w:snapToGrid/>
              <w:spacing w:before="143" w:line="200" w:lineRule="exact"/>
              <w:ind w:left="19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100-8000</w:t>
            </w:r>
          </w:p>
        </w:tc>
        <w:tc>
          <w:tcPr>
            <w:tcW w:w="1004" w:type="dxa"/>
            <w:vAlign w:val="top"/>
          </w:tcPr>
          <w:p w14:paraId="6A7E7598">
            <w:pPr>
              <w:keepNext w:val="0"/>
              <w:keepLines w:val="0"/>
              <w:pageBreakBefore w:val="0"/>
              <w:widowControl w:val="0"/>
              <w:kinsoku/>
              <w:wordWrap w:val="0"/>
              <w:overflowPunct/>
              <w:topLinePunct/>
              <w:autoSpaceDE/>
              <w:autoSpaceDN/>
              <w:bidi w:val="0"/>
              <w:adjustRightInd/>
              <w:snapToGrid/>
              <w:spacing w:before="102"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38D2D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84" w:type="dxa"/>
            <w:vAlign w:val="top"/>
          </w:tcPr>
          <w:p w14:paraId="43F35750">
            <w:pPr>
              <w:keepNext w:val="0"/>
              <w:keepLines w:val="0"/>
              <w:pageBreakBefore w:val="0"/>
              <w:widowControl w:val="0"/>
              <w:kinsoku/>
              <w:wordWrap w:val="0"/>
              <w:overflowPunct/>
              <w:topLinePunct/>
              <w:autoSpaceDE/>
              <w:autoSpaceDN/>
              <w:bidi w:val="0"/>
              <w:adjustRightInd/>
              <w:snapToGrid/>
              <w:spacing w:before="40" w:line="200" w:lineRule="exact"/>
              <w:ind w:left="259" w:right="110" w:hanging="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其他未列 明行业</w:t>
            </w:r>
          </w:p>
        </w:tc>
        <w:tc>
          <w:tcPr>
            <w:tcW w:w="1187" w:type="dxa"/>
            <w:vAlign w:val="top"/>
          </w:tcPr>
          <w:p w14:paraId="6264F028">
            <w:pPr>
              <w:keepNext w:val="0"/>
              <w:keepLines w:val="0"/>
              <w:pageBreakBefore w:val="0"/>
              <w:widowControl w:val="0"/>
              <w:kinsoku/>
              <w:wordWrap w:val="0"/>
              <w:overflowPunct/>
              <w:topLinePunct/>
              <w:autoSpaceDE/>
              <w:autoSpaceDN/>
              <w:bidi w:val="0"/>
              <w:adjustRightInd/>
              <w:snapToGrid/>
              <w:spacing w:before="195"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34C8A6E3">
            <w:pPr>
              <w:keepNext w:val="0"/>
              <w:keepLines w:val="0"/>
              <w:pageBreakBefore w:val="0"/>
              <w:widowControl w:val="0"/>
              <w:kinsoku/>
              <w:wordWrap w:val="0"/>
              <w:overflowPunct/>
              <w:topLinePunct/>
              <w:autoSpaceDE/>
              <w:autoSpaceDN/>
              <w:bidi w:val="0"/>
              <w:adjustRightInd/>
              <w:snapToGrid/>
              <w:spacing w:before="195"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558C0C9F">
            <w:pPr>
              <w:keepNext w:val="0"/>
              <w:keepLines w:val="0"/>
              <w:pageBreakBefore w:val="0"/>
              <w:widowControl w:val="0"/>
              <w:kinsoku/>
              <w:wordWrap w:val="0"/>
              <w:overflowPunct/>
              <w:topLinePunct/>
              <w:autoSpaceDE/>
              <w:autoSpaceDN/>
              <w:bidi w:val="0"/>
              <w:adjustRightInd/>
              <w:snapToGrid/>
              <w:spacing w:before="195"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c>
          <w:tcPr>
            <w:tcW w:w="1535" w:type="dxa"/>
            <w:vAlign w:val="top"/>
          </w:tcPr>
          <w:p w14:paraId="3A297FEA">
            <w:pPr>
              <w:keepNext w:val="0"/>
              <w:keepLines w:val="0"/>
              <w:pageBreakBefore w:val="0"/>
              <w:widowControl w:val="0"/>
              <w:kinsoku/>
              <w:wordWrap w:val="0"/>
              <w:overflowPunct/>
              <w:topLinePunct/>
              <w:autoSpaceDE/>
              <w:autoSpaceDN/>
              <w:bidi w:val="0"/>
              <w:adjustRightInd/>
              <w:snapToGrid/>
              <w:spacing w:before="236"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100-300</w:t>
            </w:r>
          </w:p>
        </w:tc>
        <w:tc>
          <w:tcPr>
            <w:tcW w:w="1295" w:type="dxa"/>
            <w:vAlign w:val="top"/>
          </w:tcPr>
          <w:p w14:paraId="01E93886">
            <w:pPr>
              <w:keepNext w:val="0"/>
              <w:keepLines w:val="0"/>
              <w:pageBreakBefore w:val="0"/>
              <w:widowControl w:val="0"/>
              <w:kinsoku/>
              <w:wordWrap w:val="0"/>
              <w:overflowPunct/>
              <w:topLinePunct/>
              <w:autoSpaceDE/>
              <w:autoSpaceDN/>
              <w:bidi w:val="0"/>
              <w:adjustRightInd/>
              <w:snapToGrid/>
              <w:spacing w:before="236" w:line="200" w:lineRule="exact"/>
              <w:ind w:left="31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10-100</w:t>
            </w:r>
          </w:p>
        </w:tc>
        <w:tc>
          <w:tcPr>
            <w:tcW w:w="1004" w:type="dxa"/>
            <w:vAlign w:val="top"/>
          </w:tcPr>
          <w:p w14:paraId="3F542E3D">
            <w:pPr>
              <w:keepNext w:val="0"/>
              <w:keepLines w:val="0"/>
              <w:pageBreakBefore w:val="0"/>
              <w:widowControl w:val="0"/>
              <w:kinsoku/>
              <w:wordWrap w:val="0"/>
              <w:overflowPunct/>
              <w:topLinePunct/>
              <w:autoSpaceDE/>
              <w:autoSpaceDN/>
              <w:bidi w:val="0"/>
              <w:adjustRightInd/>
              <w:snapToGrid/>
              <w:spacing w:before="195"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w:t>
            </w:r>
          </w:p>
        </w:tc>
      </w:tr>
    </w:tbl>
    <w:p w14:paraId="1FDD5FFE">
      <w:pPr>
        <w:pageBreakBefore w:val="0"/>
        <w:widowControl/>
        <w:kinsoku/>
        <w:wordWrap w:val="0"/>
        <w:overflowPunct/>
        <w:topLinePunct/>
        <w:autoSpaceDE/>
        <w:autoSpaceDN/>
        <w:bidi w:val="0"/>
        <w:spacing w:line="360" w:lineRule="auto"/>
        <w:ind w:left="420" w:hanging="420" w:hangingChars="200"/>
        <w:jc w:val="left"/>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kern w:val="0"/>
          <w:position w:val="0"/>
          <w:szCs w:val="21"/>
          <w:highlight w:val="none"/>
        </w:rPr>
        <w:t>说明：</w:t>
      </w:r>
    </w:p>
    <w:p w14:paraId="519BB21F">
      <w:pPr>
        <w:pageBreakBefore w:val="0"/>
        <w:widowControl/>
        <w:kinsoku/>
        <w:wordWrap w:val="0"/>
        <w:overflowPunct/>
        <w:topLinePunct/>
        <w:autoSpaceDE/>
        <w:autoSpaceDN/>
        <w:bidi w:val="0"/>
        <w:spacing w:line="360" w:lineRule="auto"/>
        <w:jc w:val="left"/>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kern w:val="0"/>
          <w:position w:val="0"/>
          <w:szCs w:val="21"/>
          <w:highlight w:val="none"/>
        </w:rPr>
        <w:t>1.大型、中型和小型企业须同时满足所列指标的下限，否则下划一档；微型企业只须满足所列指标中的一项即可。</w:t>
      </w:r>
    </w:p>
    <w:p w14:paraId="5B82C992">
      <w:pPr>
        <w:pageBreakBefore w:val="0"/>
        <w:widowControl/>
        <w:kinsoku/>
        <w:wordWrap w:val="0"/>
        <w:overflowPunct/>
        <w:topLinePunct/>
        <w:autoSpaceDE/>
        <w:autoSpaceDN/>
        <w:bidi w:val="0"/>
        <w:spacing w:line="360" w:lineRule="auto"/>
        <w:jc w:val="left"/>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kern w:val="0"/>
          <w:positio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C276F5D">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color w:val="auto"/>
          <w:spacing w:val="0"/>
          <w:kern w:val="0"/>
          <w:position w:val="0"/>
          <w:szCs w:val="21"/>
          <w:highlight w:val="none"/>
        </w:rPr>
        <w:sectPr>
          <w:pgSz w:w="11906" w:h="16838"/>
          <w:pgMar w:top="1440" w:right="1080" w:bottom="1440" w:left="1080" w:header="851" w:footer="992" w:gutter="0"/>
          <w:cols w:space="0" w:num="1"/>
          <w:docGrid w:type="lines" w:linePitch="312" w:charSpace="0"/>
        </w:sectPr>
      </w:pPr>
      <w:r>
        <w:rPr>
          <w:rFonts w:hint="eastAsia" w:ascii="宋体" w:hAnsi="宋体" w:eastAsia="宋体" w:cs="宋体"/>
          <w:color w:val="auto"/>
          <w:spacing w:val="0"/>
          <w:kern w:val="0"/>
          <w:positio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BBD6472">
      <w:pPr>
        <w:keepNext w:val="0"/>
        <w:keepLines w:val="0"/>
        <w:pageBreakBefore w:val="0"/>
        <w:widowControl w:val="0"/>
        <w:suppressLineNumbers w:val="0"/>
        <w:kinsoku/>
        <w:wordWrap w:val="0"/>
        <w:overflowPunct/>
        <w:topLinePunct/>
        <w:autoSpaceDE/>
        <w:autoSpaceDN/>
        <w:bidi w:val="0"/>
        <w:snapToGrid w:val="0"/>
        <w:spacing w:before="156" w:beforeLines="50" w:beforeAutospacing="0" w:after="50" w:afterAutospacing="0" w:line="360" w:lineRule="auto"/>
        <w:ind w:left="0" w:right="480" w:firstLine="321" w:firstLineChars="100"/>
        <w:jc w:val="center"/>
        <w:outlineLvl w:val="2"/>
        <w:rPr>
          <w:rFonts w:hint="eastAsia" w:ascii="宋体" w:hAnsi="宋体" w:eastAsia="宋体" w:cs="宋体"/>
          <w:b/>
          <w:bCs/>
          <w:color w:val="auto"/>
          <w:spacing w:val="0"/>
          <w:w w:val="100"/>
          <w:kern w:val="2"/>
          <w:position w:val="0"/>
          <w:sz w:val="32"/>
          <w:szCs w:val="32"/>
          <w:highlight w:val="none"/>
          <w:lang w:val="en-US" w:eastAsia="zh-CN" w:bidi="ar"/>
        </w:rPr>
      </w:pPr>
      <w:r>
        <w:rPr>
          <w:rFonts w:hint="eastAsia" w:ascii="宋体" w:hAnsi="宋体" w:eastAsia="宋体" w:cs="宋体"/>
          <w:b/>
          <w:bCs/>
          <w:color w:val="auto"/>
          <w:spacing w:val="0"/>
          <w:w w:val="100"/>
          <w:kern w:val="2"/>
          <w:position w:val="0"/>
          <w:sz w:val="32"/>
          <w:szCs w:val="32"/>
          <w:highlight w:val="none"/>
          <w:lang w:val="en-US" w:eastAsia="zh-CN" w:bidi="ar"/>
        </w:rPr>
        <w:t>其他文书、文件格式</w:t>
      </w:r>
    </w:p>
    <w:p w14:paraId="7F40F455">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bidi="ar"/>
        </w:rPr>
        <w:t>质疑函（格式）</w:t>
      </w:r>
    </w:p>
    <w:p w14:paraId="1D1B6C0A">
      <w:pPr>
        <w:pStyle w:val="25"/>
        <w:snapToGrid w:val="0"/>
        <w:spacing w:line="360" w:lineRule="auto"/>
        <w:ind w:firstLine="482" w:firstLineChars="200"/>
        <w:outlineLvl w:val="2"/>
        <w:rPr>
          <w:rFonts w:hint="eastAsia" w:ascii="宋体" w:hAnsi="宋体" w:cs="宋体"/>
          <w:b/>
          <w:bCs/>
          <w:color w:val="auto"/>
          <w:highlight w:val="none"/>
        </w:rPr>
      </w:pPr>
      <w:r>
        <w:rPr>
          <w:rFonts w:hint="eastAsia" w:ascii="宋体" w:hAnsi="宋体" w:cs="宋体"/>
          <w:b/>
          <w:bCs/>
          <w:color w:val="auto"/>
          <w:highlight w:val="none"/>
          <w:lang w:bidi="ar"/>
        </w:rPr>
        <w:t>一、质疑供应商基本信息：</w:t>
      </w:r>
    </w:p>
    <w:p w14:paraId="3A630635">
      <w:pPr>
        <w:pStyle w:val="25"/>
        <w:snapToGrid w:val="0"/>
        <w:spacing w:line="360" w:lineRule="auto"/>
        <w:ind w:firstLine="480" w:firstLineChars="200"/>
        <w:rPr>
          <w:rFonts w:hint="eastAsia" w:ascii="宋体" w:hAnsi="宋体" w:cs="宋体"/>
          <w:bCs/>
          <w:color w:val="auto"/>
          <w:highlight w:val="none"/>
          <w:u w:val="single"/>
        </w:rPr>
      </w:pPr>
      <w:r>
        <w:rPr>
          <w:rFonts w:hint="eastAsia" w:ascii="宋体" w:hAnsi="宋体" w:cs="宋体"/>
          <w:bCs/>
          <w:color w:val="auto"/>
          <w:highlight w:val="none"/>
          <w:lang w:bidi="ar"/>
        </w:rPr>
        <w:t>质疑供应商：</w:t>
      </w:r>
      <w:r>
        <w:rPr>
          <w:rFonts w:hint="eastAsia" w:ascii="宋体" w:hAnsi="宋体" w:cs="宋体"/>
          <w:bCs/>
          <w:color w:val="auto"/>
          <w:highlight w:val="none"/>
          <w:u w:val="single"/>
          <w:lang w:bidi="ar"/>
        </w:rPr>
        <w:t xml:space="preserve">                                       </w:t>
      </w:r>
      <w:r>
        <w:rPr>
          <w:rFonts w:hint="eastAsia" w:ascii="宋体" w:hAnsi="宋体" w:cs="宋体"/>
          <w:bCs/>
          <w:color w:val="auto"/>
          <w:highlight w:val="none"/>
          <w:lang w:bidi="ar"/>
        </w:rPr>
        <w:t xml:space="preserve">                 </w:t>
      </w:r>
    </w:p>
    <w:p w14:paraId="36FC3F59">
      <w:pPr>
        <w:pStyle w:val="25"/>
        <w:snapToGrid w:val="0"/>
        <w:spacing w:line="360" w:lineRule="auto"/>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地址：</w:t>
      </w:r>
      <w:r>
        <w:rPr>
          <w:rFonts w:hint="eastAsia" w:ascii="宋体" w:hAnsi="宋体" w:cs="宋体"/>
          <w:bCs/>
          <w:color w:val="auto"/>
          <w:highlight w:val="none"/>
          <w:u w:val="single"/>
          <w:lang w:bidi="ar"/>
        </w:rPr>
        <w:t xml:space="preserve">                                          </w:t>
      </w:r>
      <w:r>
        <w:rPr>
          <w:rFonts w:hint="eastAsia" w:ascii="宋体" w:hAnsi="宋体" w:cs="宋体"/>
          <w:bCs/>
          <w:color w:val="auto"/>
          <w:highlight w:val="none"/>
          <w:lang w:bidi="ar"/>
        </w:rPr>
        <w:t>邮编：</w:t>
      </w:r>
      <w:r>
        <w:rPr>
          <w:rFonts w:hint="eastAsia" w:ascii="宋体" w:hAnsi="宋体" w:cs="宋体"/>
          <w:bCs/>
          <w:color w:val="auto"/>
          <w:highlight w:val="none"/>
          <w:u w:val="single"/>
          <w:lang w:bidi="ar"/>
        </w:rPr>
        <w:t xml:space="preserve">                  </w:t>
      </w:r>
      <w:r>
        <w:rPr>
          <w:rFonts w:hint="eastAsia" w:ascii="宋体" w:hAnsi="宋体" w:cs="宋体"/>
          <w:bCs/>
          <w:color w:val="auto"/>
          <w:highlight w:val="none"/>
          <w:lang w:bidi="ar"/>
        </w:rPr>
        <w:t xml:space="preserve">                 </w:t>
      </w:r>
    </w:p>
    <w:p w14:paraId="73C0ECDE">
      <w:pPr>
        <w:pStyle w:val="25"/>
        <w:snapToGrid w:val="0"/>
        <w:spacing w:line="360" w:lineRule="auto"/>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联系人：</w:t>
      </w:r>
      <w:r>
        <w:rPr>
          <w:rFonts w:hint="eastAsia" w:ascii="宋体" w:hAnsi="宋体" w:cs="宋体"/>
          <w:bCs/>
          <w:color w:val="auto"/>
          <w:highlight w:val="none"/>
          <w:u w:val="single"/>
          <w:lang w:bidi="ar"/>
        </w:rPr>
        <w:t xml:space="preserve">                     </w:t>
      </w:r>
      <w:r>
        <w:rPr>
          <w:rFonts w:hint="eastAsia" w:ascii="宋体" w:hAnsi="宋体" w:cs="宋体"/>
          <w:bCs/>
          <w:color w:val="auto"/>
          <w:highlight w:val="none"/>
          <w:lang w:bidi="ar"/>
        </w:rPr>
        <w:t>联系电话：</w:t>
      </w:r>
      <w:r>
        <w:rPr>
          <w:rFonts w:hint="eastAsia" w:ascii="宋体" w:hAnsi="宋体" w:cs="宋体"/>
          <w:bCs/>
          <w:color w:val="auto"/>
          <w:highlight w:val="none"/>
          <w:u w:val="single"/>
          <w:lang w:bidi="ar"/>
        </w:rPr>
        <w:t xml:space="preserve">                 </w:t>
      </w:r>
    </w:p>
    <w:p w14:paraId="47B71E8D">
      <w:pPr>
        <w:pStyle w:val="25"/>
        <w:snapToGrid w:val="0"/>
        <w:spacing w:line="360" w:lineRule="auto"/>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授权代表：</w:t>
      </w:r>
      <w:r>
        <w:rPr>
          <w:rFonts w:hint="eastAsia" w:ascii="宋体" w:hAnsi="宋体" w:cs="宋体"/>
          <w:bCs/>
          <w:color w:val="auto"/>
          <w:highlight w:val="none"/>
          <w:u w:val="single"/>
          <w:lang w:bidi="ar"/>
        </w:rPr>
        <w:t xml:space="preserve">                      </w:t>
      </w:r>
    </w:p>
    <w:p w14:paraId="60EA1090">
      <w:pPr>
        <w:pStyle w:val="25"/>
        <w:snapToGrid w:val="0"/>
        <w:spacing w:line="360" w:lineRule="auto"/>
        <w:ind w:firstLine="480" w:firstLineChars="200"/>
        <w:rPr>
          <w:rFonts w:hint="eastAsia" w:ascii="宋体" w:hAnsi="宋体" w:cs="宋体"/>
          <w:bCs/>
          <w:color w:val="auto"/>
          <w:highlight w:val="none"/>
          <w:u w:val="single"/>
        </w:rPr>
      </w:pPr>
      <w:r>
        <w:rPr>
          <w:rFonts w:hint="eastAsia" w:ascii="宋体" w:hAnsi="宋体" w:cs="宋体"/>
          <w:bCs/>
          <w:color w:val="auto"/>
          <w:highlight w:val="none"/>
          <w:lang w:bidi="ar"/>
        </w:rPr>
        <w:t>联系电话：</w:t>
      </w:r>
      <w:r>
        <w:rPr>
          <w:rFonts w:hint="eastAsia" w:ascii="宋体" w:hAnsi="宋体" w:cs="宋体"/>
          <w:bCs/>
          <w:color w:val="auto"/>
          <w:highlight w:val="none"/>
          <w:u w:val="single"/>
          <w:lang w:bidi="ar"/>
        </w:rPr>
        <w:t xml:space="preserve">                      </w:t>
      </w:r>
    </w:p>
    <w:p w14:paraId="0B6B2007">
      <w:pPr>
        <w:pStyle w:val="25"/>
        <w:snapToGrid w:val="0"/>
        <w:spacing w:line="360" w:lineRule="auto"/>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地址：</w:t>
      </w:r>
      <w:r>
        <w:rPr>
          <w:rFonts w:hint="eastAsia" w:ascii="宋体" w:hAnsi="宋体" w:cs="宋体"/>
          <w:bCs/>
          <w:color w:val="auto"/>
          <w:highlight w:val="none"/>
          <w:u w:val="single"/>
          <w:lang w:bidi="ar"/>
        </w:rPr>
        <w:t xml:space="preserve">                 </w:t>
      </w:r>
      <w:r>
        <w:rPr>
          <w:rFonts w:hint="eastAsia" w:ascii="宋体" w:hAnsi="宋体" w:cs="宋体"/>
          <w:bCs/>
          <w:color w:val="auto"/>
          <w:highlight w:val="none"/>
          <w:lang w:bidi="ar"/>
        </w:rPr>
        <w:t>邮编：</w:t>
      </w:r>
      <w:r>
        <w:rPr>
          <w:rFonts w:hint="eastAsia" w:ascii="宋体" w:hAnsi="宋体" w:cs="宋体"/>
          <w:bCs/>
          <w:color w:val="auto"/>
          <w:highlight w:val="none"/>
          <w:u w:val="single"/>
          <w:lang w:bidi="ar"/>
        </w:rPr>
        <w:t xml:space="preserve">                  </w:t>
      </w:r>
      <w:r>
        <w:rPr>
          <w:rFonts w:hint="eastAsia" w:ascii="宋体" w:hAnsi="宋体" w:cs="宋体"/>
          <w:bCs/>
          <w:color w:val="auto"/>
          <w:highlight w:val="none"/>
          <w:lang w:bidi="ar"/>
        </w:rPr>
        <w:t xml:space="preserve">     </w:t>
      </w:r>
    </w:p>
    <w:p w14:paraId="594A6A49">
      <w:pPr>
        <w:pStyle w:val="25"/>
        <w:snapToGrid w:val="0"/>
        <w:spacing w:line="360" w:lineRule="auto"/>
        <w:ind w:firstLine="482" w:firstLineChars="200"/>
        <w:outlineLvl w:val="2"/>
        <w:rPr>
          <w:rFonts w:hint="eastAsia" w:ascii="宋体" w:hAnsi="宋体" w:cs="宋体"/>
          <w:b/>
          <w:bCs/>
          <w:color w:val="auto"/>
          <w:highlight w:val="none"/>
        </w:rPr>
      </w:pPr>
      <w:r>
        <w:rPr>
          <w:rFonts w:hint="eastAsia" w:ascii="宋体" w:hAnsi="宋体" w:cs="宋体"/>
          <w:b/>
          <w:bCs/>
          <w:color w:val="auto"/>
          <w:highlight w:val="none"/>
          <w:lang w:bidi="ar"/>
        </w:rPr>
        <w:t>二、质疑项目基本情况：</w:t>
      </w:r>
    </w:p>
    <w:p w14:paraId="365B5226">
      <w:pPr>
        <w:pStyle w:val="25"/>
        <w:spacing w:line="360" w:lineRule="auto"/>
        <w:ind w:left="25" w:leftChars="12" w:firstLine="472" w:firstLineChars="197"/>
        <w:rPr>
          <w:rFonts w:hint="eastAsia" w:ascii="宋体" w:hAnsi="宋体" w:cs="宋体"/>
          <w:color w:val="auto"/>
          <w:highlight w:val="none"/>
        </w:rPr>
      </w:pPr>
      <w:r>
        <w:rPr>
          <w:rFonts w:hint="eastAsia" w:ascii="宋体" w:hAnsi="宋体" w:cs="宋体"/>
          <w:bCs/>
          <w:color w:val="auto"/>
          <w:highlight w:val="none"/>
          <w:lang w:bidi="ar"/>
        </w:rPr>
        <w:t>质疑</w:t>
      </w:r>
      <w:r>
        <w:rPr>
          <w:rFonts w:hint="eastAsia" w:ascii="宋体" w:hAnsi="宋体" w:cs="宋体"/>
          <w:color w:val="auto"/>
          <w:highlight w:val="none"/>
          <w:lang w:bidi="ar"/>
        </w:rPr>
        <w:t>项目的名称：</w:t>
      </w:r>
      <w:r>
        <w:rPr>
          <w:rFonts w:hint="eastAsia" w:ascii="宋体" w:hAnsi="宋体" w:cs="宋体"/>
          <w:bCs/>
          <w:color w:val="auto"/>
          <w:highlight w:val="none"/>
          <w:u w:val="single"/>
          <w:lang w:bidi="ar"/>
        </w:rPr>
        <w:t xml:space="preserve">                                     </w:t>
      </w:r>
    </w:p>
    <w:p w14:paraId="6363ED7D">
      <w:pPr>
        <w:pStyle w:val="25"/>
        <w:spacing w:line="360" w:lineRule="auto"/>
        <w:ind w:left="25" w:leftChars="12" w:firstLine="472" w:firstLineChars="197"/>
        <w:rPr>
          <w:rFonts w:hint="eastAsia" w:ascii="宋体" w:hAnsi="宋体" w:cs="宋体"/>
          <w:color w:val="auto"/>
          <w:highlight w:val="none"/>
        </w:rPr>
      </w:pPr>
      <w:r>
        <w:rPr>
          <w:rFonts w:hint="eastAsia" w:ascii="宋体" w:hAnsi="宋体" w:cs="宋体"/>
          <w:bCs/>
          <w:color w:val="auto"/>
          <w:highlight w:val="none"/>
          <w:lang w:bidi="ar"/>
        </w:rPr>
        <w:t>质疑</w:t>
      </w:r>
      <w:r>
        <w:rPr>
          <w:rFonts w:hint="eastAsia" w:ascii="宋体" w:hAnsi="宋体" w:cs="宋体"/>
          <w:color w:val="auto"/>
          <w:highlight w:val="none"/>
          <w:lang w:bidi="ar"/>
        </w:rPr>
        <w:t>项目的编号：</w:t>
      </w:r>
      <w:r>
        <w:rPr>
          <w:rFonts w:hint="eastAsia" w:ascii="宋体" w:hAnsi="宋体" w:cs="宋体"/>
          <w:bCs/>
          <w:color w:val="auto"/>
          <w:highlight w:val="none"/>
          <w:u w:val="single"/>
          <w:lang w:bidi="ar"/>
        </w:rPr>
        <w:t xml:space="preserve">                                     </w:t>
      </w:r>
    </w:p>
    <w:p w14:paraId="29B31765">
      <w:pPr>
        <w:pStyle w:val="25"/>
        <w:spacing w:line="360" w:lineRule="auto"/>
        <w:ind w:left="25" w:leftChars="12" w:firstLine="472" w:firstLineChars="197"/>
        <w:rPr>
          <w:rFonts w:hint="eastAsia" w:ascii="宋体" w:hAnsi="宋体" w:cs="宋体"/>
          <w:color w:val="auto"/>
          <w:highlight w:val="none"/>
        </w:rPr>
      </w:pPr>
      <w:r>
        <w:rPr>
          <w:rFonts w:hint="eastAsia" w:ascii="宋体" w:hAnsi="宋体" w:cs="宋体"/>
          <w:color w:val="auto"/>
          <w:highlight w:val="none"/>
          <w:lang w:bidi="ar"/>
        </w:rPr>
        <w:t>采购人名称：</w:t>
      </w:r>
      <w:r>
        <w:rPr>
          <w:rFonts w:hint="eastAsia" w:ascii="宋体" w:hAnsi="宋体" w:cs="宋体"/>
          <w:bCs/>
          <w:color w:val="auto"/>
          <w:highlight w:val="none"/>
          <w:u w:val="single"/>
          <w:lang w:bidi="ar"/>
        </w:rPr>
        <w:t xml:space="preserve">                                         </w:t>
      </w:r>
    </w:p>
    <w:p w14:paraId="1CC38B52">
      <w:pPr>
        <w:pStyle w:val="25"/>
        <w:spacing w:line="360" w:lineRule="auto"/>
        <w:ind w:left="25" w:leftChars="12" w:firstLine="472" w:firstLineChars="197"/>
        <w:rPr>
          <w:rFonts w:hint="eastAsia" w:ascii="宋体" w:hAnsi="宋体" w:cs="宋体"/>
          <w:color w:val="auto"/>
          <w:highlight w:val="none"/>
        </w:rPr>
      </w:pPr>
      <w:r>
        <w:rPr>
          <w:rFonts w:hint="eastAsia" w:ascii="宋体" w:hAnsi="宋体" w:cs="宋体"/>
          <w:color w:val="auto"/>
          <w:highlight w:val="none"/>
          <w:lang w:bidi="ar"/>
        </w:rPr>
        <w:t>质疑事项：</w:t>
      </w:r>
    </w:p>
    <w:p w14:paraId="405512D4">
      <w:pPr>
        <w:pStyle w:val="25"/>
        <w:spacing w:line="360" w:lineRule="auto"/>
        <w:ind w:left="25" w:leftChars="12" w:firstLine="352" w:firstLineChars="147"/>
        <w:rPr>
          <w:rFonts w:hint="eastAsia" w:ascii="宋体" w:hAnsi="宋体" w:cs="宋体"/>
          <w:color w:val="auto"/>
          <w:highlight w:val="none"/>
        </w:rPr>
      </w:pPr>
      <w:r>
        <w:rPr>
          <w:rFonts w:hint="eastAsia" w:ascii="宋体" w:hAnsi="宋体" w:cs="宋体"/>
          <w:color w:val="auto"/>
          <w:highlight w:val="none"/>
          <w:lang w:bidi="ar"/>
        </w:rPr>
        <w:t>□采购文件   采购文件获取日期：</w:t>
      </w:r>
      <w:r>
        <w:rPr>
          <w:rFonts w:hint="eastAsia" w:ascii="宋体" w:hAnsi="宋体" w:cs="宋体"/>
          <w:bCs/>
          <w:color w:val="auto"/>
          <w:highlight w:val="none"/>
          <w:u w:val="single"/>
          <w:lang w:bidi="ar"/>
        </w:rPr>
        <w:t xml:space="preserve">                                   </w:t>
      </w:r>
    </w:p>
    <w:p w14:paraId="00F027DC">
      <w:pPr>
        <w:pStyle w:val="25"/>
        <w:spacing w:line="360" w:lineRule="auto"/>
        <w:ind w:left="25" w:leftChars="12" w:firstLine="352" w:firstLineChars="147"/>
        <w:rPr>
          <w:rFonts w:hint="eastAsia" w:ascii="宋体" w:hAnsi="宋体" w:cs="宋体"/>
          <w:color w:val="auto"/>
          <w:highlight w:val="none"/>
        </w:rPr>
      </w:pPr>
      <w:r>
        <w:rPr>
          <w:rFonts w:hint="eastAsia" w:ascii="宋体" w:hAnsi="宋体" w:cs="宋体"/>
          <w:color w:val="auto"/>
          <w:highlight w:val="none"/>
          <w:lang w:bidi="ar"/>
        </w:rPr>
        <w:t xml:space="preserve">□采购过程   </w:t>
      </w:r>
    </w:p>
    <w:p w14:paraId="3E4B6D2F">
      <w:pPr>
        <w:pStyle w:val="25"/>
        <w:spacing w:line="360" w:lineRule="auto"/>
        <w:ind w:left="25" w:leftChars="12" w:firstLine="352" w:firstLineChars="147"/>
        <w:rPr>
          <w:rFonts w:hint="eastAsia" w:ascii="宋体" w:hAnsi="宋体" w:cs="宋体"/>
          <w:bCs/>
          <w:color w:val="auto"/>
          <w:highlight w:val="none"/>
          <w:u w:val="single"/>
        </w:rPr>
      </w:pPr>
      <w:r>
        <w:rPr>
          <w:rFonts w:hint="eastAsia" w:ascii="宋体" w:hAnsi="宋体" w:cs="宋体"/>
          <w:color w:val="auto"/>
          <w:highlight w:val="none"/>
          <w:lang w:bidi="ar"/>
        </w:rPr>
        <w:t xml:space="preserve">□成交结果   </w:t>
      </w:r>
    </w:p>
    <w:p w14:paraId="3738BF52">
      <w:pPr>
        <w:pStyle w:val="25"/>
        <w:spacing w:line="360" w:lineRule="auto"/>
        <w:ind w:left="25" w:leftChars="12" w:firstLine="472" w:firstLineChars="196"/>
        <w:outlineLvl w:val="2"/>
        <w:rPr>
          <w:rFonts w:hint="eastAsia" w:ascii="宋体" w:hAnsi="宋体" w:cs="宋体"/>
          <w:b/>
          <w:color w:val="auto"/>
          <w:highlight w:val="none"/>
        </w:rPr>
      </w:pPr>
      <w:r>
        <w:rPr>
          <w:rFonts w:hint="eastAsia" w:ascii="宋体" w:hAnsi="宋体" w:cs="宋体"/>
          <w:b/>
          <w:color w:val="auto"/>
          <w:highlight w:val="none"/>
          <w:lang w:bidi="ar"/>
        </w:rPr>
        <w:t>三、质疑事项具体内容</w:t>
      </w:r>
    </w:p>
    <w:p w14:paraId="589A874A">
      <w:pPr>
        <w:pStyle w:val="25"/>
        <w:spacing w:line="360" w:lineRule="auto"/>
        <w:ind w:left="25" w:leftChars="12" w:firstLine="472" w:firstLineChars="197"/>
        <w:rPr>
          <w:rFonts w:hint="eastAsia" w:ascii="宋体" w:hAnsi="宋体" w:cs="宋体"/>
          <w:color w:val="auto"/>
          <w:highlight w:val="none"/>
        </w:rPr>
      </w:pPr>
      <w:r>
        <w:rPr>
          <w:rFonts w:hint="eastAsia" w:ascii="宋体" w:hAnsi="宋体" w:cs="宋体"/>
          <w:color w:val="auto"/>
          <w:highlight w:val="none"/>
          <w:lang w:bidi="ar"/>
        </w:rPr>
        <w:t>质疑事项1：</w:t>
      </w:r>
      <w:r>
        <w:rPr>
          <w:rFonts w:hint="eastAsia" w:ascii="宋体" w:hAnsi="宋体" w:cs="宋体"/>
          <w:bCs/>
          <w:color w:val="auto"/>
          <w:highlight w:val="none"/>
          <w:u w:val="single"/>
          <w:lang w:bidi="ar"/>
        </w:rPr>
        <w:t xml:space="preserve">                                                                    </w:t>
      </w:r>
    </w:p>
    <w:p w14:paraId="3F084C2F">
      <w:pPr>
        <w:pStyle w:val="25"/>
        <w:spacing w:line="360" w:lineRule="auto"/>
        <w:ind w:left="25" w:leftChars="12" w:firstLine="472" w:firstLineChars="197"/>
        <w:rPr>
          <w:rFonts w:hint="eastAsia" w:ascii="宋体" w:hAnsi="宋体" w:cs="宋体"/>
          <w:color w:val="auto"/>
          <w:highlight w:val="none"/>
        </w:rPr>
      </w:pPr>
      <w:r>
        <w:rPr>
          <w:rFonts w:hint="eastAsia" w:ascii="宋体" w:hAnsi="宋体" w:cs="宋体"/>
          <w:color w:val="auto"/>
          <w:highlight w:val="none"/>
          <w:lang w:bidi="ar"/>
        </w:rPr>
        <w:t>事实依据：</w:t>
      </w:r>
      <w:r>
        <w:rPr>
          <w:rFonts w:hint="eastAsia" w:ascii="宋体" w:hAnsi="宋体" w:cs="宋体"/>
          <w:bCs/>
          <w:color w:val="auto"/>
          <w:highlight w:val="none"/>
          <w:u w:val="single"/>
          <w:lang w:bidi="ar"/>
        </w:rPr>
        <w:t xml:space="preserve">                                                                      </w:t>
      </w:r>
    </w:p>
    <w:p w14:paraId="70A3EE14">
      <w:pPr>
        <w:pStyle w:val="25"/>
        <w:spacing w:line="360" w:lineRule="auto"/>
        <w:ind w:left="25" w:leftChars="12" w:firstLine="472" w:firstLineChars="197"/>
        <w:rPr>
          <w:rFonts w:hint="eastAsia" w:ascii="宋体" w:hAnsi="宋体" w:cs="宋体"/>
          <w:color w:val="auto"/>
          <w:highlight w:val="none"/>
        </w:rPr>
      </w:pPr>
      <w:r>
        <w:rPr>
          <w:rFonts w:hint="eastAsia" w:ascii="宋体" w:hAnsi="宋体" w:cs="宋体"/>
          <w:color w:val="auto"/>
          <w:highlight w:val="none"/>
          <w:lang w:bidi="ar"/>
        </w:rPr>
        <w:t>法律依据：</w:t>
      </w:r>
      <w:r>
        <w:rPr>
          <w:rFonts w:hint="eastAsia" w:ascii="宋体" w:hAnsi="宋体" w:cs="宋体"/>
          <w:color w:val="auto"/>
          <w:highlight w:val="none"/>
          <w:u w:val="single"/>
          <w:lang w:bidi="ar"/>
        </w:rPr>
        <w:t xml:space="preserve">                                                        </w:t>
      </w:r>
      <w:r>
        <w:rPr>
          <w:rFonts w:hint="eastAsia" w:ascii="宋体" w:hAnsi="宋体" w:cs="宋体"/>
          <w:bCs/>
          <w:color w:val="auto"/>
          <w:highlight w:val="none"/>
          <w:u w:val="single"/>
          <w:lang w:bidi="ar"/>
        </w:rPr>
        <w:t xml:space="preserve">               </w:t>
      </w:r>
    </w:p>
    <w:p w14:paraId="74607DEF">
      <w:pPr>
        <w:pStyle w:val="25"/>
        <w:spacing w:line="360" w:lineRule="auto"/>
        <w:ind w:left="25" w:leftChars="12" w:firstLine="472" w:firstLineChars="197"/>
        <w:rPr>
          <w:rFonts w:hint="eastAsia" w:ascii="宋体" w:hAnsi="宋体" w:cs="宋体"/>
          <w:color w:val="auto"/>
          <w:highlight w:val="none"/>
        </w:rPr>
      </w:pPr>
      <w:r>
        <w:rPr>
          <w:rFonts w:hint="eastAsia" w:ascii="宋体" w:hAnsi="宋体" w:cs="宋体"/>
          <w:color w:val="auto"/>
          <w:highlight w:val="none"/>
          <w:lang w:bidi="ar"/>
        </w:rPr>
        <w:t>质疑事项2</w:t>
      </w:r>
    </w:p>
    <w:p w14:paraId="14768B36">
      <w:pPr>
        <w:pStyle w:val="25"/>
        <w:spacing w:line="360" w:lineRule="auto"/>
        <w:ind w:left="25" w:leftChars="12" w:firstLine="472" w:firstLineChars="197"/>
        <w:rPr>
          <w:rFonts w:hint="eastAsia" w:ascii="宋体" w:hAnsi="宋体" w:cs="宋体"/>
          <w:color w:val="auto"/>
          <w:highlight w:val="none"/>
        </w:rPr>
      </w:pPr>
      <w:r>
        <w:rPr>
          <w:rFonts w:hint="eastAsia" w:ascii="宋体" w:hAnsi="宋体" w:cs="宋体"/>
          <w:color w:val="auto"/>
          <w:highlight w:val="none"/>
          <w:lang w:bidi="ar"/>
        </w:rPr>
        <w:t>……</w:t>
      </w:r>
    </w:p>
    <w:p w14:paraId="37BC57F6">
      <w:pPr>
        <w:pStyle w:val="25"/>
        <w:spacing w:line="360" w:lineRule="auto"/>
        <w:ind w:left="25" w:leftChars="12" w:firstLine="472" w:firstLineChars="196"/>
        <w:outlineLvl w:val="2"/>
        <w:rPr>
          <w:rFonts w:hint="eastAsia" w:ascii="宋体" w:hAnsi="宋体" w:cs="宋体"/>
          <w:b/>
          <w:color w:val="auto"/>
          <w:highlight w:val="none"/>
          <w:lang w:bidi="ar"/>
        </w:rPr>
      </w:pPr>
      <w:r>
        <w:rPr>
          <w:rFonts w:hint="eastAsia" w:ascii="宋体" w:hAnsi="宋体" w:cs="宋体"/>
          <w:b/>
          <w:color w:val="auto"/>
          <w:highlight w:val="none"/>
          <w:lang w:bidi="ar"/>
        </w:rPr>
        <w:t>四、与质疑事项相关的质疑请求：</w:t>
      </w:r>
    </w:p>
    <w:p w14:paraId="3225B0A2">
      <w:pPr>
        <w:pStyle w:val="25"/>
        <w:spacing w:line="360" w:lineRule="auto"/>
        <w:ind w:left="25" w:leftChars="12" w:firstLine="472" w:firstLineChars="197"/>
        <w:rPr>
          <w:rFonts w:hint="eastAsia" w:ascii="宋体" w:hAnsi="宋体" w:cs="宋体"/>
          <w:color w:val="auto"/>
          <w:highlight w:val="none"/>
        </w:rPr>
      </w:pPr>
      <w:r>
        <w:rPr>
          <w:rFonts w:hint="eastAsia" w:ascii="宋体" w:hAnsi="宋体" w:cs="宋体"/>
          <w:color w:val="auto"/>
          <w:highlight w:val="none"/>
          <w:lang w:bidi="ar"/>
        </w:rPr>
        <w:t>请求：</w:t>
      </w:r>
      <w:r>
        <w:rPr>
          <w:rFonts w:hint="eastAsia" w:ascii="宋体" w:hAnsi="宋体" w:cs="宋体"/>
          <w:bCs/>
          <w:color w:val="auto"/>
          <w:highlight w:val="none"/>
          <w:u w:val="single"/>
          <w:lang w:bidi="ar"/>
        </w:rPr>
        <w:t xml:space="preserve">                                                                </w:t>
      </w:r>
    </w:p>
    <w:p w14:paraId="715C8E3F">
      <w:pPr>
        <w:pStyle w:val="25"/>
        <w:spacing w:line="360" w:lineRule="auto"/>
        <w:ind w:left="25" w:leftChars="12" w:firstLine="352" w:firstLineChars="147"/>
        <w:rPr>
          <w:rFonts w:hint="eastAsia" w:ascii="宋体" w:hAnsi="宋体" w:cs="宋体"/>
          <w:color w:val="auto"/>
          <w:highlight w:val="none"/>
        </w:rPr>
      </w:pPr>
      <w:r>
        <w:rPr>
          <w:rFonts w:hint="eastAsia" w:ascii="宋体" w:hAnsi="宋体" w:cs="宋体"/>
          <w:color w:val="auto"/>
          <w:highlight w:val="none"/>
          <w:lang w:bidi="ar"/>
        </w:rPr>
        <w:t xml:space="preserve"> 签字（签章）：                                       公章：</w:t>
      </w:r>
    </w:p>
    <w:p w14:paraId="39B992E7">
      <w:pPr>
        <w:pStyle w:val="25"/>
        <w:spacing w:line="360" w:lineRule="auto"/>
        <w:ind w:left="25" w:leftChars="12" w:firstLine="352" w:firstLineChars="147"/>
        <w:rPr>
          <w:rFonts w:hint="eastAsia" w:ascii="宋体" w:hAnsi="宋体" w:cs="宋体"/>
          <w:color w:val="auto"/>
          <w:highlight w:val="none"/>
        </w:rPr>
      </w:pPr>
      <w:r>
        <w:rPr>
          <w:rFonts w:hint="eastAsia" w:ascii="宋体" w:hAnsi="宋体" w:cs="宋体"/>
          <w:color w:val="auto"/>
          <w:highlight w:val="none"/>
          <w:lang w:bidi="ar"/>
        </w:rPr>
        <w:t xml:space="preserve"> 日期：</w:t>
      </w:r>
    </w:p>
    <w:p w14:paraId="245368F7">
      <w:pPr>
        <w:pStyle w:val="25"/>
        <w:snapToGrid w:val="0"/>
        <w:spacing w:line="360" w:lineRule="auto"/>
        <w:rPr>
          <w:rFonts w:hint="eastAsia" w:ascii="宋体" w:hAnsi="宋体" w:cs="宋体"/>
          <w:b/>
          <w:color w:val="auto"/>
          <w:highlight w:val="none"/>
        </w:rPr>
      </w:pPr>
      <w:r>
        <w:rPr>
          <w:rFonts w:hint="eastAsia" w:ascii="宋体" w:hAnsi="宋体" w:cs="宋体"/>
          <w:b/>
          <w:color w:val="auto"/>
          <w:highlight w:val="none"/>
          <w:lang w:bidi="ar"/>
        </w:rPr>
        <w:t xml:space="preserve"> 说明：</w:t>
      </w:r>
    </w:p>
    <w:p w14:paraId="35518345">
      <w:pPr>
        <w:pStyle w:val="25"/>
        <w:spacing w:line="360" w:lineRule="auto"/>
        <w:ind w:left="25" w:leftChars="12" w:firstLine="354" w:firstLineChars="147"/>
        <w:rPr>
          <w:rFonts w:hint="eastAsia" w:ascii="宋体" w:hAnsi="宋体" w:cs="宋体"/>
          <w:b/>
          <w:bCs/>
          <w:color w:val="auto"/>
          <w:highlight w:val="none"/>
        </w:rPr>
      </w:pPr>
      <w:r>
        <w:rPr>
          <w:rFonts w:hint="eastAsia" w:ascii="宋体" w:hAnsi="宋体" w:cs="宋体"/>
          <w:b/>
          <w:color w:val="auto"/>
          <w:highlight w:val="none"/>
          <w:lang w:bidi="ar"/>
        </w:rPr>
        <w:t>1.供应商提出质疑时，应提交质疑函和必要的证明材料</w:t>
      </w:r>
      <w:r>
        <w:rPr>
          <w:rFonts w:hint="eastAsia" w:ascii="宋体" w:hAnsi="宋体" w:cs="宋体"/>
          <w:b/>
          <w:bCs/>
          <w:color w:val="auto"/>
          <w:highlight w:val="none"/>
          <w:lang w:bidi="ar"/>
        </w:rPr>
        <w:t>。</w:t>
      </w:r>
    </w:p>
    <w:p w14:paraId="23DADBE8">
      <w:pPr>
        <w:pStyle w:val="25"/>
        <w:spacing w:line="360" w:lineRule="auto"/>
        <w:ind w:left="25" w:leftChars="12" w:firstLine="354" w:firstLineChars="147"/>
        <w:rPr>
          <w:rFonts w:hint="eastAsia" w:ascii="宋体" w:hAnsi="宋体" w:cs="宋体"/>
          <w:b/>
          <w:color w:val="auto"/>
          <w:highlight w:val="none"/>
        </w:rPr>
      </w:pPr>
      <w:r>
        <w:rPr>
          <w:rFonts w:hint="eastAsia" w:ascii="宋体" w:hAnsi="宋体" w:cs="宋体"/>
          <w:b/>
          <w:color w:val="auto"/>
          <w:highlight w:val="none"/>
          <w:lang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2935A51">
      <w:pPr>
        <w:pStyle w:val="25"/>
        <w:spacing w:line="360" w:lineRule="auto"/>
        <w:ind w:left="25" w:leftChars="12" w:firstLine="354" w:firstLineChars="147"/>
        <w:rPr>
          <w:rFonts w:hint="eastAsia" w:ascii="宋体" w:hAnsi="宋体" w:cs="宋体"/>
          <w:b/>
          <w:color w:val="auto"/>
          <w:highlight w:val="none"/>
        </w:rPr>
      </w:pPr>
      <w:r>
        <w:rPr>
          <w:rFonts w:hint="eastAsia" w:ascii="宋体" w:hAnsi="宋体" w:cs="宋体"/>
          <w:b/>
          <w:color w:val="auto"/>
          <w:highlight w:val="none"/>
          <w:lang w:bidi="ar"/>
        </w:rPr>
        <w:t>3.质疑函的质疑事项应具体、明确，并有必要的事实依据和法律依据。</w:t>
      </w:r>
    </w:p>
    <w:p w14:paraId="07C07DD9">
      <w:pPr>
        <w:pStyle w:val="25"/>
        <w:spacing w:line="360" w:lineRule="auto"/>
        <w:ind w:left="25" w:leftChars="12" w:firstLine="354" w:firstLineChars="147"/>
        <w:rPr>
          <w:rFonts w:hint="eastAsia" w:ascii="宋体" w:hAnsi="宋体" w:cs="宋体"/>
          <w:b/>
          <w:color w:val="auto"/>
          <w:highlight w:val="none"/>
        </w:rPr>
      </w:pPr>
      <w:r>
        <w:rPr>
          <w:rFonts w:hint="eastAsia" w:ascii="宋体" w:hAnsi="宋体" w:cs="宋体"/>
          <w:b/>
          <w:color w:val="auto"/>
          <w:highlight w:val="none"/>
          <w:lang w:bidi="ar"/>
        </w:rPr>
        <w:t>4.质疑函的质疑请求应与质疑事项相关。</w:t>
      </w:r>
    </w:p>
    <w:p w14:paraId="46460896">
      <w:pPr>
        <w:pStyle w:val="25"/>
        <w:spacing w:line="360" w:lineRule="auto"/>
        <w:ind w:left="25" w:leftChars="12" w:firstLine="354" w:firstLineChars="147"/>
        <w:rPr>
          <w:rFonts w:hint="eastAsia" w:ascii="宋体" w:hAnsi="宋体" w:cs="宋体"/>
          <w:color w:val="auto"/>
          <w:highlight w:val="none"/>
        </w:rPr>
      </w:pPr>
      <w:r>
        <w:rPr>
          <w:rFonts w:hint="eastAsia" w:ascii="宋体" w:hAnsi="宋体" w:cs="宋体"/>
          <w:b/>
          <w:color w:val="auto"/>
          <w:highlight w:val="none"/>
          <w:lang w:bidi="ar"/>
        </w:rPr>
        <w:t>5.质疑供应商为法人或者其他组织的，质疑函应由法定代表人、主要负责人，或者其授权代表签字或者盖章，并加盖公章。</w:t>
      </w:r>
    </w:p>
    <w:p w14:paraId="028F274C">
      <w:pPr>
        <w:pStyle w:val="11"/>
        <w:rPr>
          <w:rFonts w:hint="eastAsia" w:ascii="宋体" w:hAnsi="宋体" w:cs="宋体"/>
          <w:color w:val="auto"/>
          <w:highlight w:val="none"/>
        </w:rPr>
      </w:pPr>
    </w:p>
    <w:p w14:paraId="347B30E3">
      <w:pPr>
        <w:pStyle w:val="11"/>
        <w:rPr>
          <w:rFonts w:hint="eastAsia" w:ascii="宋体" w:hAnsi="宋体" w:cs="宋体"/>
          <w:color w:val="auto"/>
          <w:highlight w:val="none"/>
        </w:rPr>
      </w:pPr>
    </w:p>
    <w:p w14:paraId="6D3F2082">
      <w:pPr>
        <w:spacing w:line="360" w:lineRule="auto"/>
        <w:jc w:val="center"/>
        <w:rPr>
          <w:rFonts w:hint="eastAsia" w:ascii="宋体" w:hAnsi="宋体" w:cs="宋体"/>
          <w:b/>
          <w:color w:val="auto"/>
          <w:sz w:val="32"/>
          <w:highlight w:val="none"/>
        </w:rPr>
      </w:pPr>
      <w:r>
        <w:rPr>
          <w:rFonts w:hint="eastAsia" w:ascii="宋体" w:hAnsi="宋体" w:cs="宋体"/>
          <w:b/>
          <w:color w:val="auto"/>
          <w:sz w:val="32"/>
          <w:highlight w:val="none"/>
        </w:rPr>
        <w:t>投诉书（格式）</w:t>
      </w:r>
    </w:p>
    <w:p w14:paraId="7B935586">
      <w:pPr>
        <w:snapToGrid w:val="0"/>
        <w:spacing w:line="360" w:lineRule="auto"/>
        <w:ind w:firstLine="482" w:firstLineChars="200"/>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一、投诉相关主体基本情况：</w:t>
      </w:r>
    </w:p>
    <w:p w14:paraId="5D428444">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61F07802">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0862EE96">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法定代表人/主要负责人：</w:t>
      </w:r>
      <w:r>
        <w:rPr>
          <w:rFonts w:hint="eastAsia" w:ascii="宋体" w:hAnsi="宋体" w:cs="宋体"/>
          <w:color w:val="auto"/>
          <w:kern w:val="0"/>
          <w:sz w:val="24"/>
          <w:highlight w:val="none"/>
          <w:u w:val="single"/>
        </w:rPr>
        <w:t xml:space="preserve">                                                         </w:t>
      </w:r>
    </w:p>
    <w:p w14:paraId="4A3FDF76">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2B2F8014">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授权代表：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6EB91335">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p>
    <w:p w14:paraId="5D933E63">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4461648B">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被投诉人1：</w:t>
      </w:r>
    </w:p>
    <w:p w14:paraId="22B79733">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p>
    <w:p w14:paraId="149BECB7">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19295CDB">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2D4A8FE5">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被投诉人2：</w:t>
      </w:r>
    </w:p>
    <w:p w14:paraId="02DE1A72">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57B2CDB4">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相关供应商：</w:t>
      </w:r>
      <w:r>
        <w:rPr>
          <w:rFonts w:hint="eastAsia" w:ascii="宋体" w:hAnsi="宋体" w:cs="宋体"/>
          <w:color w:val="auto"/>
          <w:kern w:val="0"/>
          <w:sz w:val="24"/>
          <w:highlight w:val="none"/>
          <w:u w:val="single"/>
        </w:rPr>
        <w:t xml:space="preserve">                                                                       </w:t>
      </w:r>
    </w:p>
    <w:p w14:paraId="5B8E6C1A">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p>
    <w:p w14:paraId="35BB52C1">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074571E7">
      <w:pPr>
        <w:snapToGrid w:val="0"/>
        <w:spacing w:line="360" w:lineRule="auto"/>
        <w:ind w:firstLine="482" w:firstLineChars="200"/>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二、投诉项目基本情况：</w:t>
      </w:r>
    </w:p>
    <w:p w14:paraId="4664CE4D">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采购项目的名称：</w:t>
      </w:r>
      <w:r>
        <w:rPr>
          <w:rFonts w:hint="eastAsia" w:ascii="宋体" w:hAnsi="宋体" w:cs="宋体"/>
          <w:color w:val="auto"/>
          <w:kern w:val="0"/>
          <w:sz w:val="24"/>
          <w:highlight w:val="none"/>
          <w:u w:val="single"/>
        </w:rPr>
        <w:t xml:space="preserve">                                                                   </w:t>
      </w:r>
    </w:p>
    <w:p w14:paraId="3CD22984">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采购项目的编号：</w:t>
      </w:r>
      <w:r>
        <w:rPr>
          <w:rFonts w:hint="eastAsia" w:ascii="宋体" w:hAnsi="宋体" w:cs="宋体"/>
          <w:color w:val="auto"/>
          <w:kern w:val="0"/>
          <w:sz w:val="24"/>
          <w:highlight w:val="none"/>
          <w:u w:val="single"/>
        </w:rPr>
        <w:t xml:space="preserve">                                          </w:t>
      </w:r>
    </w:p>
    <w:p w14:paraId="704CB4ED">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采购人名称：</w:t>
      </w:r>
      <w:r>
        <w:rPr>
          <w:rFonts w:hint="eastAsia" w:ascii="宋体" w:hAnsi="宋体" w:cs="宋体"/>
          <w:color w:val="auto"/>
          <w:kern w:val="0"/>
          <w:sz w:val="24"/>
          <w:highlight w:val="none"/>
          <w:u w:val="single"/>
        </w:rPr>
        <w:t xml:space="preserve">                                                                        </w:t>
      </w:r>
    </w:p>
    <w:p w14:paraId="31576F33">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代理机构名称：</w:t>
      </w:r>
      <w:r>
        <w:rPr>
          <w:rFonts w:hint="eastAsia" w:ascii="宋体" w:hAnsi="宋体" w:cs="宋体"/>
          <w:color w:val="auto"/>
          <w:kern w:val="0"/>
          <w:sz w:val="24"/>
          <w:highlight w:val="none"/>
          <w:u w:val="single"/>
        </w:rPr>
        <w:t xml:space="preserve">                                                                      </w:t>
      </w:r>
    </w:p>
    <w:p w14:paraId="529164F3">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招标文件公告：</w:t>
      </w:r>
      <w:r>
        <w:rPr>
          <w:rFonts w:hint="eastAsia" w:ascii="宋体" w:hAnsi="宋体" w:cs="宋体"/>
          <w:color w:val="auto"/>
          <w:kern w:val="0"/>
          <w:sz w:val="24"/>
          <w:highlight w:val="none"/>
          <w:u w:val="single"/>
        </w:rPr>
        <w:t>是/否</w:t>
      </w:r>
      <w:r>
        <w:rPr>
          <w:rFonts w:hint="eastAsia" w:ascii="宋体" w:hAnsi="宋体" w:cs="宋体"/>
          <w:color w:val="auto"/>
          <w:kern w:val="0"/>
          <w:sz w:val="24"/>
          <w:highlight w:val="none"/>
        </w:rPr>
        <w:t>公告期限：</w:t>
      </w:r>
      <w:r>
        <w:rPr>
          <w:rFonts w:hint="eastAsia" w:ascii="宋体" w:hAnsi="宋体" w:cs="宋体"/>
          <w:color w:val="auto"/>
          <w:kern w:val="0"/>
          <w:sz w:val="24"/>
          <w:highlight w:val="none"/>
          <w:u w:val="single"/>
        </w:rPr>
        <w:t xml:space="preserve">                                                       </w:t>
      </w:r>
    </w:p>
    <w:p w14:paraId="75AFCF72">
      <w:pPr>
        <w:spacing w:line="360" w:lineRule="auto"/>
        <w:ind w:left="25" w:leftChars="12" w:firstLine="472" w:firstLineChars="197"/>
        <w:rPr>
          <w:rFonts w:hint="eastAsia" w:ascii="宋体" w:hAnsi="宋体" w:cs="宋体"/>
          <w:b/>
          <w:color w:val="auto"/>
          <w:kern w:val="0"/>
          <w:sz w:val="24"/>
          <w:highlight w:val="none"/>
        </w:rPr>
      </w:pPr>
      <w:r>
        <w:rPr>
          <w:rFonts w:hint="eastAsia" w:ascii="宋体" w:hAnsi="宋体" w:cs="宋体"/>
          <w:color w:val="auto"/>
          <w:kern w:val="0"/>
          <w:sz w:val="24"/>
          <w:highlight w:val="none"/>
        </w:rPr>
        <w:t>采购结果公告：</w:t>
      </w:r>
      <w:r>
        <w:rPr>
          <w:rFonts w:hint="eastAsia" w:ascii="宋体" w:hAnsi="宋体" w:cs="宋体"/>
          <w:color w:val="auto"/>
          <w:kern w:val="0"/>
          <w:sz w:val="24"/>
          <w:highlight w:val="none"/>
          <w:u w:val="single"/>
        </w:rPr>
        <w:t>是/否</w:t>
      </w:r>
      <w:r>
        <w:rPr>
          <w:rFonts w:hint="eastAsia" w:ascii="宋体" w:hAnsi="宋体" w:cs="宋体"/>
          <w:color w:val="auto"/>
          <w:kern w:val="0"/>
          <w:sz w:val="24"/>
          <w:highlight w:val="none"/>
        </w:rPr>
        <w:t>公告期限：</w:t>
      </w:r>
      <w:r>
        <w:rPr>
          <w:rFonts w:hint="eastAsia" w:ascii="宋体" w:hAnsi="宋体" w:cs="宋体"/>
          <w:color w:val="auto"/>
          <w:kern w:val="0"/>
          <w:sz w:val="24"/>
          <w:highlight w:val="none"/>
          <w:u w:val="single"/>
        </w:rPr>
        <w:t xml:space="preserve">                                                       </w:t>
      </w:r>
    </w:p>
    <w:p w14:paraId="39997F8E">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三、质疑基本情况</w:t>
      </w:r>
    </w:p>
    <w:p w14:paraId="229B5D0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投诉人于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提出质疑，质疑事项为：</w:t>
      </w:r>
    </w:p>
    <w:p w14:paraId="1EC6BC8D">
      <w:pPr>
        <w:spacing w:line="360" w:lineRule="auto"/>
        <w:ind w:firstLine="241"/>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0AC56464">
      <w:pPr>
        <w:spacing w:line="360" w:lineRule="auto"/>
        <w:ind w:firstLine="241"/>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7520F2E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u w:val="single"/>
        </w:rPr>
        <w:t>采购人/代理机构</w:t>
      </w:r>
      <w:r>
        <w:rPr>
          <w:rFonts w:hint="eastAsia" w:ascii="宋体" w:hAnsi="宋体" w:cs="宋体"/>
          <w:color w:val="auto"/>
          <w:kern w:val="0"/>
          <w:sz w:val="24"/>
          <w:highlight w:val="none"/>
        </w:rPr>
        <w:t>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日，就质疑事项作出了答复/没有在法定期限内作出答复。                                                                                             </w:t>
      </w:r>
    </w:p>
    <w:p w14:paraId="0C80328D">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四、投诉事项具体内容</w:t>
      </w:r>
    </w:p>
    <w:p w14:paraId="02D58098">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投诉事项1：</w:t>
      </w:r>
      <w:r>
        <w:rPr>
          <w:rFonts w:hint="eastAsia" w:ascii="宋体" w:hAnsi="宋体" w:cs="宋体"/>
          <w:color w:val="auto"/>
          <w:kern w:val="0"/>
          <w:sz w:val="24"/>
          <w:highlight w:val="none"/>
          <w:u w:val="single"/>
        </w:rPr>
        <w:t xml:space="preserve">                                                                           </w:t>
      </w:r>
    </w:p>
    <w:p w14:paraId="320F0608">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事实依据： </w:t>
      </w:r>
      <w:r>
        <w:rPr>
          <w:rFonts w:hint="eastAsia" w:ascii="宋体" w:hAnsi="宋体" w:cs="宋体"/>
          <w:color w:val="auto"/>
          <w:kern w:val="0"/>
          <w:sz w:val="24"/>
          <w:highlight w:val="none"/>
          <w:u w:val="single"/>
        </w:rPr>
        <w:t xml:space="preserve">                                                                                      </w:t>
      </w:r>
    </w:p>
    <w:p w14:paraId="3D41FE2A">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u w:val="single"/>
        </w:rPr>
        <w:t xml:space="preserve">                                                                                        </w:t>
      </w:r>
    </w:p>
    <w:p w14:paraId="01A05F4C">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法律依据： </w:t>
      </w:r>
      <w:r>
        <w:rPr>
          <w:rFonts w:hint="eastAsia" w:ascii="宋体" w:hAnsi="宋体" w:cs="宋体"/>
          <w:color w:val="auto"/>
          <w:kern w:val="0"/>
          <w:sz w:val="24"/>
          <w:highlight w:val="none"/>
          <w:u w:val="single"/>
        </w:rPr>
        <w:t xml:space="preserve">                                                                                      </w:t>
      </w:r>
    </w:p>
    <w:p w14:paraId="68DA5E34">
      <w:pPr>
        <w:spacing w:line="360" w:lineRule="auto"/>
        <w:ind w:left="25" w:leftChars="12" w:firstLine="352" w:firstLineChars="14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3830AAA5">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投诉事项2     </w:t>
      </w:r>
    </w:p>
    <w:p w14:paraId="72373CB8">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55B94ED0">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五、与投诉事项相关的投诉请求：</w:t>
      </w:r>
    </w:p>
    <w:p w14:paraId="264A45E7">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请求：</w:t>
      </w:r>
      <w:r>
        <w:rPr>
          <w:rFonts w:hint="eastAsia" w:ascii="宋体" w:hAnsi="宋体" w:cs="宋体"/>
          <w:color w:val="auto"/>
          <w:kern w:val="0"/>
          <w:sz w:val="24"/>
          <w:highlight w:val="none"/>
          <w:u w:val="single"/>
        </w:rPr>
        <w:t xml:space="preserve">                                                                                 </w:t>
      </w:r>
    </w:p>
    <w:p w14:paraId="5EC7AAEE">
      <w:pPr>
        <w:spacing w:line="360" w:lineRule="auto"/>
        <w:ind w:left="25" w:leftChars="12" w:firstLine="352" w:firstLineChars="147"/>
        <w:rPr>
          <w:rFonts w:hint="eastAsia" w:ascii="宋体" w:hAnsi="宋体" w:cs="宋体"/>
          <w:color w:val="auto"/>
          <w:kern w:val="0"/>
          <w:sz w:val="24"/>
          <w:highlight w:val="none"/>
        </w:rPr>
      </w:pPr>
    </w:p>
    <w:p w14:paraId="0AC3D7ED">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签字（签章）：                                       公章：</w:t>
      </w:r>
    </w:p>
    <w:p w14:paraId="57ED95FE">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日期：                                                                               </w:t>
      </w:r>
    </w:p>
    <w:p w14:paraId="53BACE62">
      <w:pPr>
        <w:snapToGrid w:val="0"/>
        <w:spacing w:line="360" w:lineRule="auto"/>
        <w:rPr>
          <w:rFonts w:hint="eastAsia" w:ascii="宋体" w:hAnsi="宋体" w:cs="宋体"/>
          <w:b/>
          <w:color w:val="auto"/>
          <w:kern w:val="0"/>
          <w:sz w:val="24"/>
          <w:highlight w:val="none"/>
        </w:rPr>
      </w:pPr>
    </w:p>
    <w:p w14:paraId="3A424CF6">
      <w:pPr>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说明：</w:t>
      </w:r>
    </w:p>
    <w:p w14:paraId="23149F26">
      <w:pPr>
        <w:spacing w:line="360" w:lineRule="auto"/>
        <w:ind w:left="25" w:leftChars="12" w:firstLine="354" w:firstLineChars="147"/>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1.投诉人提起投诉时，应当提交投诉书和必要的证明材料，并按照被投诉人和与投诉事项有关的供应商数量提供投诉书副本。</w:t>
      </w:r>
    </w:p>
    <w:p w14:paraId="11FEF068">
      <w:pPr>
        <w:spacing w:line="360" w:lineRule="auto"/>
        <w:ind w:left="25" w:leftChars="12" w:firstLine="354" w:firstLineChars="147"/>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CAA173F">
      <w:pPr>
        <w:spacing w:line="360" w:lineRule="auto"/>
        <w:ind w:left="25" w:leftChars="12" w:firstLine="354" w:firstLineChars="147"/>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3.投诉书应简要列明质疑事项，质疑函、质疑答复等作为附件材料提供。</w:t>
      </w:r>
    </w:p>
    <w:p w14:paraId="125D1EEF">
      <w:pPr>
        <w:spacing w:line="360" w:lineRule="auto"/>
        <w:ind w:left="25" w:leftChars="12" w:firstLine="354" w:firstLineChars="147"/>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4.投诉书的投诉事项应具体、明确，并有必要的事实依据和法律依据。</w:t>
      </w:r>
    </w:p>
    <w:p w14:paraId="1E8A69B4">
      <w:pPr>
        <w:spacing w:line="360" w:lineRule="auto"/>
        <w:ind w:left="25" w:leftChars="12" w:firstLine="354" w:firstLineChars="147"/>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5.投诉书的投诉请求应与投诉事项相关。</w:t>
      </w:r>
    </w:p>
    <w:p w14:paraId="4261CA1C">
      <w:pPr>
        <w:spacing w:line="360" w:lineRule="auto"/>
        <w:ind w:left="25" w:leftChars="12" w:firstLine="354" w:firstLineChars="147"/>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6.投诉人为法人或者其他组织的，投诉书应由法定代表人、主要负责人，或者其授权代表签字或者盖章，并加盖公章。</w:t>
      </w:r>
    </w:p>
    <w:p w14:paraId="289B51BC">
      <w:pPr>
        <w:pageBreakBefore w:val="0"/>
        <w:kinsoku/>
        <w:wordWrap w:val="0"/>
        <w:overflowPunct/>
        <w:topLinePunct/>
        <w:autoSpaceDE/>
        <w:autoSpaceDN/>
        <w:bidi w:val="0"/>
        <w:spacing w:beforeLines="0" w:afterLines="0" w:line="360" w:lineRule="auto"/>
        <w:ind w:left="25" w:leftChars="12" w:firstLine="354" w:firstLineChars="147"/>
        <w:rPr>
          <w:rFonts w:hint="eastAsia" w:ascii="宋体" w:hAnsi="宋体" w:eastAsia="宋体" w:cs="宋体"/>
          <w:b/>
          <w:bCs w:val="0"/>
          <w:color w:val="auto"/>
          <w:spacing w:val="0"/>
          <w:w w:val="100"/>
          <w:kern w:val="0"/>
          <w:position w:val="0"/>
          <w:sz w:val="24"/>
          <w:szCs w:val="24"/>
          <w:highlight w:val="none"/>
          <w:lang w:val="en-US" w:eastAsia="zh-CN" w:bidi="ar-SA"/>
        </w:rPr>
      </w:pPr>
    </w:p>
    <w:p w14:paraId="5A47A8C8">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color w:val="auto"/>
          <w:spacing w:val="0"/>
          <w:kern w:val="0"/>
          <w:position w:val="0"/>
          <w:szCs w:val="21"/>
          <w:highlight w:val="none"/>
          <w:lang w:eastAsia="zh-CN"/>
        </w:rPr>
        <w:sectPr>
          <w:pgSz w:w="11906" w:h="16838"/>
          <w:pgMar w:top="1440" w:right="1080" w:bottom="1440" w:left="1080" w:header="851" w:footer="992" w:gutter="0"/>
          <w:cols w:space="0" w:num="1"/>
          <w:docGrid w:type="lines" w:linePitch="312" w:charSpace="0"/>
        </w:sectPr>
      </w:pPr>
    </w:p>
    <w:p w14:paraId="1A3EC89C">
      <w:pPr>
        <w:pStyle w:val="40"/>
        <w:keepNext w:val="0"/>
        <w:keepLines w:val="0"/>
        <w:pageBreakBefore w:val="0"/>
        <w:widowControl w:val="0"/>
        <w:numPr>
          <w:ilvl w:val="0"/>
          <w:numId w:val="0"/>
        </w:numPr>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21"/>
          <w:szCs w:val="24"/>
          <w:highlight w:val="none"/>
        </w:rPr>
      </w:pPr>
    </w:p>
    <w:p w14:paraId="31D019E5">
      <w:pPr>
        <w:pStyle w:val="3"/>
        <w:pageBreakBefore w:val="0"/>
        <w:numPr>
          <w:ilvl w:val="0"/>
          <w:numId w:val="2"/>
        </w:numPr>
        <w:kinsoku/>
        <w:wordWrap w:val="0"/>
        <w:overflowPunct/>
        <w:topLinePunct/>
        <w:autoSpaceDE/>
        <w:autoSpaceDN/>
        <w:bidi w:val="0"/>
        <w:spacing w:line="560" w:lineRule="exact"/>
        <w:jc w:val="center"/>
        <w:rPr>
          <w:rFonts w:hint="eastAsia" w:ascii="宋体" w:hAnsi="宋体" w:eastAsia="宋体" w:cs="宋体"/>
          <w:color w:val="auto"/>
          <w:spacing w:val="0"/>
          <w:kern w:val="0"/>
          <w:position w:val="0"/>
          <w:sz w:val="36"/>
          <w:szCs w:val="36"/>
          <w:highlight w:val="none"/>
        </w:rPr>
      </w:pPr>
      <w:r>
        <w:rPr>
          <w:rFonts w:hint="eastAsia" w:ascii="宋体" w:hAnsi="宋体" w:eastAsia="宋体" w:cs="宋体"/>
          <w:color w:val="auto"/>
          <w:spacing w:val="0"/>
          <w:kern w:val="0"/>
          <w:position w:val="0"/>
          <w:sz w:val="36"/>
          <w:szCs w:val="36"/>
          <w:highlight w:val="none"/>
        </w:rPr>
        <w:t xml:space="preserve">   </w:t>
      </w:r>
      <w:bookmarkStart w:id="89" w:name="_Toc3612"/>
      <w:bookmarkStart w:id="90" w:name="_Toc8040"/>
      <w:r>
        <w:rPr>
          <w:rFonts w:hint="eastAsia" w:ascii="宋体" w:hAnsi="宋体" w:eastAsia="宋体" w:cs="宋体"/>
          <w:color w:val="auto"/>
          <w:spacing w:val="0"/>
          <w:kern w:val="0"/>
          <w:position w:val="0"/>
          <w:sz w:val="36"/>
          <w:szCs w:val="36"/>
          <w:highlight w:val="none"/>
        </w:rPr>
        <w:t>合同主要条款</w:t>
      </w:r>
      <w:r>
        <w:rPr>
          <w:rFonts w:hint="eastAsia" w:ascii="宋体" w:hAnsi="宋体" w:eastAsia="宋体" w:cs="宋体"/>
          <w:color w:val="auto"/>
          <w:spacing w:val="0"/>
          <w:kern w:val="0"/>
          <w:position w:val="0"/>
          <w:sz w:val="36"/>
          <w:szCs w:val="36"/>
          <w:highlight w:val="none"/>
          <w:lang w:eastAsia="zh-CN"/>
        </w:rPr>
        <w:t>（</w:t>
      </w:r>
      <w:r>
        <w:rPr>
          <w:rFonts w:hint="eastAsia" w:ascii="宋体" w:hAnsi="宋体" w:eastAsia="宋体" w:cs="宋体"/>
          <w:color w:val="auto"/>
          <w:spacing w:val="0"/>
          <w:kern w:val="0"/>
          <w:position w:val="0"/>
          <w:sz w:val="36"/>
          <w:szCs w:val="36"/>
          <w:highlight w:val="none"/>
        </w:rPr>
        <w:t>参考格式</w:t>
      </w:r>
      <w:bookmarkEnd w:id="89"/>
      <w:r>
        <w:rPr>
          <w:rFonts w:hint="eastAsia" w:ascii="宋体" w:hAnsi="宋体" w:eastAsia="宋体" w:cs="宋体"/>
          <w:color w:val="auto"/>
          <w:spacing w:val="0"/>
          <w:kern w:val="0"/>
          <w:position w:val="0"/>
          <w:sz w:val="36"/>
          <w:szCs w:val="36"/>
          <w:highlight w:val="none"/>
          <w:lang w:eastAsia="zh-CN"/>
        </w:rPr>
        <w:t>）</w:t>
      </w:r>
      <w:bookmarkEnd w:id="90"/>
    </w:p>
    <w:p w14:paraId="26CB0A43">
      <w:pPr>
        <w:keepNext w:val="0"/>
        <w:keepLines w:val="0"/>
        <w:pageBreakBefore w:val="0"/>
        <w:widowControl w:val="0"/>
        <w:kinsoku/>
        <w:wordWrap w:val="0"/>
        <w:overflowPunct/>
        <w:topLinePunct/>
        <w:autoSpaceDE/>
        <w:autoSpaceDN/>
        <w:bidi w:val="0"/>
        <w:adjustRightInd/>
        <w:snapToGrid/>
        <w:spacing w:line="360" w:lineRule="auto"/>
        <w:ind w:firstLine="723" w:firstLineChars="300"/>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说明：本合同书仅供签订正式合同时参考用，正式合同书应包括此参考格式之内容，但不能改变其实质性内容。</w:t>
      </w:r>
    </w:p>
    <w:p w14:paraId="2B7BEE9B">
      <w:pPr>
        <w:pageBreakBefore w:val="0"/>
        <w:kinsoku/>
        <w:wordWrap w:val="0"/>
        <w:overflowPunct/>
        <w:topLinePunct/>
        <w:autoSpaceDE/>
        <w:autoSpaceDN/>
        <w:bidi w:val="0"/>
        <w:spacing w:line="360" w:lineRule="exact"/>
        <w:jc w:val="center"/>
        <w:rPr>
          <w:rFonts w:hint="eastAsia" w:ascii="宋体" w:hAnsi="宋体" w:eastAsia="宋体" w:cs="宋体"/>
          <w:color w:val="auto"/>
          <w:spacing w:val="0"/>
          <w:sz w:val="24"/>
          <w:szCs w:val="24"/>
          <w:highlight w:val="none"/>
        </w:rPr>
      </w:pPr>
    </w:p>
    <w:p w14:paraId="05C95626">
      <w:pPr>
        <w:pageBreakBefore w:val="0"/>
        <w:kinsoku/>
        <w:wordWrap w:val="0"/>
        <w:overflowPunct/>
        <w:topLinePunct/>
        <w:autoSpaceDE/>
        <w:autoSpaceDN/>
        <w:bidi w:val="0"/>
        <w:spacing w:line="360" w:lineRule="exact"/>
        <w:jc w:val="center"/>
        <w:rPr>
          <w:rFonts w:hint="eastAsia" w:ascii="宋体" w:hAnsi="宋体" w:eastAsia="宋体" w:cs="宋体"/>
          <w:color w:val="auto"/>
          <w:spacing w:val="0"/>
          <w:sz w:val="24"/>
          <w:szCs w:val="24"/>
          <w:highlight w:val="none"/>
        </w:rPr>
      </w:pPr>
    </w:p>
    <w:p w14:paraId="7D79DD4C">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24"/>
          <w:szCs w:val="24"/>
          <w:highlight w:val="none"/>
        </w:rPr>
      </w:pPr>
    </w:p>
    <w:p w14:paraId="3178DBB1">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24"/>
          <w:szCs w:val="24"/>
          <w:highlight w:val="none"/>
        </w:rPr>
      </w:pPr>
    </w:p>
    <w:p w14:paraId="409E624F">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b/>
          <w:bCs/>
          <w:color w:val="auto"/>
          <w:spacing w:val="0"/>
          <w:sz w:val="44"/>
          <w:szCs w:val="44"/>
          <w:highlight w:val="none"/>
        </w:rPr>
      </w:pPr>
    </w:p>
    <w:p w14:paraId="3112115D">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b/>
          <w:bCs/>
          <w:color w:val="auto"/>
          <w:spacing w:val="0"/>
          <w:sz w:val="44"/>
          <w:szCs w:val="44"/>
          <w:highlight w:val="none"/>
          <w:lang w:eastAsia="zh-CN"/>
        </w:rPr>
      </w:pPr>
      <w:r>
        <w:rPr>
          <w:rFonts w:hint="eastAsia" w:ascii="宋体" w:hAnsi="宋体" w:eastAsia="宋体" w:cs="宋体"/>
          <w:b/>
          <w:bCs/>
          <w:color w:val="auto"/>
          <w:spacing w:val="0"/>
          <w:sz w:val="44"/>
          <w:szCs w:val="44"/>
          <w:highlight w:val="none"/>
        </w:rPr>
        <w:t>第一节</w:t>
      </w:r>
      <w:r>
        <w:rPr>
          <w:rFonts w:hint="eastAsia" w:ascii="宋体" w:hAnsi="宋体" w:eastAsia="宋体" w:cs="宋体"/>
          <w:b/>
          <w:bCs/>
          <w:color w:val="auto"/>
          <w:spacing w:val="0"/>
          <w:sz w:val="44"/>
          <w:szCs w:val="44"/>
          <w:highlight w:val="none"/>
          <w:lang w:val="en-US"/>
        </w:rPr>
        <w:t xml:space="preserve">  </w:t>
      </w:r>
      <w:r>
        <w:rPr>
          <w:rFonts w:hint="eastAsia" w:ascii="宋体" w:hAnsi="宋体" w:eastAsia="宋体" w:cs="宋体"/>
          <w:b/>
          <w:bCs/>
          <w:color w:val="auto"/>
          <w:spacing w:val="0"/>
          <w:sz w:val="44"/>
          <w:szCs w:val="44"/>
          <w:highlight w:val="none"/>
        </w:rPr>
        <w:t>通用合同</w:t>
      </w:r>
      <w:r>
        <w:rPr>
          <w:rFonts w:hint="eastAsia" w:ascii="宋体" w:hAnsi="宋体" w:cs="宋体"/>
          <w:b/>
          <w:bCs/>
          <w:color w:val="auto"/>
          <w:spacing w:val="0"/>
          <w:sz w:val="44"/>
          <w:szCs w:val="44"/>
          <w:highlight w:val="none"/>
          <w:lang w:eastAsia="zh-CN"/>
        </w:rPr>
        <w:t>条款</w:t>
      </w:r>
    </w:p>
    <w:p w14:paraId="3C9C39B4">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40"/>
          <w:szCs w:val="40"/>
          <w:highlight w:val="none"/>
        </w:rPr>
      </w:pPr>
    </w:p>
    <w:p w14:paraId="3FC1BE56">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40"/>
          <w:szCs w:val="40"/>
          <w:highlight w:val="none"/>
        </w:rPr>
      </w:pPr>
    </w:p>
    <w:p w14:paraId="6E300C66">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21"/>
          <w:szCs w:val="21"/>
          <w:highlight w:val="none"/>
        </w:rPr>
      </w:pPr>
    </w:p>
    <w:p w14:paraId="076EB61B">
      <w:pPr>
        <w:pageBreakBefore w:val="0"/>
        <w:kinsoku/>
        <w:wordWrap w:val="0"/>
        <w:overflowPunct/>
        <w:topLinePunct/>
        <w:autoSpaceDE/>
        <w:autoSpaceDN/>
        <w:bidi w:val="0"/>
        <w:spacing w:line="340" w:lineRule="exact"/>
        <w:ind w:firstLine="480" w:firstLineChars="200"/>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“通用合同条款”采用《标准施工招标文件》的“通用合同条款”。</w:t>
      </w:r>
    </w:p>
    <w:p w14:paraId="6B3C0718">
      <w:pPr>
        <w:pageBreakBefore w:val="0"/>
        <w:tabs>
          <w:tab w:val="left" w:pos="400"/>
        </w:tabs>
        <w:kinsoku/>
        <w:wordWrap w:val="0"/>
        <w:overflowPunct/>
        <w:topLinePunct/>
        <w:autoSpaceDE/>
        <w:autoSpaceDN/>
        <w:bidi w:val="0"/>
        <w:spacing w:line="480" w:lineRule="exact"/>
        <w:ind w:right="-53"/>
        <w:rPr>
          <w:rFonts w:hint="eastAsia" w:ascii="宋体" w:hAnsi="宋体" w:eastAsia="宋体" w:cs="宋体"/>
          <w:color w:val="auto"/>
          <w:spacing w:val="0"/>
          <w:sz w:val="21"/>
          <w:szCs w:val="21"/>
          <w:highlight w:val="none"/>
        </w:rPr>
        <w:sectPr>
          <w:footerReference r:id="rId5" w:type="default"/>
          <w:pgSz w:w="11911" w:h="16838"/>
          <w:pgMar w:top="1440" w:right="1080" w:bottom="1440" w:left="1080" w:header="720" w:footer="720" w:gutter="0"/>
          <w:pgNumType w:fmt="decimal"/>
          <w:cols w:space="0" w:num="1"/>
          <w:rtlGutter w:val="0"/>
          <w:docGrid w:linePitch="360" w:charSpace="0"/>
        </w:sectPr>
      </w:pPr>
    </w:p>
    <w:p w14:paraId="4A6031F9">
      <w:pPr>
        <w:pageBreakBefore w:val="0"/>
        <w:kinsoku/>
        <w:wordWrap w:val="0"/>
        <w:overflowPunct/>
        <w:topLinePunct/>
        <w:autoSpaceDE/>
        <w:autoSpaceDN/>
        <w:bidi w:val="0"/>
        <w:spacing w:line="20" w:lineRule="exact"/>
        <w:rPr>
          <w:rFonts w:hint="eastAsia" w:ascii="宋体" w:hAnsi="宋体" w:eastAsia="宋体" w:cs="宋体"/>
          <w:color w:val="auto"/>
          <w:spacing w:val="0"/>
          <w:sz w:val="40"/>
          <w:szCs w:val="40"/>
          <w:highlight w:val="none"/>
        </w:rPr>
        <w:sectPr>
          <w:pgSz w:w="11911" w:h="16838"/>
          <w:pgMar w:top="1440" w:right="1080" w:bottom="1440" w:left="1080" w:header="720" w:footer="720" w:gutter="0"/>
          <w:pgNumType w:fmt="decimal"/>
          <w:cols w:space="0" w:num="1"/>
          <w:rtlGutter w:val="0"/>
          <w:docGrid w:linePitch="360" w:charSpace="0"/>
        </w:sectPr>
      </w:pPr>
      <w:bookmarkStart w:id="91" w:name="page122"/>
      <w:bookmarkEnd w:id="91"/>
    </w:p>
    <w:p w14:paraId="4E92A74B">
      <w:pPr>
        <w:pageBreakBefore w:val="0"/>
        <w:kinsoku/>
        <w:wordWrap w:val="0"/>
        <w:overflowPunct/>
        <w:topLinePunct/>
        <w:autoSpaceDE/>
        <w:autoSpaceDN/>
        <w:bidi w:val="0"/>
        <w:spacing w:line="269" w:lineRule="exact"/>
        <w:rPr>
          <w:rFonts w:hint="eastAsia" w:ascii="宋体" w:hAnsi="宋体" w:eastAsia="宋体" w:cs="宋体"/>
          <w:color w:val="auto"/>
          <w:spacing w:val="0"/>
          <w:sz w:val="40"/>
          <w:szCs w:val="40"/>
          <w:highlight w:val="none"/>
        </w:rPr>
      </w:pPr>
    </w:p>
    <w:p w14:paraId="4E496B44">
      <w:pPr>
        <w:pageBreakBefore w:val="0"/>
        <w:tabs>
          <w:tab w:val="left" w:pos="400"/>
        </w:tabs>
        <w:kinsoku/>
        <w:wordWrap w:val="0"/>
        <w:overflowPunct/>
        <w:topLinePunct/>
        <w:autoSpaceDE/>
        <w:autoSpaceDN/>
        <w:bidi w:val="0"/>
        <w:spacing w:line="480" w:lineRule="exact"/>
        <w:ind w:right="-53"/>
        <w:rPr>
          <w:rFonts w:hint="eastAsia" w:ascii="宋体" w:hAnsi="宋体" w:eastAsia="宋体" w:cs="宋体"/>
          <w:color w:val="auto"/>
          <w:spacing w:val="0"/>
          <w:sz w:val="40"/>
          <w:szCs w:val="40"/>
          <w:highlight w:val="none"/>
        </w:rPr>
      </w:pPr>
    </w:p>
    <w:p w14:paraId="64622E5A">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40"/>
          <w:szCs w:val="40"/>
          <w:highlight w:val="none"/>
        </w:rPr>
      </w:pPr>
    </w:p>
    <w:p w14:paraId="70E52288">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40"/>
          <w:szCs w:val="40"/>
          <w:highlight w:val="none"/>
        </w:rPr>
      </w:pPr>
    </w:p>
    <w:p w14:paraId="4B2B16C2">
      <w:pPr>
        <w:pageBreakBefore w:val="0"/>
        <w:tabs>
          <w:tab w:val="left" w:pos="3040"/>
        </w:tabs>
        <w:kinsoku/>
        <w:wordWrap w:val="0"/>
        <w:overflowPunct/>
        <w:topLinePunct/>
        <w:autoSpaceDE/>
        <w:autoSpaceDN/>
        <w:bidi w:val="0"/>
        <w:spacing w:line="480" w:lineRule="exact"/>
        <w:ind w:right="-53"/>
        <w:jc w:val="both"/>
        <w:rPr>
          <w:rFonts w:hint="eastAsia" w:ascii="宋体" w:hAnsi="宋体" w:eastAsia="宋体" w:cs="宋体"/>
          <w:color w:val="auto"/>
          <w:spacing w:val="0"/>
          <w:sz w:val="40"/>
          <w:szCs w:val="40"/>
          <w:highlight w:val="none"/>
        </w:rPr>
      </w:pPr>
      <w:r>
        <w:rPr>
          <w:rFonts w:hint="eastAsia" w:ascii="宋体" w:hAnsi="宋体" w:eastAsia="宋体" w:cs="宋体"/>
          <w:color w:val="auto"/>
          <w:spacing w:val="0"/>
          <w:sz w:val="40"/>
          <w:szCs w:val="40"/>
          <w:highlight w:val="none"/>
        </w:rPr>
        <w:tab/>
      </w:r>
    </w:p>
    <w:p w14:paraId="7386E911">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40"/>
          <w:szCs w:val="40"/>
          <w:highlight w:val="none"/>
        </w:rPr>
      </w:pPr>
    </w:p>
    <w:p w14:paraId="33EA0EB8">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40"/>
          <w:szCs w:val="40"/>
          <w:highlight w:val="none"/>
        </w:rPr>
      </w:pPr>
    </w:p>
    <w:p w14:paraId="338B6587">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40"/>
          <w:szCs w:val="40"/>
          <w:highlight w:val="none"/>
        </w:rPr>
      </w:pPr>
    </w:p>
    <w:p w14:paraId="57701AC0">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40"/>
          <w:szCs w:val="40"/>
          <w:highlight w:val="none"/>
        </w:rPr>
      </w:pPr>
    </w:p>
    <w:p w14:paraId="514BD728">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b/>
          <w:bCs/>
          <w:color w:val="auto"/>
          <w:spacing w:val="0"/>
          <w:sz w:val="44"/>
          <w:szCs w:val="44"/>
          <w:highlight w:val="none"/>
        </w:rPr>
      </w:pPr>
    </w:p>
    <w:p w14:paraId="251F09E7">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b/>
          <w:bCs/>
          <w:color w:val="auto"/>
          <w:spacing w:val="0"/>
          <w:sz w:val="44"/>
          <w:szCs w:val="44"/>
          <w:highlight w:val="none"/>
        </w:rPr>
      </w:pPr>
      <w:r>
        <w:rPr>
          <w:rFonts w:hint="eastAsia" w:ascii="宋体" w:hAnsi="宋体" w:eastAsia="宋体" w:cs="宋体"/>
          <w:b/>
          <w:bCs/>
          <w:color w:val="auto"/>
          <w:spacing w:val="0"/>
          <w:sz w:val="44"/>
          <w:szCs w:val="44"/>
          <w:highlight w:val="none"/>
        </w:rPr>
        <w:t>第二节</w:t>
      </w:r>
      <w:r>
        <w:rPr>
          <w:rFonts w:hint="eastAsia" w:ascii="宋体" w:hAnsi="宋体" w:eastAsia="宋体" w:cs="宋体"/>
          <w:b/>
          <w:bCs/>
          <w:color w:val="auto"/>
          <w:spacing w:val="0"/>
          <w:sz w:val="44"/>
          <w:szCs w:val="44"/>
          <w:highlight w:val="none"/>
          <w:lang w:val="en-US"/>
        </w:rPr>
        <w:t xml:space="preserve">  </w:t>
      </w:r>
      <w:r>
        <w:rPr>
          <w:rFonts w:hint="eastAsia" w:ascii="宋体" w:hAnsi="宋体" w:eastAsia="宋体" w:cs="宋体"/>
          <w:b/>
          <w:bCs/>
          <w:color w:val="auto"/>
          <w:spacing w:val="0"/>
          <w:sz w:val="44"/>
          <w:szCs w:val="44"/>
          <w:highlight w:val="none"/>
        </w:rPr>
        <w:t>专用合同条款</w:t>
      </w:r>
    </w:p>
    <w:p w14:paraId="047BA6C4">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40"/>
          <w:szCs w:val="40"/>
          <w:highlight w:val="none"/>
        </w:rPr>
        <w:sectPr>
          <w:type w:val="continuous"/>
          <w:pgSz w:w="11911" w:h="16838"/>
          <w:pgMar w:top="1440" w:right="1080" w:bottom="1440" w:left="1080" w:header="720" w:footer="720" w:gutter="0"/>
          <w:pgNumType w:fmt="decimal"/>
          <w:cols w:space="0" w:num="1"/>
          <w:rtlGutter w:val="0"/>
          <w:docGrid w:linePitch="360" w:charSpace="0"/>
        </w:sectPr>
      </w:pPr>
    </w:p>
    <w:p w14:paraId="7FF0780A">
      <w:pPr>
        <w:pageBreakBefore w:val="0"/>
        <w:kinsoku/>
        <w:wordWrap w:val="0"/>
        <w:overflowPunct/>
        <w:topLinePunct/>
        <w:autoSpaceDE/>
        <w:autoSpaceDN/>
        <w:bidi w:val="0"/>
        <w:spacing w:line="20" w:lineRule="exact"/>
        <w:rPr>
          <w:rFonts w:hint="eastAsia" w:ascii="宋体" w:hAnsi="宋体" w:eastAsia="宋体" w:cs="宋体"/>
          <w:color w:val="auto"/>
          <w:spacing w:val="0"/>
          <w:sz w:val="24"/>
          <w:szCs w:val="24"/>
          <w:highlight w:val="none"/>
        </w:rPr>
      </w:pPr>
      <w:bookmarkStart w:id="92" w:name="page123"/>
      <w:bookmarkEnd w:id="92"/>
    </w:p>
    <w:p w14:paraId="110D53F8">
      <w:pPr>
        <w:pageBreakBefore w:val="0"/>
        <w:numPr>
          <w:ilvl w:val="0"/>
          <w:numId w:val="3"/>
        </w:numPr>
        <w:tabs>
          <w:tab w:val="left" w:pos="3180"/>
        </w:tabs>
        <w:kinsoku/>
        <w:wordWrap w:val="0"/>
        <w:overflowPunct/>
        <w:topLinePunct/>
        <w:autoSpaceDE/>
        <w:autoSpaceDN/>
        <w:bidi w:val="0"/>
        <w:spacing w:line="276" w:lineRule="auto"/>
        <w:ind w:left="31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公路工程专用合同条款</w:t>
      </w:r>
    </w:p>
    <w:p w14:paraId="6974AD8D">
      <w:pPr>
        <w:pageBreakBefore w:val="0"/>
        <w:kinsoku/>
        <w:wordWrap w:val="0"/>
        <w:overflowPunct/>
        <w:topLinePunct/>
        <w:autoSpaceDE/>
        <w:autoSpaceDN/>
        <w:bidi w:val="0"/>
        <w:spacing w:line="276" w:lineRule="auto"/>
        <w:rPr>
          <w:rFonts w:hint="eastAsia" w:ascii="宋体" w:hAnsi="宋体" w:eastAsia="宋体" w:cs="宋体"/>
          <w:color w:val="auto"/>
          <w:spacing w:val="0"/>
          <w:sz w:val="24"/>
          <w:szCs w:val="24"/>
          <w:highlight w:val="none"/>
        </w:rPr>
      </w:pPr>
    </w:p>
    <w:p w14:paraId="1A14B8F2">
      <w:pPr>
        <w:pageBreakBefore w:val="0"/>
        <w:tabs>
          <w:tab w:val="left" w:pos="56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1.一般约定</w:t>
      </w:r>
    </w:p>
    <w:p w14:paraId="1CF4479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 词语定义</w:t>
      </w:r>
    </w:p>
    <w:p w14:paraId="5CD3B91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1.1.1 合同</w:t>
      </w:r>
    </w:p>
    <w:p w14:paraId="52C85966">
      <w:pPr>
        <w:pageBreakBefore w:val="0"/>
        <w:numPr>
          <w:ilvl w:val="0"/>
          <w:numId w:val="4"/>
        </w:numPr>
        <w:tabs>
          <w:tab w:val="left" w:pos="122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1.1.1.6 目细化为：</w:t>
      </w:r>
    </w:p>
    <w:p w14:paraId="399C1A7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技术规范：指本合同所约定的技术标准和要求，是合同文件的组成部分。通用合同条款中“技术标准和要求”一词具有相同含义。</w:t>
      </w:r>
    </w:p>
    <w:p w14:paraId="4ADA4770">
      <w:pPr>
        <w:pageBreakBefore w:val="0"/>
        <w:numPr>
          <w:ilvl w:val="0"/>
          <w:numId w:val="5"/>
        </w:numPr>
        <w:tabs>
          <w:tab w:val="left" w:pos="122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1.1.1.8 目细化为：</w:t>
      </w:r>
    </w:p>
    <w:p w14:paraId="4D9D9D3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已标价工程量清单：指构成合同文件组成部分的已标明价格、经算术性错误修正及其他错误修正（如有）且承揽人已确认的最终的工程量清单，包括工程量清单说明、投标报价说明、计日工说明、其他说明及工程量清单各项表格（工程量清单表 5.1～表 5.5）。</w:t>
      </w:r>
    </w:p>
    <w:p w14:paraId="608117A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本项补充第 1.1.1.10 目：</w:t>
      </w:r>
    </w:p>
    <w:p w14:paraId="39C0CDB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1.1.1.10  补遗书：指发出招标文件之后由采购人向已取得招标文件的投标人发出的、编号的对招标文件所作的澄清、修改书。</w:t>
      </w:r>
    </w:p>
    <w:p w14:paraId="40D582F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1.1.2 合同当事人和人员</w:t>
      </w:r>
    </w:p>
    <w:p w14:paraId="13D4948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本项补充第 1.1.2.8 目：1.1.2.8 承揽人项目总工：指由承揽人书面委派常驻现场负责管理本合同工程的总工程师或技术总负责人。</w:t>
      </w:r>
    </w:p>
    <w:p w14:paraId="090936A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1.1.3 工程和设备</w:t>
      </w:r>
    </w:p>
    <w:p w14:paraId="59CB5A27">
      <w:pPr>
        <w:pageBreakBefore w:val="0"/>
        <w:numPr>
          <w:ilvl w:val="0"/>
          <w:numId w:val="6"/>
        </w:numPr>
        <w:tabs>
          <w:tab w:val="left" w:pos="122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1.1.3.4 目细化为：</w:t>
      </w:r>
    </w:p>
    <w:p w14:paraId="437A50F5">
      <w:pPr>
        <w:pageBreakBefore w:val="0"/>
        <w:tabs>
          <w:tab w:val="left" w:pos="122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单位工程：指在建设项目中，根据签订的合同，具有独立施工条件的工程。</w:t>
      </w:r>
    </w:p>
    <w:p w14:paraId="46C5271D">
      <w:pPr>
        <w:pageBreakBefore w:val="0"/>
        <w:numPr>
          <w:ilvl w:val="0"/>
          <w:numId w:val="7"/>
        </w:numPr>
        <w:tabs>
          <w:tab w:val="left" w:pos="122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1.1.3.10 目细化为：</w:t>
      </w:r>
    </w:p>
    <w:p w14:paraId="61C4F8E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永久占地：指为实施本合同工程而需要的一切永久占用的土地，包括公路两侧路权范围内的用地。</w:t>
      </w:r>
    </w:p>
    <w:p w14:paraId="51CF025E">
      <w:pPr>
        <w:pageBreakBefore w:val="0"/>
        <w:numPr>
          <w:ilvl w:val="0"/>
          <w:numId w:val="8"/>
        </w:numPr>
        <w:tabs>
          <w:tab w:val="left" w:pos="122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1.1.3.11 目细化为：</w:t>
      </w:r>
    </w:p>
    <w:p w14:paraId="42895C41">
      <w:pPr>
        <w:pageBreakBefore w:val="0"/>
        <w:tabs>
          <w:tab w:val="left" w:pos="122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临时占地：指为实施本合同工程而需要的一切临时占用的土地，包括施工所用的临时支线、便道、便桥和现场的临时出入通道，以及生产（办公）、生活等临时设施用地等。</w:t>
      </w:r>
    </w:p>
    <w:p w14:paraId="2E4B17E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本项补充第 1.1.3.12 目、第 1.1.3.13 目：</w:t>
      </w:r>
    </w:p>
    <w:p w14:paraId="022B5DE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1.1.3.12  分部工程：指在单位工程中，按结构部位、路段长度及施工特点或</w:t>
      </w:r>
      <w:bookmarkStart w:id="93" w:name="page124"/>
      <w:bookmarkEnd w:id="93"/>
      <w:r>
        <w:rPr>
          <w:rFonts w:hint="eastAsia" w:ascii="宋体" w:hAnsi="宋体" w:eastAsia="宋体" w:cs="宋体"/>
          <w:color w:val="auto"/>
          <w:spacing w:val="0"/>
          <w:sz w:val="24"/>
          <w:szCs w:val="24"/>
          <w:highlight w:val="none"/>
        </w:rPr>
        <w:t>施工任务划分的若干个工程。</w:t>
      </w:r>
    </w:p>
    <w:p w14:paraId="3AB6EA1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1.1.3.13  分项工程：指在分部工程中，按不同的施工方法、材料、工序及路段长度等划分的若干个工程。</w:t>
      </w:r>
    </w:p>
    <w:p w14:paraId="7D63D0E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 其他</w:t>
      </w:r>
    </w:p>
    <w:p w14:paraId="3B76058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本项补充第 1.1.6.2 目～第 1.1.6.9 目：</w:t>
      </w:r>
    </w:p>
    <w:p w14:paraId="3B1108C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1.1.6.2 竣工验收：指《公路工程竣（交）工验收办法》中的竣工验收。通用合同条款中“国家验收”一词具有相同含义。</w:t>
      </w:r>
    </w:p>
    <w:p w14:paraId="6CAE855C">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1.1.6.3 交工：指《公路工程竣（交）工验收办法》中的交工。通用合同条款中“竣工”一词具有相同含义。</w:t>
      </w:r>
    </w:p>
    <w:p w14:paraId="7B1C9BA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1.1.6.4 交工验收：指《公路工程竣（交）工验收办法》中的交工验收。通用合同条款中“竣工验收”一词具有相同含义。</w:t>
      </w:r>
    </w:p>
    <w:p w14:paraId="587BF84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1.1.6.5 交工验收证书：指《公路工程竣（交）工验收办法》中的交工验收证书。通用合同条款中“工程接收证书”一词具有相同含义。</w:t>
      </w:r>
    </w:p>
    <w:p w14:paraId="51638567">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1.1.6.6 转包：指承揽人违反法律和不履行合同规定的责任和义务，将中标工程全部委托或以专业分包的名义将中标工程肢解后全部委托给其他施工企业施工的行为。</w:t>
      </w:r>
    </w:p>
    <w:p w14:paraId="530B4C89">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1.1.6.7 专业分包：指承揽人与具有相应资格的施工企业签订专业分包合同，由分包人承担承揽人委托的分部工程、分项工程或适合专业化队伍施工的其他工程，整体结算，并能独立控制工程质量、施工进度、材料采购、生产安全的施工行为。</w:t>
      </w:r>
    </w:p>
    <w:p w14:paraId="7BC3D7C5">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1.1.6.8 劳务分包：指承揽人与具有施工劳务资质的劳务企业签订劳务分包合同，由劳务企业提供劳务人员及机具，由承揽人统一组织施工、统一控制工程质量、施工进度、材料采购、生产安全的施工行为。</w:t>
      </w:r>
    </w:p>
    <w:p w14:paraId="0DCF3360">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1.1.6.9 雇用民工：指承揽人与具有相应劳动能力的自然人签订劳动合同，由承揽人统一组织管理，从事分项工程施工或配套工程施工的行为。</w:t>
      </w:r>
    </w:p>
    <w:p w14:paraId="04D4D20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1.4 合同文件的优先顺序</w:t>
      </w:r>
    </w:p>
    <w:p w14:paraId="66A683D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本款约定为：组成合同的各项文件应互相解释，互为说明。除项目专用合同条款另有约定外，解释合同文件的优先顺序如下：</w:t>
      </w:r>
    </w:p>
    <w:p w14:paraId="28C1885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（1）合同协议书及各种合同附件（含评标期间和合同谈判过程中的澄清文件和补充资料）；</w:t>
      </w:r>
    </w:p>
    <w:p w14:paraId="0FB9183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（2）中标通知书；</w:t>
      </w:r>
    </w:p>
    <w:p w14:paraId="52B1FE5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（3）投标函及投标函附录；</w:t>
      </w:r>
    </w:p>
    <w:p w14:paraId="07E3186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（4）项目专用合同条款；</w:t>
      </w:r>
    </w:p>
    <w:p w14:paraId="2462ED9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bookmarkStart w:id="94" w:name="page125"/>
      <w:bookmarkEnd w:id="94"/>
      <w:r>
        <w:rPr>
          <w:rFonts w:hint="eastAsia" w:ascii="宋体" w:hAnsi="宋体" w:eastAsia="宋体" w:cs="宋体"/>
          <w:color w:val="auto"/>
          <w:spacing w:val="0"/>
          <w:sz w:val="24"/>
          <w:szCs w:val="24"/>
          <w:highlight w:val="none"/>
        </w:rPr>
        <w:t>（5）公路工程专用合同条款；</w:t>
      </w:r>
    </w:p>
    <w:p w14:paraId="6D61674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（6）通用合同条款；</w:t>
      </w:r>
    </w:p>
    <w:p w14:paraId="519067DC">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（7）工程量清单计量规则；</w:t>
      </w:r>
    </w:p>
    <w:p w14:paraId="24A7C05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（8）技术规范；</w:t>
      </w:r>
    </w:p>
    <w:p w14:paraId="07051EC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（9）图纸；</w:t>
      </w:r>
    </w:p>
    <w:p w14:paraId="2F1CE59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（10）已标价工程量清单；</w:t>
      </w:r>
    </w:p>
    <w:p w14:paraId="7312CAD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（11）承揽人有关人员、设备投入的承诺及投标文件中的施工组织设计；</w:t>
      </w:r>
    </w:p>
    <w:p w14:paraId="43CFB34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（12）其他合同文件。</w:t>
      </w:r>
    </w:p>
    <w:p w14:paraId="6D87A08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 合同协议书</w:t>
      </w:r>
    </w:p>
    <w:p w14:paraId="0DDC523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本款补充：制备本合同文件的费用由发包人承担。在合同协议书签订并生效之前，投标函和中标通知书将对双方具有约束力。</w:t>
      </w:r>
    </w:p>
    <w:p w14:paraId="0F33B55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 图纸和承揽人文件</w:t>
      </w:r>
    </w:p>
    <w:p w14:paraId="4C0C954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1.6.1 图纸的提供</w:t>
      </w:r>
    </w:p>
    <w:p w14:paraId="18A0C86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本项细化为：</w:t>
      </w:r>
    </w:p>
    <w:p w14:paraId="3A85001D">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监理人应在发出中标通知书之后 42 天内，向承揽人免费提供由发包人或其委托的设计单位设计的施工图纸、技术规范和其他技术资料 2 份，并向承揽人进行技术交底。承揽人需要更多份数时，应自费复制。由于发包人未按时提供图纸造成工期延误的，按第 11.3 款的约定办理。</w:t>
      </w:r>
    </w:p>
    <w:p w14:paraId="3BCEF58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1.6.2 承揽人提供的文件</w:t>
      </w:r>
    </w:p>
    <w:p w14:paraId="3BF6585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本项细化为：有下列情形之一的，承揽人应免费向监理人提交相关部分工程的施工图纸 3 份，并附必要的计算书、技术资料，或施工工艺图、设备安装图及安装设备的使用和维护手册各 2 份供监理人批准。</w:t>
      </w:r>
    </w:p>
    <w:p w14:paraId="1D26D808">
      <w:pPr>
        <w:pageBreakBefore w:val="0"/>
        <w:numPr>
          <w:ilvl w:val="0"/>
          <w:numId w:val="9"/>
        </w:numPr>
        <w:kinsoku/>
        <w:wordWrap w:val="0"/>
        <w:overflowPunct/>
        <w:topLinePunct/>
        <w:autoSpaceDE/>
        <w:autoSpaceDN/>
        <w:bidi w:val="0"/>
        <w:spacing w:line="276" w:lineRule="auto"/>
        <w:ind w:left="0" w:leftChars="0" w:right="7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为使第 1.6.1 项所述的施工图纸适合于经施工测量后的纵、横断面；</w:t>
      </w:r>
    </w:p>
    <w:p w14:paraId="4E1FEBE7">
      <w:pPr>
        <w:pageBreakBefore w:val="0"/>
        <w:numPr>
          <w:ilvl w:val="0"/>
          <w:numId w:val="0"/>
        </w:numPr>
        <w:kinsoku/>
        <w:wordWrap w:val="0"/>
        <w:overflowPunct/>
        <w:topLinePunct/>
        <w:autoSpaceDE/>
        <w:autoSpaceDN/>
        <w:bidi w:val="0"/>
        <w:spacing w:line="276" w:lineRule="auto"/>
        <w:ind w:leftChars="175" w:right="746" w:right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（2）为使第 1.6.1 项所述的施工图纸适合于现场具体地形；</w:t>
      </w:r>
    </w:p>
    <w:p w14:paraId="67993AA9">
      <w:pPr>
        <w:pageBreakBefore w:val="0"/>
        <w:kinsoku/>
        <w:wordWrap w:val="0"/>
        <w:overflowPunct/>
        <w:topLinePunct/>
        <w:autoSpaceDE/>
        <w:autoSpaceDN/>
        <w:bidi w:val="0"/>
        <w:spacing w:line="276" w:lineRule="auto"/>
        <w:ind w:left="0" w:leftChars="0" w:right="-22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（3）为使第 1.6.1 项所述的施工图纸适合于因尺寸与位置变化而引起局部变更；</w:t>
      </w:r>
    </w:p>
    <w:p w14:paraId="760E0CB5">
      <w:pPr>
        <w:pageBreakBefore w:val="0"/>
        <w:kinsoku/>
        <w:wordWrap w:val="0"/>
        <w:overflowPunct/>
        <w:topLinePunct/>
        <w:autoSpaceDE/>
        <w:autoSpaceDN/>
        <w:bidi w:val="0"/>
        <w:spacing w:line="276" w:lineRule="auto"/>
        <w:ind w:left="0" w:leftChars="0" w:right="7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（4）由于合同要求与施工需要。</w:t>
      </w:r>
    </w:p>
    <w:p w14:paraId="29C2D37E">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此类图纸应按监理人规定的格式和图幅绘制。监理人在收到由承揽人绘制的上述工程、工艺图纸、计算书和有关技术资料后 14 天内应予批准或提出修改要求，承揽人应按监理人提出的要求作出修改，重新向监理人提交，监理人应在 7 天内批准或提出进一步的修改意见。</w:t>
      </w:r>
    </w:p>
    <w:p w14:paraId="16F2D8F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bookmarkStart w:id="95" w:name="page126"/>
      <w:bookmarkEnd w:id="95"/>
      <w:r>
        <w:rPr>
          <w:rFonts w:hint="eastAsia" w:ascii="宋体" w:hAnsi="宋体" w:eastAsia="宋体" w:cs="宋体"/>
          <w:color w:val="auto"/>
          <w:spacing w:val="0"/>
          <w:sz w:val="24"/>
          <w:szCs w:val="24"/>
          <w:highlight w:val="none"/>
        </w:rPr>
        <w:t>6.4 图纸的错误</w:t>
      </w:r>
    </w:p>
    <w:p w14:paraId="3CB183B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细化为：当承揽人在查阅合同文件或在本合同工程实施过程中，发现有关的工程设计、技术规范、图纸或其他资料中的任何差错、遗漏或缺陷后，应及时通知监理人。监理人接到该通知后，应立即就此作出决定，并通知承揽人和发包人。</w:t>
      </w:r>
    </w:p>
    <w:p w14:paraId="4C4D0C5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 严禁贿赂</w:t>
      </w:r>
    </w:p>
    <w:p w14:paraId="0DC9702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在合同执行过程中，发包人和承揽人应严格履行《廉政合同》约定的双方在廉政建设方面的权利和义务以及应承担的违约责任。承揽人如果用行贿、送礼或其他不正当手段企图影响或已经影响了发包人或监理人的行为和（或）欲获得或已获得超出合同规定以外的额外费用，则发包人应按有关法纪严肃处理当事人，且承揽人应对其上述行为造成的工程损害、发包人的经济损失等承担一切责任，并予赔偿。情节严重者，发包人有权终止承揽人在本合同项下的承包。</w:t>
      </w:r>
    </w:p>
    <w:p w14:paraId="2622F0FA">
      <w:pPr>
        <w:pageBreakBefore w:val="0"/>
        <w:tabs>
          <w:tab w:val="left" w:pos="56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2.发包人义务</w:t>
      </w:r>
    </w:p>
    <w:p w14:paraId="7F75EE5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 提供施工场地</w:t>
      </w:r>
    </w:p>
    <w:p w14:paraId="169A708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本款补充：发包人负责办理永久占地的征用及与之有关的拆迁赔偿手续并承担相关费用。承揽人在按第 10 条规定提交施工进度计划的同时，应向监理人提交一份按施工先后次序所需的永久占地计划。监理人应在收到此计划后的 14 天内审核并转报发包人核备。发包人应在监理人发出本工程或分部工程开工通知之前，对承揽人开工所需的永久占地办妥征用手续和相关拆迁赔偿手续，通知承揽人使用，以使承揽人能够及时开工；此后按承揽人提交并经监理人同意的合同进度计划的安排，分期（也可以一次）将施工所需的其余永久占地办妥征用以及拆迁赔偿手续，通知承揽人使用，以使承揽人能够连续不间断地施工。由于承揽人施工考虑不周或措施不当等原因而造成的超计划占地或拆迁等所发生的征用和赔偿费用，应由承揽人承担。由于发包人未能按照本项规定办妥永久占地征用手续，影响承揽人及时使用永久占地造成的费用增加和（或）工期延误应由发包人承担。由于承揽人未能按照本项规定提交占地计划，影响发包人办理永久占地征用手续造成的费用增加和（或）工期延误由承揽人承担。</w:t>
      </w:r>
    </w:p>
    <w:p w14:paraId="0A66B7A7">
      <w:pPr>
        <w:pageBreakBefore w:val="0"/>
        <w:tabs>
          <w:tab w:val="left" w:pos="56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bookmarkStart w:id="96" w:name="page127"/>
      <w:bookmarkEnd w:id="96"/>
      <w:r>
        <w:rPr>
          <w:rFonts w:hint="eastAsia" w:ascii="宋体" w:hAnsi="宋体" w:eastAsia="宋体" w:cs="宋体"/>
          <w:color w:val="auto"/>
          <w:spacing w:val="0"/>
          <w:sz w:val="24"/>
          <w:szCs w:val="24"/>
          <w:highlight w:val="none"/>
        </w:rPr>
        <w:t>3.监理人</w:t>
      </w:r>
    </w:p>
    <w:p w14:paraId="36F0AE0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3.1 监理人的职责和权力</w:t>
      </w:r>
    </w:p>
    <w:p w14:paraId="27CFA760">
      <w:pPr>
        <w:pageBreakBefore w:val="0"/>
        <w:numPr>
          <w:ilvl w:val="0"/>
          <w:numId w:val="10"/>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3.1.1 项补充：</w:t>
      </w:r>
    </w:p>
    <w:p w14:paraId="41B8C6B7">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监理人在行使下列权力前需要经发包人事先批准：</w:t>
      </w:r>
    </w:p>
    <w:p w14:paraId="76DFFD3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（1）根据第 4.3 款，同意分包本工程的某些非关键性工作或者适合专业化队伍施工的专项工程；</w:t>
      </w:r>
    </w:p>
    <w:p w14:paraId="6C4EDC9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（2）确定第 4.11 款下产生的费用增加额；</w:t>
      </w:r>
    </w:p>
    <w:p w14:paraId="4EAEE91F">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（3）根据第 11.1 款、第 12.3 款、第 12.4 款发布开工通知、暂停施工指示或复工通知；</w:t>
      </w:r>
    </w:p>
    <w:p w14:paraId="0A40DDE0">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（4）决定第 11.3 款、第 11.4 款下的工期延长；</w:t>
      </w:r>
    </w:p>
    <w:p w14:paraId="13C2B20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（5）审查批准技术方案或设计的变更；</w:t>
      </w:r>
    </w:p>
    <w:p w14:paraId="545B54F1">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（6）根据第 15.3 款发出的变更指示，其单项工程变更或累计变更涉及的金额超过了项目专用合同条款数据表中规定的金额；</w:t>
      </w:r>
    </w:p>
    <w:p w14:paraId="6E4A491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（7）确定第 15.4 款下变更工作的单价；</w:t>
      </w:r>
    </w:p>
    <w:p w14:paraId="0DA93F0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（8）按照第 15.6 款决定有关暂列金额的使用；</w:t>
      </w:r>
    </w:p>
    <w:p w14:paraId="79957CE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（9）确定第 15.8 款下的暂估价金额；</w:t>
      </w:r>
    </w:p>
    <w:p w14:paraId="085633F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（10）确定第 23.1 款下的索赔额。如果发生紧急情况，监理人认为将造成人员伤亡，或危及本工程或邻近的财产需立即采取行动，监理人有权在未征得发包人的批准的情况下发布处理紧急情况所必需的指令，承揽人应予执行，由此造成的费用增加由监理人按第 3.5 款商定或确定。</w:t>
      </w:r>
    </w:p>
    <w:p w14:paraId="694850A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3.5 商定或确定</w:t>
      </w:r>
    </w:p>
    <w:p w14:paraId="1523770B">
      <w:pPr>
        <w:pageBreakBefore w:val="0"/>
        <w:numPr>
          <w:ilvl w:val="0"/>
          <w:numId w:val="11"/>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3.5.1 项补充：</w:t>
      </w:r>
    </w:p>
    <w:p w14:paraId="30A81165">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如果这项商定或确定导致费用增加和（或）工期延长，或者涉及确定变更工程的价格，则总监理工程师在发出通知前，应征得发包人的同意。</w:t>
      </w:r>
    </w:p>
    <w:p w14:paraId="08A8DE6D">
      <w:pPr>
        <w:pageBreakBefore w:val="0"/>
        <w:tabs>
          <w:tab w:val="left" w:pos="56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4.承揽人</w:t>
      </w:r>
    </w:p>
    <w:p w14:paraId="1D55D14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 承揽人的一般义务</w:t>
      </w:r>
    </w:p>
    <w:p w14:paraId="128BFFD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4.1.9 工程的维护和照管</w:t>
      </w:r>
    </w:p>
    <w:p w14:paraId="74BADD9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本项细化为：</w:t>
      </w:r>
      <w:bookmarkStart w:id="97" w:name="page128"/>
      <w:bookmarkEnd w:id="97"/>
    </w:p>
    <w:p w14:paraId="2F00461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交工验收证书颁发前，承揽人应负责照管和维护工程及将用于或安装在本工程中的材料、设备。交工验收证书颁发时尚有部分未交工工程的，承揽人还应负责该未交工工程、材料、设备的照管和维护工作，直至交工后移交给发包人为止。</w:t>
      </w:r>
    </w:p>
    <w:p w14:paraId="222A12B5">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（2）在承揽人负责照管与维护期间，如果本工程或材料、设备等发生损失或损害，除不可抗力原因之外，承揽人均应自费弥补，并达到合同要求。承揽人还应对按第 19 条规定而实施作业过程中由承揽人造成的对工程的任何损失或损害负责。</w:t>
      </w:r>
    </w:p>
    <w:p w14:paraId="3F06B718">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4.1.10 其他义务</w:t>
      </w:r>
    </w:p>
    <w:p w14:paraId="15B2143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本项细化为：</w:t>
      </w:r>
    </w:p>
    <w:p w14:paraId="795C0082">
      <w:pPr>
        <w:pageBreakBefore w:val="0"/>
        <w:numPr>
          <w:ilvl w:val="0"/>
          <w:numId w:val="12"/>
        </w:numPr>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临时占地由承揽人向当地政府土地管理部门申请，并办理租用手续，承揽人按有关规定直接支付其费用，发包人对此将予以协调。临时占地范围包括承揽人驻地的办公室、食堂、宿舍、道路和机械设备停放场、材料堆放场地、弃土场、预制场、拌和场、仓库、进场临时道路、临时便道、便桥等。承揽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第 100 章中由承揽人按总额报价。临时占地退还前，承揽人应自费恢复到临时占地使用前的状况。如因承揽人撤离后未按要求对临时占地进行恢复或虽进行了恢复但未达到使用标准的，将由发包人委托第三方对其恢复，所发生的费用将从应付给承揽人的任何款项内扣除。</w:t>
      </w:r>
    </w:p>
    <w:p w14:paraId="2C2A6701">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除项目专用合同条款另有约定外，承揽人应承担并支付为获得本合同工程所需的石料、砂、砾石、黏土或其他当地材料等所发生的料场使用费及其他开支或补偿费。发包人应尽可能协助承揽人办理料场租用手续及解决使用过程中的有关问题。</w:t>
      </w:r>
    </w:p>
    <w:p w14:paraId="63E1DA01">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承揽人应严格遵守国家有关解决拖欠工程款和民工工资的法律、法规，及时支付工程中的材料、设备货款及民工工资等费用。承揽人不得以任何借口拖欠材料、设备货款及民工工资等费用，如果出现此种现象，发包人有权代为支付其拖欠的材料、设备货款及民工工资，并从应付给承揽人的工程款中扣除相应款项。对恶意拖欠和拒不按计划支付的，作为不良记录纳入公路建设市场信用信息管理系统。承揽人的项目经理部是民工工资支付行为的主体，承揽人的项目经理是民工工资支付的责任人。项目经理部要建立全体民工花名册和工资支付表，确保将工资直接发放给民工本人，或委托银行发放民工工资，严禁发放给“包工头”或其他不具备用工主体资格的组织和个人。工资支付表应如实记录支付单位、支付时间、支付对象、支付数额、支付对象的</w:t>
      </w:r>
      <w:bookmarkStart w:id="98" w:name="page129"/>
      <w:bookmarkEnd w:id="98"/>
      <w:r>
        <w:rPr>
          <w:rFonts w:hint="eastAsia" w:ascii="宋体" w:hAnsi="宋体" w:eastAsia="宋体" w:cs="宋体"/>
          <w:color w:val="auto"/>
          <w:spacing w:val="0"/>
          <w:sz w:val="24"/>
          <w:szCs w:val="24"/>
          <w:highlight w:val="none"/>
        </w:rPr>
        <w:t>身份证号和签字等信息。民工花名册和工资支付表应报监理人备查。</w:t>
      </w:r>
    </w:p>
    <w:p w14:paraId="7C872EA0">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承揽人应分解工程价款中的人工费用，在工程项目所在地银行开设民工工资（劳务费）专用账户，专项用于支付民工工资。发包人应按照本合同约定的比例或承揽人提供的人工费用数额，将应付工程款中的人工费单独拨付到承揽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7C11A589">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承揽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揽人应列入工程量清单第 100 章中。</w:t>
      </w:r>
    </w:p>
    <w:p w14:paraId="1D346B50">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（6）承揽人应履行项目专用合同条款约定的其他义务。</w:t>
      </w:r>
    </w:p>
    <w:p w14:paraId="47CD86D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4.2 履约保证金</w:t>
      </w:r>
      <w:r>
        <w:rPr>
          <w:rFonts w:hint="eastAsia" w:ascii="宋体" w:hAnsi="宋体" w:cs="宋体"/>
          <w:color w:val="auto"/>
          <w:spacing w:val="0"/>
          <w:sz w:val="24"/>
          <w:szCs w:val="24"/>
          <w:highlight w:val="none"/>
          <w:lang w:eastAsia="zh-CN"/>
        </w:rPr>
        <w:t>：无</w:t>
      </w:r>
    </w:p>
    <w:p w14:paraId="7D89A7F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4.3 分包</w:t>
      </w:r>
    </w:p>
    <w:p w14:paraId="3B53F974">
      <w:pPr>
        <w:pageBreakBefore w:val="0"/>
        <w:numPr>
          <w:ilvl w:val="0"/>
          <w:numId w:val="13"/>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4.3.2 项～第 4.3.4 项细化为：</w:t>
      </w:r>
    </w:p>
    <w:p w14:paraId="3CED79E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4.3.2 承揽人不得将工程关键性工作分包给第三人。经发包人同意，承揽人可将</w:t>
      </w:r>
    </w:p>
    <w:p w14:paraId="4892F40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工程的其他部分或工作分包给第三人。分包包括专业分包和劳务分包。</w:t>
      </w:r>
    </w:p>
    <w:p w14:paraId="161A129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4.3.3 专业分包</w:t>
      </w:r>
    </w:p>
    <w:p w14:paraId="421243D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在工程施工过程中，承揽人进行专业分包必须遵守以下规定：</w:t>
      </w:r>
    </w:p>
    <w:p w14:paraId="4AA240F9">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允许专业分包的工程范围仅限于非关键性工程或者适合专业化队伍施工的专项工程。未列入投标文件的专项工程，承揽人不得分包。但因工程变更增加了有特殊性技术要求、特殊工艺或者涉及专利保护等的专项工程，且按规定无须再进行招标的，由承揽人提出书面申请，经发包人书面同意，可以分包。</w:t>
      </w:r>
    </w:p>
    <w:p w14:paraId="41D26EDD">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bookmarkStart w:id="99" w:name="page130"/>
      <w:bookmarkEnd w:id="99"/>
      <w:r>
        <w:rPr>
          <w:rFonts w:hint="eastAsia" w:ascii="宋体" w:hAnsi="宋体" w:eastAsia="宋体" w:cs="宋体"/>
          <w:color w:val="auto"/>
          <w:spacing w:val="0"/>
          <w:sz w:val="24"/>
          <w:szCs w:val="24"/>
          <w:highlight w:val="none"/>
        </w:rPr>
        <w:t>（2）专业分包人的资格能力（含安全生产能力）应与其分包工程的标准和规模相适应，且应当具备如下条件：</w:t>
      </w:r>
    </w:p>
    <w:p w14:paraId="642565D6">
      <w:pPr>
        <w:pageBreakBefore w:val="0"/>
        <w:numPr>
          <w:ilvl w:val="0"/>
          <w:numId w:val="14"/>
        </w:numPr>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具有经工商登记的法人资格；</w:t>
      </w:r>
    </w:p>
    <w:p w14:paraId="2B5EBAE2">
      <w:pPr>
        <w:pageBreakBefore w:val="0"/>
        <w:numPr>
          <w:ilvl w:val="0"/>
          <w:numId w:val="14"/>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具有从事类似工程经验的管理与技术人员；</w:t>
      </w:r>
    </w:p>
    <w:p w14:paraId="5F954EBB">
      <w:pPr>
        <w:pageBreakBefore w:val="0"/>
        <w:numPr>
          <w:ilvl w:val="0"/>
          <w:numId w:val="14"/>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具有（自有或租赁）分包工程所需的施工设备。</w:t>
      </w:r>
    </w:p>
    <w:p w14:paraId="04A7BAD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承揽人应向监理人提交专业分包人的资格能力证明材料，经监理人审查并报发包人批准后，可以将相应专业工程分包给该专业分包人。</w:t>
      </w:r>
    </w:p>
    <w:p w14:paraId="2338A11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（3）专业分包工程不得再次分包。</w:t>
      </w:r>
    </w:p>
    <w:p w14:paraId="1C01B0C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承揽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揽人应在工程实施前，将经监理人审查同意后的分包合同报发包人备案。</w:t>
      </w:r>
    </w:p>
    <w:p w14:paraId="4FB6D4D2">
      <w:pPr>
        <w:pageBreakBefore w:val="0"/>
        <w:kinsoku/>
        <w:wordWrap w:val="0"/>
        <w:overflowPunct/>
        <w:topLinePunct/>
        <w:autoSpaceDE/>
        <w:autoSpaceDN/>
        <w:bidi w:val="0"/>
        <w:spacing w:line="276" w:lineRule="auto"/>
        <w:ind w:left="0" w:leftChars="0" w:right="6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3E59B5DD">
      <w:pPr>
        <w:pageBreakBefore w:val="0"/>
        <w:kinsoku/>
        <w:wordWrap w:val="0"/>
        <w:overflowPunct/>
        <w:topLinePunct/>
        <w:autoSpaceDE/>
        <w:autoSpaceDN/>
        <w:bidi w:val="0"/>
        <w:spacing w:line="276" w:lineRule="auto"/>
        <w:ind w:left="0" w:leftChars="0" w:right="6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承揽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揽人的责任或者义务。</w:t>
      </w:r>
    </w:p>
    <w:p w14:paraId="38C78EA1">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（7）专业分包人应当依据专业分包合同的约定，组织分包工程的施工，并对分包工程的质量、安全和进度等实施有效控制。专业分包人对其分包的工程向承揽人负责，并就所分包的工程向发包人承担连带责任。</w:t>
      </w:r>
    </w:p>
    <w:p w14:paraId="5041D685">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承揽人对施工现场安全负总责，并对专业分包人的安全生产进行培训和管理。专业分包人应将其专业分包工程的施工组织设计和施工安全方案报承揽人备案。专业分包人对分包施工现场安全负责，发现事故隐患，应及时处理。</w:t>
      </w:r>
    </w:p>
    <w:p w14:paraId="6E6C32C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违反上述规定之一者属违规分包。</w:t>
      </w:r>
    </w:p>
    <w:p w14:paraId="5F845DB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4.3.4 劳务分包</w:t>
      </w:r>
    </w:p>
    <w:p w14:paraId="50B26BA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在工程施工过程中，承揽人进行劳务分包必须遵守以下规定：</w:t>
      </w:r>
    </w:p>
    <w:p w14:paraId="0889249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（1）劳务分包人应具有施工劳务资质。</w:t>
      </w:r>
    </w:p>
    <w:p w14:paraId="619020DC">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（2）劳务分包应当依法签订劳务分包合同，劳务分包合同必须由承揽人的法定代表人或其委托代理人与劳务分包人直接签订，不得由他人代签。承揽人的项目经</w:t>
      </w:r>
      <w:bookmarkStart w:id="100" w:name="page131"/>
      <w:bookmarkEnd w:id="100"/>
      <w:r>
        <w:rPr>
          <w:rFonts w:hint="eastAsia" w:ascii="宋体" w:hAnsi="宋体" w:eastAsia="宋体" w:cs="宋体"/>
          <w:color w:val="auto"/>
          <w:spacing w:val="0"/>
          <w:sz w:val="24"/>
          <w:szCs w:val="24"/>
          <w:highlight w:val="none"/>
        </w:rPr>
        <w:t>理部、项目经理、施工班组等不具备用工主体资格，不能与劳务分包人签订劳务分包合同。承揽人应向发包人和监理人提交劳务分包合同副本并报项目所在地劳动保障部门备案。</w:t>
      </w:r>
    </w:p>
    <w:p w14:paraId="42DC30D4">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承揽人雇用的劳务作业应加入到承揽人的施工班组统一管理。有关施工质量、施工安全、施工进度、环境保护、技术方案、试验检测、材料保管与供应、机械设备等都必须由承揽人管理与调配，不得以包代管。</w:t>
      </w:r>
    </w:p>
    <w:p w14:paraId="3831D0D6">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（4）承揽人应当对劳务分包人员进行安全培训和管理，劳务分包人不得将其分包的劳务作业再次分包。</w:t>
      </w:r>
    </w:p>
    <w:p w14:paraId="0E202E5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违反上述规定之一者属违规分包。</w:t>
      </w:r>
    </w:p>
    <w:p w14:paraId="266B958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本款补充第4.3.6 项、第4.3.7 项：</w:t>
      </w:r>
    </w:p>
    <w:p w14:paraId="34BA706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4.3.6 发包人对承揽人与分包人之间的法律与经济纠纷不承担任何责任和义务。</w:t>
      </w:r>
    </w:p>
    <w:p w14:paraId="3A0BEA8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4.3.7 本项目的各项分包工作均应遵守《公路工程施工分包管理办法》的有关规定。</w:t>
      </w:r>
    </w:p>
    <w:p w14:paraId="58915CC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4.4 联合体</w:t>
      </w:r>
    </w:p>
    <w:p w14:paraId="28BFF61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本款补充第 4.4.4 项：</w:t>
      </w:r>
    </w:p>
    <w:p w14:paraId="4E43106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4.4.4 未经发包人事先同意，联合体的组成与结构不得变动。</w:t>
      </w:r>
    </w:p>
    <w:p w14:paraId="5AED7B6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4.6 承揽人人员的管理</w:t>
      </w:r>
    </w:p>
    <w:p w14:paraId="1D513983">
      <w:pPr>
        <w:pageBreakBefore w:val="0"/>
        <w:numPr>
          <w:ilvl w:val="0"/>
          <w:numId w:val="15"/>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4.6.3 项细化为：</w:t>
      </w:r>
    </w:p>
    <w:p w14:paraId="69BD95DB">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安排在施工场地的主要管理人员和技术骨干应与承揽人承诺的名单一致，并保持相对稳定。未经监理人批准，上述人员不应无故不到位或被替换；若确实无法到位或需替换，需经监理人审核并报发包人批准后，用同等资质和经历的人员替换。</w:t>
      </w:r>
    </w:p>
    <w:p w14:paraId="2F36ED9D">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本款补充第 4.6.5 项：</w:t>
      </w:r>
    </w:p>
    <w:p w14:paraId="7DED002A">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4.6.5 尽管承揽人已按承诺派遣了上述各类人员，但若这些人员仍不能满足合同进度计划和（或）质量要求时，监理人有权要求承揽人继续增派或雇用这类人员，并书面通知承揽人和抄送发包人。承揽人在接到上述通知后应立即执行监理人的上述指示，不得无故拖延，由此增加的费用和（或）工期延误由承揽人承担。</w:t>
      </w:r>
    </w:p>
    <w:p w14:paraId="53A4158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4.7 撤换承揽人项目经理和其他人员</w:t>
      </w:r>
    </w:p>
    <w:p w14:paraId="72EEDA6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本款细化为：</w:t>
      </w:r>
    </w:p>
    <w:p w14:paraId="4F7816E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承揽人应对其项目经理和其他人员进行有效管理。监理人要求撤换不能胜任本</w:t>
      </w:r>
      <w:bookmarkStart w:id="101" w:name="page132"/>
      <w:bookmarkEnd w:id="101"/>
      <w:r>
        <w:rPr>
          <w:rFonts w:hint="eastAsia" w:ascii="宋体" w:hAnsi="宋体" w:eastAsia="宋体" w:cs="宋体"/>
          <w:color w:val="auto"/>
          <w:spacing w:val="0"/>
          <w:sz w:val="24"/>
          <w:szCs w:val="24"/>
          <w:highlight w:val="none"/>
        </w:rPr>
        <w:t>职工作、行为不端或玩忽职守的承揽人项目经理和其他人员的，承揽人应予以撤换，同时委派经发包人与监理人同意的新的项目经理和其他人员。</w:t>
      </w:r>
    </w:p>
    <w:p w14:paraId="3E60E1C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4.9 工程价款应专款专用</w:t>
      </w:r>
    </w:p>
    <w:p w14:paraId="3E5EF6B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本款细化为：</w:t>
      </w:r>
    </w:p>
    <w:p w14:paraId="60B07B9D">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按合同约定支付给承揽人的各项价款应专用于合同工程。承揽人必须在发包人指定的银行开户，并与发包人、银行共同签订《工程资金监管协议》，接受发包人和银行对资金的监管。承揽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揽人工程资金使用情况进行检查，发现问题及时责令承揽人限期改正，否则，将终止月支付，直至承揽人改正为止。</w:t>
      </w:r>
    </w:p>
    <w:p w14:paraId="53A8852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4.10 承揽人现场查勘</w:t>
      </w:r>
    </w:p>
    <w:p w14:paraId="3584144A">
      <w:pPr>
        <w:pageBreakBefore w:val="0"/>
        <w:numPr>
          <w:ilvl w:val="0"/>
          <w:numId w:val="16"/>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4.10.1 项细化为：</w:t>
      </w:r>
    </w:p>
    <w:p w14:paraId="760C5A34">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提供的本合同工程的水文、地质、气象和料场分布、取土场、弃土场位置等资料均属于参考资料，并不构成合同文件的组成部分，承揽人应对自己就上述资料的解释、推论和应用负责，发包人不对承揽人据此作出的判断和决策承担任何责任。</w:t>
      </w:r>
    </w:p>
    <w:p w14:paraId="225E266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4.11 不利物质条件</w:t>
      </w:r>
    </w:p>
    <w:p w14:paraId="14975930">
      <w:pPr>
        <w:pageBreakBefore w:val="0"/>
        <w:numPr>
          <w:ilvl w:val="0"/>
          <w:numId w:val="17"/>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4.11.2 项细化为：</w:t>
      </w:r>
    </w:p>
    <w:p w14:paraId="497ABAD2">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4.11.2  承揽人遇到不可预见的不利物质条件时，应采取适应不利物质条件的合理措施继续施工，并及时通知监理人。监理人应当及时发出指示，指示构成变更的，按第 15 条约定办理。监理人没有发出指示的，承揽人因采取合理措施而增加的费用和（或）工期延误，由发包人承担。</w:t>
      </w:r>
    </w:p>
    <w:p w14:paraId="047CAB2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本款补充第 4.11.3 项：</w:t>
      </w:r>
    </w:p>
    <w:p w14:paraId="6CD7863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4.11.3 可预见的不利物质条件</w:t>
      </w:r>
    </w:p>
    <w:p w14:paraId="7639721D">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（1）对于项目专用合同条款中已经明确指出的不利物质条件无论承揽人是否有其经历和经验均视为承揽人在接受合同时已预见其影响，并已在签约合同价中计入因其影响而可能发生的一切费用。</w:t>
      </w:r>
    </w:p>
    <w:p w14:paraId="2C84C913">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（2）对于项目专用合同条款未明确指出，但是在不利物质条件发生之前，监理人已经指示承揽人有可能发生，但承揽人未能及时采取有效措施，而导致的损失和后果均由承揽人承担。</w:t>
      </w:r>
    </w:p>
    <w:p w14:paraId="6E2DE9FD">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补充第 4.12 款、第 4.13 款：</w:t>
      </w:r>
    </w:p>
    <w:p w14:paraId="6E92DB0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4.12 投标文件的完备性</w:t>
      </w:r>
    </w:p>
    <w:p w14:paraId="44FADDC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合同双方一致认为，承揽人在递交投标文件前，对本合同工程的投标文件和已标价工程量清单中开列的单价和总额价已查明是正确的和完备的。投标的单价和总额价应已包括了合同中规定的承揽人的全部义务（包括提供货物、材料、设备、服务的义务，并包括了暂列金额和暂估价范围内的额外工作的义务）以及为实施和完成本合同工程及其缺陷修复所必需的一切工作和条件。</w:t>
      </w:r>
    </w:p>
    <w:p w14:paraId="413B67C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4.13 开展党建工作要求</w:t>
      </w:r>
    </w:p>
    <w:p w14:paraId="34398933">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对于政府投资的国家高速公路项目，或承揽人为国有控股或参股企业的，承揽人应按规定在项目现场设立基层党组织。不满足上述情形的，承揽人应创造条件使党员能够参加党组织生活并接受相应管理。承揽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21DEDA9E">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5.材料和工程设备</w:t>
      </w:r>
    </w:p>
    <w:p w14:paraId="38B5432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5.2 发包人提供的材料和工程设备</w:t>
      </w:r>
    </w:p>
    <w:p w14:paraId="11A988A1">
      <w:pPr>
        <w:pageBreakBefore w:val="0"/>
        <w:numPr>
          <w:ilvl w:val="0"/>
          <w:numId w:val="18"/>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5.2.3 项补充：</w:t>
      </w:r>
    </w:p>
    <w:p w14:paraId="01133C8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负责接收并按规定对材料进行抽样检验和对工程设备进行检验测试，若发现材料和工程设备存在缺陷，承揽人应及时通知监理人，发包人应及时改正通知中指出的缺陷。承揽人负责接收后的运输和保管，因承揽人的原因发生丢失、损坏或进度拖延，由承揽人承担相应责任。</w:t>
      </w:r>
    </w:p>
    <w:p w14:paraId="34DA42EC">
      <w:pPr>
        <w:pageBreakBefore w:val="0"/>
        <w:tabs>
          <w:tab w:val="left" w:pos="56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bookmarkStart w:id="102" w:name="page134"/>
      <w:bookmarkEnd w:id="102"/>
      <w:r>
        <w:rPr>
          <w:rFonts w:hint="eastAsia" w:ascii="宋体" w:hAnsi="宋体" w:eastAsia="宋体" w:cs="宋体"/>
          <w:color w:val="auto"/>
          <w:spacing w:val="0"/>
          <w:sz w:val="24"/>
          <w:szCs w:val="24"/>
          <w:highlight w:val="none"/>
        </w:rPr>
        <w:t>6.施工设备和临时设施</w:t>
      </w:r>
    </w:p>
    <w:p w14:paraId="269251C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6.1 承揽人提供的施工设备和临时设施</w:t>
      </w:r>
    </w:p>
    <w:p w14:paraId="2F8926AC">
      <w:pPr>
        <w:pageBreakBefore w:val="0"/>
        <w:numPr>
          <w:ilvl w:val="0"/>
          <w:numId w:val="19"/>
        </w:numPr>
        <w:tabs>
          <w:tab w:val="left" w:pos="92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6.1.2 项约定为：承揽人应自行承担修建临时设施的费用，需要临时占地的，应由承揽人按第 4.1.10 项（1）目的规定办理。</w:t>
      </w:r>
    </w:p>
    <w:p w14:paraId="4C464BA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6.3 要求承揽人增加或更换施工设备</w:t>
      </w:r>
    </w:p>
    <w:p w14:paraId="1F4C570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本款细化为：</w:t>
      </w:r>
    </w:p>
    <w:p w14:paraId="5B9A25D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承诺的施工设备必须按时到达现场，不得拖延、缺短或任意更换。尽管承揽人已按承诺提供了上述设备，但若承揽人使用的施工设备不能满足合同进度计划和（或）质量要求时，监理人有权要求承揽人增加或更换施工设备，承揽人应及时增加或更换，由此增加的费用和（或）工期延误由承揽人承担。</w:t>
      </w:r>
    </w:p>
    <w:p w14:paraId="3721E47D">
      <w:pPr>
        <w:pageBreakBefore w:val="0"/>
        <w:tabs>
          <w:tab w:val="left" w:pos="56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7.交通运输</w:t>
      </w:r>
    </w:p>
    <w:p w14:paraId="4377B37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7.1 道路通行权和场外设施</w:t>
      </w:r>
    </w:p>
    <w:p w14:paraId="384FFB4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本款约定为：</w:t>
      </w:r>
    </w:p>
    <w:p w14:paraId="4D186F0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根据合同工程的施工需要，负责办理取得出入施工场地的专用和临时道路的通行权，以及取得为工程建设所需修建场外设施的权利，并承担有关费用。需要发包人协调时，发包人应协助承揽人办理相关手续。</w:t>
      </w:r>
    </w:p>
    <w:p w14:paraId="2A2A36C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8.测量放线</w:t>
      </w:r>
    </w:p>
    <w:p w14:paraId="5D87922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8.4 监理人使用施工控制网</w:t>
      </w:r>
    </w:p>
    <w:p w14:paraId="601288C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w:t>
      </w:r>
    </w:p>
    <w:p w14:paraId="08132F3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经监理人批准，其他相关承揽人也可免费使用施工控制网。</w:t>
      </w:r>
    </w:p>
    <w:p w14:paraId="71DEAC33">
      <w:pPr>
        <w:pageBreakBefore w:val="0"/>
        <w:tabs>
          <w:tab w:val="left" w:pos="56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9.施工安全、治安保卫和环境保护</w:t>
      </w:r>
    </w:p>
    <w:p w14:paraId="4AC3FB8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9.2 承揽人的施工安全责任</w:t>
      </w:r>
    </w:p>
    <w:p w14:paraId="778E3AB5">
      <w:pPr>
        <w:pageBreakBefore w:val="0"/>
        <w:numPr>
          <w:ilvl w:val="0"/>
          <w:numId w:val="20"/>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9.2.1 项细化为：</w:t>
      </w:r>
    </w:p>
    <w:p w14:paraId="6493795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承揽人应按合同约定履行安全职责，严格执行国家、地方政府有关施工安全管</w:t>
      </w:r>
      <w:bookmarkStart w:id="103" w:name="page135"/>
      <w:bookmarkEnd w:id="103"/>
      <w:r>
        <w:rPr>
          <w:rFonts w:hint="eastAsia" w:ascii="宋体" w:hAnsi="宋体" w:eastAsia="宋体" w:cs="宋体"/>
          <w:color w:val="auto"/>
          <w:spacing w:val="0"/>
          <w:sz w:val="24"/>
          <w:szCs w:val="24"/>
          <w:highlight w:val="none"/>
        </w:rPr>
        <w:t>理方面的法律、法规及规章制度，同时严格执行发包人制订的本项目安全生产管理方面的规章制度、安全检查程序及施工安全管理要求，以及监理人有关安全工作的指示。承揽人应根据本工程的实际安全施工要求，编制施工安全技术措施，并在签订合同协议书后 28 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揽人项目总工签字并报监理人和发包人批准后实施，由专职安全生产管理人员进行现场监督。</w:t>
      </w:r>
    </w:p>
    <w:p w14:paraId="2AE5BF1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本项目需要编制专项施工方案的工程包括但不限于以下内容：</w:t>
      </w:r>
    </w:p>
    <w:p w14:paraId="1565FDB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（1）不良地质条件下有潜在危险性的土方、石方开挖；</w:t>
      </w:r>
    </w:p>
    <w:p w14:paraId="168C8B2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（2）滑坡和高边坡处理；</w:t>
      </w:r>
    </w:p>
    <w:p w14:paraId="1013285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（3）桩基础、挡墙基础、深水基础及围堰工程；</w:t>
      </w:r>
    </w:p>
    <w:p w14:paraId="765E71E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（4）桥梁工程中的梁、拱、柱等构件施工等；</w:t>
      </w:r>
    </w:p>
    <w:p w14:paraId="7E49E7A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（5）隧道工程中的不良地质隧道、高瓦斯隧道等；</w:t>
      </w:r>
    </w:p>
    <w:p w14:paraId="73496FFE">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（6）水上工程中的打桩船作业、施工船作业、外海孤岛作业、边通航边施工作业等；</w:t>
      </w:r>
    </w:p>
    <w:p w14:paraId="0C305326">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（7）水下工程中的水下焊接、混凝土浇筑、爆破工程等；</w:t>
      </w:r>
    </w:p>
    <w:p w14:paraId="22DD27D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（8）爆破工程；</w:t>
      </w:r>
    </w:p>
    <w:p w14:paraId="7475A385">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（9）大型临时工程中的大型支架、模板、便桥的架设与拆除；桥梁、码头的加固与拆除；</w:t>
      </w:r>
    </w:p>
    <w:p w14:paraId="5FEB561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（10）其他危险性较大的工程。</w:t>
      </w:r>
    </w:p>
    <w:p w14:paraId="39F95B9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监理人和发包人在检查中发现有安全问题或有违反安全管理规章制度的情况时，可视为承揽人违约，应按第 22.1 款的规定办理。</w:t>
      </w:r>
    </w:p>
    <w:p w14:paraId="594D388D">
      <w:pPr>
        <w:pageBreakBefore w:val="0"/>
        <w:numPr>
          <w:ilvl w:val="0"/>
          <w:numId w:val="21"/>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9.2.5 项细化为：</w:t>
      </w:r>
    </w:p>
    <w:p w14:paraId="4E197E72">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除项目专用合同条款另有约定外，安全生产费用应为投标价（不含安全生产费及交通工程一切险及第三者责任险的保险费）的 1.5%（若发包人公布了最高投标限价时，按最高投标限价的 1.5%计）。安全生产费用应用于施工安全防护用具及设施的采购和更新、安全施工措施的落实、安全生产条件的改善，不得挪作他用。如承揽人在此基础上增加安全生产费用以满足项目施工需要，则承揽人应在本项目工程量清单其他相关子目的单价或总额价中予以考虑，发包人不再另行支付。因采取合同未约定的特殊防护措施增加的费用，由监理人按第 3.5 款商定或确定。</w:t>
      </w:r>
    </w:p>
    <w:p w14:paraId="2026C22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本款补充第 9.2.8 项~第 9.2.11 项：</w:t>
      </w:r>
    </w:p>
    <w:p w14:paraId="3065793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9.2.8 承揽人应充分关注和保障所有在现场工作的人员的安全，采取以下有效措施，使现场和本合同工程的实施保持有条不紊，以免使上述人员的安全受到威胁。</w:t>
      </w:r>
    </w:p>
    <w:p w14:paraId="684A523A">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（1）按《公路水运工程安全生产监督管理办法》规定的最低数量和资质条件配备专职安全生产管理人员；</w:t>
      </w:r>
    </w:p>
    <w:p w14:paraId="3705C89F">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承揽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56599A79">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（3）所有施工机具设备和高空作业设备均应定期检查，并有安全员的签字记</w:t>
      </w:r>
    </w:p>
    <w:p w14:paraId="29D472BC">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（4）根据本合同各单位工程的施工特点，严格执行《公路水运工程安全生产监督管理办法》《公路工程施工安全技术规范》等有关规定。</w:t>
      </w:r>
    </w:p>
    <w:p w14:paraId="4D7ED97D">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9.2.9 为了保护本合同工程免遭损坏，或为了现场附近和过往群众的安全与方便，在确有必要的时候和地方，或当监理人或有关主管部门要求时，承揽人应自费提供照明、警卫、护栅、警告标志等安全防护设施。</w:t>
      </w:r>
    </w:p>
    <w:p w14:paraId="1818EB3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9.2.10 在通航水域施工时，承揽人应与当地主管部门取得联系，设置必要的导航标志，及时发布航行通告，确保施工水域安全。</w:t>
      </w:r>
    </w:p>
    <w:p w14:paraId="25374043">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9.2.11 在整个施工过程中对承揽人采取的施工安全措施，发包人和监理人有权监督，并向承揽人提出整改要求。如果由于承揽人未能对其负责的上述事项采取各种必要的措施而导致或发生与此有关的人身伤亡、罚款、索赔、损失补偿、诉讼费用及其他一切责任应由承揽人负责。</w:t>
      </w:r>
    </w:p>
    <w:p w14:paraId="3819150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9.4 环境保护</w:t>
      </w:r>
    </w:p>
    <w:p w14:paraId="1D2B42A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本款补充第 9.4.7 项~第 9.4.11 项：</w:t>
      </w:r>
    </w:p>
    <w:p w14:paraId="1749402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9.4.7 承揽人应切实执行技术规范中有关环境保护方面的条款和规定。</w:t>
      </w:r>
    </w:p>
    <w:p w14:paraId="37C1AD37">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 150m 以内的施工现场，施工时间应加以控制。</w:t>
      </w:r>
    </w:p>
    <w:p w14:paraId="26BEE2C9">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（2）对于公路施工中粉尘污染的主要污染源――灰土拌和、施工车辆和筑路机械运行及运输产生的扬尘，应采取有效措施减轻其对施工现场的大气污染，保护人民健康，如：</w:t>
      </w:r>
    </w:p>
    <w:p w14:paraId="0272A397">
      <w:pPr>
        <w:pageBreakBefore w:val="0"/>
        <w:numPr>
          <w:ilvl w:val="0"/>
          <w:numId w:val="22"/>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拌和设备应有较好的密封，或有防尘设备。</w:t>
      </w:r>
    </w:p>
    <w:p w14:paraId="32115177">
      <w:pPr>
        <w:pageBreakBefore w:val="0"/>
        <w:numPr>
          <w:ilvl w:val="0"/>
          <w:numId w:val="22"/>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施工通道、沥青混凝土拌和站及灰土拌和站应经常进行洒水降尘。</w:t>
      </w:r>
    </w:p>
    <w:p w14:paraId="6A3C98B9">
      <w:pPr>
        <w:pageBreakBefore w:val="0"/>
        <w:numPr>
          <w:ilvl w:val="0"/>
          <w:numId w:val="22"/>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路面施工应注意保持水分，以免扬尘。</w:t>
      </w:r>
    </w:p>
    <w:p w14:paraId="0BFCF659">
      <w:pPr>
        <w:pageBreakBefore w:val="0"/>
        <w:tabs>
          <w:tab w:val="left" w:pos="980"/>
        </w:tabs>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d.隧道出渣和桥梁钻孔灌注桩施工时排出的泥浆要进行妥善处理，严禁向河流或农田排放。</w:t>
      </w:r>
    </w:p>
    <w:p w14:paraId="22738DF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（3）采取可靠措施保证原有交通的正常通行，维持沿线村镇的居民饮水、农田灌溉、生产生活用电及通信等管线的正常使用。</w:t>
      </w:r>
    </w:p>
    <w:p w14:paraId="30B5E4BE">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9.4.8 在整个施工过程中对承揽人采取的环境保护措施，发包人和监理人有权监督，并向承揽人提出整改要求。如果由于承揽人未能对其负责的上述事项采取各种必要的措施而导致或发生与此有关的人身伤亡、罚款、索赔、损失补偿、诉讼费用及其他一切责任应由承揽人负责。</w:t>
      </w:r>
    </w:p>
    <w:p w14:paraId="7C966362">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9.4.9 在施工期间，承揽人应随时保持现场整洁，施工设备和材料、工程设备应整齐妥善存放和储存，废料与垃圾及不再需要的临时设施应及时从现场清除、拆除并运走。</w:t>
      </w:r>
    </w:p>
    <w:p w14:paraId="10440C50">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9.4.10 在施工期间，承揽人应严格遵守《关于在公路建设中实行最严格的耕地保护制度的若干意见》的相关规定，规范用地、科学用地、合理用地和节约用地。承揽人应合理利用所占耕地地表的耕作层，用于重新造地；合理设置取土坑和弃土场，取土坑和弃土场的施工防护要符合要求，防止水土流失。承揽人应严格控制临时占地数量，施工便道、各种料场、预制场要根据工程进度统筹考虑，尽可能设置在公路用地范围内或利用荒坡、废弃地解决，不得占用农田。施工过程中要采取有效措施防止污染农田，项目完工后承揽人应将临时占地自费恢复到临时占地使用前的状况。</w:t>
      </w:r>
    </w:p>
    <w:p w14:paraId="3D7DB92E">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9.4.11 承揽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必须先挡后弃，严禁在指定的取（弃）土场以外的地方乱挖乱弃。</w:t>
      </w:r>
    </w:p>
    <w:p w14:paraId="2E8535D3">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10.进度计划</w:t>
      </w:r>
    </w:p>
    <w:p w14:paraId="48227D0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10.1 合同进度计划</w:t>
      </w:r>
    </w:p>
    <w:p w14:paraId="50EEDD1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w:t>
      </w:r>
    </w:p>
    <w:p w14:paraId="51443FA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承揽人编制施工方案说明的内容见项目专用合同条款。</w:t>
      </w:r>
    </w:p>
    <w:p w14:paraId="76E561F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承揽人向监理人报送施工进度计划和施工方案说明的期限：签订合同协议书后</w:t>
      </w:r>
      <w:bookmarkStart w:id="104" w:name="page138"/>
      <w:bookmarkEnd w:id="104"/>
      <w:r>
        <w:rPr>
          <w:rFonts w:hint="eastAsia" w:ascii="宋体" w:hAnsi="宋体" w:eastAsia="宋体" w:cs="宋体"/>
          <w:color w:val="auto"/>
          <w:spacing w:val="0"/>
          <w:sz w:val="24"/>
          <w:szCs w:val="24"/>
          <w:highlight w:val="none"/>
        </w:rPr>
        <w:t>28天之内。监理人应在 14 天内对承揽人施工进度计划和施工方案说明予以批复或提出修改意见。合同进度计划应按照关键线路网络图和主要工作横道图两种形式分别编绘，并应包括每月预计完成的工作量和形象进度。</w:t>
      </w:r>
    </w:p>
    <w:p w14:paraId="56F9A79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10.2 合同进度计划的修订</w:t>
      </w:r>
    </w:p>
    <w:p w14:paraId="2CADB92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w:t>
      </w:r>
    </w:p>
    <w:p w14:paraId="304FDCA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承揽人提交合同进度计划修订申请报告，并附有关措施和相关资料的期限：实际进度发生滞后的当月 25 日前。监理人批复修订合同进度计划的期限：收到修订合同进度计划后 14 天内。</w:t>
      </w:r>
    </w:p>
    <w:p w14:paraId="2A31132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本条补充第 10.3 款、第 10.4 款：</w:t>
      </w:r>
    </w:p>
    <w:p w14:paraId="3A11813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10.3 年度施工计划</w:t>
      </w:r>
    </w:p>
    <w:p w14:paraId="5902B32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承揽人应在每年 11 月底前，根据已同意的合同进度计划或其修订的计划，向监理人提交 2 份格式和内容符合监理人合理规定的下一年度的施工计划，以供审查。该计划应包括本年度估计完成的和下一年度预计完成的分项工程数量和工作量，以及为实施此计划将采取的措施。</w:t>
      </w:r>
    </w:p>
    <w:p w14:paraId="6B0FD7C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10.4 合同用款计划</w:t>
      </w:r>
    </w:p>
    <w:p w14:paraId="79F224D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承揽人应在签订本合同协议书后 28 天之内，按招标文件中规定的格式，向监理人提交 2 份按合同规定承揽人有权得到支付的详细的季度合同用款计划，以备监理人查阅。如果监理人提出要求，承揽人还应按季度提交修订的合同用款计划。</w:t>
      </w:r>
    </w:p>
    <w:p w14:paraId="01729763">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11.开工和交工</w:t>
      </w:r>
    </w:p>
    <w:p w14:paraId="169800A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11.1 开工</w:t>
      </w:r>
    </w:p>
    <w:p w14:paraId="2D5A87DA">
      <w:pPr>
        <w:pageBreakBefore w:val="0"/>
        <w:numPr>
          <w:ilvl w:val="0"/>
          <w:numId w:val="23"/>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11.1.2 项补充：</w:t>
      </w:r>
    </w:p>
    <w:p w14:paraId="419491CB">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承揽人应在分部工程开工前 14 天向监理人提交分部工程开工报审表，若承揽人的开工准备、工作计划和质量控制方法是可接受的且已获得批准，则经监理人书面同意，分部工程才能开工。</w:t>
      </w:r>
    </w:p>
    <w:p w14:paraId="3BC9BC0E">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11.3 发包人的工期延误</w:t>
      </w:r>
    </w:p>
    <w:p w14:paraId="6E4CDA2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w:t>
      </w:r>
    </w:p>
    <w:p w14:paraId="216490B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即使由于上述原因造成工期延误，如果受影响的工程并非处在工程施工进度网络计划的关键线路上，则承揽人无权要求延长总工期。</w:t>
      </w:r>
    </w:p>
    <w:p w14:paraId="2141CC7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11.4 异常恶劣的气候条件</w:t>
      </w:r>
    </w:p>
    <w:p w14:paraId="109C60B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本款补充：异常气候是指项目所在地 30 年以上一遇的罕见气候现象（包括温度、降水、降雪、风等）。异常恶劣的气候条件在项目专用合同条款中作具体约定。</w:t>
      </w:r>
    </w:p>
    <w:p w14:paraId="4C539E0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11.5 承揽人的工期延误</w:t>
      </w:r>
    </w:p>
    <w:p w14:paraId="696FE25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本款细化为：</w:t>
      </w:r>
    </w:p>
    <w:p w14:paraId="30F6725D">
      <w:pPr>
        <w:pageBreakBefore w:val="0"/>
        <w:numPr>
          <w:ilvl w:val="0"/>
          <w:numId w:val="24"/>
        </w:numPr>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承揽人应严格执行监理人批准的合同进度计划，对工作量计划和形象进度计划分别控制。除第 11.3 款规定外，承揽人的实际工程进度曲线应在合同进度管理曲线规定的安全区域之内。若承揽人的实际工程进度曲线处在合同进度管理曲线规定的安全区域的下限之外时，则监理人有权认为本合同工程的进度过慢，并通知承揽人应采取必要措施，以便加快工程进度，确保工程能在预定的工期内交工。承揽人应采取措施加快进度，并承担加快进度所增加的费用。</w:t>
      </w:r>
    </w:p>
    <w:p w14:paraId="32A3C28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（2）如果承揽人在接到监理人通知后的 14 天内，未能采取加快工程进度的措施，致使实际工程进度进一步滞后，或承揽人虽采取了一些措施，仍无法按预计工期交工时，监理人应立即通知发包人。发包人在向承揽人发出书面警告通知 14 天后，发包人可按第 22.1 款终止对承揽人的雇用，也可将本合同工程中的一部分工作交由其他承揽人或其他分包人完成。在不解除本合同规定的承揽人责任和义务的同时，承揽人应承担因此所增加的一切费用。</w:t>
      </w:r>
    </w:p>
    <w:p w14:paraId="0053A1B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由于承揽人原因造成工期延误，承揽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揽人的任何款项中或采用其他方法扣除此违约金。</w:t>
      </w:r>
    </w:p>
    <w:p w14:paraId="26448EF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承揽人支付逾期交工违约金，不免除承揽人完成工程及修补缺陷的义务。（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w:t>
      </w:r>
      <w:bookmarkStart w:id="105" w:name="page140"/>
      <w:bookmarkEnd w:id="105"/>
      <w:r>
        <w:rPr>
          <w:rFonts w:hint="eastAsia" w:ascii="宋体" w:hAnsi="宋体" w:eastAsia="宋体" w:cs="宋体"/>
          <w:color w:val="auto"/>
          <w:spacing w:val="0"/>
          <w:sz w:val="24"/>
          <w:szCs w:val="24"/>
          <w:highlight w:val="none"/>
        </w:rPr>
        <w:t>限额。</w:t>
      </w:r>
    </w:p>
    <w:p w14:paraId="1E4B80D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 工期提前</w:t>
      </w:r>
    </w:p>
    <w:p w14:paraId="0759227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w:t>
      </w:r>
    </w:p>
    <w:p w14:paraId="53B7D51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不得随意要求承揽人提前交工，承揽人也不得随意提出提前交工的建议。如遇特殊情况，确需将工期提前的，发包人和承揽人必须采取有效措施，确保工程质量。如果承揽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77CC4BD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本条补充第 11.7 款：</w:t>
      </w:r>
    </w:p>
    <w:p w14:paraId="4033069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11.7 工作时间的限制</w:t>
      </w:r>
    </w:p>
    <w:p w14:paraId="1CFDF55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在夜间或国家规定的节假日进行永久工程的施工，应向监理人报告，以便监理人履行监理职责和义务。但是，为了抢救生命或保护财产，或为了工程的安全、质量而不可避免地短暂作业，则不必事先向监理人报告。但承揽人应在事后立即向监理人报告。</w:t>
      </w:r>
    </w:p>
    <w:p w14:paraId="7CD98CF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本款规定不适用于习惯上或施工本身要求实行连续生产的作业。</w:t>
      </w:r>
    </w:p>
    <w:p w14:paraId="415D2006">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12.暂停施工</w:t>
      </w:r>
    </w:p>
    <w:p w14:paraId="62008E12">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12.1 承揽人暂停施工的责任</w:t>
      </w:r>
    </w:p>
    <w:p w14:paraId="27DCC0A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本款第（5）项细化为：</w:t>
      </w:r>
    </w:p>
    <w:p w14:paraId="229FF2EB">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（5）现场气候条件导致的必要停工（第 11.4 款约定的异常恶劣的气候条件除外）；</w:t>
      </w:r>
    </w:p>
    <w:p w14:paraId="605AB0C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（6）项目专用合同条款可能约定的由承揽人承担的其他暂停施工。</w:t>
      </w:r>
    </w:p>
    <w:p w14:paraId="479990CB">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13.工程质量</w:t>
      </w:r>
    </w:p>
    <w:p w14:paraId="21577F3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13.1 工程质量要求</w:t>
      </w:r>
    </w:p>
    <w:p w14:paraId="58473C5F">
      <w:pPr>
        <w:pageBreakBefore w:val="0"/>
        <w:numPr>
          <w:ilvl w:val="0"/>
          <w:numId w:val="25"/>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13.1.1 项约定为：</w:t>
      </w:r>
    </w:p>
    <w:p w14:paraId="7134D775">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工程质量验收按技术规范及《公路工程质量检验评定标准》执行。</w:t>
      </w:r>
      <w:bookmarkStart w:id="106" w:name="page141"/>
      <w:bookmarkEnd w:id="106"/>
    </w:p>
    <w:p w14:paraId="7B2966D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本款补充第 13.1.4 项、第 13.1.5 项：</w:t>
      </w:r>
    </w:p>
    <w:p w14:paraId="35642BD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13.1.4 发包人和承揽人应严格遵守《关于严格落实公路工程质量责任制的若干意见》的相关规定，认真执行工程质量责任登记制度并按要求填写工程质量责任登记表。</w:t>
      </w:r>
    </w:p>
    <w:p w14:paraId="05CC1855">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13.1.5 本项目严格执行质量责任追究制度。质量事故处理实行“四不放过”原则：事故原因调查不清不放过；事故责任者没有受到教育不放过；没有防范措施不放过；相关责任人没受到处理不放过。</w:t>
      </w:r>
    </w:p>
    <w:p w14:paraId="07E9B59E">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 承揽人的质量管理</w:t>
      </w:r>
    </w:p>
    <w:p w14:paraId="0076936B">
      <w:pPr>
        <w:pageBreakBefore w:val="0"/>
        <w:numPr>
          <w:ilvl w:val="0"/>
          <w:numId w:val="26"/>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13.2.1 项补充：</w:t>
      </w:r>
    </w:p>
    <w:p w14:paraId="64CC0BD5">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承揽人提交工程质量保证措施文件的期限：签订合同协议书后 28 天之内。本款补充第 13.2.3 项~第 13.2.10 项：</w:t>
      </w:r>
    </w:p>
    <w:p w14:paraId="5BE2DEAC">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13.2.3 公路工程施行质量责任终身制。承揽人应当书面明确相应的项目负责人和质量负责人。承揽人的相关人员按照国家法律法规和有关规定在工程合理使用年限内承担相应的质量责任。</w:t>
      </w:r>
    </w:p>
    <w:p w14:paraId="6A3B0A85">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13.2.4 承揽人应当建立健全工程质量保证体系，制定质量管理制度，强化工程</w:t>
      </w:r>
    </w:p>
    <w:p w14:paraId="0D32EC9F">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质量管理措施，完善工程质量目标保障机制；严格遵守国家有关法律、法规和规章，严格执行公路工程强制性技术标准、各类技术规范及规程，全面履行工程合同义务。</w:t>
      </w:r>
    </w:p>
    <w:p w14:paraId="69792A6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13.2.5 承揽人对工程施工质量负责，应当按合同约定设立现场质量管理机构、配备工程技术人员和质量管理人员，落实工程施工质量责任制。</w:t>
      </w:r>
    </w:p>
    <w:p w14:paraId="34B961B8">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13.2.6 承揽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3C7259CA">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13.2.7 承揽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583592C1">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13.2.8 承揽人应当按照合同约定设立工地临时试验室，配齐检测和试验仪器、仪表，及时校正确保其精度；严格按照工程技术标准、检测规范和规程，在核定的试验检测参数范围内开展试验检测活动，并确保规范规定的检验、抽检频率。承揽人应当对其设立的工地临时试验室所出具的试验检测数据和报告的真实性、客观性、准确性负责。</w:t>
      </w:r>
    </w:p>
    <w:p w14:paraId="03152F27">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13.2.9 承揽人应当依法规范分包行为，并对承担的工程质量负总责，分包单位</w:t>
      </w:r>
      <w:bookmarkStart w:id="107" w:name="page142"/>
      <w:bookmarkEnd w:id="107"/>
      <w:r>
        <w:rPr>
          <w:rFonts w:hint="eastAsia" w:ascii="宋体" w:hAnsi="宋体" w:eastAsia="宋体" w:cs="宋体"/>
          <w:color w:val="auto"/>
          <w:spacing w:val="0"/>
          <w:sz w:val="24"/>
          <w:szCs w:val="24"/>
          <w:highlight w:val="none"/>
        </w:rPr>
        <w:t>对分包合同范围内的工程质量负责。</w:t>
      </w:r>
    </w:p>
    <w:p w14:paraId="4890CB7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13.2.10 承揽人驻工程现场机构应在现场驻地和重要的分部、分项工程施工现场设置明显的工程质量责任登记表公示牌。</w:t>
      </w:r>
    </w:p>
    <w:p w14:paraId="68DE8BA2">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13.4 监理人的质量检查</w:t>
      </w:r>
    </w:p>
    <w:p w14:paraId="5CD161C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w:t>
      </w:r>
    </w:p>
    <w:p w14:paraId="2D6EFFAC">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监理人及其委派的检验人员，应能进入工程现场，以及材料或工程设备的制造、加工或制配的车间和场所，包括不属于承揽人的车间或场所进行检查，承揽人应为此提供便利和协助。监理人可以将材料或工程设备的检查和检验委托给一家独立的有质量检验认证资格的检验单位。该独立检验单位的检验结果应视为监理人完成的。监理人应将这种委托的通知书不少于 7 天前交给承揽人。</w:t>
      </w:r>
    </w:p>
    <w:p w14:paraId="03576E9F">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13.5 工程隐蔽部位覆盖前的检查</w:t>
      </w:r>
    </w:p>
    <w:p w14:paraId="13180D30">
      <w:pPr>
        <w:pageBreakBefore w:val="0"/>
        <w:numPr>
          <w:ilvl w:val="0"/>
          <w:numId w:val="27"/>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13.5.1 项补充：</w:t>
      </w:r>
    </w:p>
    <w:p w14:paraId="49FB8C55">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当监理人有指令时，承揽人应对重要隐蔽工程进行拍摄或照相并应保证监理人有充分的机会对将要覆盖或掩蔽的工程进行检查和量测，特别是在基础以上的任一部分工程修筑之前，对该基础进行检查。</w:t>
      </w:r>
    </w:p>
    <w:p w14:paraId="32F8A69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13.6 清除不合格工程</w:t>
      </w:r>
    </w:p>
    <w:p w14:paraId="0913092C">
      <w:pPr>
        <w:pageBreakBefore w:val="0"/>
        <w:numPr>
          <w:ilvl w:val="0"/>
          <w:numId w:val="28"/>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13.6.1 项细化为：</w:t>
      </w:r>
    </w:p>
    <w:p w14:paraId="567482D2">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承揽人使用不合格材料、工程设备，或采用不适当的施工工艺，或施工不当，造成工程不合格的，监理人可以随时发出指示，要求承揽人立即采取措施进行替换、补救或拆除重建，直至达到合同要求的质量标准，由此增加的费用和（或）工期延误由承揽人承担。</w:t>
      </w:r>
    </w:p>
    <w:p w14:paraId="736E508F">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（2）如果承揽人未在规定时间内执行监理人的指示，发包人有权雇用他人执行，由此增加的费用和（或）工期延误由承揽人承担。</w:t>
      </w:r>
    </w:p>
    <w:p w14:paraId="25F75F76">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14.试验和检验</w:t>
      </w:r>
    </w:p>
    <w:p w14:paraId="1EC9069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本条补充第 14.4 款：</w:t>
      </w:r>
    </w:p>
    <w:p w14:paraId="4294B0A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14.4 试验和检验费用</w:t>
      </w:r>
    </w:p>
    <w:p w14:paraId="53B7270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（1）承揽人应负责提供合同和技术规范规定的试验和检验所需的全部样品，并</w:t>
      </w:r>
      <w:bookmarkStart w:id="108" w:name="page143"/>
      <w:bookmarkEnd w:id="108"/>
      <w:r>
        <w:rPr>
          <w:rFonts w:hint="eastAsia" w:ascii="宋体" w:hAnsi="宋体" w:eastAsia="宋体" w:cs="宋体"/>
          <w:color w:val="auto"/>
          <w:spacing w:val="0"/>
          <w:sz w:val="24"/>
          <w:szCs w:val="24"/>
          <w:highlight w:val="none"/>
        </w:rPr>
        <w:t>承担其费用。</w:t>
      </w:r>
    </w:p>
    <w:p w14:paraId="53E5291E">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（2）在合同中明确规定的试验和检验，包括无须在工程量清单中单独列项和已在工程量清单中单独列项的试验和检验，其试验和检验的费用由承揽人承担。</w:t>
      </w:r>
    </w:p>
    <w:p w14:paraId="3FD99F10">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如果监理人所要求做的试验和检验为合同未规定的或是在该材料或工程设备的制造、加工、制配场地以外的场所进行的，则检验结束后，如表明操作工艺或材料、工程设备未能符合合同规定，其费用应由承揽人承担，否则，其费用应由发包人承担。</w:t>
      </w:r>
    </w:p>
    <w:p w14:paraId="6B39F8D2">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15.变更</w:t>
      </w:r>
    </w:p>
    <w:p w14:paraId="426A13A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15.1 变更的范围和内容</w:t>
      </w:r>
    </w:p>
    <w:p w14:paraId="2D10EFFC">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本款第（1）项细化为：</w:t>
      </w:r>
    </w:p>
    <w:p w14:paraId="3E5B8AD8">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（1）取消合同中任何一项工作，但被取消的工作不能转由发包人或其他人实施，由于承揽人违约造成的情况除外；</w:t>
      </w:r>
    </w:p>
    <w:p w14:paraId="5A42F5D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15.3 变更程序</w:t>
      </w:r>
    </w:p>
    <w:p w14:paraId="2DA2177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本款补充第 15.3.4 项：</w:t>
      </w:r>
    </w:p>
    <w:p w14:paraId="7BCAA692">
      <w:pPr>
        <w:pageBreakBefore w:val="0"/>
        <w:kinsoku/>
        <w:wordWrap w:val="0"/>
        <w:overflowPunct/>
        <w:topLinePunct/>
        <w:autoSpaceDE/>
        <w:autoSpaceDN/>
        <w:bidi w:val="0"/>
        <w:spacing w:line="276" w:lineRule="auto"/>
        <w:ind w:left="0" w:leftChars="0" w:right="-13" w:firstLine="420" w:firstLineChars="175"/>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15.3.4 设计变更程序应执行《公路工程设计变更管理办法》的相关规定。</w:t>
      </w:r>
    </w:p>
    <w:p w14:paraId="56B567B2">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15.4 变更的估价原则</w:t>
      </w:r>
    </w:p>
    <w:p w14:paraId="676A009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本款细化为：</w:t>
      </w:r>
    </w:p>
    <w:p w14:paraId="364032C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除项目专用合同条款另有约定外，因变更引起的价格调整按照本款约定处理。</w:t>
      </w:r>
    </w:p>
    <w:p w14:paraId="2524E29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15.4.1 如果取消某项工作，则该项工作的总额价不予支付。</w:t>
      </w:r>
    </w:p>
    <w:p w14:paraId="0C39B92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15.4.2 已标价工程量清单中有适用于变更工作的子目的，采用该子目的单价。</w:t>
      </w:r>
    </w:p>
    <w:p w14:paraId="7F7BD5A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15.4.3 已标价工程量清单中无适用于变更工作的子目，但有类似子目的，可在合理范围内参照类似子目的单价，由监理人按第 3.5 款商定或确定变更工作的单价。</w:t>
      </w:r>
    </w:p>
    <w:p w14:paraId="5E3DE6D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15.4.4 已标价工程量清单中无适用或类似子目的单价，可在综合考虑承揽人在投标时所提供的单价分析表的基础上，由监理人按第 3.5 款商定或确定变更工作的单价。15.4.5 如果本工程的变更指示是因承揽人过错、承揽人违反合同或承揽人责任造成的，则这种违约引起的任何额外费用应由承揽人承担。</w:t>
      </w:r>
    </w:p>
    <w:p w14:paraId="2E64FDD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15.5 承揽人的合理化建议</w:t>
      </w:r>
    </w:p>
    <w:p w14:paraId="01E229C6">
      <w:pPr>
        <w:pageBreakBefore w:val="0"/>
        <w:numPr>
          <w:ilvl w:val="0"/>
          <w:numId w:val="29"/>
        </w:numPr>
        <w:tabs>
          <w:tab w:val="left" w:pos="9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15.5.2 项约定为：</w:t>
      </w:r>
    </w:p>
    <w:p w14:paraId="5EF2A6BD">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承揽人提出的合理化建议缩短了工期，发包人按第 11.6 款的规定给予奖励。承揽人提出的合理化建议降低了合同价格或者提高了工程经济效益的，发包人按</w:t>
      </w:r>
    </w:p>
    <w:p w14:paraId="0D9E0D1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p>
    <w:p w14:paraId="2183C11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项目专用合同条款数据表中规定的金额给予奖励。</w:t>
      </w:r>
    </w:p>
    <w:p w14:paraId="30C371C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15.6 暂列金额</w:t>
      </w:r>
    </w:p>
    <w:p w14:paraId="7E87742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本款细化为：</w:t>
      </w:r>
    </w:p>
    <w:p w14:paraId="18AE71B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15.6.1 暂列金额应由监理人报发包人批准后指令全部或部分地使用，或者根本不予动用。</w:t>
      </w:r>
    </w:p>
    <w:p w14:paraId="0E4D276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15.6.2 对于经发包人批准的每一笔暂列金额，监理人有权向承揽人发出实施工程或提供材料、工程设备或服务的指令。这些指令应由承揽人完成，监理人应根据第</w:t>
      </w:r>
    </w:p>
    <w:p w14:paraId="01CD868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15.4 款约定的变更估价原则和第 15.7 款的规定，对合同价格进行相应调整。</w:t>
      </w:r>
    </w:p>
    <w:p w14:paraId="1C389B86">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15.6.3 当监理人提出要求时，承揽人应提供有关暂列金额支出的所有报价单、发票、凭证和账单或收据，除非该工作是根据已标价工程量清单列明的单价或总额价进行的估价。</w:t>
      </w:r>
    </w:p>
    <w:p w14:paraId="0A0256A0">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16.价格调整</w:t>
      </w:r>
    </w:p>
    <w:p w14:paraId="6DED3ACC">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16.1本工程不予价格调整。</w:t>
      </w:r>
    </w:p>
    <w:p w14:paraId="19E28F1F">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17.计量与支付</w:t>
      </w:r>
    </w:p>
    <w:p w14:paraId="2DB3086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17.1 计量</w:t>
      </w:r>
    </w:p>
    <w:p w14:paraId="7772C29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17.1.2 计量方法</w:t>
      </w:r>
    </w:p>
    <w:p w14:paraId="766019EC">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本项约定为：</w:t>
      </w:r>
    </w:p>
    <w:p w14:paraId="166D18D2">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工程的计量应以净值为准，除非项目专用合同条款另有约定。工程量清单中各个子目的具体计量方法按本合同文件工程量清单计量规则中的规定执行。</w:t>
      </w:r>
    </w:p>
    <w:p w14:paraId="5C36D622">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17.1.4 单价子目的计量</w:t>
      </w:r>
    </w:p>
    <w:p w14:paraId="336F40A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本项补充：</w:t>
      </w:r>
    </w:p>
    <w:p w14:paraId="147DE323">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（7）承揽人未在已标价工程量清单中填入单价或总额价的工程子目，将被认为其已包含在本合同的其他子目的单价和总额价中，发包人将不另行支付。</w:t>
      </w:r>
    </w:p>
    <w:p w14:paraId="6FE8881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17.1.5 总价子目的计量</w:t>
      </w:r>
    </w:p>
    <w:p w14:paraId="0CCFF79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本项补充：</w:t>
      </w:r>
    </w:p>
    <w:p w14:paraId="1702330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本项目工程量清单中要求承揽人以“总额”方式报价的子目，各子目的支付原则和支付进度按项目专用合同条款的规定执行。</w:t>
      </w:r>
    </w:p>
    <w:p w14:paraId="1BBC144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17.2 预付款</w:t>
      </w:r>
    </w:p>
    <w:p w14:paraId="0203B75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17.2.1 预付款</w:t>
      </w:r>
    </w:p>
    <w:p w14:paraId="13479FE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本项约定为：</w:t>
      </w:r>
    </w:p>
    <w:p w14:paraId="67114062">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预付款包括开工预付款和材料、设备预付款。具体额度和预付办法如下：</w:t>
      </w:r>
    </w:p>
    <w:p w14:paraId="1129D710">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（1）开工预付款的金额在项目专用合同条款数据表中约定。在承揽人签订了合同协议书且承揽人承诺的主要设备进场后，监理人应在当期进度付款证书中向承揽人支付开工预付款。预付款为此项目签约金额的</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0%。承揽人不得将该预付款用于与本工程无关的支出，监理人有权监督承揽人对该项费用的使用，如经查实承揽人滥用开工预付款，发包人有权立即向</w:t>
      </w:r>
      <w:r>
        <w:rPr>
          <w:rFonts w:hint="eastAsia" w:ascii="宋体" w:hAnsi="宋体" w:cs="宋体"/>
          <w:color w:val="auto"/>
          <w:spacing w:val="0"/>
          <w:sz w:val="24"/>
          <w:szCs w:val="24"/>
          <w:highlight w:val="none"/>
          <w:lang w:eastAsia="zh-CN"/>
        </w:rPr>
        <w:t>承包人</w:t>
      </w:r>
      <w:r>
        <w:rPr>
          <w:rFonts w:hint="eastAsia" w:ascii="宋体" w:hAnsi="宋体" w:eastAsia="宋体" w:cs="宋体"/>
          <w:color w:val="auto"/>
          <w:spacing w:val="0"/>
          <w:sz w:val="24"/>
          <w:szCs w:val="24"/>
          <w:highlight w:val="none"/>
        </w:rPr>
        <w:t>索赔，并解除合同。</w:t>
      </w:r>
    </w:p>
    <w:p w14:paraId="75DB5F7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（2）材料、设备预付款按项目专用合同条款数据表中所列主要材料、设备单据</w:t>
      </w:r>
      <w:bookmarkStart w:id="109" w:name="page146"/>
      <w:bookmarkEnd w:id="109"/>
      <w:r>
        <w:rPr>
          <w:rFonts w:hint="eastAsia" w:ascii="宋体" w:hAnsi="宋体" w:eastAsia="宋体" w:cs="宋体"/>
          <w:color w:val="auto"/>
          <w:spacing w:val="0"/>
          <w:sz w:val="24"/>
          <w:szCs w:val="24"/>
          <w:highlight w:val="none"/>
        </w:rPr>
        <w:t>费用（进口的材料、设备为到岸价，国内采购的为出厂价或销售价，地方材料为堆场价）的百分比支付。其预付条件为：</w:t>
      </w:r>
    </w:p>
    <w:p w14:paraId="1316DB41">
      <w:pPr>
        <w:pageBreakBefore w:val="0"/>
        <w:numPr>
          <w:ilvl w:val="0"/>
          <w:numId w:val="30"/>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材料、设备符合规范要求并经监理人认可；</w:t>
      </w:r>
    </w:p>
    <w:p w14:paraId="59C7367A">
      <w:pPr>
        <w:pageBreakBefore w:val="0"/>
        <w:numPr>
          <w:ilvl w:val="0"/>
          <w:numId w:val="30"/>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承揽人已出具材料、设备费用凭证或支付单据；</w:t>
      </w:r>
    </w:p>
    <w:p w14:paraId="12111ECA">
      <w:pPr>
        <w:pageBreakBefore w:val="0"/>
        <w:tabs>
          <w:tab w:val="left" w:pos="966"/>
        </w:tabs>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c.材料、设备已在现场交货，且存储良好，监理人认为材料、设备的存储方法符合要求。则监理人应将此项金额作为材料、设备预付款计入下一次的进度付款证书中。在预计交工前</w:t>
      </w:r>
      <w:r>
        <w:rPr>
          <w:rFonts w:hint="eastAsia" w:ascii="宋体" w:hAnsi="宋体" w:cs="宋体"/>
          <w:color w:val="auto"/>
          <w:spacing w:val="0"/>
          <w:sz w:val="24"/>
          <w:szCs w:val="24"/>
          <w:highlight w:val="none"/>
          <w:lang w:eastAsia="zh-CN"/>
        </w:rPr>
        <w:t>3</w:t>
      </w:r>
      <w:r>
        <w:rPr>
          <w:rFonts w:hint="eastAsia" w:ascii="宋体" w:hAnsi="宋体" w:eastAsia="宋体" w:cs="宋体"/>
          <w:color w:val="auto"/>
          <w:spacing w:val="0"/>
          <w:sz w:val="24"/>
          <w:szCs w:val="24"/>
          <w:highlight w:val="none"/>
        </w:rPr>
        <w:t>个月，将不再支付材料、设备预付款。</w:t>
      </w:r>
    </w:p>
    <w:p w14:paraId="3C9ABFD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17.2.2 预付款保函</w:t>
      </w:r>
    </w:p>
    <w:p w14:paraId="75BACDE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本项细化为：</w:t>
      </w:r>
    </w:p>
    <w:p w14:paraId="59E86E5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承揽人无须向发包人提交预付款保函。发包人向承揽人支付的预付款，应按照本合同第 17.2.1 项规定使用。</w:t>
      </w:r>
    </w:p>
    <w:p w14:paraId="34E9235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17.3 工程进度付款</w:t>
      </w:r>
    </w:p>
    <w:p w14:paraId="229220EC">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17.3.3 进度付款证书和支付时间</w:t>
      </w:r>
    </w:p>
    <w:p w14:paraId="5487728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每个付款周期按实际完成工程量的90%，依据监理报告支付工程进度款。工程完工验收达到质量要求可支付至合同价90%，结算经浦北县有资质审计机构审定后，</w:t>
      </w:r>
      <w:r>
        <w:rPr>
          <w:rFonts w:hint="eastAsia" w:ascii="宋体" w:hAnsi="宋体" w:cs="宋体"/>
          <w:color w:val="auto"/>
          <w:spacing w:val="0"/>
          <w:sz w:val="24"/>
          <w:highlight w:val="none"/>
          <w:lang w:eastAsia="zh-CN"/>
        </w:rPr>
        <w:t>工程</w:t>
      </w:r>
      <w:r>
        <w:rPr>
          <w:rFonts w:hint="eastAsia" w:ascii="宋体" w:hAnsi="宋体" w:eastAsia="宋体" w:cs="宋体"/>
          <w:color w:val="auto"/>
          <w:spacing w:val="0"/>
          <w:sz w:val="24"/>
          <w:highlight w:val="none"/>
        </w:rPr>
        <w:t>款支付至结算总价的97%(不得低于97%)</w:t>
      </w:r>
      <w:r>
        <w:rPr>
          <w:rFonts w:hint="eastAsia" w:ascii="宋体" w:hAnsi="宋体" w:cs="宋体"/>
          <w:color w:val="auto"/>
          <w:spacing w:val="0"/>
          <w:sz w:val="24"/>
          <w:highlight w:val="none"/>
          <w:lang w:eastAsia="zh-CN"/>
        </w:rPr>
        <w:t>，</w:t>
      </w:r>
      <w:r>
        <w:rPr>
          <w:rFonts w:hint="eastAsia" w:ascii="宋体" w:hAnsi="宋体" w:eastAsia="宋体" w:cs="宋体"/>
          <w:color w:val="auto"/>
          <w:spacing w:val="0"/>
          <w:sz w:val="24"/>
          <w:highlight w:val="none"/>
        </w:rPr>
        <w:t>发包人按工程价款结算总额的3%预留工程质量保证金。质量保证金待工程质量保修期满且无质量问题后按规定无息返还。</w:t>
      </w:r>
    </w:p>
    <w:p w14:paraId="0B2FA14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本项（1）目补充：</w:t>
      </w:r>
    </w:p>
    <w:p w14:paraId="3CA2061C">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如果该付款周期应结算的价款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579A54A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本项（2）目细化为：</w:t>
      </w:r>
    </w:p>
    <w:p w14:paraId="75594AB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发包人应在监理人收到进度付款申请单且承揽人提交了合格的增值税专用发票后的 28 天内，将进度应付款支付给承揽人。</w:t>
      </w:r>
    </w:p>
    <w:p w14:paraId="5FD17FB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本款补充第 17.3.5 项：</w:t>
      </w:r>
    </w:p>
    <w:p w14:paraId="7EC013D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17.3.5 农民工工资保证金</w:t>
      </w:r>
    </w:p>
    <w:p w14:paraId="3AD08CB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（1）为确保施工过程中农民工工资实时、足额发放到位，承揽人应按照项目专用合同条款约定的时间和金额缴存农民工工资保证金。</w:t>
      </w:r>
    </w:p>
    <w:p w14:paraId="14DE83E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（2）农民工工资保证金可采用银行保函或现金、支票形式。采用银行保函时，出具保函的银行须具有相应担保能力，且按照发包人批准的格式出具，所需费用由承揽人承担。</w:t>
      </w:r>
    </w:p>
    <w:p w14:paraId="02F54E4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（3）农民工工资保证金的扣留条件、返还时间按照项目专用合同条款的约定执行。</w:t>
      </w:r>
    </w:p>
    <w:p w14:paraId="4BD799F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（4）承揽人在中标后</w:t>
      </w:r>
      <w:r>
        <w:rPr>
          <w:rFonts w:hint="eastAsia" w:ascii="宋体" w:hAnsi="宋体" w:eastAsia="宋体" w:cs="宋体"/>
          <w:color w:val="auto"/>
          <w:spacing w:val="0"/>
          <w:sz w:val="24"/>
          <w:szCs w:val="24"/>
          <w:highlight w:val="none"/>
          <w:u w:val="single"/>
        </w:rPr>
        <w:t>7</w:t>
      </w:r>
      <w:r>
        <w:rPr>
          <w:rFonts w:hint="eastAsia" w:ascii="宋体" w:hAnsi="宋体" w:eastAsia="宋体" w:cs="宋体"/>
          <w:color w:val="auto"/>
          <w:spacing w:val="0"/>
          <w:sz w:val="24"/>
          <w:szCs w:val="24"/>
          <w:highlight w:val="none"/>
        </w:rPr>
        <w:t>个工作日内，将工程成交价的</w:t>
      </w:r>
      <w:r>
        <w:rPr>
          <w:rFonts w:hint="eastAsia" w:ascii="宋体" w:hAnsi="宋体" w:eastAsia="宋体" w:cs="宋体"/>
          <w:color w:val="auto"/>
          <w:spacing w:val="0"/>
          <w:sz w:val="24"/>
          <w:szCs w:val="24"/>
          <w:highlight w:val="none"/>
          <w:u w:val="single"/>
        </w:rPr>
        <w:t>2%</w:t>
      </w:r>
      <w:r>
        <w:rPr>
          <w:rFonts w:hint="eastAsia" w:ascii="宋体" w:hAnsi="宋体" w:eastAsia="宋体" w:cs="宋体"/>
          <w:color w:val="auto"/>
          <w:spacing w:val="0"/>
          <w:sz w:val="24"/>
          <w:szCs w:val="24"/>
          <w:highlight w:val="none"/>
        </w:rPr>
        <w:t>作为农民工工资保障金存入采购人指定的账户。</w:t>
      </w:r>
    </w:p>
    <w:p w14:paraId="7E7610A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（5）农民工工资保障金的退还：工程竣工验收合格后，按照规定程序，将农民工工资保障金没有使用或剩余的金额退还给承揽人（无息）。</w:t>
      </w:r>
    </w:p>
    <w:p w14:paraId="211A5DC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承包人应确保农民工工资的按时足额支付，在每次获得工程支付款时，需按照支付款的 30% 比例优先支付农民工工资。承包人应建立农民工工资支付台账，详细记录农民工姓名、身份证号、工资支付时间、支付金额等信息，并妥善保存，以备发包人及相关监管部门查验。如因承包人未按此规定支付农民工工资，导致出现农民工工资拖欠问题，承包人应承担由此引发的一切法律责任和经济赔偿责任，包括但不限于支付拖欠工资、支付赔偿金、承担行政处罚费用等，同时发包人有权从应付给承包人的工程款中直接扣除相应款项用于支付农民工工资。</w:t>
      </w:r>
    </w:p>
    <w:p w14:paraId="6674F73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17.4 质量保证金</w:t>
      </w:r>
    </w:p>
    <w:p w14:paraId="3EEC2F87">
      <w:pPr>
        <w:pageBreakBefore w:val="0"/>
        <w:numPr>
          <w:ilvl w:val="0"/>
          <w:numId w:val="31"/>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17.4.1 项、第 17.4.2 项细化为：</w:t>
      </w:r>
    </w:p>
    <w:p w14:paraId="5A25B8E6">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17.4.1 交工验收证书签发后 14 天内，承揽人应向发包人缴纳质量保证金。质量保证金可采用银行保函或现金、支票形式，金额应符合项目专用合同条款数据表的规定。采用银行保函时，出具保函的银行须具有相应担保能力，且按照发包人批准的格式出具，所需费用由承揽人承担。质量保证金采用现金、支票形式提交的，发包人应在项目专用合同条款数据表中明确是否计付利息以及利息的计算方式。</w:t>
      </w:r>
    </w:p>
    <w:p w14:paraId="6C50195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17.4.2 在第 1.1.4.5 目约定的缺陷责任期满，且质量监督机构已按规定对工程质量检测鉴定合格，承揽人向发包人申请到期应返还承揽人剩余的质量保证金金额，发包人应在 14 天内会同承揽人按照合同约定的内容核实承揽人是否完成缺陷责任。如无异议，发包人应当在核实后将剩余保证金返还承揽人。</w:t>
      </w:r>
    </w:p>
    <w:p w14:paraId="0B43B5B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17.5 交工结算</w:t>
      </w:r>
    </w:p>
    <w:p w14:paraId="46FCD82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17.5.1 交工付款申请单</w:t>
      </w:r>
    </w:p>
    <w:p w14:paraId="3757938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本项（1）目约定为：</w:t>
      </w:r>
    </w:p>
    <w:p w14:paraId="2DDEAA5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承揽人向监理人提交交工付款申请单（包括相关证明材料）的份数在项目专用合同条款数据表中约定；期限：交工验收证书签发后 42 天内。</w:t>
      </w:r>
    </w:p>
    <w:p w14:paraId="6025D3C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17.5.2 交工付款证书及支付时间</w:t>
      </w:r>
    </w:p>
    <w:p w14:paraId="1FC8705C">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本项（2）目细化为：</w:t>
      </w:r>
    </w:p>
    <w:p w14:paraId="4E55BE9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发包人应在监理人出具交工付款证书且承揽人提交了合格的增值税专用发票后</w:t>
      </w:r>
      <w:bookmarkStart w:id="110" w:name="page148"/>
      <w:bookmarkEnd w:id="110"/>
      <w:r>
        <w:rPr>
          <w:rFonts w:hint="eastAsia" w:ascii="宋体" w:hAnsi="宋体" w:eastAsia="宋体" w:cs="宋体"/>
          <w:color w:val="auto"/>
          <w:spacing w:val="0"/>
          <w:sz w:val="24"/>
          <w:szCs w:val="24"/>
          <w:highlight w:val="none"/>
        </w:rPr>
        <w:t>的14 天内，将应支付款支付给承揽人。发包人不按期支付的，按第 17.3.3（2）目的约定，将逾期付款违约金支付给承揽人。</w:t>
      </w:r>
    </w:p>
    <w:p w14:paraId="2BED927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17.6 最终结清</w:t>
      </w:r>
    </w:p>
    <w:p w14:paraId="7BB228C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17.6.1 最终结清申请单</w:t>
      </w:r>
    </w:p>
    <w:p w14:paraId="0A3911DC">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本项（1）目约定为：</w:t>
      </w:r>
    </w:p>
    <w:p w14:paraId="64D22C50">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承揽人向监理人提交最终结清申请单（包括相关证明材料）的份数在项目专用合同条款数据表中约定；期限：缺陷责任期终止证书签发后 28 天内。最终结清申请单中的总金额应认为是代表了根据合同规定应付给承揽人的全部款项的最后结算。</w:t>
      </w:r>
    </w:p>
    <w:p w14:paraId="3508AA4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17.6.2 最终结清证书和支付时间</w:t>
      </w:r>
    </w:p>
    <w:p w14:paraId="3808E04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本项（2）目细化为：</w:t>
      </w:r>
    </w:p>
    <w:p w14:paraId="73C3F4E3">
      <w:pPr>
        <w:pageBreakBefore w:val="0"/>
        <w:numPr>
          <w:ilvl w:val="0"/>
          <w:numId w:val="32"/>
        </w:numPr>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发包人应在监理人出具最终结清证书且承揽人提交了合格的增值税专用发票后的 14 天内，将应支付款支付给承揽人。发包人不按期支付的，按第 17.3.3（2）目的约定，将逾期付款违约金支付给承揽人。</w:t>
      </w:r>
    </w:p>
    <w:p w14:paraId="290256BA">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18.交工验收</w:t>
      </w:r>
    </w:p>
    <w:p w14:paraId="1CC4B3A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18.2 交工验收申请报告</w:t>
      </w:r>
    </w:p>
    <w:p w14:paraId="6D655DE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本款第（2）项约定为：</w:t>
      </w:r>
    </w:p>
    <w:p w14:paraId="16D3452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竣工资料的内容：承揽人应按照《公路工程竣（交）工验收办法》和相关规定编制竣工资料。竣工资料的份数在项目专用合同条款数据表中约定。</w:t>
      </w:r>
    </w:p>
    <w:p w14:paraId="273E8AD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18.3 验收</w:t>
      </w:r>
    </w:p>
    <w:p w14:paraId="3A991285">
      <w:pPr>
        <w:pageBreakBefore w:val="0"/>
        <w:numPr>
          <w:ilvl w:val="0"/>
          <w:numId w:val="33"/>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18.3.2 项补充：</w:t>
      </w:r>
    </w:p>
    <w:p w14:paraId="0FE459FC">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交工验收由发包人主持，由发包人、监理人、质监、设计、施工、运营、管理养护等有关部门代表组成交工验收小组，对本项目的工程质量进行评定，并写出交工验收报告报交通运输主管部门备案。承揽人应按发包人的要求提交竣工资料，完成交工验收准备工作。</w:t>
      </w:r>
    </w:p>
    <w:p w14:paraId="3D84703D">
      <w:pPr>
        <w:pageBreakBefore w:val="0"/>
        <w:numPr>
          <w:ilvl w:val="0"/>
          <w:numId w:val="34"/>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18.3.5 项约定为：</w:t>
      </w:r>
    </w:p>
    <w:p w14:paraId="62F92BA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经验收合格工程的实际交工日期，以最终提交交工验收申请报告的日期为准，并在交工验收证书中写明。</w:t>
      </w:r>
    </w:p>
    <w:p w14:paraId="0ACE2D7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本款补充第 18.3.7 项：</w:t>
      </w:r>
    </w:p>
    <w:p w14:paraId="0932752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组织办理交工验收和签发交工验收证书的费用由发包人承担。但按照第 18.3.4 项规定达不到合格标准的交工验收费用由承揽人承担。</w:t>
      </w:r>
    </w:p>
    <w:p w14:paraId="1B872AD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本条补充第 18.9 款：</w:t>
      </w:r>
    </w:p>
    <w:p w14:paraId="0602FB2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18.9 竣工文件</w:t>
      </w:r>
    </w:p>
    <w:p w14:paraId="1C8029A1">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承揽人应按照《公路工程竣（交）工验收办法》的相关规定，在缺陷责任期内为竣工验收补充竣工资料，并在签发缺陷责任期终止证书之前提交。</w:t>
      </w:r>
    </w:p>
    <w:p w14:paraId="74B08C58">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19.缺陷责任与保修责任</w:t>
      </w:r>
    </w:p>
    <w:p w14:paraId="27E1B00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19.2 缺陷责任</w:t>
      </w:r>
    </w:p>
    <w:p w14:paraId="4894DFFD">
      <w:pPr>
        <w:pageBreakBefore w:val="0"/>
        <w:numPr>
          <w:ilvl w:val="0"/>
          <w:numId w:val="35"/>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19.2.2 项补充：</w:t>
      </w:r>
    </w:p>
    <w:p w14:paraId="10DD33F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在缺陷责任期内，承揽人应尽快完成在交工验收证书中写明的未完成工作，并完成对本工程缺陷的修复或监理人指令的修补工作。</w:t>
      </w:r>
    </w:p>
    <w:p w14:paraId="7F6700C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19.5 承揽人的进入权</w:t>
      </w:r>
    </w:p>
    <w:p w14:paraId="59E4A9E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w:t>
      </w:r>
    </w:p>
    <w:p w14:paraId="2B000F9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承揽人在缺陷修复施工过程中，应服从管养单位的有关安全管理规定，由于承揽人自身原因造成的人员伤亡、设备和材料的损毁及罚款等责任由承揽人自负。</w:t>
      </w:r>
    </w:p>
    <w:p w14:paraId="3F3C943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19.7 保修责任</w:t>
      </w:r>
    </w:p>
    <w:p w14:paraId="3356E142">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本款细化为：</w:t>
      </w:r>
    </w:p>
    <w:p w14:paraId="0C758E54">
      <w:pPr>
        <w:pageBreakBefore w:val="0"/>
        <w:numPr>
          <w:ilvl w:val="0"/>
          <w:numId w:val="36"/>
        </w:numPr>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保修期自实际交工日期起计算，具体期限在项目专用合同条款数据表中约定。保修期与缺陷责任期重叠的期间内，承揽人的保修责任同缺陷责任。在缺陷责任期满后的保修期内，承揽人可不在工地留有办事人员和机械设备，但必须随时与发包人保持联系，在保修期内承揽人应对由于施工质量原因造成的损坏自费进行修复。</w:t>
      </w:r>
    </w:p>
    <w:p w14:paraId="284617CA">
      <w:pPr>
        <w:pageBreakBefore w:val="0"/>
        <w:numPr>
          <w:ilvl w:val="0"/>
          <w:numId w:val="36"/>
        </w:numPr>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在全部工程交工验收前，已经发包人提前验收的单位工程，其保修期的起算日期相应提前。</w:t>
      </w:r>
    </w:p>
    <w:p w14:paraId="137F1FED">
      <w:pPr>
        <w:pageBreakBefore w:val="0"/>
        <w:numPr>
          <w:ilvl w:val="0"/>
          <w:numId w:val="36"/>
        </w:numPr>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工程保修期终止后 28 天内，监理人签发保修期终止证书。</w:t>
      </w:r>
    </w:p>
    <w:p w14:paraId="220DDB7A">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（4）若承揽人不履行保修义务和责任，则承揽人应承担由于违约造成的法律后果，并由发包人将其违约行为上报省级交通运输主管部门，作为不良记录纳入公路</w:t>
      </w:r>
      <w:bookmarkStart w:id="111" w:name="page150"/>
      <w:bookmarkEnd w:id="111"/>
      <w:r>
        <w:rPr>
          <w:rFonts w:hint="eastAsia" w:ascii="宋体" w:hAnsi="宋体" w:eastAsia="宋体" w:cs="宋体"/>
          <w:color w:val="auto"/>
          <w:spacing w:val="0"/>
          <w:sz w:val="24"/>
          <w:szCs w:val="24"/>
          <w:highlight w:val="none"/>
        </w:rPr>
        <w:t>建设市场信用信息管理系统。</w:t>
      </w:r>
    </w:p>
    <w:p w14:paraId="1384B869">
      <w:pPr>
        <w:pageBreakBefore w:val="0"/>
        <w:numPr>
          <w:ilvl w:val="0"/>
          <w:numId w:val="37"/>
        </w:numPr>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保险</w:t>
      </w:r>
    </w:p>
    <w:p w14:paraId="5BC23D52">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20.1 工程保险</w:t>
      </w:r>
    </w:p>
    <w:p w14:paraId="62FE890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本款约定为：</w:t>
      </w:r>
    </w:p>
    <w:p w14:paraId="03C2B3A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交通工程一切险的投保内容：为本合同工程的永久工程、临时工程和设备及已运至施工工地用于永久工程的材料和设备所投的保险。</w:t>
      </w:r>
    </w:p>
    <w:p w14:paraId="1E2E61B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保险金额：工程量清单第 100 章（不含交通工程一切险及第三者责任险的保险费）至第 600 章的合计金额。</w:t>
      </w:r>
    </w:p>
    <w:p w14:paraId="6CACCBF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保险费率：在项目专用合同条款数据表中约定。</w:t>
      </w:r>
    </w:p>
    <w:p w14:paraId="17706A1C">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保险期限：开工日起直至本合同工程签发缺陷责任期终止证书止（即合同工期＋缺陷责任期）。</w:t>
      </w:r>
    </w:p>
    <w:p w14:paraId="4974D65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承揽人应以发包人和承揽人的共同名义投保交通工程一切险。交通工程一切险的保险费由承揽人报价时列入工程量清单第 100 章内。发包人在接到保险单后，将按照保险单的费用直接向承揽人支付。</w:t>
      </w:r>
    </w:p>
    <w:p w14:paraId="7656B70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20.4 第三者责任险</w:t>
      </w:r>
    </w:p>
    <w:p w14:paraId="652C04D5">
      <w:pPr>
        <w:pageBreakBefore w:val="0"/>
        <w:numPr>
          <w:ilvl w:val="0"/>
          <w:numId w:val="38"/>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20.4.2 项补充：</w:t>
      </w:r>
    </w:p>
    <w:p w14:paraId="5AC95588">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第三者责任险的保险费由承揽人报价时列入工程量清单第 100 章内。发包人在接到保险单后，将按照保险单的费用直接向承揽人支付。</w:t>
      </w:r>
    </w:p>
    <w:p w14:paraId="2FDF831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20.5 其他保险</w:t>
      </w:r>
    </w:p>
    <w:p w14:paraId="1EFD61E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本款约定为：</w:t>
      </w:r>
    </w:p>
    <w:p w14:paraId="6CE95EA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承揽人应为其施工设备等办理保险，其投保金额应足以现场重置。办理本款保险的一切费用均由承揽人承担，并包括在工程量清单的单价及总额价中，发包人不单独支付。</w:t>
      </w:r>
    </w:p>
    <w:p w14:paraId="0B97E63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20.6 对各项保险的一般要求</w:t>
      </w:r>
    </w:p>
    <w:p w14:paraId="757CED3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20.6.1 保险凭证</w:t>
      </w:r>
    </w:p>
    <w:p w14:paraId="4C322D3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本项约定为：</w:t>
      </w:r>
    </w:p>
    <w:p w14:paraId="21D55D6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承揽人向发包人提交各项保险生效的证据和保险单副本的期限：开工后 30 天内。</w:t>
      </w:r>
    </w:p>
    <w:p w14:paraId="69DA262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20.6.3 持续保险</w:t>
      </w:r>
    </w:p>
    <w:p w14:paraId="43263BC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bookmarkStart w:id="112" w:name="page151"/>
      <w:bookmarkEnd w:id="112"/>
      <w:r>
        <w:rPr>
          <w:rFonts w:hint="eastAsia" w:ascii="宋体" w:hAnsi="宋体" w:eastAsia="宋体" w:cs="宋体"/>
          <w:color w:val="auto"/>
          <w:spacing w:val="0"/>
          <w:sz w:val="24"/>
          <w:szCs w:val="24"/>
          <w:highlight w:val="none"/>
        </w:rPr>
        <w:t>本项补充：</w:t>
      </w:r>
    </w:p>
    <w:p w14:paraId="6D84D06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在整个合同期内，承揽人应按合同条款规定保证足够的保险额。</w:t>
      </w:r>
    </w:p>
    <w:p w14:paraId="4EA24D1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20.6.4 保险金不足的补偿</w:t>
      </w:r>
    </w:p>
    <w:p w14:paraId="190605FC">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本项细化为：</w:t>
      </w:r>
    </w:p>
    <w:p w14:paraId="0A9134E4">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保险金不足以补偿损失的（包括免赔额和超过赔偿限额的部分），应由承揽人和（或）发包人按合同约定负责补偿。</w:t>
      </w:r>
    </w:p>
    <w:p w14:paraId="1A3881D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20.6.5 未按约定投保的补救</w:t>
      </w:r>
    </w:p>
    <w:p w14:paraId="21C4355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本项（2）目细化为：</w:t>
      </w:r>
    </w:p>
    <w:p w14:paraId="5869D2EA">
      <w:pPr>
        <w:pageBreakBefore w:val="0"/>
        <w:numPr>
          <w:ilvl w:val="0"/>
          <w:numId w:val="32"/>
        </w:numPr>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47481CA5">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21.不可抗力</w:t>
      </w:r>
    </w:p>
    <w:p w14:paraId="2448300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21.1 不可抗力的确认</w:t>
      </w:r>
    </w:p>
    <w:p w14:paraId="4805060E">
      <w:pPr>
        <w:pageBreakBefore w:val="0"/>
        <w:numPr>
          <w:ilvl w:val="0"/>
          <w:numId w:val="39"/>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21.1.1 项细化为：</w:t>
      </w:r>
    </w:p>
    <w:p w14:paraId="16E17F9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不可抗力是指承揽人和发包人在订立合同时不可预见，在工程施工过程中不可避免发生并不能克服的自然灾害和社会性突发事件。包括但不限于：</w:t>
      </w:r>
    </w:p>
    <w:p w14:paraId="7F052F71">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（1）地震、海啸、火山爆发、泥石流、暴雨（雪）、台风、龙卷风、水灾等自然灾害；</w:t>
      </w:r>
    </w:p>
    <w:p w14:paraId="61EF95BE">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（2）战争、骚乱、暴动，但纯属承揽人或其分包人派遣与雇用的人员由于本合同工程施工原因引起者除外；</w:t>
      </w:r>
    </w:p>
    <w:p w14:paraId="4C97B0BE">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（3）核反应、辐射或放射性污染；</w:t>
      </w:r>
    </w:p>
    <w:p w14:paraId="44911783">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（4）空中飞行物体坠落或非发包人或承揽人责任造成的爆炸、火灾；</w:t>
      </w:r>
    </w:p>
    <w:p w14:paraId="23AE5B22">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（5）瘟疫；</w:t>
      </w:r>
    </w:p>
    <w:p w14:paraId="73D3B565">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（6）项目专用合同条款约定的其他情形。</w:t>
      </w:r>
    </w:p>
    <w:p w14:paraId="08C4DD8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21.3 不可抗力后果及其处理</w:t>
      </w:r>
    </w:p>
    <w:p w14:paraId="5FCB6C8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21.3.4 因不可抗力解除合同</w:t>
      </w:r>
    </w:p>
    <w:p w14:paraId="0AE17C22">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本项细化为：</w:t>
      </w:r>
    </w:p>
    <w:p w14:paraId="597905D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合同一方当事人因不可抗力不能履行合同的，应当及时通知对方解除合同。合同解除后，承揽人应按照第 22.2.5 项约定撤离施工场地。已经订货的材料、设备由订货方负责退货或解除订货合同，不能退还的货款和因退货、解除订货合同发生的费用，由发包人承担，因未及时退货造成的损失由责任方承担。合同解除后的付款，</w:t>
      </w:r>
    </w:p>
    <w:p w14:paraId="0BFEEA80">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参照第 22.2.4 项约定，由监理人按第 3.5 款商定或确定，但由于解除合同应赔偿的承揽人损失不予考虑。</w:t>
      </w:r>
    </w:p>
    <w:p w14:paraId="2DDC1690">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22.违约</w:t>
      </w:r>
    </w:p>
    <w:p w14:paraId="367B7F6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22.1 承揽人违约</w:t>
      </w:r>
    </w:p>
    <w:p w14:paraId="580DFF6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22.1.1 承揽人违约的情形</w:t>
      </w:r>
    </w:p>
    <w:p w14:paraId="2A7E941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本项（2）目细化为：</w:t>
      </w:r>
    </w:p>
    <w:p w14:paraId="768CE0D4">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（2）承揽人违反第 5.3 款或第 6.4 款的约定，未经监理人批准，私自将已按合同约定进入施工场地的施工设备、临时设施、材料或工程设备撤离施工场地；</w:t>
      </w:r>
    </w:p>
    <w:p w14:paraId="6F0B0D3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本项（7）目细化为：</w:t>
      </w:r>
    </w:p>
    <w:p w14:paraId="17A9DFC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（7）承揽人未能按期开工；</w:t>
      </w:r>
    </w:p>
    <w:p w14:paraId="54D73871">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（8）承揽人违反第 4.6 款或第 6.3 款的规定，未按承诺或未按监理人的要求及时配备称职的主要管理人员、技术骨干或关键施工设备；</w:t>
      </w:r>
    </w:p>
    <w:p w14:paraId="4D771556">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（9）经监理人和发包人检查，发现承揽人有安全问题或有违反安全管理规章制度的情况；</w:t>
      </w:r>
    </w:p>
    <w:p w14:paraId="79B902BB">
      <w:pPr>
        <w:pageBreakBefore w:val="0"/>
        <w:kinsoku/>
        <w:wordWrap w:val="0"/>
        <w:overflowPunct/>
        <w:topLinePunct/>
        <w:autoSpaceDE/>
        <w:autoSpaceDN/>
        <w:bidi w:val="0"/>
        <w:spacing w:line="276" w:lineRule="auto"/>
        <w:ind w:left="0" w:leftChars="0" w:right="306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（10）承揽人不按合同约定履行义务的其他情况</w:t>
      </w:r>
    </w:p>
    <w:p w14:paraId="57EA8841">
      <w:pPr>
        <w:pageBreakBefore w:val="0"/>
        <w:kinsoku/>
        <w:wordWrap w:val="0"/>
        <w:overflowPunct/>
        <w:topLinePunct/>
        <w:autoSpaceDE/>
        <w:autoSpaceDN/>
        <w:bidi w:val="0"/>
        <w:spacing w:line="276" w:lineRule="auto"/>
        <w:ind w:left="0" w:leftChars="0" w:right="306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22.1.2 对承揽人违约的处理本项补充：</w:t>
      </w:r>
    </w:p>
    <w:p w14:paraId="2E4C4590">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（4）承揽人发生第 22.1.1 项约定的违约情况时，无论发包人是否解除合同，发包人均有权向承揽人课以项目专用合同条款中规定的违约金，并由发包人将其违约行为上报省级交通运输主管部门，作为不良记录纳入公路建设市场信用信息管理系统。</w:t>
      </w:r>
    </w:p>
    <w:p w14:paraId="4C398A6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22.2 发包人违约</w:t>
      </w:r>
    </w:p>
    <w:p w14:paraId="3AF4B97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22.2.1 发包人违约的情形</w:t>
      </w:r>
    </w:p>
    <w:p w14:paraId="199E0E0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本项（5）目细化为：</w:t>
      </w:r>
    </w:p>
    <w:p w14:paraId="011D2C59">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（5）发包人无正当理由不按时返还质量保证金或农民工工资保证金的；</w:t>
      </w:r>
    </w:p>
    <w:p w14:paraId="6F608DA2">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（6）发包人不履行合同约定其他义务的。</w:t>
      </w:r>
    </w:p>
    <w:p w14:paraId="09B6616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22.2.2 承揽人有权暂停施工</w:t>
      </w:r>
    </w:p>
    <w:p w14:paraId="1329353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本项细化为：</w:t>
      </w:r>
    </w:p>
    <w:p w14:paraId="33FAC09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发包人发生除第 22.2.1（4）、（5）目以外的违约情况时，承揽人可向发包人发出通知，要求发包人采取有效措施纠正违约行为。发包人收到承揽人通知后的 28 天内仍不履行合同义务，承揽人有权暂停施工，并通知监理人，发包人应承担由此增加的费用和（或）工期延误，并支付承揽人合理利润。发包人发生第 22.2.1（5）目的违约情况时，承揽人可向发包人发出通知，要求发包人采取有效措施纠正违约行为。发包人收到承揽人通知后的 28 天内仍不返还质量保证金或农民工工资保证金的，发包人应按项目专用合同条款的约定向承揽人支付逾期返还保证金的违约金。</w:t>
      </w:r>
    </w:p>
    <w:p w14:paraId="40D5275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22.2.4 解除合同后的付款</w:t>
      </w:r>
    </w:p>
    <w:p w14:paraId="3A7ACB4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本项（2）目细化为：</w:t>
      </w:r>
    </w:p>
    <w:p w14:paraId="0B28CCEB">
      <w:pPr>
        <w:pageBreakBefore w:val="0"/>
        <w:kinsoku/>
        <w:wordWrap w:val="0"/>
        <w:overflowPunct/>
        <w:topLinePunct/>
        <w:autoSpaceDE/>
        <w:autoSpaceDN/>
        <w:bidi w:val="0"/>
        <w:spacing w:line="276" w:lineRule="auto"/>
        <w:ind w:left="0" w:leftChars="0" w:right="6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（2）承揽人为该工程施工订购并已付款的材料、工程设备和其他物品的金额。发包人付款后，该材料、工程设备和其他物品归发包人所有；</w:t>
      </w:r>
    </w:p>
    <w:p w14:paraId="685C1705">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23.索赔</w:t>
      </w:r>
    </w:p>
    <w:p w14:paraId="1237B15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23.1 承揽人索赔的提出</w:t>
      </w:r>
    </w:p>
    <w:p w14:paraId="43B5D57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本款第（4）项细化为：</w:t>
      </w:r>
    </w:p>
    <w:p w14:paraId="1662728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（4）在索赔事件影响结束后的 28 天内，承揽人应向监理人递交最终索赔通知书，说明最终要求索赔的追加付款金额和（或）延长的工期，并附必要的记录和证明材料。</w:t>
      </w:r>
    </w:p>
    <w:p w14:paraId="49E9385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23.2 承揽人索赔处理程序</w:t>
      </w:r>
    </w:p>
    <w:p w14:paraId="075C8E6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本款第（2）项细化为：</w:t>
      </w:r>
    </w:p>
    <w:p w14:paraId="60552601">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（2）监理人应按第 3.5 款商定或确定追加的付款和（或）延长的工期，并在收到上述索赔通知书或有关索赔的进一步证明材料后的 42 天内，将索赔处理结果报发包人批准后答复承揽人。如果承揽人提出的索赔要求未能遵守第 23.1（2）~（4）项的规定，则承揽人只限于索赔由监理人按当时记录予以核实的那部分款额和（或）工期延长天数。</w:t>
      </w:r>
    </w:p>
    <w:p w14:paraId="576D8DB7">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bookmarkStart w:id="113" w:name="page154"/>
      <w:bookmarkEnd w:id="113"/>
      <w:r>
        <w:rPr>
          <w:rFonts w:hint="eastAsia" w:ascii="宋体" w:hAnsi="宋体" w:eastAsia="宋体" w:cs="宋体"/>
          <w:color w:val="auto"/>
          <w:spacing w:val="0"/>
          <w:sz w:val="24"/>
          <w:szCs w:val="24"/>
          <w:highlight w:val="none"/>
        </w:rPr>
        <w:t>24.争议的解决</w:t>
      </w:r>
    </w:p>
    <w:p w14:paraId="0A8BE83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24.3 争议评审</w:t>
      </w:r>
    </w:p>
    <w:p w14:paraId="4E21E268">
      <w:pPr>
        <w:pageBreakBefore w:val="0"/>
        <w:numPr>
          <w:ilvl w:val="0"/>
          <w:numId w:val="40"/>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24.3.1 项补充：</w:t>
      </w:r>
    </w:p>
    <w:p w14:paraId="7520B4B6">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争议评审组由 3 人或 5 人组成，专家的聘请方法可由发包人和承揽人共同协商确定，亦可请政府主管部门推荐或通过合同争议调解机构聘请，并经双方认同。争议评审组成员应与合同双方均无利害关系。争议评审组的各项费用由发包人和承揽人平均分担。</w:t>
      </w:r>
    </w:p>
    <w:p w14:paraId="6A240C53">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本条补充第 24.4 款、第 24.5 款（适用于采用仲裁方式最终解决争议的项目）：</w:t>
      </w:r>
    </w:p>
    <w:p w14:paraId="6C03637C">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24.4 仲裁</w:t>
      </w:r>
    </w:p>
    <w:p w14:paraId="62B76B8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（1）对于未能友好解决或未能通过争议评审解决的争议，发包人或承揽人任一方均有权提交给第 24.1 款约定的仲裁委员会仲裁。</w:t>
      </w:r>
    </w:p>
    <w:p w14:paraId="491A9C08">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仲裁可在交工之前或之后进行，但发包人、监理人和承揽人各自的义务不得因在工程实施期间进行仲裁而有所改变。如果仲裁是在终止合同的情况下进行，则对合同工程应采取保护措施，措施费由败诉方承担。</w:t>
      </w:r>
    </w:p>
    <w:p w14:paraId="3CEB8E4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（3）仲裁裁决是终局性的并对发包人和承揽人双方具有约束力。</w:t>
      </w:r>
    </w:p>
    <w:p w14:paraId="1CB9B48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（4）全部仲裁费用应由败诉方承担；或按仲裁委员会裁决的比例分担。</w:t>
      </w:r>
    </w:p>
    <w:p w14:paraId="56B68DC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24.5 仲裁的执行</w:t>
      </w:r>
    </w:p>
    <w:p w14:paraId="41334164">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（1）任何一方不履行仲裁机构的裁决的，对方可以向有管辖权的人民法院申请执行。</w:t>
      </w:r>
    </w:p>
    <w:p w14:paraId="287636AF">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30EEAE26">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sectPr>
          <w:pgSz w:w="11911" w:h="16838"/>
          <w:pgMar w:top="1440" w:right="1080" w:bottom="1440" w:left="1080" w:header="720" w:footer="720" w:gutter="0"/>
          <w:pgNumType w:fmt="decimal"/>
          <w:cols w:space="0" w:num="1"/>
          <w:rtlGutter w:val="0"/>
          <w:docGrid w:linePitch="360" w:charSpace="0"/>
        </w:sectPr>
      </w:pPr>
    </w:p>
    <w:p w14:paraId="1210EBB5">
      <w:pPr>
        <w:pageBreakBefore w:val="0"/>
        <w:kinsoku/>
        <w:wordWrap w:val="0"/>
        <w:overflowPunct/>
        <w:topLinePunct/>
        <w:autoSpaceDE/>
        <w:autoSpaceDN/>
        <w:bidi w:val="0"/>
        <w:spacing w:line="276"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14:paraId="787F736F">
      <w:pPr>
        <w:pageBreakBefore w:val="0"/>
        <w:numPr>
          <w:ilvl w:val="0"/>
          <w:numId w:val="41"/>
        </w:numPr>
        <w:tabs>
          <w:tab w:val="left" w:pos="3480"/>
        </w:tabs>
        <w:kinsoku/>
        <w:wordWrap w:val="0"/>
        <w:overflowPunct/>
        <w:topLinePunct/>
        <w:autoSpaceDE/>
        <w:autoSpaceDN/>
        <w:bidi w:val="0"/>
        <w:spacing w:line="276" w:lineRule="auto"/>
        <w:ind w:left="3480"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项目专用合同条款</w:t>
      </w:r>
    </w:p>
    <w:p w14:paraId="47D5C5A9">
      <w:pPr>
        <w:pageBreakBefore w:val="0"/>
        <w:tabs>
          <w:tab w:val="left" w:pos="660"/>
        </w:tabs>
        <w:kinsoku/>
        <w:wordWrap w:val="0"/>
        <w:overflowPunct/>
        <w:topLinePunct/>
        <w:autoSpaceDE/>
        <w:autoSpaceDN/>
        <w:bidi w:val="0"/>
        <w:spacing w:line="276" w:lineRule="auto"/>
        <w:ind w:left="200"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w:t>
      </w:r>
      <w:r>
        <w:rPr>
          <w:rFonts w:hint="eastAsia" w:ascii="宋体" w:hAnsi="宋体" w:eastAsia="宋体" w:cs="宋体"/>
          <w:color w:val="auto"/>
          <w:spacing w:val="0"/>
          <w:sz w:val="24"/>
          <w:szCs w:val="24"/>
          <w:highlight w:val="none"/>
        </w:rPr>
        <w:tab/>
      </w:r>
      <w:r>
        <w:rPr>
          <w:rFonts w:hint="eastAsia" w:ascii="宋体" w:hAnsi="宋体" w:eastAsia="宋体" w:cs="宋体"/>
          <w:color w:val="auto"/>
          <w:spacing w:val="0"/>
          <w:sz w:val="24"/>
          <w:szCs w:val="24"/>
          <w:highlight w:val="none"/>
        </w:rPr>
        <w:t>明：</w:t>
      </w:r>
    </w:p>
    <w:p w14:paraId="469752C9">
      <w:pPr>
        <w:pageBreakBefore w:val="0"/>
        <w:numPr>
          <w:ilvl w:val="0"/>
          <w:numId w:val="42"/>
        </w:numPr>
        <w:kinsoku/>
        <w:wordWrap w:val="0"/>
        <w:overflowPunct/>
        <w:topLinePunct/>
        <w:autoSpaceDE/>
        <w:autoSpaceDN/>
        <w:bidi w:val="0"/>
        <w:spacing w:line="276" w:lineRule="auto"/>
        <w:ind w:left="200" w:right="146"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招标人在根据《公路工程标准施工招标文件》编制项目招标文件中的“项目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内容，不得违反法律、行政法规的强制性规定和平等、自愿、公平和诚实信用原则。</w:t>
      </w:r>
    </w:p>
    <w:p w14:paraId="32D12ABF">
      <w:pPr>
        <w:pageBreakBefore w:val="0"/>
        <w:numPr>
          <w:ilvl w:val="0"/>
          <w:numId w:val="42"/>
        </w:numPr>
        <w:kinsoku/>
        <w:wordWrap w:val="0"/>
        <w:overflowPunct/>
        <w:topLinePunct/>
        <w:autoSpaceDE/>
        <w:autoSpaceDN/>
        <w:bidi w:val="0"/>
        <w:spacing w:line="276" w:lineRule="auto"/>
        <w:ind w:left="200" w:right="146"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项目专用合同条款的编号应与通用合同条款和公路工程专用合同条款一致。</w:t>
      </w:r>
    </w:p>
    <w:p w14:paraId="6B5D91EE">
      <w:pPr>
        <w:pageBreakBefore w:val="0"/>
        <w:numPr>
          <w:ilvl w:val="0"/>
          <w:numId w:val="42"/>
        </w:numPr>
        <w:kinsoku/>
        <w:wordWrap w:val="0"/>
        <w:overflowPunct/>
        <w:topLinePunct/>
        <w:autoSpaceDE/>
        <w:autoSpaceDN/>
        <w:bidi w:val="0"/>
        <w:spacing w:line="276" w:lineRule="auto"/>
        <w:ind w:left="200" w:right="146"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项目专用合同条款可对下列内容进行补充和细化：</w:t>
      </w:r>
    </w:p>
    <w:p w14:paraId="1C832298">
      <w:pPr>
        <w:pageBreakBefore w:val="0"/>
        <w:numPr>
          <w:ilvl w:val="0"/>
          <w:numId w:val="43"/>
        </w:numPr>
        <w:kinsoku/>
        <w:wordWrap w:val="0"/>
        <w:overflowPunct/>
        <w:topLinePunct/>
        <w:autoSpaceDE/>
        <w:autoSpaceDN/>
        <w:bidi w:val="0"/>
        <w:spacing w:line="276" w:lineRule="auto"/>
        <w:ind w:left="200" w:right="146"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5445A87A">
      <w:pPr>
        <w:pageBreakBefore w:val="0"/>
        <w:numPr>
          <w:ilvl w:val="0"/>
          <w:numId w:val="43"/>
        </w:numPr>
        <w:kinsoku/>
        <w:wordWrap w:val="0"/>
        <w:overflowPunct/>
        <w:topLinePunct/>
        <w:autoSpaceDE/>
        <w:autoSpaceDN/>
        <w:bidi w:val="0"/>
        <w:spacing w:line="276" w:lineRule="auto"/>
        <w:ind w:left="200" w:right="146"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15C92674">
      <w:pPr>
        <w:pageBreakBefore w:val="0"/>
        <w:kinsoku/>
        <w:wordWrap w:val="0"/>
        <w:overflowPunct/>
        <w:topLinePunct/>
        <w:autoSpaceDE/>
        <w:autoSpaceDN/>
        <w:bidi w:val="0"/>
        <w:spacing w:line="276" w:lineRule="auto"/>
        <w:ind w:left="200" w:right="146"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（3）其他需要补充、细化的内容。</w:t>
      </w:r>
    </w:p>
    <w:p w14:paraId="2ECBA384">
      <w:pPr>
        <w:pageBreakBefore w:val="0"/>
        <w:kinsoku/>
        <w:wordWrap w:val="0"/>
        <w:overflowPunct/>
        <w:topLinePunct/>
        <w:autoSpaceDE/>
        <w:autoSpaceDN/>
        <w:bidi w:val="0"/>
        <w:spacing w:line="276" w:lineRule="auto"/>
        <w:ind w:firstLine="480" w:firstLineChars="200"/>
        <w:rPr>
          <w:rFonts w:hint="eastAsia" w:ascii="宋体" w:hAnsi="宋体" w:eastAsia="宋体" w:cs="宋体"/>
          <w:color w:val="auto"/>
          <w:spacing w:val="0"/>
          <w:sz w:val="24"/>
          <w:szCs w:val="24"/>
          <w:highlight w:val="none"/>
        </w:rPr>
      </w:pPr>
    </w:p>
    <w:p w14:paraId="327C91BA">
      <w:pPr>
        <w:pageBreakBefore w:val="0"/>
        <w:kinsoku/>
        <w:wordWrap w:val="0"/>
        <w:overflowPunct/>
        <w:topLinePunct/>
        <w:autoSpaceDE/>
        <w:autoSpaceDN/>
        <w:bidi w:val="0"/>
        <w:spacing w:line="276" w:lineRule="auto"/>
        <w:ind w:firstLine="480" w:firstLineChars="200"/>
        <w:rPr>
          <w:rFonts w:hint="eastAsia" w:ascii="宋体" w:hAnsi="宋体" w:eastAsia="宋体" w:cs="宋体"/>
          <w:color w:val="auto"/>
          <w:spacing w:val="0"/>
          <w:sz w:val="24"/>
          <w:szCs w:val="24"/>
          <w:highlight w:val="none"/>
        </w:rPr>
      </w:pPr>
    </w:p>
    <w:p w14:paraId="034F1713">
      <w:pPr>
        <w:pageBreakBefore w:val="0"/>
        <w:kinsoku/>
        <w:wordWrap w:val="0"/>
        <w:overflowPunct/>
        <w:topLinePunct/>
        <w:autoSpaceDE/>
        <w:autoSpaceDN/>
        <w:bidi w:val="0"/>
        <w:spacing w:line="276" w:lineRule="auto"/>
        <w:ind w:firstLine="480" w:firstLineChars="200"/>
        <w:rPr>
          <w:rFonts w:hint="eastAsia" w:ascii="宋体" w:hAnsi="宋体" w:eastAsia="宋体" w:cs="宋体"/>
          <w:color w:val="auto"/>
          <w:spacing w:val="0"/>
          <w:sz w:val="24"/>
          <w:szCs w:val="24"/>
          <w:highlight w:val="none"/>
        </w:rPr>
        <w:sectPr>
          <w:type w:val="continuous"/>
          <w:pgSz w:w="11911" w:h="16838"/>
          <w:pgMar w:top="1440" w:right="1080" w:bottom="1440" w:left="1080" w:header="720" w:footer="720" w:gutter="0"/>
          <w:pgNumType w:fmt="decimal"/>
          <w:cols w:space="0" w:num="1"/>
          <w:rtlGutter w:val="0"/>
          <w:docGrid w:linePitch="360" w:charSpace="0"/>
        </w:sectPr>
      </w:pPr>
    </w:p>
    <w:p w14:paraId="6CF19BD0">
      <w:pPr>
        <w:pageBreakBefore w:val="0"/>
        <w:kinsoku/>
        <w:wordWrap w:val="0"/>
        <w:overflowPunct/>
        <w:topLinePunct/>
        <w:autoSpaceDE/>
        <w:autoSpaceDN/>
        <w:bidi w:val="0"/>
        <w:spacing w:line="276" w:lineRule="auto"/>
        <w:ind w:right="60" w:firstLine="560" w:firstLineChars="200"/>
        <w:jc w:val="center"/>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rPr>
        <w:t>项目专用合同条款数据表</w:t>
      </w:r>
    </w:p>
    <w:p w14:paraId="56EC890D">
      <w:pPr>
        <w:keepNext w:val="0"/>
        <w:keepLines w:val="0"/>
        <w:pageBreakBefore w:val="0"/>
        <w:widowControl w:val="0"/>
        <w:kinsoku/>
        <w:wordWrap w:val="0"/>
        <w:overflowPunct/>
        <w:topLinePunct/>
        <w:autoSpaceDE/>
        <w:autoSpaceDN/>
        <w:bidi w:val="0"/>
        <w:adjustRightInd/>
        <w:snapToGrid/>
        <w:spacing w:line="360" w:lineRule="auto"/>
        <w:ind w:right="261"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本数据表是项目专用合同条款中适用于本项目的信息和数据的归纳与提示，是项目专用合同条款的组成部分。第九章“投标文件格式”的投标函附录中的数据（供投标人确认）与本表所列有重复。编写招标文件的单位应仔细校核，不使数据出现差错或不一致。</w:t>
      </w:r>
      <w:r>
        <w:rPr>
          <w:rFonts w:hint="eastAsia" w:ascii="宋体" w:hAnsi="宋体" w:eastAsia="宋体" w:cs="宋体"/>
          <w:color w:val="auto"/>
          <w:spacing w:val="0"/>
          <w:sz w:val="24"/>
          <w:szCs w:val="24"/>
          <w:highlight w:val="none"/>
        </w:rPr>
        <mc:AlternateContent>
          <mc:Choice Requires="wps">
            <w:drawing>
              <wp:anchor distT="0" distB="0" distL="114300" distR="114300" simplePos="0" relativeHeight="251664384" behindDoc="1" locked="0" layoutInCell="0" allowOverlap="1">
                <wp:simplePos x="0" y="0"/>
                <wp:positionH relativeFrom="column">
                  <wp:posOffset>5798185</wp:posOffset>
                </wp:positionH>
                <wp:positionV relativeFrom="paragraph">
                  <wp:posOffset>292100</wp:posOffset>
                </wp:positionV>
                <wp:extent cx="12700" cy="12700"/>
                <wp:effectExtent l="4445" t="4445" r="20955" b="11430"/>
                <wp:wrapNone/>
                <wp:docPr id="5" name="矩形 5"/>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a:ln w="9525" cap="flat" cmpd="sng">
                          <a:solidFill>
                            <a:srgbClr val="FFFFFF"/>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456.55pt;margin-top:23pt;height:1pt;width:1pt;z-index:-251652096;mso-width-relative:page;mso-height-relative:page;" fillcolor="#000000" filled="t" stroked="t" coordsize="21600,21600" o:allowincell="f" o:gfxdata="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IanKA1QAAAAkBAAAPAAAAAAAAAAEAIAAAACIAAABkcnMvZG93bnJldi54bWxQ&#10;SwECFAAUAAAACACHTuJAC8E+8PoBAAApBAAADgAAAAAAAAABACAAAAAkAQAAZHJzL2Uyb0RvYy54&#10;bWxQSwUGAAAAAAYABgBZAQAAkAUAAAAA&#10;">
                <v:fill on="t" focussize="0,0"/>
                <v:stroke color="#FFFFFF" joinstyle="miter"/>
                <v:imagedata o:title=""/>
                <o:lock v:ext="edit" aspectratio="f"/>
              </v:rect>
            </w:pict>
          </mc:Fallback>
        </mc:AlternateConten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272"/>
        <w:gridCol w:w="7205"/>
      </w:tblGrid>
      <w:tr w14:paraId="72A5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18" w:type="dxa"/>
            <w:vAlign w:val="center"/>
          </w:tcPr>
          <w:p w14:paraId="2B5D1FC0">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序</w:t>
            </w:r>
          </w:p>
        </w:tc>
        <w:tc>
          <w:tcPr>
            <w:tcW w:w="1272" w:type="dxa"/>
            <w:vAlign w:val="center"/>
          </w:tcPr>
          <w:p w14:paraId="7ED39CB0">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条目号</w:t>
            </w:r>
          </w:p>
        </w:tc>
        <w:tc>
          <w:tcPr>
            <w:tcW w:w="7205" w:type="dxa"/>
            <w:vAlign w:val="center"/>
          </w:tcPr>
          <w:p w14:paraId="0235F272">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信 息 或 数 据</w:t>
            </w:r>
          </w:p>
        </w:tc>
      </w:tr>
      <w:tr w14:paraId="184B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18" w:type="dxa"/>
            <w:vAlign w:val="center"/>
          </w:tcPr>
          <w:p w14:paraId="1A21F0A8">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272" w:type="dxa"/>
            <w:vAlign w:val="center"/>
          </w:tcPr>
          <w:p w14:paraId="2C9F9259">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1.1.2.2</w:t>
            </w:r>
          </w:p>
        </w:tc>
        <w:tc>
          <w:tcPr>
            <w:tcW w:w="7205" w:type="dxa"/>
          </w:tcPr>
          <w:p w14:paraId="065465F7">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发 包 人：</w:t>
            </w:r>
            <w:r>
              <w:rPr>
                <w:rFonts w:hint="eastAsia" w:ascii="宋体" w:hAnsi="宋体" w:cs="宋体"/>
                <w:color w:val="auto"/>
                <w:spacing w:val="0"/>
                <w:sz w:val="24"/>
                <w:szCs w:val="24"/>
                <w:highlight w:val="none"/>
                <w:lang w:eastAsia="zh-CN"/>
              </w:rPr>
              <w:t>浦北县龙门镇人民政府</w:t>
            </w:r>
          </w:p>
          <w:p w14:paraId="50FAF17F">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地    址：浦北县龙门镇马路街5号</w:t>
            </w:r>
          </w:p>
          <w:p w14:paraId="742AF98F">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邮政编码：</w:t>
            </w:r>
            <w:r>
              <w:rPr>
                <w:rFonts w:hint="eastAsia" w:ascii="宋体" w:hAnsi="宋体" w:cs="宋体"/>
                <w:color w:val="auto"/>
                <w:spacing w:val="0"/>
                <w:sz w:val="24"/>
                <w:szCs w:val="24"/>
                <w:highlight w:val="none"/>
                <w:lang w:val="en-US" w:eastAsia="zh-CN"/>
              </w:rPr>
              <w:t>/</w:t>
            </w:r>
          </w:p>
        </w:tc>
      </w:tr>
      <w:tr w14:paraId="2CF5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818" w:type="dxa"/>
            <w:vAlign w:val="center"/>
          </w:tcPr>
          <w:p w14:paraId="602F5B8F">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272" w:type="dxa"/>
            <w:vAlign w:val="center"/>
          </w:tcPr>
          <w:p w14:paraId="387A5AB6">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1.1.2.6</w:t>
            </w:r>
          </w:p>
        </w:tc>
        <w:tc>
          <w:tcPr>
            <w:tcW w:w="7205" w:type="dxa"/>
          </w:tcPr>
          <w:p w14:paraId="3A4E36FB">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监 理 人：</w:t>
            </w:r>
            <w:r>
              <w:rPr>
                <w:rFonts w:hint="eastAsia" w:ascii="宋体" w:hAnsi="宋体" w:cs="宋体"/>
                <w:color w:val="auto"/>
                <w:spacing w:val="0"/>
                <w:sz w:val="24"/>
                <w:szCs w:val="24"/>
                <w:highlight w:val="none"/>
                <w:lang w:eastAsia="zh-CN"/>
              </w:rPr>
              <w:t>待定</w:t>
            </w:r>
          </w:p>
        </w:tc>
      </w:tr>
      <w:tr w14:paraId="1760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18" w:type="dxa"/>
            <w:vAlign w:val="center"/>
          </w:tcPr>
          <w:p w14:paraId="59AF5226">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1272" w:type="dxa"/>
            <w:vAlign w:val="center"/>
          </w:tcPr>
          <w:p w14:paraId="4A340152">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1.1.4.5</w:t>
            </w:r>
          </w:p>
        </w:tc>
        <w:tc>
          <w:tcPr>
            <w:tcW w:w="7205" w:type="dxa"/>
          </w:tcPr>
          <w:p w14:paraId="1180B791">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缺陷责任期：自实际交工日期起计算</w:t>
            </w:r>
            <w:r>
              <w:rPr>
                <w:rFonts w:hint="eastAsia" w:ascii="宋体" w:hAnsi="宋体" w:eastAsia="宋体" w:cs="宋体"/>
                <w:color w:val="auto"/>
                <w:spacing w:val="0"/>
                <w:sz w:val="24"/>
                <w:szCs w:val="24"/>
                <w:highlight w:val="none"/>
                <w:u w:val="single"/>
              </w:rPr>
              <w:t>1</w:t>
            </w:r>
            <w:r>
              <w:rPr>
                <w:rFonts w:hint="eastAsia" w:ascii="宋体" w:hAnsi="宋体" w:eastAsia="宋体" w:cs="宋体"/>
                <w:color w:val="auto"/>
                <w:spacing w:val="0"/>
                <w:sz w:val="24"/>
                <w:szCs w:val="24"/>
                <w:highlight w:val="none"/>
              </w:rPr>
              <w:t>年</w:t>
            </w:r>
          </w:p>
        </w:tc>
      </w:tr>
      <w:tr w14:paraId="03BD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818" w:type="dxa"/>
            <w:vAlign w:val="center"/>
          </w:tcPr>
          <w:p w14:paraId="2EC25B46">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w:t>
            </w:r>
          </w:p>
        </w:tc>
        <w:tc>
          <w:tcPr>
            <w:tcW w:w="1272" w:type="dxa"/>
            <w:vAlign w:val="center"/>
          </w:tcPr>
          <w:p w14:paraId="42720AF0">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1.6.3</w:t>
            </w:r>
          </w:p>
        </w:tc>
        <w:tc>
          <w:tcPr>
            <w:tcW w:w="7205" w:type="dxa"/>
          </w:tcPr>
          <w:p w14:paraId="3F0C6BFA">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图纸需要修改和补充的，应由监理人取得发包人同意后，在该工程或工程相应部位施工前</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b/>
                <w:color w:val="auto"/>
                <w:spacing w:val="0"/>
                <w:sz w:val="24"/>
                <w:szCs w:val="24"/>
                <w:highlight w:val="none"/>
                <w:u w:val="single"/>
              </w:rPr>
              <w:t>14</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天签发图纸修改图给承揽人</w:t>
            </w:r>
          </w:p>
        </w:tc>
      </w:tr>
      <w:tr w14:paraId="51D6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818" w:type="dxa"/>
            <w:vAlign w:val="center"/>
          </w:tcPr>
          <w:p w14:paraId="0C098492">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w:t>
            </w:r>
          </w:p>
        </w:tc>
        <w:tc>
          <w:tcPr>
            <w:tcW w:w="1272" w:type="dxa"/>
            <w:vAlign w:val="center"/>
          </w:tcPr>
          <w:p w14:paraId="30BDF91F">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3.1.1</w:t>
            </w:r>
          </w:p>
        </w:tc>
        <w:tc>
          <w:tcPr>
            <w:tcW w:w="7205" w:type="dxa"/>
          </w:tcPr>
          <w:p w14:paraId="218C338F">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监理人在行使下列权利前需要经发包人事先批准：</w:t>
            </w:r>
          </w:p>
          <w:p w14:paraId="4310C20C">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（6）根据第15.3款发出的变更指示，其单项工程变更涉及的金额超过了该单项工程5000元或累计变更超过了签约合同价的</w:t>
            </w:r>
            <w:r>
              <w:rPr>
                <w:rFonts w:hint="eastAsia" w:ascii="宋体" w:hAnsi="宋体" w:eastAsia="宋体" w:cs="宋体"/>
                <w:color w:val="auto"/>
                <w:spacing w:val="0"/>
                <w:sz w:val="24"/>
                <w:szCs w:val="24"/>
                <w:highlight w:val="none"/>
                <w:u w:val="single"/>
              </w:rPr>
              <w:t xml:space="preserve"> 1</w:t>
            </w:r>
            <w:r>
              <w:rPr>
                <w:rFonts w:hint="eastAsia" w:ascii="宋体" w:hAnsi="宋体" w:eastAsia="宋体" w:cs="宋体"/>
                <w:color w:val="auto"/>
                <w:spacing w:val="0"/>
                <w:sz w:val="24"/>
                <w:szCs w:val="24"/>
                <w:highlight w:val="none"/>
              </w:rPr>
              <w:t>%</w:t>
            </w:r>
          </w:p>
        </w:tc>
      </w:tr>
      <w:tr w14:paraId="1E49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18" w:type="dxa"/>
            <w:vAlign w:val="center"/>
          </w:tcPr>
          <w:p w14:paraId="3A7BDB53">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w:t>
            </w:r>
          </w:p>
        </w:tc>
        <w:tc>
          <w:tcPr>
            <w:tcW w:w="1272" w:type="dxa"/>
            <w:vAlign w:val="center"/>
          </w:tcPr>
          <w:p w14:paraId="4665916B">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5.2.1</w:t>
            </w:r>
          </w:p>
        </w:tc>
        <w:tc>
          <w:tcPr>
            <w:tcW w:w="7205" w:type="dxa"/>
            <w:vAlign w:val="center"/>
          </w:tcPr>
          <w:p w14:paraId="3FEAA23F">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发包人是否提供材料或施工设备：否</w:t>
            </w:r>
          </w:p>
        </w:tc>
      </w:tr>
      <w:tr w14:paraId="58DF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18" w:type="dxa"/>
            <w:vAlign w:val="center"/>
          </w:tcPr>
          <w:p w14:paraId="6DAF65AC">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w:t>
            </w:r>
          </w:p>
        </w:tc>
        <w:tc>
          <w:tcPr>
            <w:tcW w:w="1272" w:type="dxa"/>
            <w:vAlign w:val="center"/>
          </w:tcPr>
          <w:p w14:paraId="0799352B">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6.2</w:t>
            </w:r>
          </w:p>
        </w:tc>
        <w:tc>
          <w:tcPr>
            <w:tcW w:w="7205" w:type="dxa"/>
            <w:vAlign w:val="center"/>
          </w:tcPr>
          <w:p w14:paraId="68C3DFF8">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发包人是否提供施工设备和临时设施：否</w:t>
            </w:r>
          </w:p>
        </w:tc>
      </w:tr>
      <w:tr w14:paraId="2B25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18" w:type="dxa"/>
            <w:vAlign w:val="center"/>
          </w:tcPr>
          <w:p w14:paraId="202EFFCC">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w:t>
            </w:r>
          </w:p>
        </w:tc>
        <w:tc>
          <w:tcPr>
            <w:tcW w:w="1272" w:type="dxa"/>
            <w:vAlign w:val="center"/>
          </w:tcPr>
          <w:p w14:paraId="706D2A9E">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8.1.1</w:t>
            </w:r>
          </w:p>
        </w:tc>
        <w:tc>
          <w:tcPr>
            <w:tcW w:w="7205" w:type="dxa"/>
          </w:tcPr>
          <w:p w14:paraId="5044172F">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发包人提供测量基准点、基准线和水准点及其书面资料的期限：</w:t>
            </w:r>
            <w:r>
              <w:rPr>
                <w:rFonts w:hint="eastAsia" w:ascii="宋体" w:hAnsi="宋体" w:eastAsia="宋体" w:cs="宋体"/>
                <w:color w:val="auto"/>
                <w:spacing w:val="0"/>
                <w:sz w:val="24"/>
                <w:szCs w:val="24"/>
                <w:highlight w:val="none"/>
                <w:u w:val="single"/>
              </w:rPr>
              <w:t xml:space="preserve"> 42天 </w:t>
            </w:r>
          </w:p>
          <w:p w14:paraId="45207724">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承揽人将施工控制网资料报送监理人审批的期限：</w:t>
            </w:r>
            <w:r>
              <w:rPr>
                <w:rFonts w:hint="eastAsia" w:ascii="宋体" w:hAnsi="宋体" w:eastAsia="宋体" w:cs="宋体"/>
                <w:color w:val="auto"/>
                <w:spacing w:val="0"/>
                <w:sz w:val="24"/>
                <w:szCs w:val="24"/>
                <w:highlight w:val="none"/>
                <w:u w:val="single"/>
              </w:rPr>
              <w:t>42天</w:t>
            </w:r>
          </w:p>
        </w:tc>
      </w:tr>
      <w:tr w14:paraId="6E4A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18" w:type="dxa"/>
            <w:vAlign w:val="center"/>
          </w:tcPr>
          <w:p w14:paraId="12FD010D">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w:t>
            </w:r>
          </w:p>
        </w:tc>
        <w:tc>
          <w:tcPr>
            <w:tcW w:w="1272" w:type="dxa"/>
            <w:vAlign w:val="center"/>
          </w:tcPr>
          <w:p w14:paraId="201791D2">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11.5</w:t>
            </w:r>
          </w:p>
        </w:tc>
        <w:tc>
          <w:tcPr>
            <w:tcW w:w="7205" w:type="dxa"/>
          </w:tcPr>
          <w:p w14:paraId="09626C3F">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逾期交工违约金： 5000元/天</w:t>
            </w:r>
          </w:p>
        </w:tc>
      </w:tr>
      <w:tr w14:paraId="6FAC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18" w:type="dxa"/>
            <w:vAlign w:val="center"/>
          </w:tcPr>
          <w:p w14:paraId="20944409">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w:t>
            </w:r>
          </w:p>
        </w:tc>
        <w:tc>
          <w:tcPr>
            <w:tcW w:w="1272" w:type="dxa"/>
            <w:vAlign w:val="center"/>
          </w:tcPr>
          <w:p w14:paraId="4B4A2760">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11.5</w:t>
            </w:r>
          </w:p>
        </w:tc>
        <w:tc>
          <w:tcPr>
            <w:tcW w:w="7205" w:type="dxa"/>
          </w:tcPr>
          <w:p w14:paraId="139C2627">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vertAlign w:val="superscript"/>
              </w:rPr>
            </w:pPr>
            <w:r>
              <w:rPr>
                <w:rFonts w:hint="eastAsia" w:ascii="宋体" w:hAnsi="宋体" w:eastAsia="宋体" w:cs="宋体"/>
                <w:color w:val="auto"/>
                <w:spacing w:val="0"/>
                <w:sz w:val="24"/>
                <w:szCs w:val="24"/>
                <w:highlight w:val="none"/>
              </w:rPr>
              <w:t>逾期交工违约金限额：10%签约合同价</w:t>
            </w:r>
          </w:p>
        </w:tc>
      </w:tr>
      <w:tr w14:paraId="17AE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18" w:type="dxa"/>
            <w:vAlign w:val="center"/>
          </w:tcPr>
          <w:p w14:paraId="29AB2598">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w:t>
            </w:r>
          </w:p>
        </w:tc>
        <w:tc>
          <w:tcPr>
            <w:tcW w:w="1272" w:type="dxa"/>
            <w:vAlign w:val="center"/>
          </w:tcPr>
          <w:p w14:paraId="146C2F03">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w:t>
            </w:r>
          </w:p>
        </w:tc>
        <w:tc>
          <w:tcPr>
            <w:tcW w:w="7205" w:type="dxa"/>
          </w:tcPr>
          <w:p w14:paraId="57A8AAE9">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提前交工的奖金：（不适用）0</w:t>
            </w:r>
          </w:p>
        </w:tc>
      </w:tr>
      <w:tr w14:paraId="21D2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18" w:type="dxa"/>
            <w:vAlign w:val="center"/>
          </w:tcPr>
          <w:p w14:paraId="5D1F743E">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w:t>
            </w:r>
          </w:p>
        </w:tc>
        <w:tc>
          <w:tcPr>
            <w:tcW w:w="1272" w:type="dxa"/>
            <w:vAlign w:val="center"/>
          </w:tcPr>
          <w:p w14:paraId="66FCDBE1">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w:t>
            </w:r>
          </w:p>
        </w:tc>
        <w:tc>
          <w:tcPr>
            <w:tcW w:w="7205" w:type="dxa"/>
          </w:tcPr>
          <w:p w14:paraId="7618B8B2">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提前交工的奖金限额：（不适用）</w:t>
            </w:r>
          </w:p>
        </w:tc>
      </w:tr>
      <w:tr w14:paraId="5D65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818" w:type="dxa"/>
            <w:vAlign w:val="center"/>
          </w:tcPr>
          <w:p w14:paraId="627512CE">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w:t>
            </w:r>
          </w:p>
        </w:tc>
        <w:tc>
          <w:tcPr>
            <w:tcW w:w="1272" w:type="dxa"/>
            <w:vAlign w:val="center"/>
          </w:tcPr>
          <w:p w14:paraId="6F19C382">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15.5.2</w:t>
            </w:r>
          </w:p>
        </w:tc>
        <w:tc>
          <w:tcPr>
            <w:tcW w:w="7205" w:type="dxa"/>
          </w:tcPr>
          <w:p w14:paraId="0B5FEF85">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承揽人提出的合理化建议降低了合同价格的，发包人按所节约金额的一定比例给予奖励，具体奖励办法按</w:t>
            </w:r>
            <w:r>
              <w:rPr>
                <w:rFonts w:hint="eastAsia" w:ascii="宋体" w:hAnsi="宋体" w:cs="宋体"/>
                <w:color w:val="auto"/>
                <w:spacing w:val="0"/>
                <w:sz w:val="24"/>
                <w:szCs w:val="24"/>
                <w:highlight w:val="none"/>
                <w:lang w:eastAsia="zh-CN"/>
              </w:rPr>
              <w:t>浦北县龙门镇人民政府</w:t>
            </w:r>
            <w:r>
              <w:rPr>
                <w:rFonts w:hint="eastAsia" w:ascii="宋体" w:hAnsi="宋体" w:eastAsia="宋体" w:cs="宋体"/>
                <w:color w:val="auto"/>
                <w:spacing w:val="0"/>
                <w:sz w:val="24"/>
                <w:szCs w:val="24"/>
                <w:highlight w:val="none"/>
              </w:rPr>
              <w:t>的规定办理。</w:t>
            </w:r>
          </w:p>
        </w:tc>
      </w:tr>
    </w:tbl>
    <w:p w14:paraId="02173E20">
      <w:pPr>
        <w:pageBreakBefore w:val="0"/>
        <w:kinsoku/>
        <w:wordWrap w:val="0"/>
        <w:overflowPunct/>
        <w:topLinePunct/>
        <w:autoSpaceDE/>
        <w:autoSpaceDN/>
        <w:bidi w:val="0"/>
        <w:spacing w:line="276" w:lineRule="auto"/>
        <w:rPr>
          <w:rFonts w:hint="eastAsia" w:ascii="宋体" w:hAnsi="宋体" w:eastAsia="宋体" w:cs="宋体"/>
          <w:color w:val="auto"/>
          <w:spacing w:val="0"/>
          <w:sz w:val="24"/>
          <w:szCs w:val="24"/>
          <w:highlight w:val="none"/>
        </w:rPr>
      </w:pPr>
    </w:p>
    <w:tbl>
      <w:tblPr>
        <w:tblStyle w:val="31"/>
        <w:tblW w:w="9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64"/>
        <w:gridCol w:w="7002"/>
        <w:gridCol w:w="8"/>
      </w:tblGrid>
      <w:tr w14:paraId="78D0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29" w:type="dxa"/>
            <w:vAlign w:val="center"/>
          </w:tcPr>
          <w:p w14:paraId="4629202B">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b/>
                <w:color w:val="auto"/>
                <w:spacing w:val="0"/>
                <w:sz w:val="24"/>
                <w:szCs w:val="24"/>
                <w:highlight w:val="none"/>
              </w:rPr>
            </w:pPr>
            <w:bookmarkStart w:id="114" w:name="page158"/>
            <w:bookmarkEnd w:id="114"/>
            <w:r>
              <w:rPr>
                <w:rFonts w:hint="eastAsia" w:ascii="宋体" w:hAnsi="宋体" w:eastAsia="宋体" w:cs="宋体"/>
                <w:b/>
                <w:color w:val="auto"/>
                <w:spacing w:val="0"/>
                <w:sz w:val="24"/>
                <w:szCs w:val="24"/>
                <w:highlight w:val="none"/>
              </w:rPr>
              <w:t>序号</w:t>
            </w:r>
          </w:p>
        </w:tc>
        <w:tc>
          <w:tcPr>
            <w:tcW w:w="1464" w:type="dxa"/>
            <w:vAlign w:val="center"/>
          </w:tcPr>
          <w:p w14:paraId="194E86F3">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条目号</w:t>
            </w:r>
          </w:p>
        </w:tc>
        <w:tc>
          <w:tcPr>
            <w:tcW w:w="7010" w:type="dxa"/>
            <w:gridSpan w:val="2"/>
            <w:vAlign w:val="center"/>
          </w:tcPr>
          <w:p w14:paraId="663AE4B6">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信 息 或 数 据</w:t>
            </w:r>
          </w:p>
        </w:tc>
      </w:tr>
      <w:tr w14:paraId="7A19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9" w:type="dxa"/>
            <w:vAlign w:val="center"/>
          </w:tcPr>
          <w:p w14:paraId="70D956E5">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14</w:t>
            </w:r>
          </w:p>
        </w:tc>
        <w:tc>
          <w:tcPr>
            <w:tcW w:w="1464" w:type="dxa"/>
            <w:vAlign w:val="center"/>
          </w:tcPr>
          <w:p w14:paraId="0960D303">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16.1</w:t>
            </w:r>
          </w:p>
        </w:tc>
        <w:tc>
          <w:tcPr>
            <w:tcW w:w="7010" w:type="dxa"/>
            <w:gridSpan w:val="2"/>
            <w:vAlign w:val="center"/>
          </w:tcPr>
          <w:p w14:paraId="0FEE7520">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本工程，不予价格调整。</w:t>
            </w:r>
          </w:p>
        </w:tc>
      </w:tr>
      <w:tr w14:paraId="2B7E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9" w:type="dxa"/>
            <w:vAlign w:val="center"/>
          </w:tcPr>
          <w:p w14:paraId="6C585511">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w:t>
            </w:r>
          </w:p>
        </w:tc>
        <w:tc>
          <w:tcPr>
            <w:tcW w:w="1464" w:type="dxa"/>
            <w:vAlign w:val="center"/>
          </w:tcPr>
          <w:p w14:paraId="731CD5B8">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17.2.1</w:t>
            </w:r>
          </w:p>
        </w:tc>
        <w:tc>
          <w:tcPr>
            <w:tcW w:w="7010" w:type="dxa"/>
            <w:gridSpan w:val="2"/>
            <w:vAlign w:val="center"/>
          </w:tcPr>
          <w:p w14:paraId="5FB4F31E">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开工预付款金额：</w:t>
            </w:r>
            <w:r>
              <w:rPr>
                <w:rFonts w:hint="eastAsia" w:ascii="宋体" w:hAnsi="宋体" w:cs="宋体"/>
                <w:color w:val="auto"/>
                <w:spacing w:val="0"/>
                <w:sz w:val="24"/>
                <w:szCs w:val="24"/>
                <w:highlight w:val="none"/>
                <w:u w:val="single"/>
                <w:lang w:val="en-US" w:eastAsia="zh-CN"/>
              </w:rPr>
              <w:t>3</w:t>
            </w:r>
            <w:r>
              <w:rPr>
                <w:rFonts w:hint="eastAsia" w:ascii="宋体" w:hAnsi="宋体" w:eastAsia="宋体" w:cs="宋体"/>
                <w:color w:val="auto"/>
                <w:spacing w:val="0"/>
                <w:sz w:val="24"/>
                <w:szCs w:val="24"/>
                <w:highlight w:val="none"/>
                <w:u w:val="single"/>
                <w:lang w:eastAsia="zh-CN"/>
              </w:rPr>
              <w:t>0%</w:t>
            </w:r>
            <w:r>
              <w:rPr>
                <w:rFonts w:hint="eastAsia" w:ascii="宋体" w:hAnsi="宋体" w:eastAsia="宋体" w:cs="宋体"/>
                <w:color w:val="auto"/>
                <w:spacing w:val="0"/>
                <w:sz w:val="24"/>
                <w:szCs w:val="24"/>
                <w:highlight w:val="none"/>
                <w:lang w:eastAsia="zh-CN"/>
              </w:rPr>
              <w:t>签约合同价。</w:t>
            </w:r>
          </w:p>
        </w:tc>
      </w:tr>
      <w:tr w14:paraId="1E37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9" w:type="dxa"/>
            <w:vAlign w:val="center"/>
          </w:tcPr>
          <w:p w14:paraId="5411D0C8">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w:t>
            </w:r>
          </w:p>
        </w:tc>
        <w:tc>
          <w:tcPr>
            <w:tcW w:w="1464" w:type="dxa"/>
            <w:vAlign w:val="center"/>
          </w:tcPr>
          <w:p w14:paraId="728F7EC5">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17.2.1</w:t>
            </w:r>
          </w:p>
        </w:tc>
        <w:tc>
          <w:tcPr>
            <w:tcW w:w="7010" w:type="dxa"/>
            <w:gridSpan w:val="2"/>
            <w:vAlign w:val="center"/>
          </w:tcPr>
          <w:p w14:paraId="6C30B198">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材料、设备预付款比例</w:t>
            </w:r>
            <w:r>
              <w:rPr>
                <w:rFonts w:hint="eastAsia" w:ascii="宋体" w:hAnsi="宋体" w:eastAsia="宋体" w:cs="宋体"/>
                <w:color w:val="auto"/>
                <w:spacing w:val="0"/>
                <w:sz w:val="24"/>
                <w:szCs w:val="24"/>
                <w:highlight w:val="none"/>
                <w:u w:val="none"/>
              </w:rPr>
              <w:t>：钢材、水泥、沥青、沙石等主要材料、设备单据所列费用的</w:t>
            </w:r>
            <w:r>
              <w:rPr>
                <w:rFonts w:hint="eastAsia" w:ascii="宋体" w:hAnsi="宋体" w:cs="宋体"/>
                <w:color w:val="auto"/>
                <w:spacing w:val="0"/>
                <w:sz w:val="24"/>
                <w:szCs w:val="24"/>
                <w:highlight w:val="none"/>
                <w:u w:val="single"/>
                <w:lang w:val="en-US" w:eastAsia="zh-CN"/>
              </w:rPr>
              <w:t>3</w:t>
            </w:r>
            <w:r>
              <w:rPr>
                <w:rFonts w:hint="eastAsia" w:ascii="宋体" w:hAnsi="宋体" w:eastAsia="宋体" w:cs="宋体"/>
                <w:color w:val="auto"/>
                <w:spacing w:val="0"/>
                <w:sz w:val="24"/>
                <w:szCs w:val="24"/>
                <w:highlight w:val="none"/>
                <w:u w:val="single"/>
              </w:rPr>
              <w:t>0%</w:t>
            </w:r>
            <w:r>
              <w:rPr>
                <w:rFonts w:hint="eastAsia" w:ascii="宋体" w:hAnsi="宋体" w:cs="宋体"/>
                <w:color w:val="auto"/>
                <w:spacing w:val="0"/>
                <w:sz w:val="24"/>
                <w:szCs w:val="24"/>
                <w:highlight w:val="none"/>
                <w:u w:val="none"/>
                <w:lang w:eastAsia="zh-CN"/>
              </w:rPr>
              <w:t>。</w:t>
            </w:r>
          </w:p>
        </w:tc>
      </w:tr>
      <w:tr w14:paraId="76E9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9" w:type="dxa"/>
            <w:vAlign w:val="center"/>
          </w:tcPr>
          <w:p w14:paraId="598640D7">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w:t>
            </w:r>
          </w:p>
        </w:tc>
        <w:tc>
          <w:tcPr>
            <w:tcW w:w="1464" w:type="dxa"/>
            <w:vAlign w:val="center"/>
          </w:tcPr>
          <w:p w14:paraId="013EA91E">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17.3.2</w:t>
            </w:r>
          </w:p>
        </w:tc>
        <w:tc>
          <w:tcPr>
            <w:tcW w:w="7010" w:type="dxa"/>
            <w:gridSpan w:val="2"/>
            <w:vAlign w:val="center"/>
          </w:tcPr>
          <w:p w14:paraId="08576E4F">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承揽人在每个付款周期末向监理人提交进度付款申请单的份数：4份</w:t>
            </w:r>
          </w:p>
        </w:tc>
      </w:tr>
      <w:tr w14:paraId="5C7B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9" w:type="dxa"/>
            <w:vAlign w:val="center"/>
          </w:tcPr>
          <w:p w14:paraId="3585275F">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w:t>
            </w:r>
          </w:p>
        </w:tc>
        <w:tc>
          <w:tcPr>
            <w:tcW w:w="1464" w:type="dxa"/>
            <w:vAlign w:val="center"/>
          </w:tcPr>
          <w:p w14:paraId="63EFEC9C">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17.3.3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w:t>
            </w:r>
          </w:p>
        </w:tc>
        <w:tc>
          <w:tcPr>
            <w:tcW w:w="7010" w:type="dxa"/>
            <w:gridSpan w:val="2"/>
            <w:vAlign w:val="center"/>
          </w:tcPr>
          <w:p w14:paraId="0484046A">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进度付款证书最低限额：0.5%签约合同价。</w:t>
            </w:r>
          </w:p>
        </w:tc>
      </w:tr>
      <w:tr w14:paraId="06E2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9" w:type="dxa"/>
            <w:vAlign w:val="center"/>
          </w:tcPr>
          <w:p w14:paraId="03785E60">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w:t>
            </w:r>
          </w:p>
        </w:tc>
        <w:tc>
          <w:tcPr>
            <w:tcW w:w="1464" w:type="dxa"/>
            <w:vAlign w:val="center"/>
          </w:tcPr>
          <w:p w14:paraId="0C7F14FF">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17.3.3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2</w:t>
            </w:r>
            <w:r>
              <w:rPr>
                <w:rFonts w:hint="eastAsia" w:ascii="宋体" w:hAnsi="宋体" w:eastAsia="宋体" w:cs="宋体"/>
                <w:color w:val="auto"/>
                <w:spacing w:val="0"/>
                <w:sz w:val="24"/>
                <w:szCs w:val="24"/>
                <w:highlight w:val="none"/>
                <w:lang w:eastAsia="zh-CN"/>
              </w:rPr>
              <w:t>）</w:t>
            </w:r>
          </w:p>
        </w:tc>
        <w:tc>
          <w:tcPr>
            <w:tcW w:w="7010" w:type="dxa"/>
            <w:gridSpan w:val="2"/>
            <w:vAlign w:val="center"/>
          </w:tcPr>
          <w:p w14:paraId="7D4764F3">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逾期付款违约金的的利率：0.15‰/天   </w:t>
            </w:r>
          </w:p>
        </w:tc>
      </w:tr>
      <w:tr w14:paraId="7B3C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829" w:type="dxa"/>
            <w:vAlign w:val="center"/>
          </w:tcPr>
          <w:p w14:paraId="4330429F">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w:t>
            </w:r>
          </w:p>
        </w:tc>
        <w:tc>
          <w:tcPr>
            <w:tcW w:w="1464" w:type="dxa"/>
            <w:vAlign w:val="center"/>
          </w:tcPr>
          <w:p w14:paraId="1C3F0FAD">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17.4.1</w:t>
            </w:r>
          </w:p>
        </w:tc>
        <w:tc>
          <w:tcPr>
            <w:tcW w:w="7010" w:type="dxa"/>
            <w:gridSpan w:val="2"/>
            <w:vAlign w:val="center"/>
          </w:tcPr>
          <w:p w14:paraId="6AAA60A6">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质量保证金百分比：发包人按工程价款结算总额的</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%预留工程质量保修金，缺陷责任期过后再退还缴纳的质量保证金。</w:t>
            </w:r>
          </w:p>
        </w:tc>
      </w:tr>
      <w:tr w14:paraId="789B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29" w:type="dxa"/>
            <w:vAlign w:val="center"/>
          </w:tcPr>
          <w:p w14:paraId="04F25998">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w:t>
            </w:r>
          </w:p>
        </w:tc>
        <w:tc>
          <w:tcPr>
            <w:tcW w:w="1464" w:type="dxa"/>
            <w:vAlign w:val="center"/>
          </w:tcPr>
          <w:p w14:paraId="0DF79D43">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17.4.1</w:t>
            </w:r>
          </w:p>
        </w:tc>
        <w:tc>
          <w:tcPr>
            <w:tcW w:w="7010" w:type="dxa"/>
            <w:gridSpan w:val="2"/>
            <w:vAlign w:val="center"/>
          </w:tcPr>
          <w:p w14:paraId="0FB4DF43">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质量保证金限额：3%</w:t>
            </w:r>
            <w:r>
              <w:rPr>
                <w:rFonts w:hint="eastAsia" w:ascii="宋体" w:hAnsi="宋体" w:cs="宋体"/>
                <w:color w:val="auto"/>
                <w:spacing w:val="0"/>
                <w:sz w:val="24"/>
                <w:szCs w:val="24"/>
                <w:highlight w:val="none"/>
                <w:lang w:eastAsia="zh-CN"/>
              </w:rPr>
              <w:t>结算</w:t>
            </w:r>
            <w:r>
              <w:rPr>
                <w:rFonts w:hint="eastAsia" w:ascii="宋体" w:hAnsi="宋体" w:eastAsia="宋体" w:cs="宋体"/>
                <w:color w:val="auto"/>
                <w:spacing w:val="0"/>
                <w:sz w:val="24"/>
                <w:szCs w:val="24"/>
                <w:highlight w:val="none"/>
              </w:rPr>
              <w:t>价格，若交工验收时承揽人具备被招标项目所在地省级交通主管部门评定的最高信用等级，发包人给予2%合同价格质量保证金的优惠，并在交工验收时向承揽人返还质量保证金优惠的金额。</w:t>
            </w:r>
          </w:p>
        </w:tc>
      </w:tr>
      <w:tr w14:paraId="0490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9" w:type="dxa"/>
            <w:vAlign w:val="center"/>
          </w:tcPr>
          <w:p w14:paraId="0E40E4D9">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w:t>
            </w:r>
          </w:p>
        </w:tc>
        <w:tc>
          <w:tcPr>
            <w:tcW w:w="1464" w:type="dxa"/>
            <w:vAlign w:val="center"/>
          </w:tcPr>
          <w:p w14:paraId="1A0249F1">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p>
        </w:tc>
        <w:tc>
          <w:tcPr>
            <w:tcW w:w="7010" w:type="dxa"/>
            <w:gridSpan w:val="2"/>
            <w:vAlign w:val="center"/>
          </w:tcPr>
          <w:p w14:paraId="79215AD9">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农民工工资保证金限额：2%合同价格</w:t>
            </w:r>
          </w:p>
        </w:tc>
      </w:tr>
      <w:tr w14:paraId="6D7A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9" w:type="dxa"/>
            <w:vAlign w:val="center"/>
          </w:tcPr>
          <w:p w14:paraId="5FC4005D">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w:t>
            </w:r>
          </w:p>
        </w:tc>
        <w:tc>
          <w:tcPr>
            <w:tcW w:w="1464" w:type="dxa"/>
            <w:vAlign w:val="center"/>
          </w:tcPr>
          <w:p w14:paraId="66A3DE77">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17.5.1</w:t>
            </w:r>
          </w:p>
        </w:tc>
        <w:tc>
          <w:tcPr>
            <w:tcW w:w="7010" w:type="dxa"/>
            <w:gridSpan w:val="2"/>
            <w:vAlign w:val="center"/>
          </w:tcPr>
          <w:p w14:paraId="52C0EEC8">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承揽人向监理人提交交工付款申请单（包括相关证明材料）的份数：4份</w:t>
            </w:r>
          </w:p>
        </w:tc>
      </w:tr>
      <w:tr w14:paraId="4BF3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9" w:type="dxa"/>
            <w:vAlign w:val="center"/>
          </w:tcPr>
          <w:p w14:paraId="2DBF05AD">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24</w:t>
            </w:r>
          </w:p>
        </w:tc>
        <w:tc>
          <w:tcPr>
            <w:tcW w:w="1464" w:type="dxa"/>
            <w:vAlign w:val="center"/>
          </w:tcPr>
          <w:p w14:paraId="7656A81B">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17.6.1</w:t>
            </w:r>
          </w:p>
        </w:tc>
        <w:tc>
          <w:tcPr>
            <w:tcW w:w="7010" w:type="dxa"/>
            <w:gridSpan w:val="2"/>
            <w:vAlign w:val="center"/>
          </w:tcPr>
          <w:p w14:paraId="454DBB1B">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承揽人向监理人提交最终结清申请单（包括相关证明材料）的份数：4份</w:t>
            </w:r>
          </w:p>
        </w:tc>
      </w:tr>
      <w:tr w14:paraId="403F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9" w:type="dxa"/>
            <w:vAlign w:val="center"/>
          </w:tcPr>
          <w:p w14:paraId="29B1FDE9">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25</w:t>
            </w:r>
          </w:p>
        </w:tc>
        <w:tc>
          <w:tcPr>
            <w:tcW w:w="1464" w:type="dxa"/>
            <w:vAlign w:val="center"/>
          </w:tcPr>
          <w:p w14:paraId="6F4A1F1C">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18.2</w:t>
            </w:r>
          </w:p>
        </w:tc>
        <w:tc>
          <w:tcPr>
            <w:tcW w:w="7010" w:type="dxa"/>
            <w:gridSpan w:val="2"/>
            <w:vAlign w:val="center"/>
          </w:tcPr>
          <w:p w14:paraId="0F2B76E4">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竣工资料的份数：4份</w:t>
            </w:r>
          </w:p>
        </w:tc>
      </w:tr>
      <w:tr w14:paraId="72FD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829" w:type="dxa"/>
            <w:vAlign w:val="center"/>
          </w:tcPr>
          <w:p w14:paraId="371F4C5A">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26</w:t>
            </w:r>
          </w:p>
        </w:tc>
        <w:tc>
          <w:tcPr>
            <w:tcW w:w="1464" w:type="dxa"/>
            <w:vAlign w:val="center"/>
          </w:tcPr>
          <w:p w14:paraId="30FA4E05">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18.5.1</w:t>
            </w:r>
          </w:p>
        </w:tc>
        <w:tc>
          <w:tcPr>
            <w:tcW w:w="7010" w:type="dxa"/>
            <w:gridSpan w:val="2"/>
            <w:vAlign w:val="center"/>
          </w:tcPr>
          <w:p w14:paraId="579FA127">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单位工程或工程设备是否需投入施工期运行：是</w:t>
            </w:r>
          </w:p>
          <w:p w14:paraId="4DDD2ABD">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本项目属于路面大修工程，需要在施工期间维持交通畅通。</w:t>
            </w:r>
          </w:p>
        </w:tc>
      </w:tr>
      <w:tr w14:paraId="127B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29" w:type="dxa"/>
            <w:vAlign w:val="center"/>
          </w:tcPr>
          <w:p w14:paraId="2723BD5D">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27</w:t>
            </w:r>
          </w:p>
        </w:tc>
        <w:tc>
          <w:tcPr>
            <w:tcW w:w="1464" w:type="dxa"/>
            <w:vAlign w:val="center"/>
          </w:tcPr>
          <w:p w14:paraId="712B0694">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18.6.1</w:t>
            </w:r>
          </w:p>
        </w:tc>
        <w:tc>
          <w:tcPr>
            <w:tcW w:w="7010" w:type="dxa"/>
            <w:gridSpan w:val="2"/>
            <w:vAlign w:val="center"/>
          </w:tcPr>
          <w:p w14:paraId="456DC62F">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本工程及工程设备是否进行试运行：否</w:t>
            </w:r>
          </w:p>
        </w:tc>
      </w:tr>
      <w:tr w14:paraId="09C1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40" w:hRule="atLeast"/>
        </w:trPr>
        <w:tc>
          <w:tcPr>
            <w:tcW w:w="829" w:type="dxa"/>
            <w:vAlign w:val="center"/>
          </w:tcPr>
          <w:p w14:paraId="21CA0887">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28</w:t>
            </w:r>
          </w:p>
        </w:tc>
        <w:tc>
          <w:tcPr>
            <w:tcW w:w="1464" w:type="dxa"/>
            <w:vAlign w:val="center"/>
          </w:tcPr>
          <w:p w14:paraId="65ECA874">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19.7</w:t>
            </w:r>
          </w:p>
        </w:tc>
        <w:tc>
          <w:tcPr>
            <w:tcW w:w="7002" w:type="dxa"/>
            <w:vAlign w:val="center"/>
          </w:tcPr>
          <w:p w14:paraId="21705CCD">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保修期：自实际交工日期起计算1年</w:t>
            </w:r>
          </w:p>
        </w:tc>
      </w:tr>
      <w:tr w14:paraId="79BF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40" w:hRule="atLeast"/>
        </w:trPr>
        <w:tc>
          <w:tcPr>
            <w:tcW w:w="829" w:type="dxa"/>
            <w:vAlign w:val="center"/>
          </w:tcPr>
          <w:p w14:paraId="381CEF8F">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29</w:t>
            </w:r>
          </w:p>
        </w:tc>
        <w:tc>
          <w:tcPr>
            <w:tcW w:w="1464" w:type="dxa"/>
            <w:vAlign w:val="center"/>
          </w:tcPr>
          <w:p w14:paraId="29F7CA7E">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20.1</w:t>
            </w:r>
          </w:p>
        </w:tc>
        <w:tc>
          <w:tcPr>
            <w:tcW w:w="7002" w:type="dxa"/>
            <w:vAlign w:val="center"/>
          </w:tcPr>
          <w:p w14:paraId="0E007189">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本项目取消交通工程一切险</w:t>
            </w:r>
          </w:p>
        </w:tc>
      </w:tr>
      <w:tr w14:paraId="3429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40" w:hRule="atLeast"/>
        </w:trPr>
        <w:tc>
          <w:tcPr>
            <w:tcW w:w="829" w:type="dxa"/>
            <w:vAlign w:val="center"/>
          </w:tcPr>
          <w:p w14:paraId="22ED4EB1">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30</w:t>
            </w:r>
          </w:p>
        </w:tc>
        <w:tc>
          <w:tcPr>
            <w:tcW w:w="1464" w:type="dxa"/>
            <w:vAlign w:val="center"/>
          </w:tcPr>
          <w:p w14:paraId="5FDC1251">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20.4.2</w:t>
            </w:r>
          </w:p>
        </w:tc>
        <w:tc>
          <w:tcPr>
            <w:tcW w:w="7002" w:type="dxa"/>
            <w:vAlign w:val="center"/>
          </w:tcPr>
          <w:p w14:paraId="5778194F">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第三者责任险由承揽人以承揽人与业主的名义联名投保，保险费由承揽人承担并支付，投标人应在所报的单价或总额价中对该保险费予以考虑，业主不单独进行计量与支付。</w:t>
            </w:r>
          </w:p>
        </w:tc>
      </w:tr>
      <w:tr w14:paraId="0E92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40" w:hRule="atLeast"/>
        </w:trPr>
        <w:tc>
          <w:tcPr>
            <w:tcW w:w="829" w:type="dxa"/>
            <w:vAlign w:val="center"/>
          </w:tcPr>
          <w:p w14:paraId="6E564A9E">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31</w:t>
            </w:r>
          </w:p>
        </w:tc>
        <w:tc>
          <w:tcPr>
            <w:tcW w:w="1464" w:type="dxa"/>
            <w:vAlign w:val="center"/>
          </w:tcPr>
          <w:p w14:paraId="2586C8CF">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24.1</w:t>
            </w:r>
          </w:p>
        </w:tc>
        <w:tc>
          <w:tcPr>
            <w:tcW w:w="7002" w:type="dxa"/>
            <w:vAlign w:val="center"/>
          </w:tcPr>
          <w:p w14:paraId="3CFA844B">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争议的最终解决方式：</w:t>
            </w:r>
            <w:r>
              <w:rPr>
                <w:rFonts w:hint="eastAsia" w:ascii="宋体" w:hAnsi="宋体" w:eastAsia="宋体" w:cs="宋体"/>
                <w:color w:val="auto"/>
                <w:spacing w:val="0"/>
                <w:sz w:val="24"/>
                <w:szCs w:val="24"/>
                <w:highlight w:val="none"/>
                <w:u w:val="single"/>
              </w:rPr>
              <w:t>项目所在地人民法院提起诉讼</w:t>
            </w:r>
          </w:p>
          <w:p w14:paraId="6FECD6E5">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b/>
                <w:color w:val="auto"/>
                <w:spacing w:val="0"/>
                <w:sz w:val="24"/>
                <w:szCs w:val="24"/>
                <w:highlight w:val="none"/>
                <w:lang w:val="en-US" w:eastAsia="zh-CN"/>
              </w:rPr>
            </w:pPr>
            <w:r>
              <w:rPr>
                <w:rFonts w:hint="eastAsia" w:ascii="宋体" w:hAnsi="宋体" w:eastAsia="宋体" w:cs="宋体"/>
                <w:color w:val="auto"/>
                <w:spacing w:val="0"/>
                <w:sz w:val="24"/>
                <w:szCs w:val="24"/>
                <w:highlight w:val="none"/>
              </w:rPr>
              <w:t>如采用仲裁,仲裁委员会名称：</w:t>
            </w:r>
            <w:r>
              <w:rPr>
                <w:rFonts w:hint="eastAsia" w:ascii="宋体" w:hAnsi="宋体" w:eastAsia="宋体" w:cs="宋体"/>
                <w:color w:val="auto"/>
                <w:spacing w:val="0"/>
                <w:sz w:val="24"/>
                <w:szCs w:val="24"/>
                <w:highlight w:val="none"/>
                <w:u w:val="single"/>
                <w:lang w:val="en-US" w:eastAsia="zh-CN"/>
              </w:rPr>
              <w:t xml:space="preserve">   /  </w:t>
            </w:r>
          </w:p>
        </w:tc>
      </w:tr>
      <w:tr w14:paraId="6A6F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40" w:hRule="atLeast"/>
        </w:trPr>
        <w:tc>
          <w:tcPr>
            <w:tcW w:w="829" w:type="dxa"/>
            <w:vAlign w:val="center"/>
          </w:tcPr>
          <w:p w14:paraId="045E3B40">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default"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32</w:t>
            </w:r>
          </w:p>
        </w:tc>
        <w:tc>
          <w:tcPr>
            <w:tcW w:w="1464" w:type="dxa"/>
            <w:vAlign w:val="center"/>
          </w:tcPr>
          <w:p w14:paraId="6A962D44">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p>
        </w:tc>
        <w:tc>
          <w:tcPr>
            <w:tcW w:w="7002" w:type="dxa"/>
            <w:vAlign w:val="center"/>
          </w:tcPr>
          <w:p w14:paraId="4E9CA50C">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供应商提供虚假材料造成流标、废标的，扣除磋商保证金，提交了履约保证金及质量保证金的一并扣除，造成其他损失的由供应商承担。</w:t>
            </w:r>
          </w:p>
        </w:tc>
      </w:tr>
    </w:tbl>
    <w:p w14:paraId="3249D5A6">
      <w:pPr>
        <w:pStyle w:val="11"/>
        <w:pageBreakBefore w:val="0"/>
        <w:kinsoku/>
        <w:wordWrap w:val="0"/>
        <w:overflowPunct/>
        <w:topLinePunct/>
        <w:autoSpaceDE/>
        <w:autoSpaceDN/>
        <w:bidi w:val="0"/>
        <w:rPr>
          <w:rFonts w:hint="eastAsia" w:ascii="宋体" w:hAnsi="宋体" w:eastAsia="宋体" w:cs="宋体"/>
          <w:b/>
          <w:color w:val="auto"/>
          <w:spacing w:val="0"/>
          <w:highlight w:val="none"/>
        </w:rPr>
      </w:pPr>
    </w:p>
    <w:p w14:paraId="6456AA4A">
      <w:pPr>
        <w:pStyle w:val="11"/>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sectPr>
          <w:headerReference r:id="rId6" w:type="default"/>
          <w:footerReference r:id="rId7" w:type="default"/>
          <w:pgSz w:w="11906" w:h="16838"/>
          <w:pgMar w:top="1440" w:right="1080" w:bottom="1440" w:left="1080" w:header="567" w:footer="567" w:gutter="567"/>
          <w:pgNumType w:fmt="decimal"/>
          <w:cols w:space="0" w:num="1"/>
          <w:docGrid w:type="lines" w:linePitch="312" w:charSpace="0"/>
        </w:sectPr>
      </w:pPr>
    </w:p>
    <w:p w14:paraId="73E71DA7">
      <w:pPr>
        <w:pStyle w:val="6"/>
        <w:jc w:val="left"/>
        <w:rPr>
          <w:rFonts w:cs="宋体"/>
          <w:color w:val="auto"/>
          <w:highlight w:val="none"/>
        </w:rPr>
      </w:pPr>
      <w:bookmarkStart w:id="115" w:name="_Toc514759053"/>
      <w:bookmarkStart w:id="116" w:name="_Toc519586145"/>
      <w:r>
        <w:rPr>
          <w:rFonts w:hint="eastAsia" w:ascii="宋体" w:hAnsi="宋体" w:eastAsia="宋体" w:cs="宋体"/>
          <w:b w:val="0"/>
          <w:bCs w:val="0"/>
          <w:color w:val="auto"/>
          <w:spacing w:val="0"/>
          <w:kern w:val="2"/>
          <w:sz w:val="28"/>
          <w:szCs w:val="28"/>
          <w:highlight w:val="none"/>
          <w:lang w:val="en-US" w:eastAsia="zh-CN" w:bidi="ar-SA"/>
        </w:rPr>
        <w:t xml:space="preserve">附件一 </w:t>
      </w:r>
      <w:r>
        <w:rPr>
          <w:rFonts w:cs="宋体"/>
          <w:color w:val="auto"/>
          <w:sz w:val="22"/>
          <w:szCs w:val="22"/>
          <w:highlight w:val="none"/>
        </w:rPr>
        <w:t xml:space="preserve"> </w:t>
      </w:r>
      <w:bookmarkEnd w:id="115"/>
    </w:p>
    <w:p w14:paraId="396242C7">
      <w:pPr>
        <w:pageBreakBefore w:val="0"/>
        <w:kinsoku/>
        <w:wordWrap w:val="0"/>
        <w:overflowPunct/>
        <w:topLinePunct/>
        <w:autoSpaceDE/>
        <w:autoSpaceDN/>
        <w:bidi w:val="0"/>
        <w:spacing w:after="386" w:line="360" w:lineRule="auto"/>
        <w:ind w:left="160" w:firstLine="420"/>
        <w:jc w:val="center"/>
        <w:rPr>
          <w:rFonts w:hint="eastAsia" w:ascii="宋体" w:hAnsi="宋体" w:eastAsia="宋体" w:cs="宋体"/>
          <w:b/>
          <w:bCs/>
          <w:color w:val="auto"/>
          <w:spacing w:val="0"/>
          <w:sz w:val="44"/>
          <w:highlight w:val="none"/>
          <w:shd w:val="clear" w:color="auto" w:fill="FFFFFF"/>
          <w:lang w:val="zh-CN"/>
        </w:rPr>
      </w:pPr>
      <w:bookmarkStart w:id="117" w:name="_Toc514786907"/>
      <w:bookmarkStart w:id="118" w:name="bookmark186"/>
      <w:r>
        <w:rPr>
          <w:rFonts w:hint="eastAsia" w:ascii="宋体" w:hAnsi="宋体" w:eastAsia="宋体" w:cs="宋体"/>
          <w:b/>
          <w:bCs/>
          <w:color w:val="auto"/>
          <w:spacing w:val="0"/>
          <w:sz w:val="44"/>
          <w:highlight w:val="none"/>
          <w:shd w:val="clear" w:color="auto" w:fill="FFFFFF"/>
          <w:lang w:val="zh-CN"/>
        </w:rPr>
        <w:t>合同协议书</w:t>
      </w:r>
      <w:bookmarkEnd w:id="117"/>
      <w:bookmarkEnd w:id="118"/>
    </w:p>
    <w:p w14:paraId="23D675D1">
      <w:pPr>
        <w:pStyle w:val="81"/>
        <w:keepNext w:val="0"/>
        <w:keepLines w:val="0"/>
        <w:pageBreakBefore w:val="0"/>
        <w:widowControl w:val="0"/>
        <w:shd w:val="clear" w:color="auto" w:fill="auto"/>
        <w:tabs>
          <w:tab w:val="left" w:leader="underscore" w:pos="1756"/>
          <w:tab w:val="left" w:leader="underscore" w:pos="8354"/>
        </w:tabs>
        <w:kinsoku/>
        <w:wordWrap w:val="0"/>
        <w:overflowPunct/>
        <w:topLinePunct w:val="0"/>
        <w:autoSpaceDE/>
        <w:autoSpaceDN/>
        <w:bidi w:val="0"/>
        <w:adjustRightInd/>
        <w:snapToGrid/>
        <w:spacing w:before="0" w:line="360" w:lineRule="auto"/>
        <w:jc w:val="both"/>
        <w:textAlignment w:val="auto"/>
        <w:rPr>
          <w:rFonts w:ascii="宋体" w:hAnsi="宋体" w:eastAsia="宋体"/>
          <w:color w:val="auto"/>
          <w:highlight w:val="none"/>
        </w:rPr>
      </w:pPr>
      <w:r>
        <w:rPr>
          <w:rStyle w:val="86"/>
          <w:rFonts w:ascii="宋体" w:hAnsi="宋体" w:eastAsia="宋体"/>
          <w:color w:val="auto"/>
          <w:highlight w:val="none"/>
          <w:u w:val="single"/>
        </w:rPr>
        <w:t>(</w:t>
      </w:r>
      <w:r>
        <w:rPr>
          <w:rStyle w:val="86"/>
          <w:rFonts w:hint="eastAsia" w:ascii="宋体" w:hAnsi="宋体" w:eastAsia="宋体"/>
          <w:color w:val="auto"/>
          <w:highlight w:val="none"/>
          <w:u w:val="single"/>
        </w:rPr>
        <w:t>发包人名称，以下简称“发包人”）</w:t>
      </w:r>
      <w:r>
        <w:rPr>
          <w:rStyle w:val="86"/>
          <w:rFonts w:hint="eastAsia" w:ascii="宋体" w:hAnsi="宋体" w:eastAsia="宋体"/>
          <w:color w:val="auto"/>
          <w:highlight w:val="none"/>
        </w:rPr>
        <w:t>为实施</w:t>
      </w:r>
      <w:r>
        <w:rPr>
          <w:rStyle w:val="86"/>
          <w:rFonts w:ascii="宋体" w:hAnsi="宋体" w:eastAsia="宋体"/>
          <w:color w:val="auto"/>
          <w:highlight w:val="none"/>
          <w:u w:val="single"/>
        </w:rPr>
        <w:t>(</w:t>
      </w:r>
      <w:r>
        <w:rPr>
          <w:rStyle w:val="86"/>
          <w:rFonts w:hint="eastAsia" w:ascii="宋体" w:hAnsi="宋体" w:eastAsia="宋体"/>
          <w:color w:val="auto"/>
          <w:highlight w:val="none"/>
          <w:u w:val="single"/>
        </w:rPr>
        <w:t>项目名称</w:t>
      </w:r>
      <w:r>
        <w:rPr>
          <w:rStyle w:val="86"/>
          <w:rFonts w:ascii="宋体" w:hAnsi="宋体" w:eastAsia="宋体"/>
          <w:color w:val="auto"/>
          <w:highlight w:val="none"/>
          <w:u w:val="single"/>
        </w:rPr>
        <w:t>)</w:t>
      </w:r>
      <w:r>
        <w:rPr>
          <w:rStyle w:val="86"/>
          <w:rFonts w:hint="eastAsia" w:ascii="宋体" w:hAnsi="宋体" w:eastAsia="宋体"/>
          <w:color w:val="auto"/>
          <w:highlight w:val="none"/>
        </w:rPr>
        <w:t>，己接受</w:t>
      </w:r>
      <w:r>
        <w:rPr>
          <w:rStyle w:val="86"/>
          <w:rFonts w:ascii="宋体" w:hAnsi="宋体" w:eastAsia="宋体"/>
          <w:color w:val="auto"/>
          <w:highlight w:val="none"/>
          <w:u w:val="single"/>
        </w:rPr>
        <w:t>(</w:t>
      </w:r>
      <w:r>
        <w:rPr>
          <w:rStyle w:val="86"/>
          <w:rFonts w:hint="eastAsia" w:ascii="宋体" w:hAnsi="宋体" w:eastAsia="宋体"/>
          <w:color w:val="auto"/>
          <w:highlight w:val="none"/>
          <w:u w:val="single"/>
        </w:rPr>
        <w:t>承包人名称，以下简称“承包人”）</w:t>
      </w:r>
      <w:r>
        <w:rPr>
          <w:rStyle w:val="86"/>
          <w:rFonts w:hint="eastAsia" w:ascii="宋体" w:hAnsi="宋体" w:eastAsia="宋体"/>
          <w:color w:val="auto"/>
          <w:highlight w:val="none"/>
        </w:rPr>
        <w:t>对该项目</w:t>
      </w:r>
      <w:r>
        <w:rPr>
          <w:rStyle w:val="86"/>
          <w:rFonts w:hint="eastAsia" w:ascii="宋体" w:hAnsi="宋体" w:eastAsia="宋体"/>
          <w:color w:val="auto"/>
          <w:highlight w:val="none"/>
          <w:u w:val="single"/>
          <w:lang w:val="en-US"/>
        </w:rPr>
        <w:t xml:space="preserve">   </w:t>
      </w:r>
      <w:r>
        <w:rPr>
          <w:rStyle w:val="86"/>
          <w:rFonts w:hint="eastAsia" w:ascii="宋体" w:hAnsi="宋体" w:eastAsia="宋体"/>
          <w:color w:val="auto"/>
          <w:highlight w:val="none"/>
          <w:u w:val="single"/>
        </w:rPr>
        <w:t>标段</w:t>
      </w:r>
      <w:r>
        <w:rPr>
          <w:rStyle w:val="86"/>
          <w:rFonts w:hint="eastAsia" w:ascii="宋体" w:hAnsi="宋体" w:eastAsia="宋体"/>
          <w:color w:val="auto"/>
          <w:highlight w:val="none"/>
        </w:rPr>
        <w:t>施工的竞标。发包人和承包人共同达成如下协议。</w:t>
      </w:r>
    </w:p>
    <w:p w14:paraId="07ED4FFE">
      <w:pPr>
        <w:pStyle w:val="81"/>
        <w:keepNext w:val="0"/>
        <w:keepLines w:val="0"/>
        <w:pageBreakBefore w:val="0"/>
        <w:widowControl w:val="0"/>
        <w:shd w:val="clear" w:color="auto" w:fill="auto"/>
        <w:tabs>
          <w:tab w:val="left" w:pos="1074"/>
        </w:tabs>
        <w:kinsoku/>
        <w:wordWrap w:val="0"/>
        <w:overflowPunct/>
        <w:topLinePunct w:val="0"/>
        <w:autoSpaceDE/>
        <w:autoSpaceDN/>
        <w:bidi w:val="0"/>
        <w:adjustRightInd/>
        <w:snapToGrid/>
        <w:spacing w:before="0" w:line="360" w:lineRule="auto"/>
        <w:jc w:val="both"/>
        <w:textAlignment w:val="auto"/>
        <w:rPr>
          <w:rFonts w:ascii="宋体" w:hAnsi="宋体" w:eastAsia="宋体" w:cs="宋体"/>
          <w:color w:val="auto"/>
          <w:spacing w:val="0"/>
          <w:sz w:val="21"/>
          <w:szCs w:val="21"/>
          <w:highlight w:val="none"/>
          <w:u w:val="single"/>
        </w:rPr>
      </w:pPr>
      <w:r>
        <w:rPr>
          <w:rStyle w:val="86"/>
          <w:rFonts w:hint="eastAsia" w:ascii="宋体" w:hAnsi="宋体" w:eastAsia="宋体" w:cs="宋体"/>
          <w:color w:val="auto"/>
          <w:sz w:val="21"/>
          <w:szCs w:val="21"/>
          <w:highlight w:val="none"/>
        </w:rPr>
        <w:t>1.</w:t>
      </w:r>
      <w:r>
        <w:rPr>
          <w:rStyle w:val="86"/>
          <w:rFonts w:hint="eastAsia" w:ascii="宋体" w:hAnsi="宋体" w:eastAsia="宋体"/>
          <w:color w:val="auto"/>
          <w:highlight w:val="none"/>
        </w:rPr>
        <w:t>建设内容：</w:t>
      </w:r>
      <w:r>
        <w:rPr>
          <w:rStyle w:val="86"/>
          <w:rFonts w:hint="eastAsia" w:ascii="宋体" w:hAnsi="宋体" w:eastAsia="宋体"/>
          <w:color w:val="auto"/>
          <w:highlight w:val="none"/>
          <w:u w:val="single"/>
          <w:lang w:val="en-US"/>
        </w:rPr>
        <w:t xml:space="preserve">                              </w:t>
      </w:r>
    </w:p>
    <w:p w14:paraId="5764BA84">
      <w:pPr>
        <w:pStyle w:val="81"/>
        <w:keepNext w:val="0"/>
        <w:keepLines w:val="0"/>
        <w:pageBreakBefore w:val="0"/>
        <w:widowControl w:val="0"/>
        <w:shd w:val="clear" w:color="auto" w:fill="auto"/>
        <w:tabs>
          <w:tab w:val="left" w:pos="1098"/>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2.下列文件应视为构成合同文件的组成部分：</w:t>
      </w:r>
    </w:p>
    <w:p w14:paraId="16802BCE">
      <w:pPr>
        <w:pStyle w:val="81"/>
        <w:keepNext w:val="0"/>
        <w:keepLines w:val="0"/>
        <w:pageBreakBefore w:val="0"/>
        <w:widowControl w:val="0"/>
        <w:shd w:val="clear" w:color="auto" w:fill="auto"/>
        <w:tabs>
          <w:tab w:val="left" w:pos="1373"/>
        </w:tabs>
        <w:kinsoku/>
        <w:overflowPunct/>
        <w:topLinePunct w:val="0"/>
        <w:autoSpaceDE/>
        <w:autoSpaceDN/>
        <w:bidi w:val="0"/>
        <w:adjustRightInd/>
        <w:snapToGrid/>
        <w:spacing w:before="0" w:line="360" w:lineRule="auto"/>
        <w:jc w:val="left"/>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（1）本协议书及各种合同附件（含评标期间和合同谈判过程中的澄清文件和补充资料）；</w:t>
      </w:r>
    </w:p>
    <w:p w14:paraId="2EF2F06D">
      <w:pPr>
        <w:pStyle w:val="81"/>
        <w:keepNext w:val="0"/>
        <w:keepLines w:val="0"/>
        <w:pageBreakBefore w:val="0"/>
        <w:widowControl w:val="0"/>
        <w:shd w:val="clear" w:color="auto" w:fill="auto"/>
        <w:tabs>
          <w:tab w:val="left" w:pos="1389"/>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（2）成交通知书；</w:t>
      </w:r>
    </w:p>
    <w:p w14:paraId="247200B9">
      <w:pPr>
        <w:pStyle w:val="81"/>
        <w:keepNext w:val="0"/>
        <w:keepLines w:val="0"/>
        <w:pageBreakBefore w:val="0"/>
        <w:widowControl w:val="0"/>
        <w:shd w:val="clear" w:color="auto" w:fill="auto"/>
        <w:tabs>
          <w:tab w:val="left" w:pos="1389"/>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（3）投标函及投标函附录（如有）；</w:t>
      </w:r>
    </w:p>
    <w:p w14:paraId="2A06EEEF">
      <w:pPr>
        <w:pStyle w:val="81"/>
        <w:keepNext w:val="0"/>
        <w:keepLines w:val="0"/>
        <w:pageBreakBefore w:val="0"/>
        <w:widowControl w:val="0"/>
        <w:shd w:val="clear" w:color="auto" w:fill="auto"/>
        <w:tabs>
          <w:tab w:val="left" w:pos="1389"/>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（4）项目专用合同条款；</w:t>
      </w:r>
    </w:p>
    <w:p w14:paraId="0177A2BD">
      <w:pPr>
        <w:pStyle w:val="81"/>
        <w:keepNext w:val="0"/>
        <w:keepLines w:val="0"/>
        <w:pageBreakBefore w:val="0"/>
        <w:widowControl w:val="0"/>
        <w:shd w:val="clear" w:color="auto" w:fill="auto"/>
        <w:tabs>
          <w:tab w:val="left" w:pos="1389"/>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（5）公路工程专用合同条款；</w:t>
      </w:r>
    </w:p>
    <w:p w14:paraId="2AC3E532">
      <w:pPr>
        <w:pStyle w:val="81"/>
        <w:keepNext w:val="0"/>
        <w:keepLines w:val="0"/>
        <w:pageBreakBefore w:val="0"/>
        <w:widowControl w:val="0"/>
        <w:shd w:val="clear" w:color="auto" w:fill="auto"/>
        <w:tabs>
          <w:tab w:val="left" w:pos="1389"/>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（6）通用合同条款；</w:t>
      </w:r>
    </w:p>
    <w:p w14:paraId="643BBF95">
      <w:pPr>
        <w:pStyle w:val="81"/>
        <w:keepNext w:val="0"/>
        <w:keepLines w:val="0"/>
        <w:pageBreakBefore w:val="0"/>
        <w:widowControl w:val="0"/>
        <w:shd w:val="clear" w:color="auto" w:fill="auto"/>
        <w:tabs>
          <w:tab w:val="left" w:pos="1389"/>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（7）工程量清单计量规则；</w:t>
      </w:r>
    </w:p>
    <w:p w14:paraId="1398BBE5">
      <w:pPr>
        <w:pStyle w:val="81"/>
        <w:keepNext w:val="0"/>
        <w:keepLines w:val="0"/>
        <w:pageBreakBefore w:val="0"/>
        <w:widowControl w:val="0"/>
        <w:shd w:val="clear" w:color="auto" w:fill="auto"/>
        <w:tabs>
          <w:tab w:val="left" w:pos="1389"/>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（8）技术规范；</w:t>
      </w:r>
    </w:p>
    <w:p w14:paraId="169FB480">
      <w:pPr>
        <w:pStyle w:val="81"/>
        <w:keepNext w:val="0"/>
        <w:keepLines w:val="0"/>
        <w:pageBreakBefore w:val="0"/>
        <w:widowControl w:val="0"/>
        <w:shd w:val="clear" w:color="auto" w:fill="auto"/>
        <w:tabs>
          <w:tab w:val="left" w:pos="1389"/>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（9）图纸；</w:t>
      </w:r>
    </w:p>
    <w:p w14:paraId="4F9B09AC">
      <w:pPr>
        <w:pStyle w:val="81"/>
        <w:keepNext w:val="0"/>
        <w:keepLines w:val="0"/>
        <w:pageBreakBefore w:val="0"/>
        <w:widowControl w:val="0"/>
        <w:shd w:val="clear" w:color="auto" w:fill="auto"/>
        <w:tabs>
          <w:tab w:val="left" w:pos="1506"/>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（10）己标价工程量清单；</w:t>
      </w:r>
    </w:p>
    <w:p w14:paraId="082D2A4C">
      <w:pPr>
        <w:pStyle w:val="81"/>
        <w:keepNext w:val="0"/>
        <w:keepLines w:val="0"/>
        <w:pageBreakBefore w:val="0"/>
        <w:widowControl w:val="0"/>
        <w:shd w:val="clear" w:color="auto" w:fill="auto"/>
        <w:tabs>
          <w:tab w:val="left" w:pos="1506"/>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（11）承包人有关人员、设备投入的承诺及响应文件中的施工组织设计；</w:t>
      </w:r>
    </w:p>
    <w:p w14:paraId="29361CFC">
      <w:pPr>
        <w:pStyle w:val="81"/>
        <w:keepNext w:val="0"/>
        <w:keepLines w:val="0"/>
        <w:pageBreakBefore w:val="0"/>
        <w:widowControl w:val="0"/>
        <w:shd w:val="clear" w:color="auto" w:fill="auto"/>
        <w:tabs>
          <w:tab w:val="left" w:pos="1506"/>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（12）其他合同文件。</w:t>
      </w:r>
    </w:p>
    <w:p w14:paraId="609F5C33">
      <w:pPr>
        <w:pStyle w:val="81"/>
        <w:keepNext w:val="0"/>
        <w:keepLines w:val="0"/>
        <w:pageBreakBefore w:val="0"/>
        <w:widowControl w:val="0"/>
        <w:shd w:val="clear" w:color="auto" w:fill="auto"/>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上述合同文件互相补充和解释。如果合同文件之间存在矛盾或不一致之处，</w:t>
      </w:r>
    </w:p>
    <w:p w14:paraId="0CD5C70C">
      <w:pPr>
        <w:pStyle w:val="81"/>
        <w:keepNext w:val="0"/>
        <w:keepLines w:val="0"/>
        <w:pageBreakBefore w:val="0"/>
        <w:widowControl w:val="0"/>
        <w:shd w:val="clear" w:color="auto" w:fill="auto"/>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以上述文件的排列顺序在先者为准。</w:t>
      </w:r>
    </w:p>
    <w:p w14:paraId="2D4E9FC1">
      <w:pPr>
        <w:pStyle w:val="81"/>
        <w:keepNext w:val="0"/>
        <w:keepLines w:val="0"/>
        <w:pageBreakBefore w:val="0"/>
        <w:widowControl w:val="0"/>
        <w:tabs>
          <w:tab w:val="left" w:pos="1098"/>
        </w:tabs>
        <w:kinsoku/>
        <w:overflowPunct/>
        <w:topLinePunct w:val="0"/>
        <w:autoSpaceDE/>
        <w:autoSpaceDN/>
        <w:bidi w:val="0"/>
        <w:adjustRightInd/>
        <w:snapToGrid/>
        <w:spacing w:before="0" w:line="360" w:lineRule="auto"/>
        <w:jc w:val="both"/>
        <w:textAlignment w:val="auto"/>
        <w:rPr>
          <w:rStyle w:val="86"/>
          <w:rFonts w:hint="eastAsia" w:ascii="宋体" w:hAnsi="宋体" w:eastAsia="宋体" w:cs="宋体"/>
          <w:color w:val="auto"/>
          <w:sz w:val="21"/>
          <w:szCs w:val="21"/>
          <w:highlight w:val="none"/>
          <w:u w:val="single"/>
        </w:rPr>
      </w:pPr>
      <w:r>
        <w:rPr>
          <w:rStyle w:val="86"/>
          <w:rFonts w:hint="eastAsia" w:ascii="宋体" w:hAnsi="宋体" w:eastAsia="宋体" w:cs="宋体"/>
          <w:color w:val="auto"/>
          <w:sz w:val="21"/>
          <w:szCs w:val="21"/>
          <w:highlight w:val="none"/>
        </w:rPr>
        <w:t>3．根据工程量清单所列的预计数量和单价或总额价计算的签约合同价：人民币（大写）</w:t>
      </w:r>
      <w:r>
        <w:rPr>
          <w:rStyle w:val="86"/>
          <w:rFonts w:hint="eastAsia" w:ascii="宋体" w:hAnsi="宋体" w:eastAsia="宋体" w:cs="宋体"/>
          <w:color w:val="auto"/>
          <w:sz w:val="21"/>
          <w:szCs w:val="21"/>
          <w:highlight w:val="none"/>
          <w:u w:val="single"/>
        </w:rPr>
        <w:t xml:space="preserve">  </w:t>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rPr>
        <w:t>元（¥</w:t>
      </w:r>
      <w:r>
        <w:rPr>
          <w:rStyle w:val="86"/>
          <w:rFonts w:hint="eastAsia" w:ascii="宋体" w:hAnsi="宋体" w:eastAsia="宋体" w:cs="宋体"/>
          <w:color w:val="auto"/>
          <w:sz w:val="21"/>
          <w:szCs w:val="21"/>
          <w:highlight w:val="none"/>
          <w:u w:val="single"/>
        </w:rPr>
        <w:t xml:space="preserve">               </w:t>
      </w:r>
      <w:r>
        <w:rPr>
          <w:rStyle w:val="86"/>
          <w:rFonts w:hint="eastAsia" w:ascii="宋体" w:hAnsi="宋体" w:eastAsia="宋体" w:cs="宋体"/>
          <w:color w:val="auto"/>
          <w:sz w:val="21"/>
          <w:szCs w:val="21"/>
          <w:highlight w:val="none"/>
          <w:u w:val="single"/>
        </w:rPr>
        <w:tab/>
      </w:r>
      <w:r>
        <w:rPr>
          <w:rStyle w:val="86"/>
          <w:rFonts w:hint="eastAsia" w:ascii="宋体" w:hAnsi="宋体" w:eastAsia="宋体" w:cs="宋体"/>
          <w:color w:val="auto"/>
          <w:sz w:val="21"/>
          <w:szCs w:val="21"/>
          <w:highlight w:val="none"/>
        </w:rPr>
        <w:t>）。</w:t>
      </w:r>
    </w:p>
    <w:p w14:paraId="661308CA">
      <w:pPr>
        <w:pStyle w:val="81"/>
        <w:keepNext w:val="0"/>
        <w:keepLines w:val="0"/>
        <w:pageBreakBefore w:val="0"/>
        <w:widowControl w:val="0"/>
        <w:tabs>
          <w:tab w:val="left" w:pos="1098"/>
        </w:tabs>
        <w:kinsoku/>
        <w:overflowPunct/>
        <w:topLinePunct w:val="0"/>
        <w:autoSpaceDE/>
        <w:autoSpaceDN/>
        <w:bidi w:val="0"/>
        <w:adjustRightInd/>
        <w:snapToGrid/>
        <w:spacing w:before="0" w:line="360" w:lineRule="auto"/>
        <w:jc w:val="both"/>
        <w:textAlignment w:val="auto"/>
        <w:rPr>
          <w:rStyle w:val="86"/>
          <w:rFonts w:hint="eastAsia" w:ascii="宋体" w:hAnsi="宋体" w:eastAsia="宋体" w:cs="宋体"/>
          <w:color w:val="auto"/>
          <w:sz w:val="21"/>
          <w:szCs w:val="21"/>
          <w:highlight w:val="none"/>
          <w:u w:val="single"/>
        </w:rPr>
      </w:pPr>
      <w:r>
        <w:rPr>
          <w:rStyle w:val="86"/>
          <w:rFonts w:hint="eastAsia" w:ascii="宋体" w:hAnsi="宋体" w:eastAsia="宋体" w:cs="宋体"/>
          <w:color w:val="auto"/>
          <w:sz w:val="21"/>
          <w:szCs w:val="21"/>
          <w:highlight w:val="none"/>
        </w:rPr>
        <w:t>4．承包人项目经理：</w:t>
      </w:r>
      <w:r>
        <w:rPr>
          <w:rStyle w:val="86"/>
          <w:rFonts w:hint="eastAsia" w:ascii="宋体" w:hAnsi="宋体" w:eastAsia="宋体" w:cs="宋体"/>
          <w:color w:val="auto"/>
          <w:sz w:val="21"/>
          <w:szCs w:val="21"/>
          <w:highlight w:val="none"/>
          <w:u w:val="single"/>
        </w:rPr>
        <w:t xml:space="preserve">               </w:t>
      </w:r>
      <w:r>
        <w:rPr>
          <w:rStyle w:val="86"/>
          <w:rFonts w:hint="eastAsia" w:ascii="宋体" w:hAnsi="宋体" w:eastAsia="宋体" w:cs="宋体"/>
          <w:color w:val="auto"/>
          <w:sz w:val="21"/>
          <w:szCs w:val="21"/>
          <w:highlight w:val="none"/>
        </w:rPr>
        <w:t>。承包人项目总工：</w:t>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u w:val="single"/>
        </w:rPr>
        <w:tab/>
      </w:r>
      <w:r>
        <w:rPr>
          <w:rStyle w:val="86"/>
          <w:rFonts w:hint="eastAsia" w:ascii="宋体" w:hAnsi="宋体" w:eastAsia="宋体" w:cs="宋体"/>
          <w:color w:val="auto"/>
          <w:sz w:val="21"/>
          <w:szCs w:val="21"/>
          <w:highlight w:val="none"/>
        </w:rPr>
        <w:t>。</w:t>
      </w:r>
    </w:p>
    <w:p w14:paraId="6CC3C8DD">
      <w:pPr>
        <w:pStyle w:val="81"/>
        <w:keepNext w:val="0"/>
        <w:keepLines w:val="0"/>
        <w:pageBreakBefore w:val="0"/>
        <w:widowControl w:val="0"/>
        <w:shd w:val="clear" w:color="auto" w:fill="auto"/>
        <w:tabs>
          <w:tab w:val="left" w:pos="1098"/>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5．工程质量符合</w:t>
      </w:r>
      <w:r>
        <w:rPr>
          <w:rStyle w:val="86"/>
          <w:rFonts w:hint="eastAsia" w:ascii="宋体" w:hAnsi="宋体" w:eastAsia="宋体" w:cs="宋体"/>
          <w:color w:val="auto"/>
          <w:sz w:val="21"/>
          <w:szCs w:val="21"/>
          <w:highlight w:val="none"/>
          <w:u w:val="single"/>
        </w:rPr>
        <w:tab/>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rPr>
        <w:t>标准。工程安全目标：</w:t>
      </w:r>
      <w:r>
        <w:rPr>
          <w:rStyle w:val="86"/>
          <w:rFonts w:hint="eastAsia" w:ascii="宋体" w:hAnsi="宋体" w:eastAsia="宋体" w:cs="宋体"/>
          <w:color w:val="auto"/>
          <w:sz w:val="21"/>
          <w:szCs w:val="21"/>
          <w:highlight w:val="none"/>
          <w:u w:val="single"/>
        </w:rPr>
        <w:tab/>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rPr>
        <w:t>。</w:t>
      </w:r>
    </w:p>
    <w:p w14:paraId="37F2A301">
      <w:pPr>
        <w:pStyle w:val="81"/>
        <w:keepNext w:val="0"/>
        <w:keepLines w:val="0"/>
        <w:pageBreakBefore w:val="0"/>
        <w:widowControl w:val="0"/>
        <w:shd w:val="clear" w:color="auto" w:fill="auto"/>
        <w:tabs>
          <w:tab w:val="left" w:pos="1101"/>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6．承包人承诺按合同约定承担工程的实施、完成及缺陷修复。</w:t>
      </w:r>
    </w:p>
    <w:p w14:paraId="286122EB">
      <w:pPr>
        <w:pStyle w:val="81"/>
        <w:keepNext w:val="0"/>
        <w:keepLines w:val="0"/>
        <w:pageBreakBefore w:val="0"/>
        <w:widowControl w:val="0"/>
        <w:shd w:val="clear" w:color="auto" w:fill="auto"/>
        <w:tabs>
          <w:tab w:val="left" w:pos="1101"/>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7．发包人承诺按合同约定的条件、时间和方式向承包人支付合同价款。</w:t>
      </w:r>
    </w:p>
    <w:p w14:paraId="21FB5AA6">
      <w:pPr>
        <w:pStyle w:val="81"/>
        <w:keepNext w:val="0"/>
        <w:keepLines w:val="0"/>
        <w:pageBreakBefore w:val="0"/>
        <w:widowControl w:val="0"/>
        <w:shd w:val="clear" w:color="auto" w:fill="auto"/>
        <w:tabs>
          <w:tab w:val="left" w:pos="1109"/>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8．承包人应按照发包人指示开工，工期为</w:t>
      </w:r>
      <w:r>
        <w:rPr>
          <w:rStyle w:val="86"/>
          <w:rFonts w:hint="eastAsia" w:ascii="宋体" w:hAnsi="宋体" w:eastAsia="宋体" w:cs="宋体"/>
          <w:color w:val="auto"/>
          <w:sz w:val="21"/>
          <w:szCs w:val="21"/>
          <w:highlight w:val="none"/>
          <w:u w:val="single"/>
        </w:rPr>
        <w:t xml:space="preserve">   </w:t>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rPr>
        <w:t>日历天。</w:t>
      </w:r>
    </w:p>
    <w:p w14:paraId="12389DD5">
      <w:pPr>
        <w:pStyle w:val="81"/>
        <w:keepNext w:val="0"/>
        <w:keepLines w:val="0"/>
        <w:pageBreakBefore w:val="0"/>
        <w:widowControl w:val="0"/>
        <w:shd w:val="clear" w:color="auto" w:fill="auto"/>
        <w:tabs>
          <w:tab w:val="left" w:pos="1043"/>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9．本协议书由双方法定代表人或其委托代理人签署并加盖单位章后生效。全部工程完工后经交工验收合格、缺陷责任期满签发缺 陷责任终止证书后失效。</w:t>
      </w:r>
    </w:p>
    <w:p w14:paraId="42119C80">
      <w:pPr>
        <w:pStyle w:val="81"/>
        <w:keepNext w:val="0"/>
        <w:keepLines w:val="0"/>
        <w:pageBreakBefore w:val="0"/>
        <w:widowControl w:val="0"/>
        <w:shd w:val="clear" w:color="auto" w:fill="auto"/>
        <w:tabs>
          <w:tab w:val="left" w:leader="underscore" w:pos="4168"/>
          <w:tab w:val="left" w:leader="underscore" w:pos="8283"/>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10．本协议书正本二份、副本</w:t>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rPr>
        <w:t>份，合同双方各执正本一份，副本</w:t>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rPr>
        <w:t>份，</w:t>
      </w:r>
    </w:p>
    <w:p w14:paraId="46CAFF7A">
      <w:pPr>
        <w:pStyle w:val="81"/>
        <w:keepNext w:val="0"/>
        <w:keepLines w:val="0"/>
        <w:pageBreakBefore w:val="0"/>
        <w:widowControl w:val="0"/>
        <w:shd w:val="clear" w:color="auto" w:fill="auto"/>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当正本与副本的内容不一致时，以正本为准。</w:t>
      </w:r>
    </w:p>
    <w:p w14:paraId="16638F0E">
      <w:pPr>
        <w:pStyle w:val="81"/>
        <w:keepNext w:val="0"/>
        <w:keepLines w:val="0"/>
        <w:pageBreakBefore w:val="0"/>
        <w:widowControl w:val="0"/>
        <w:numPr>
          <w:ilvl w:val="0"/>
          <w:numId w:val="44"/>
        </w:numPr>
        <w:shd w:val="clear" w:color="auto" w:fill="auto"/>
        <w:tabs>
          <w:tab w:val="left" w:pos="1214"/>
        </w:tabs>
        <w:kinsoku/>
        <w:overflowPunct/>
        <w:topLinePunct w:val="0"/>
        <w:autoSpaceDE/>
        <w:autoSpaceDN/>
        <w:bidi w:val="0"/>
        <w:adjustRightInd/>
        <w:snapToGrid/>
        <w:spacing w:before="0" w:line="360" w:lineRule="auto"/>
        <w:jc w:val="both"/>
        <w:textAlignment w:val="auto"/>
        <w:rPr>
          <w:rStyle w:val="86"/>
          <w:rFonts w:hint="eastAsia" w:ascii="宋体" w:hAnsi="宋体" w:eastAsia="宋体" w:cs="宋体"/>
          <w:color w:val="auto"/>
          <w:sz w:val="21"/>
          <w:szCs w:val="21"/>
          <w:highlight w:val="none"/>
        </w:rPr>
      </w:pPr>
      <w:r>
        <w:rPr>
          <w:rStyle w:val="86"/>
          <w:rFonts w:hint="eastAsia" w:ascii="宋体" w:hAnsi="宋体" w:eastAsia="宋体" w:cs="宋体"/>
          <w:color w:val="auto"/>
          <w:sz w:val="21"/>
          <w:szCs w:val="21"/>
          <w:highlight w:val="none"/>
        </w:rPr>
        <w:t>合同未尽事宜，双方另行签订补充协议。补充协议是合同的组成部分。</w:t>
      </w:r>
    </w:p>
    <w:p w14:paraId="074F939B">
      <w:pPr>
        <w:pStyle w:val="81"/>
        <w:shd w:val="clear" w:color="auto" w:fill="auto"/>
        <w:tabs>
          <w:tab w:val="left" w:pos="1214"/>
        </w:tabs>
        <w:spacing w:before="0" w:line="340" w:lineRule="exact"/>
        <w:jc w:val="both"/>
        <w:textAlignment w:val="auto"/>
        <w:rPr>
          <w:rStyle w:val="86"/>
          <w:rFonts w:hint="eastAsia" w:ascii="宋体" w:hAnsi="宋体" w:eastAsia="宋体" w:cs="宋体"/>
          <w:color w:val="auto"/>
          <w:sz w:val="21"/>
          <w:szCs w:val="21"/>
          <w:highlight w:val="none"/>
        </w:rPr>
      </w:pPr>
    </w:p>
    <w:p w14:paraId="02A2B758">
      <w:pPr>
        <w:pStyle w:val="81"/>
        <w:shd w:val="clear" w:color="auto" w:fill="auto"/>
        <w:tabs>
          <w:tab w:val="left" w:leader="underscore" w:pos="2742"/>
          <w:tab w:val="left" w:leader="underscore" w:pos="7397"/>
        </w:tabs>
        <w:spacing w:before="0" w:line="340" w:lineRule="exact"/>
        <w:jc w:val="both"/>
        <w:textAlignment w:val="auto"/>
        <w:rPr>
          <w:rStyle w:val="86"/>
          <w:rFonts w:hint="eastAsia" w:ascii="宋体" w:hAnsi="宋体" w:eastAsia="宋体" w:cs="宋体"/>
          <w:color w:val="auto"/>
          <w:sz w:val="21"/>
          <w:szCs w:val="21"/>
          <w:highlight w:val="none"/>
        </w:rPr>
      </w:pPr>
      <w:r>
        <w:rPr>
          <w:rStyle w:val="87"/>
          <w:rFonts w:hint="eastAsia" w:ascii="宋体" w:hAnsi="宋体" w:eastAsia="宋体" w:cs="宋体"/>
          <w:i w:val="0"/>
          <w:color w:val="auto"/>
          <w:spacing w:val="0"/>
          <w:sz w:val="21"/>
          <w:szCs w:val="21"/>
          <w:highlight w:val="none"/>
        </w:rPr>
        <w:t>发包人：</w:t>
      </w:r>
      <w:r>
        <w:rPr>
          <w:rStyle w:val="87"/>
          <w:rFonts w:hint="eastAsia" w:ascii="宋体" w:hAnsi="宋体" w:eastAsia="宋体" w:cs="宋体"/>
          <w:i w:val="0"/>
          <w:color w:val="auto"/>
          <w:spacing w:val="0"/>
          <w:sz w:val="21"/>
          <w:szCs w:val="21"/>
          <w:highlight w:val="none"/>
          <w:u w:val="single"/>
          <w:lang w:val="en-US"/>
        </w:rPr>
        <w:t xml:space="preserve">       </w:t>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u w:val="single"/>
        </w:rPr>
        <w:t xml:space="preserve"> </w:t>
      </w:r>
      <w:r>
        <w:rPr>
          <w:rStyle w:val="86"/>
          <w:rFonts w:hint="eastAsia" w:ascii="宋体" w:hAnsi="宋体" w:eastAsia="宋体" w:cs="宋体"/>
          <w:color w:val="auto"/>
          <w:sz w:val="21"/>
          <w:szCs w:val="21"/>
          <w:highlight w:val="none"/>
          <w:lang w:val="en-US"/>
        </w:rPr>
        <w:t xml:space="preserve">    </w:t>
      </w:r>
      <w:r>
        <w:rPr>
          <w:rStyle w:val="86"/>
          <w:rFonts w:hint="eastAsia" w:ascii="宋体" w:hAnsi="宋体" w:eastAsia="宋体" w:cs="宋体"/>
          <w:color w:val="auto"/>
          <w:sz w:val="21"/>
          <w:szCs w:val="21"/>
          <w:highlight w:val="none"/>
        </w:rPr>
        <w:t xml:space="preserve">   承包人：</w:t>
      </w:r>
      <w:r>
        <w:rPr>
          <w:rStyle w:val="87"/>
          <w:rFonts w:hint="eastAsia" w:ascii="宋体" w:hAnsi="宋体" w:eastAsia="宋体" w:cs="宋体"/>
          <w:i w:val="0"/>
          <w:color w:val="auto"/>
          <w:spacing w:val="0"/>
          <w:sz w:val="21"/>
          <w:szCs w:val="21"/>
          <w:highlight w:val="none"/>
          <w:u w:val="single"/>
          <w:lang w:val="en-US"/>
        </w:rPr>
        <w:t xml:space="preserve">       </w:t>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u w:val="single"/>
        </w:rPr>
        <w:t xml:space="preserve"> </w:t>
      </w:r>
      <w:r>
        <w:rPr>
          <w:rStyle w:val="86"/>
          <w:rFonts w:hint="eastAsia" w:ascii="宋体" w:hAnsi="宋体" w:eastAsia="宋体" w:cs="宋体"/>
          <w:color w:val="auto"/>
          <w:sz w:val="21"/>
          <w:szCs w:val="21"/>
          <w:highlight w:val="none"/>
          <w:lang w:val="en-US"/>
        </w:rPr>
        <w:t xml:space="preserve"> </w:t>
      </w:r>
      <w:r>
        <w:rPr>
          <w:rStyle w:val="86"/>
          <w:rFonts w:hint="eastAsia" w:ascii="宋体" w:hAnsi="宋体" w:eastAsia="宋体" w:cs="宋体"/>
          <w:color w:val="auto"/>
          <w:sz w:val="21"/>
          <w:szCs w:val="21"/>
          <w:highlight w:val="none"/>
        </w:rPr>
        <w:t xml:space="preserve"> </w:t>
      </w:r>
    </w:p>
    <w:p w14:paraId="5830F461">
      <w:pPr>
        <w:pStyle w:val="81"/>
        <w:shd w:val="clear" w:color="auto" w:fill="auto"/>
        <w:tabs>
          <w:tab w:val="left" w:leader="underscore" w:pos="2742"/>
          <w:tab w:val="left" w:leader="underscore" w:pos="7397"/>
        </w:tabs>
        <w:spacing w:before="0" w:line="340" w:lineRule="exact"/>
        <w:ind w:firstLine="1260" w:firstLineChars="600"/>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(盖单位章)</w:t>
      </w:r>
      <w:r>
        <w:rPr>
          <w:rStyle w:val="86"/>
          <w:rFonts w:hint="eastAsia" w:ascii="宋体" w:hAnsi="宋体" w:eastAsia="宋体" w:cs="宋体"/>
          <w:color w:val="auto"/>
          <w:sz w:val="21"/>
          <w:szCs w:val="21"/>
          <w:highlight w:val="none"/>
          <w:lang w:val="en-US"/>
        </w:rPr>
        <w:t xml:space="preserve">                                  </w:t>
      </w:r>
      <w:r>
        <w:rPr>
          <w:rStyle w:val="86"/>
          <w:rFonts w:hint="eastAsia" w:ascii="宋体" w:hAnsi="宋体" w:eastAsia="宋体" w:cs="宋体"/>
          <w:color w:val="auto"/>
          <w:sz w:val="21"/>
          <w:szCs w:val="21"/>
          <w:highlight w:val="none"/>
        </w:rPr>
        <w:t>(盖单位章)</w:t>
      </w:r>
    </w:p>
    <w:p w14:paraId="000388C9">
      <w:pPr>
        <w:pStyle w:val="81"/>
        <w:shd w:val="clear" w:color="auto" w:fill="auto"/>
        <w:tabs>
          <w:tab w:val="left" w:leader="underscore" w:pos="2742"/>
          <w:tab w:val="left" w:leader="underscore" w:pos="7397"/>
        </w:tabs>
        <w:spacing w:before="0" w:line="340" w:lineRule="exact"/>
        <w:jc w:val="both"/>
        <w:textAlignment w:val="auto"/>
        <w:rPr>
          <w:rStyle w:val="86"/>
          <w:rFonts w:hint="eastAsia" w:ascii="宋体" w:hAnsi="宋体" w:eastAsia="宋体" w:cs="宋体"/>
          <w:color w:val="auto"/>
          <w:sz w:val="21"/>
          <w:szCs w:val="21"/>
          <w:highlight w:val="none"/>
        </w:rPr>
      </w:pPr>
    </w:p>
    <w:p w14:paraId="29FE4BF0">
      <w:pPr>
        <w:adjustRightInd/>
        <w:spacing w:line="340" w:lineRule="exact"/>
        <w:ind w:left="1688" w:leftChars="4" w:hanging="1680" w:hangingChars="800"/>
        <w:textAlignment w:val="auto"/>
        <w:rPr>
          <w:rStyle w:val="86"/>
          <w:rFonts w:ascii="宋体" w:hAnsi="宋体" w:eastAsia="宋体" w:cs="宋体"/>
          <w:color w:val="auto"/>
          <w:sz w:val="21"/>
          <w:szCs w:val="21"/>
          <w:highlight w:val="none"/>
          <w:u w:val="single"/>
        </w:rPr>
      </w:pPr>
      <w:r>
        <w:rPr>
          <w:rStyle w:val="86"/>
          <w:rFonts w:ascii="宋体" w:hAnsi="宋体" w:eastAsia="宋体" w:cs="宋体"/>
          <w:color w:val="auto"/>
          <w:sz w:val="21"/>
          <w:szCs w:val="21"/>
          <w:highlight w:val="none"/>
        </w:rPr>
        <w:t>法定代表人或其委托代理人：</w:t>
      </w:r>
      <w:r>
        <w:rPr>
          <w:rStyle w:val="86"/>
          <w:rFonts w:hint="eastAsia" w:ascii="宋体" w:hAnsi="宋体" w:eastAsia="宋体" w:cs="宋体"/>
          <w:color w:val="auto"/>
          <w:sz w:val="21"/>
          <w:szCs w:val="21"/>
          <w:highlight w:val="none"/>
          <w:u w:val="single"/>
          <w:lang w:val="en-US"/>
        </w:rPr>
        <w:t xml:space="preserve">             </w:t>
      </w:r>
      <w:r>
        <w:rPr>
          <w:rStyle w:val="86"/>
          <w:rFonts w:ascii="宋体" w:hAnsi="宋体" w:eastAsia="宋体" w:cs="宋体"/>
          <w:color w:val="auto"/>
          <w:sz w:val="21"/>
          <w:szCs w:val="21"/>
          <w:highlight w:val="none"/>
        </w:rPr>
        <w:t xml:space="preserve">   法定代表人或其委托代理人：</w:t>
      </w:r>
      <w:r>
        <w:rPr>
          <w:rStyle w:val="86"/>
          <w:rFonts w:hint="eastAsia" w:ascii="宋体" w:hAnsi="宋体" w:eastAsia="宋体" w:cs="宋体"/>
          <w:color w:val="auto"/>
          <w:sz w:val="21"/>
          <w:szCs w:val="21"/>
          <w:highlight w:val="none"/>
          <w:u w:val="single"/>
          <w:lang w:val="en-US"/>
        </w:rPr>
        <w:t xml:space="preserve">          </w:t>
      </w:r>
      <w:r>
        <w:rPr>
          <w:rStyle w:val="86"/>
          <w:rFonts w:ascii="宋体" w:hAnsi="宋体" w:eastAsia="宋体" w:cs="宋体"/>
          <w:color w:val="auto"/>
          <w:sz w:val="21"/>
          <w:szCs w:val="21"/>
          <w:highlight w:val="none"/>
          <w:u w:val="single"/>
        </w:rPr>
        <w:t xml:space="preserve"> </w:t>
      </w:r>
    </w:p>
    <w:p w14:paraId="39B7D132">
      <w:pPr>
        <w:adjustRightInd/>
        <w:spacing w:line="340" w:lineRule="exact"/>
        <w:ind w:left="1682" w:leftChars="501" w:hanging="630" w:hangingChars="300"/>
        <w:textAlignment w:val="auto"/>
        <w:rPr>
          <w:rStyle w:val="86"/>
          <w:rFonts w:ascii="宋体" w:hAnsi="宋体" w:eastAsia="宋体" w:cs="宋体"/>
          <w:color w:val="auto"/>
          <w:sz w:val="21"/>
          <w:szCs w:val="21"/>
          <w:highlight w:val="none"/>
        </w:rPr>
      </w:pPr>
      <w:r>
        <w:rPr>
          <w:rStyle w:val="86"/>
          <w:rFonts w:ascii="宋体" w:hAnsi="宋体" w:eastAsia="宋体" w:cs="宋体"/>
          <w:color w:val="auto"/>
          <w:sz w:val="21"/>
          <w:szCs w:val="21"/>
          <w:highlight w:val="none"/>
        </w:rPr>
        <w:t xml:space="preserve">(签字) </w:t>
      </w:r>
      <w:r>
        <w:rPr>
          <w:rStyle w:val="86"/>
          <w:rFonts w:ascii="宋体" w:hAnsi="宋体" w:eastAsia="宋体" w:cs="宋体"/>
          <w:color w:val="auto"/>
          <w:sz w:val="21"/>
          <w:szCs w:val="21"/>
          <w:highlight w:val="none"/>
        </w:rPr>
        <w:tab/>
      </w:r>
      <w:r>
        <w:rPr>
          <w:rStyle w:val="86"/>
          <w:rFonts w:ascii="宋体" w:hAnsi="宋体" w:eastAsia="宋体" w:cs="宋体"/>
          <w:color w:val="auto"/>
          <w:sz w:val="21"/>
          <w:szCs w:val="21"/>
          <w:highlight w:val="none"/>
        </w:rPr>
        <w:t xml:space="preserve">            </w:t>
      </w:r>
      <w:r>
        <w:rPr>
          <w:rStyle w:val="86"/>
          <w:rFonts w:hint="eastAsia" w:ascii="宋体" w:hAnsi="宋体" w:eastAsia="宋体" w:cs="宋体"/>
          <w:color w:val="auto"/>
          <w:sz w:val="21"/>
          <w:szCs w:val="21"/>
          <w:highlight w:val="none"/>
          <w:lang w:val="en-US"/>
        </w:rPr>
        <w:t xml:space="preserve">            </w:t>
      </w:r>
      <w:r>
        <w:rPr>
          <w:rStyle w:val="86"/>
          <w:rFonts w:ascii="宋体" w:hAnsi="宋体" w:eastAsia="宋体" w:cs="宋体"/>
          <w:color w:val="auto"/>
          <w:sz w:val="21"/>
          <w:szCs w:val="21"/>
          <w:highlight w:val="none"/>
        </w:rPr>
        <w:t xml:space="preserve"> </w:t>
      </w:r>
      <w:r>
        <w:rPr>
          <w:rStyle w:val="86"/>
          <w:rFonts w:hint="eastAsia" w:ascii="宋体" w:hAnsi="宋体" w:eastAsia="宋体" w:cs="宋体"/>
          <w:color w:val="auto"/>
          <w:sz w:val="21"/>
          <w:szCs w:val="21"/>
          <w:highlight w:val="none"/>
          <w:lang w:val="en-US"/>
        </w:rPr>
        <w:t xml:space="preserve">        </w:t>
      </w:r>
      <w:r>
        <w:rPr>
          <w:rStyle w:val="86"/>
          <w:rFonts w:ascii="宋体" w:hAnsi="宋体" w:eastAsia="宋体" w:cs="宋体"/>
          <w:color w:val="auto"/>
          <w:sz w:val="21"/>
          <w:szCs w:val="21"/>
          <w:highlight w:val="none"/>
        </w:rPr>
        <w:t xml:space="preserve"> (签字）</w:t>
      </w:r>
    </w:p>
    <w:p w14:paraId="4387EEF0">
      <w:pPr>
        <w:adjustRightInd/>
        <w:spacing w:line="340" w:lineRule="exact"/>
        <w:ind w:left="1688" w:leftChars="4" w:hanging="1680" w:hangingChars="800"/>
        <w:textAlignment w:val="auto"/>
        <w:rPr>
          <w:rStyle w:val="86"/>
          <w:rFonts w:ascii="宋体" w:hAnsi="宋体" w:eastAsia="宋体" w:cs="宋体"/>
          <w:color w:val="auto"/>
          <w:sz w:val="21"/>
          <w:szCs w:val="21"/>
          <w:highlight w:val="none"/>
          <w:lang w:val="en-US"/>
        </w:rPr>
      </w:pPr>
      <w:r>
        <w:rPr>
          <w:rStyle w:val="86"/>
          <w:rFonts w:hint="eastAsia" w:ascii="宋体" w:hAnsi="宋体" w:eastAsia="宋体" w:cs="宋体"/>
          <w:color w:val="auto"/>
          <w:sz w:val="21"/>
          <w:szCs w:val="21"/>
          <w:highlight w:val="none"/>
          <w:lang w:val="en-US"/>
        </w:rPr>
        <w:t xml:space="preserve">     </w:t>
      </w:r>
    </w:p>
    <w:p w14:paraId="7BF41257">
      <w:pPr>
        <w:adjustRightInd/>
        <w:spacing w:line="340" w:lineRule="exact"/>
        <w:ind w:left="1682" w:leftChars="501" w:hanging="630" w:hangingChars="300"/>
        <w:textAlignment w:val="auto"/>
        <w:rPr>
          <w:rStyle w:val="86"/>
          <w:rFonts w:ascii="宋体" w:hAnsi="宋体" w:eastAsia="宋体" w:cs="宋体"/>
          <w:color w:val="auto"/>
          <w:sz w:val="21"/>
          <w:szCs w:val="21"/>
          <w:highlight w:val="none"/>
        </w:rPr>
      </w:pPr>
      <w:r>
        <w:rPr>
          <w:rStyle w:val="86"/>
          <w:rFonts w:ascii="宋体" w:hAnsi="宋体" w:eastAsia="宋体" w:cs="宋体"/>
          <w:color w:val="auto"/>
          <w:sz w:val="21"/>
          <w:szCs w:val="21"/>
          <w:highlight w:val="none"/>
        </w:rPr>
        <w:t xml:space="preserve">年 </w:t>
      </w:r>
      <w:r>
        <w:rPr>
          <w:rStyle w:val="86"/>
          <w:rFonts w:hint="eastAsia" w:ascii="宋体" w:hAnsi="宋体" w:eastAsia="宋体" w:cs="宋体"/>
          <w:color w:val="auto"/>
          <w:sz w:val="21"/>
          <w:szCs w:val="21"/>
          <w:highlight w:val="none"/>
          <w:lang w:val="en-US"/>
        </w:rPr>
        <w:t xml:space="preserve"> </w:t>
      </w:r>
      <w:r>
        <w:rPr>
          <w:rStyle w:val="86"/>
          <w:rFonts w:ascii="宋体" w:hAnsi="宋体" w:eastAsia="宋体" w:cs="宋体"/>
          <w:color w:val="auto"/>
          <w:sz w:val="21"/>
          <w:szCs w:val="21"/>
          <w:highlight w:val="none"/>
        </w:rPr>
        <w:t xml:space="preserve">  月  </w:t>
      </w:r>
      <w:r>
        <w:rPr>
          <w:rStyle w:val="86"/>
          <w:rFonts w:hint="eastAsia" w:ascii="宋体" w:hAnsi="宋体" w:eastAsia="宋体" w:cs="宋体"/>
          <w:color w:val="auto"/>
          <w:sz w:val="21"/>
          <w:szCs w:val="21"/>
          <w:highlight w:val="none"/>
          <w:lang w:val="en-US"/>
        </w:rPr>
        <w:t xml:space="preserve">  </w:t>
      </w:r>
      <w:r>
        <w:rPr>
          <w:rStyle w:val="86"/>
          <w:rFonts w:ascii="宋体" w:hAnsi="宋体" w:eastAsia="宋体" w:cs="宋体"/>
          <w:color w:val="auto"/>
          <w:sz w:val="21"/>
          <w:szCs w:val="21"/>
          <w:highlight w:val="none"/>
        </w:rPr>
        <w:t>日</w:t>
      </w:r>
      <w:r>
        <w:rPr>
          <w:rStyle w:val="86"/>
          <w:rFonts w:ascii="宋体" w:hAnsi="宋体" w:eastAsia="宋体" w:cs="宋体"/>
          <w:color w:val="auto"/>
          <w:sz w:val="21"/>
          <w:szCs w:val="21"/>
          <w:highlight w:val="none"/>
        </w:rPr>
        <w:tab/>
      </w:r>
      <w:r>
        <w:rPr>
          <w:rStyle w:val="86"/>
          <w:rFonts w:ascii="宋体" w:hAnsi="宋体" w:eastAsia="宋体" w:cs="宋体"/>
          <w:color w:val="auto"/>
          <w:sz w:val="21"/>
          <w:szCs w:val="21"/>
          <w:highlight w:val="none"/>
        </w:rPr>
        <w:tab/>
      </w:r>
      <w:r>
        <w:rPr>
          <w:rStyle w:val="86"/>
          <w:rFonts w:ascii="宋体" w:hAnsi="宋体" w:eastAsia="宋体" w:cs="宋体"/>
          <w:color w:val="auto"/>
          <w:sz w:val="21"/>
          <w:szCs w:val="21"/>
          <w:highlight w:val="none"/>
        </w:rPr>
        <w:t xml:space="preserve">            </w:t>
      </w:r>
      <w:r>
        <w:rPr>
          <w:rStyle w:val="86"/>
          <w:rFonts w:hint="eastAsia" w:ascii="宋体" w:hAnsi="宋体" w:eastAsia="宋体" w:cs="宋体"/>
          <w:color w:val="auto"/>
          <w:sz w:val="21"/>
          <w:szCs w:val="21"/>
          <w:highlight w:val="none"/>
          <w:lang w:val="en-US"/>
        </w:rPr>
        <w:t xml:space="preserve"> </w:t>
      </w:r>
      <w:r>
        <w:rPr>
          <w:rStyle w:val="86"/>
          <w:rFonts w:ascii="宋体" w:hAnsi="宋体" w:eastAsia="宋体" w:cs="宋体"/>
          <w:color w:val="auto"/>
          <w:sz w:val="21"/>
          <w:szCs w:val="21"/>
          <w:highlight w:val="none"/>
        </w:rPr>
        <w:t xml:space="preserve">  </w:t>
      </w:r>
      <w:r>
        <w:rPr>
          <w:rStyle w:val="86"/>
          <w:rFonts w:hint="eastAsia" w:ascii="宋体" w:hAnsi="宋体" w:eastAsia="宋体" w:cs="宋体"/>
          <w:color w:val="auto"/>
          <w:sz w:val="21"/>
          <w:szCs w:val="21"/>
          <w:highlight w:val="none"/>
          <w:lang w:val="en-US"/>
        </w:rPr>
        <w:t xml:space="preserve"> </w:t>
      </w:r>
      <w:r>
        <w:rPr>
          <w:rStyle w:val="86"/>
          <w:rFonts w:ascii="宋体" w:hAnsi="宋体" w:eastAsia="宋体" w:cs="宋体"/>
          <w:color w:val="auto"/>
          <w:sz w:val="21"/>
          <w:szCs w:val="21"/>
          <w:highlight w:val="none"/>
        </w:rPr>
        <w:t xml:space="preserve">   年 </w:t>
      </w:r>
      <w:r>
        <w:rPr>
          <w:rStyle w:val="86"/>
          <w:rFonts w:hint="eastAsia" w:ascii="宋体" w:hAnsi="宋体" w:eastAsia="宋体" w:cs="宋体"/>
          <w:color w:val="auto"/>
          <w:sz w:val="21"/>
          <w:szCs w:val="21"/>
          <w:highlight w:val="none"/>
          <w:lang w:val="en-US"/>
        </w:rPr>
        <w:t xml:space="preserve">   </w:t>
      </w:r>
      <w:r>
        <w:rPr>
          <w:rStyle w:val="86"/>
          <w:rFonts w:ascii="宋体" w:hAnsi="宋体" w:eastAsia="宋体" w:cs="宋体"/>
          <w:color w:val="auto"/>
          <w:sz w:val="21"/>
          <w:szCs w:val="21"/>
          <w:highlight w:val="none"/>
        </w:rPr>
        <w:t>月</w:t>
      </w:r>
      <w:r>
        <w:rPr>
          <w:rStyle w:val="86"/>
          <w:rFonts w:hint="eastAsia" w:ascii="宋体" w:hAnsi="宋体" w:eastAsia="宋体" w:cs="宋体"/>
          <w:color w:val="auto"/>
          <w:sz w:val="21"/>
          <w:szCs w:val="21"/>
          <w:highlight w:val="none"/>
          <w:lang w:val="en-US"/>
        </w:rPr>
        <w:t xml:space="preserve">    </w:t>
      </w:r>
      <w:r>
        <w:rPr>
          <w:rStyle w:val="86"/>
          <w:rFonts w:ascii="宋体" w:hAnsi="宋体" w:eastAsia="宋体" w:cs="宋体"/>
          <w:color w:val="auto"/>
          <w:sz w:val="21"/>
          <w:szCs w:val="21"/>
          <w:highlight w:val="none"/>
        </w:rPr>
        <w:t>日</w:t>
      </w:r>
    </w:p>
    <w:p w14:paraId="06B5EA8E">
      <w:pPr>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br w:type="page"/>
      </w:r>
    </w:p>
    <w:p w14:paraId="3F5317FF">
      <w:pPr>
        <w:pageBreakBefore w:val="0"/>
        <w:kinsoku/>
        <w:wordWrap w:val="0"/>
        <w:overflowPunct/>
        <w:topLinePunct/>
        <w:autoSpaceDE/>
        <w:autoSpaceDN/>
        <w:bidi w:val="0"/>
        <w:rPr>
          <w:rFonts w:hint="eastAsia" w:ascii="宋体" w:hAnsi="宋体" w:eastAsia="宋体" w:cs="宋体"/>
          <w:color w:val="auto"/>
          <w:spacing w:val="0"/>
          <w:sz w:val="44"/>
          <w:szCs w:val="44"/>
          <w:highlight w:val="none"/>
        </w:rPr>
      </w:pPr>
      <w:r>
        <w:rPr>
          <w:rFonts w:hint="eastAsia" w:ascii="宋体" w:hAnsi="宋体" w:eastAsia="宋体" w:cs="宋体"/>
          <w:color w:val="auto"/>
          <w:spacing w:val="0"/>
          <w:sz w:val="28"/>
          <w:szCs w:val="28"/>
          <w:highlight w:val="none"/>
        </w:rPr>
        <w:t>附件</w:t>
      </w:r>
      <w:r>
        <w:rPr>
          <w:rFonts w:hint="eastAsia" w:ascii="宋体" w:hAnsi="宋体" w:cs="宋体"/>
          <w:color w:val="auto"/>
          <w:spacing w:val="0"/>
          <w:sz w:val="28"/>
          <w:szCs w:val="28"/>
          <w:highlight w:val="none"/>
          <w:lang w:eastAsia="zh-CN"/>
        </w:rPr>
        <w:t>二</w:t>
      </w:r>
      <w:r>
        <w:rPr>
          <w:rFonts w:hint="eastAsia" w:ascii="宋体" w:hAnsi="宋体" w:eastAsia="宋体" w:cs="宋体"/>
          <w:color w:val="auto"/>
          <w:spacing w:val="0"/>
          <w:sz w:val="44"/>
          <w:szCs w:val="44"/>
          <w:highlight w:val="none"/>
        </w:rPr>
        <w:t xml:space="preserve">  </w:t>
      </w:r>
      <w:bookmarkEnd w:id="116"/>
    </w:p>
    <w:p w14:paraId="2A12A3EB">
      <w:pPr>
        <w:pageBreakBefore w:val="0"/>
        <w:kinsoku/>
        <w:wordWrap w:val="0"/>
        <w:overflowPunct/>
        <w:topLinePunct/>
        <w:autoSpaceDE/>
        <w:autoSpaceDN/>
        <w:bidi w:val="0"/>
        <w:spacing w:after="386" w:line="360" w:lineRule="auto"/>
        <w:ind w:left="160" w:firstLine="420"/>
        <w:jc w:val="center"/>
        <w:rPr>
          <w:rFonts w:hint="eastAsia" w:ascii="宋体" w:hAnsi="宋体" w:eastAsia="宋体" w:cs="宋体"/>
          <w:b/>
          <w:bCs/>
          <w:color w:val="auto"/>
          <w:spacing w:val="0"/>
          <w:sz w:val="44"/>
          <w:szCs w:val="44"/>
          <w:highlight w:val="none"/>
        </w:rPr>
      </w:pPr>
      <w:r>
        <w:rPr>
          <w:rFonts w:hint="eastAsia" w:ascii="宋体" w:hAnsi="宋体" w:eastAsia="宋体" w:cs="宋体"/>
          <w:b/>
          <w:bCs/>
          <w:color w:val="auto"/>
          <w:spacing w:val="0"/>
          <w:sz w:val="44"/>
          <w:highlight w:val="none"/>
          <w:shd w:val="clear" w:color="auto" w:fill="FFFFFF"/>
          <w:lang w:val="zh-CN"/>
        </w:rPr>
        <w:t>廉政合同</w:t>
      </w:r>
    </w:p>
    <w:p w14:paraId="6E2F2A7B">
      <w:pPr>
        <w:pageBreakBefore w:val="0"/>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color w:val="auto"/>
          <w:spacing w:val="0"/>
          <w:highlight w:val="none"/>
          <w:shd w:val="clear" w:color="auto" w:fill="FFFFFF"/>
          <w:lang w:val="zh-CN" w:bidi="zh-CN"/>
        </w:rPr>
        <w:tab/>
      </w:r>
      <w:r>
        <w:rPr>
          <w:rFonts w:hint="eastAsia" w:ascii="宋体" w:hAnsi="宋体" w:eastAsia="宋体" w:cs="宋体"/>
          <w:color w:val="auto"/>
          <w:spacing w:val="0"/>
          <w:highlight w:val="none"/>
          <w:shd w:val="clear" w:color="auto" w:fill="FFFFFF"/>
          <w:lang w:val="zh-CN" w:bidi="zh-CN"/>
        </w:rPr>
        <w:t>（项目名称）的项目法人</w:t>
      </w:r>
      <w:r>
        <w:rPr>
          <w:rFonts w:hint="eastAsia" w:ascii="宋体" w:hAnsi="宋体" w:eastAsia="宋体" w:cs="宋体"/>
          <w:color w:val="auto"/>
          <w:spacing w:val="0"/>
          <w:highlight w:val="none"/>
          <w:shd w:val="clear" w:color="auto" w:fill="FFFFFF"/>
          <w:lang w:val="zh-CN" w:bidi="zh-CN"/>
        </w:rPr>
        <w:tab/>
      </w:r>
      <w:r>
        <w:rPr>
          <w:rFonts w:hint="eastAsia" w:ascii="宋体" w:hAnsi="宋体" w:eastAsia="宋体" w:cs="宋体"/>
          <w:color w:val="auto"/>
          <w:spacing w:val="0"/>
          <w:highlight w:val="none"/>
          <w:shd w:val="clear" w:color="auto" w:fill="FFFFFF"/>
          <w:lang w:val="zh-CN" w:bidi="zh-CN"/>
        </w:rPr>
        <w:t>（项目法人名称，以下简称“发包人”）与该项目</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highlight w:val="none"/>
          <w:shd w:val="clear" w:color="auto" w:fill="FFFFFF"/>
          <w:lang w:val="zh-CN" w:bidi="zh-CN"/>
        </w:rPr>
        <w:t>的施工单位</w:t>
      </w:r>
      <w:r>
        <w:rPr>
          <w:rFonts w:hint="eastAsia" w:ascii="宋体" w:hAnsi="宋体" w:eastAsia="宋体" w:cs="宋体"/>
          <w:b/>
          <w:color w:val="auto"/>
          <w:spacing w:val="0"/>
          <w:szCs w:val="21"/>
          <w:highlight w:val="none"/>
          <w:u w:val="single"/>
        </w:rPr>
        <w:t xml:space="preserve">         </w:t>
      </w:r>
      <w:r>
        <w:rPr>
          <w:rFonts w:hint="eastAsia" w:ascii="宋体" w:hAnsi="宋体" w:eastAsia="宋体" w:cs="宋体"/>
          <w:color w:val="auto"/>
          <w:spacing w:val="0"/>
          <w:highlight w:val="none"/>
          <w:shd w:val="clear" w:color="auto" w:fill="FFFFFF"/>
          <w:lang w:val="zh-CN" w:bidi="zh-CN"/>
        </w:rPr>
        <w:t>（施工单位名称，以下简称“承包人”），特订立如下合同。</w:t>
      </w:r>
    </w:p>
    <w:p w14:paraId="7DAC4D09">
      <w:pPr>
        <w:keepNext/>
        <w:keepLines/>
        <w:pageBreakBefore w:val="0"/>
        <w:tabs>
          <w:tab w:val="left" w:pos="1178"/>
        </w:tabs>
        <w:kinsoku/>
        <w:wordWrap w:val="0"/>
        <w:overflowPunct/>
        <w:topLinePunct/>
        <w:autoSpaceDE/>
        <w:autoSpaceDN/>
        <w:bidi w:val="0"/>
        <w:spacing w:line="360" w:lineRule="auto"/>
        <w:ind w:firstLine="420" w:firstLineChars="200"/>
        <w:outlineLvl w:val="7"/>
        <w:rPr>
          <w:rFonts w:hint="eastAsia" w:ascii="宋体" w:hAnsi="宋体" w:eastAsia="宋体" w:cs="宋体"/>
          <w:bCs/>
          <w:color w:val="auto"/>
          <w:spacing w:val="0"/>
          <w:szCs w:val="21"/>
          <w:highlight w:val="none"/>
        </w:rPr>
      </w:pPr>
      <w:r>
        <w:rPr>
          <w:rFonts w:hint="eastAsia" w:ascii="宋体" w:hAnsi="宋体" w:eastAsia="宋体" w:cs="宋体"/>
          <w:color w:val="auto"/>
          <w:spacing w:val="0"/>
          <w:highlight w:val="none"/>
          <w:lang w:bidi="zh-CN"/>
        </w:rPr>
        <w:t>1、</w:t>
      </w:r>
      <w:r>
        <w:rPr>
          <w:rFonts w:hint="eastAsia" w:ascii="宋体" w:hAnsi="宋体" w:eastAsia="宋体" w:cs="宋体"/>
          <w:color w:val="auto"/>
          <w:spacing w:val="0"/>
          <w:highlight w:val="none"/>
          <w:lang w:val="zh-CN" w:bidi="zh-CN"/>
        </w:rPr>
        <w:t>发包人和承包人双方的权利和义务</w:t>
      </w:r>
    </w:p>
    <w:p w14:paraId="6B74C48E">
      <w:pPr>
        <w:pageBreakBefore w:val="0"/>
        <w:tabs>
          <w:tab w:val="left" w:pos="1386"/>
        </w:tabs>
        <w:kinsoku/>
        <w:wordWrap w:val="0"/>
        <w:overflowPunct/>
        <w:topLinePunct/>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bidi="zh-CN"/>
        </w:rPr>
        <w:t>（1）</w:t>
      </w:r>
      <w:r>
        <w:rPr>
          <w:rFonts w:hint="eastAsia" w:ascii="宋体" w:hAnsi="宋体" w:eastAsia="宋体" w:cs="宋体"/>
          <w:color w:val="auto"/>
          <w:spacing w:val="0"/>
          <w:highlight w:val="none"/>
          <w:shd w:val="clear" w:color="auto" w:fill="FFFFFF"/>
          <w:lang w:val="zh-CN" w:bidi="zh-CN"/>
        </w:rPr>
        <w:t>严格遵守党的政策规定和国家有关法律法规及交通运输部的有关规定。</w:t>
      </w:r>
    </w:p>
    <w:p w14:paraId="7E6CE1FB">
      <w:pPr>
        <w:pageBreakBefore w:val="0"/>
        <w:tabs>
          <w:tab w:val="left" w:leader="underscore" w:pos="3406"/>
          <w:tab w:val="left" w:leader="underscore" w:pos="5420"/>
        </w:tabs>
        <w:kinsoku/>
        <w:wordWrap w:val="0"/>
        <w:overflowPunct/>
        <w:topLinePunct/>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bCs/>
          <w:color w:val="auto"/>
          <w:spacing w:val="0"/>
          <w:szCs w:val="21"/>
          <w:highlight w:val="none"/>
          <w:lang w:eastAsia="zh-CN"/>
        </w:rPr>
        <w:t>（</w:t>
      </w:r>
      <w:r>
        <w:rPr>
          <w:rFonts w:hint="eastAsia" w:ascii="宋体" w:hAnsi="宋体" w:eastAsia="宋体" w:cs="宋体"/>
          <w:bCs/>
          <w:color w:val="auto"/>
          <w:spacing w:val="0"/>
          <w:szCs w:val="21"/>
          <w:highlight w:val="none"/>
        </w:rPr>
        <w:t>2</w:t>
      </w:r>
      <w:r>
        <w:rPr>
          <w:rFonts w:hint="eastAsia" w:ascii="宋体" w:hAnsi="宋体" w:eastAsia="宋体" w:cs="宋体"/>
          <w:bCs/>
          <w:color w:val="auto"/>
          <w:spacing w:val="0"/>
          <w:szCs w:val="21"/>
          <w:highlight w:val="none"/>
          <w:lang w:eastAsia="zh-CN"/>
        </w:rPr>
        <w:t>）</w:t>
      </w:r>
      <w:r>
        <w:rPr>
          <w:rFonts w:hint="eastAsia" w:ascii="宋体" w:hAnsi="宋体" w:eastAsia="宋体" w:cs="宋体"/>
          <w:b/>
          <w:color w:val="auto"/>
          <w:spacing w:val="0"/>
          <w:szCs w:val="21"/>
          <w:highlight w:val="none"/>
          <w:u w:val="single"/>
        </w:rPr>
        <w:t xml:space="preserve">       </w:t>
      </w:r>
      <w:r>
        <w:rPr>
          <w:rFonts w:hint="eastAsia" w:ascii="宋体" w:hAnsi="宋体" w:eastAsia="宋体" w:cs="宋体"/>
          <w:color w:val="auto"/>
          <w:spacing w:val="0"/>
          <w:highlight w:val="none"/>
          <w:shd w:val="clear" w:color="auto" w:fill="FFFFFF"/>
          <w:lang w:val="zh-CN" w:bidi="zh-CN"/>
        </w:rPr>
        <w:t xml:space="preserve"> 严格执行</w:t>
      </w:r>
      <w:r>
        <w:rPr>
          <w:rFonts w:hint="eastAsia" w:ascii="宋体" w:hAnsi="宋体" w:eastAsia="宋体" w:cs="宋体"/>
          <w:b/>
          <w:bCs/>
          <w:color w:val="auto"/>
          <w:spacing w:val="0"/>
          <w:szCs w:val="21"/>
          <w:highlight w:val="none"/>
          <w:u w:val="single"/>
          <w:lang w:val="en-US" w:eastAsia="zh-CN"/>
        </w:rPr>
        <w:t xml:space="preserve">                     </w:t>
      </w:r>
      <w:r>
        <w:rPr>
          <w:rFonts w:hint="eastAsia" w:ascii="宋体" w:hAnsi="宋体" w:eastAsia="宋体" w:cs="宋体"/>
          <w:color w:val="auto"/>
          <w:spacing w:val="0"/>
          <w:highlight w:val="none"/>
          <w:shd w:val="clear" w:color="auto" w:fill="FFFFFF"/>
          <w:lang w:val="zh-CN" w:bidi="zh-CN"/>
        </w:rPr>
        <w:t>标段施工合同文件，自觉按合同办事。双方的业务活动坚持公开、公正、诚信、透明的原则（法律认定的商业秘密和合同文件另有规定除外），不得损害国家和集体利益，不得违反工程建设管理规章制度。</w:t>
      </w:r>
    </w:p>
    <w:p w14:paraId="4C402A6A">
      <w:pPr>
        <w:pageBreakBefore w:val="0"/>
        <w:tabs>
          <w:tab w:val="left" w:pos="1270"/>
        </w:tabs>
        <w:kinsoku/>
        <w:wordWrap w:val="0"/>
        <w:overflowPunct/>
        <w:topLinePunct/>
        <w:autoSpaceDE/>
        <w:autoSpaceDN/>
        <w:bidi w:val="0"/>
        <w:spacing w:line="360" w:lineRule="auto"/>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bidi="zh-CN"/>
        </w:rPr>
        <w:t>（3）</w:t>
      </w:r>
      <w:r>
        <w:rPr>
          <w:rFonts w:hint="eastAsia" w:ascii="宋体" w:hAnsi="宋体" w:eastAsia="宋体" w:cs="宋体"/>
          <w:color w:val="auto"/>
          <w:spacing w:val="0"/>
          <w:highlight w:val="none"/>
          <w:shd w:val="clear" w:color="auto" w:fill="FFFFFF"/>
          <w:lang w:val="zh-CN" w:bidi="zh-CN"/>
        </w:rPr>
        <w:t>建立健全廉政制度，开展廉政教育，设立廉政告示牌，公布举报电话，监督并认真查处违法违纪行为。</w:t>
      </w:r>
    </w:p>
    <w:p w14:paraId="50BC573C">
      <w:pPr>
        <w:pageBreakBefore w:val="0"/>
        <w:tabs>
          <w:tab w:val="left" w:pos="1273"/>
        </w:tabs>
        <w:kinsoku/>
        <w:wordWrap w:val="0"/>
        <w:overflowPunct/>
        <w:topLinePunct/>
        <w:autoSpaceDE/>
        <w:autoSpaceDN/>
        <w:bidi w:val="0"/>
        <w:spacing w:line="360" w:lineRule="auto"/>
        <w:ind w:left="425" w:right="280" w:hanging="5"/>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bidi="zh-CN"/>
        </w:rPr>
        <w:t>（4）</w:t>
      </w:r>
      <w:r>
        <w:rPr>
          <w:rFonts w:hint="eastAsia" w:ascii="宋体" w:hAnsi="宋体" w:eastAsia="宋体" w:cs="宋体"/>
          <w:color w:val="auto"/>
          <w:spacing w:val="0"/>
          <w:highlight w:val="none"/>
          <w:shd w:val="clear" w:color="auto" w:fill="FFFFFF"/>
          <w:lang w:val="zh-CN" w:bidi="zh-CN"/>
        </w:rPr>
        <w:t>发现对方在业务活动中有违反廉政规定的行为，有及时提醒对方纠正的权利和义务。</w:t>
      </w:r>
    </w:p>
    <w:p w14:paraId="62AF4CD1">
      <w:pPr>
        <w:pageBreakBefore w:val="0"/>
        <w:tabs>
          <w:tab w:val="left" w:pos="1270"/>
        </w:tabs>
        <w:kinsoku/>
        <w:wordWrap w:val="0"/>
        <w:overflowPunct/>
        <w:topLinePunct/>
        <w:autoSpaceDE/>
        <w:autoSpaceDN/>
        <w:bidi w:val="0"/>
        <w:spacing w:line="360" w:lineRule="auto"/>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bidi="zh-CN"/>
        </w:rPr>
        <w:t>（5）</w:t>
      </w:r>
      <w:r>
        <w:rPr>
          <w:rFonts w:hint="eastAsia" w:ascii="宋体" w:hAnsi="宋体" w:eastAsia="宋体" w:cs="宋体"/>
          <w:color w:val="auto"/>
          <w:spacing w:val="0"/>
          <w:highlight w:val="none"/>
          <w:shd w:val="clear" w:color="auto" w:fill="FFFFFF"/>
          <w:lang w:val="zh-CN" w:bidi="zh-CN"/>
        </w:rPr>
        <w:t>发现对方严重违反本合同义务条款的行为，有向其上级有关部门举报、建议给予处理并要求告知处理结果的权利。</w:t>
      </w:r>
    </w:p>
    <w:p w14:paraId="3B24A069">
      <w:pPr>
        <w:keepNext/>
        <w:keepLines/>
        <w:pageBreakBefore w:val="0"/>
        <w:tabs>
          <w:tab w:val="left" w:pos="1178"/>
        </w:tabs>
        <w:kinsoku/>
        <w:wordWrap w:val="0"/>
        <w:overflowPunct/>
        <w:topLinePunct/>
        <w:autoSpaceDE/>
        <w:autoSpaceDN/>
        <w:bidi w:val="0"/>
        <w:spacing w:line="360" w:lineRule="auto"/>
        <w:ind w:left="387"/>
        <w:outlineLvl w:val="7"/>
        <w:rPr>
          <w:rFonts w:hint="eastAsia" w:ascii="宋体" w:hAnsi="宋体" w:eastAsia="宋体" w:cs="宋体"/>
          <w:bCs/>
          <w:color w:val="auto"/>
          <w:spacing w:val="0"/>
          <w:szCs w:val="21"/>
          <w:highlight w:val="none"/>
        </w:rPr>
      </w:pPr>
      <w:r>
        <w:rPr>
          <w:rFonts w:hint="eastAsia" w:ascii="宋体" w:hAnsi="宋体" w:eastAsia="宋体" w:cs="宋体"/>
          <w:color w:val="auto"/>
          <w:spacing w:val="0"/>
          <w:highlight w:val="none"/>
          <w:lang w:bidi="zh-CN"/>
        </w:rPr>
        <w:t>2、</w:t>
      </w:r>
      <w:r>
        <w:rPr>
          <w:rFonts w:hint="eastAsia" w:ascii="宋体" w:hAnsi="宋体" w:eastAsia="宋体" w:cs="宋体"/>
          <w:color w:val="auto"/>
          <w:spacing w:val="0"/>
          <w:highlight w:val="none"/>
          <w:lang w:val="zh-CN" w:bidi="zh-CN"/>
        </w:rPr>
        <w:t>发包人的义务</w:t>
      </w:r>
    </w:p>
    <w:p w14:paraId="56334CA8">
      <w:pPr>
        <w:pageBreakBefore w:val="0"/>
        <w:tabs>
          <w:tab w:val="left" w:pos="1251"/>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1）</w:t>
      </w:r>
      <w:r>
        <w:rPr>
          <w:rFonts w:hint="eastAsia" w:ascii="宋体" w:hAnsi="宋体" w:eastAsia="宋体" w:cs="宋体"/>
          <w:color w:val="auto"/>
          <w:spacing w:val="0"/>
          <w:highlight w:val="none"/>
          <w:shd w:val="clear" w:color="auto" w:fill="FFFFFF"/>
          <w:lang w:val="zh-CN" w:bidi="zh-CN"/>
        </w:rPr>
        <w:t>发包人及其工作人员不得索要或接受承包人的礼金、有价证券和贵重物品，不得让承包人报销任何应由发包人或发包人工作人员个人支付的费用等。</w:t>
      </w:r>
    </w:p>
    <w:p w14:paraId="10EC142F">
      <w:pPr>
        <w:pageBreakBefore w:val="0"/>
        <w:tabs>
          <w:tab w:val="left" w:pos="1266"/>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2）</w:t>
      </w:r>
      <w:r>
        <w:rPr>
          <w:rFonts w:hint="eastAsia" w:ascii="宋体" w:hAnsi="宋体" w:eastAsia="宋体" w:cs="宋体"/>
          <w:color w:val="auto"/>
          <w:spacing w:val="0"/>
          <w:highlight w:val="none"/>
          <w:shd w:val="clear" w:color="auto" w:fill="FFFFFF"/>
          <w:lang w:val="zh-CN" w:bidi="zh-CN"/>
        </w:rPr>
        <w:t>发包人工作人员不得参加承包人安排的超标准宴请和娱乐活动；不得接受承包人提供的通讯工具、交通工具和高档办公用品等。</w:t>
      </w:r>
    </w:p>
    <w:p w14:paraId="4A1EB904">
      <w:pPr>
        <w:pageBreakBefore w:val="0"/>
        <w:tabs>
          <w:tab w:val="left" w:pos="1268"/>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3）</w:t>
      </w:r>
      <w:r>
        <w:rPr>
          <w:rFonts w:hint="eastAsia" w:ascii="宋体" w:hAnsi="宋体" w:eastAsia="宋体" w:cs="宋体"/>
          <w:color w:val="auto"/>
          <w:spacing w:val="0"/>
          <w:highlight w:val="none"/>
          <w:shd w:val="clear" w:color="auto" w:fill="FFFFFF"/>
          <w:lang w:val="zh-CN" w:bidi="zh-CN"/>
        </w:rPr>
        <w:t>发包人及其工作人员不得要求或者接受承包人为其住房装修、婚丧嫁娶活动、配偶子女的工作安排以及出国出境、旅游等提供方便等。</w:t>
      </w:r>
    </w:p>
    <w:p w14:paraId="3DB6BE8D">
      <w:pPr>
        <w:pageBreakBefore w:val="0"/>
        <w:tabs>
          <w:tab w:val="left" w:pos="1270"/>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4）</w:t>
      </w:r>
      <w:r>
        <w:rPr>
          <w:rFonts w:hint="eastAsia" w:ascii="宋体" w:hAnsi="宋体" w:eastAsia="宋体" w:cs="宋体"/>
          <w:color w:val="auto"/>
          <w:spacing w:val="0"/>
          <w:highlight w:val="none"/>
          <w:shd w:val="clear" w:color="auto" w:fill="FFFFFF"/>
          <w:lang w:val="zh-CN" w:bidi="zh-CN"/>
        </w:rPr>
        <w:t>发包人工作人员及其配偶、子女不得从事与发包人工程有关的材料设备供应、工程分包、劳务等经济活动等。</w:t>
      </w:r>
    </w:p>
    <w:p w14:paraId="7A2C755A">
      <w:pPr>
        <w:pageBreakBefore w:val="0"/>
        <w:tabs>
          <w:tab w:val="left" w:pos="1268"/>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5）</w:t>
      </w:r>
      <w:r>
        <w:rPr>
          <w:rFonts w:hint="eastAsia" w:ascii="宋体" w:hAnsi="宋体" w:eastAsia="宋体" w:cs="宋体"/>
          <w:color w:val="auto"/>
          <w:spacing w:val="0"/>
          <w:highlight w:val="none"/>
          <w:shd w:val="clear" w:color="auto" w:fill="FFFFFF"/>
          <w:lang w:val="zh-CN" w:bidi="zh-CN"/>
        </w:rPr>
        <w:t>发包人及其工作人员不得以任何理由向承包人推荐分包单位或推销材料，不得要求承包人购买合同规定外的材料和设备。</w:t>
      </w:r>
    </w:p>
    <w:p w14:paraId="4C043615">
      <w:pPr>
        <w:pageBreakBefore w:val="0"/>
        <w:tabs>
          <w:tab w:val="left" w:pos="1268"/>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6）</w:t>
      </w:r>
      <w:r>
        <w:rPr>
          <w:rFonts w:hint="eastAsia" w:ascii="宋体" w:hAnsi="宋体" w:eastAsia="宋体" w:cs="宋体"/>
          <w:color w:val="auto"/>
          <w:spacing w:val="0"/>
          <w:highlight w:val="none"/>
          <w:shd w:val="clear" w:color="auto" w:fill="FFFFFF"/>
          <w:lang w:val="zh-CN" w:bidi="zh-CN"/>
        </w:rPr>
        <w:t>发包人工作人员要秉公办事，不准营私舞弊，不准利用职权从事各种个人有偿中介活动和安排个人施工队伍。</w:t>
      </w:r>
    </w:p>
    <w:p w14:paraId="68B7D8EC">
      <w:pPr>
        <w:pageBreakBefore w:val="0"/>
        <w:tabs>
          <w:tab w:val="left" w:pos="1154"/>
        </w:tabs>
        <w:kinsoku/>
        <w:wordWrap w:val="0"/>
        <w:overflowPunct/>
        <w:topLinePunct/>
        <w:autoSpaceDE/>
        <w:autoSpaceDN/>
        <w:bidi w:val="0"/>
        <w:spacing w:line="360" w:lineRule="auto"/>
        <w:ind w:left="387"/>
        <w:rPr>
          <w:rFonts w:hint="eastAsia" w:ascii="宋体" w:hAnsi="宋体" w:eastAsia="宋体" w:cs="宋体"/>
          <w:bCs/>
          <w:color w:val="auto"/>
          <w:spacing w:val="0"/>
          <w:szCs w:val="21"/>
          <w:highlight w:val="none"/>
        </w:rPr>
      </w:pPr>
      <w:r>
        <w:rPr>
          <w:rFonts w:hint="eastAsia" w:ascii="宋体" w:hAnsi="宋体" w:eastAsia="宋体" w:cs="宋体"/>
          <w:color w:val="auto"/>
          <w:spacing w:val="0"/>
          <w:highlight w:val="none"/>
          <w:lang w:bidi="zh-CN"/>
        </w:rPr>
        <w:t>3、</w:t>
      </w:r>
      <w:r>
        <w:rPr>
          <w:rFonts w:hint="eastAsia" w:ascii="宋体" w:hAnsi="宋体" w:eastAsia="宋体" w:cs="宋体"/>
          <w:color w:val="auto"/>
          <w:spacing w:val="0"/>
          <w:highlight w:val="none"/>
          <w:lang w:val="zh-CN" w:bidi="zh-CN"/>
        </w:rPr>
        <w:t>承包人的义务</w:t>
      </w:r>
    </w:p>
    <w:p w14:paraId="6EB6810B">
      <w:pPr>
        <w:pageBreakBefore w:val="0"/>
        <w:tabs>
          <w:tab w:val="left" w:pos="1275"/>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1）</w:t>
      </w:r>
      <w:r>
        <w:rPr>
          <w:rFonts w:hint="eastAsia" w:ascii="宋体" w:hAnsi="宋体" w:eastAsia="宋体" w:cs="宋体"/>
          <w:color w:val="auto"/>
          <w:spacing w:val="0"/>
          <w:highlight w:val="none"/>
          <w:shd w:val="clear" w:color="auto" w:fill="FFFFFF"/>
          <w:lang w:val="zh-CN" w:bidi="zh-CN"/>
        </w:rPr>
        <w:t>承包人不得以任何理由向发包人及其工作人员行贿或馈赠礼金、有价证券、贵重礼品。</w:t>
      </w:r>
    </w:p>
    <w:p w14:paraId="7CDE9647">
      <w:pPr>
        <w:pageBreakBefore w:val="0"/>
        <w:tabs>
          <w:tab w:val="left" w:pos="1270"/>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2）</w:t>
      </w:r>
      <w:r>
        <w:rPr>
          <w:rFonts w:hint="eastAsia" w:ascii="宋体" w:hAnsi="宋体" w:eastAsia="宋体" w:cs="宋体"/>
          <w:color w:val="auto"/>
          <w:spacing w:val="0"/>
          <w:highlight w:val="none"/>
          <w:shd w:val="clear" w:color="auto" w:fill="FFFFFF"/>
          <w:lang w:val="zh-CN" w:bidi="zh-CN"/>
        </w:rPr>
        <w:t>承包人不得以任何名义为发包人及其工作人员报销应由发包人单位或个人支付的任何费用。</w:t>
      </w:r>
    </w:p>
    <w:p w14:paraId="60D4CC2D">
      <w:pPr>
        <w:pageBreakBefore w:val="0"/>
        <w:tabs>
          <w:tab w:val="left" w:pos="1389"/>
        </w:tabs>
        <w:kinsoku/>
        <w:wordWrap w:val="0"/>
        <w:overflowPunct/>
        <w:topLinePunct/>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3）</w:t>
      </w:r>
      <w:r>
        <w:rPr>
          <w:rFonts w:hint="eastAsia" w:ascii="宋体" w:hAnsi="宋体" w:eastAsia="宋体" w:cs="宋体"/>
          <w:color w:val="auto"/>
          <w:spacing w:val="0"/>
          <w:highlight w:val="none"/>
          <w:shd w:val="clear" w:color="auto" w:fill="FFFFFF"/>
          <w:lang w:val="zh-CN" w:bidi="zh-CN"/>
        </w:rPr>
        <w:t>承包人不得以任何理由安排发包人工作人员参加超标准宴请及娱乐活动。</w:t>
      </w:r>
    </w:p>
    <w:p w14:paraId="15EFFA98">
      <w:pPr>
        <w:pageBreakBefore w:val="0"/>
        <w:tabs>
          <w:tab w:val="left" w:pos="1266"/>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4）</w:t>
      </w:r>
      <w:r>
        <w:rPr>
          <w:rFonts w:hint="eastAsia" w:ascii="宋体" w:hAnsi="宋体" w:eastAsia="宋体" w:cs="宋体"/>
          <w:color w:val="auto"/>
          <w:spacing w:val="0"/>
          <w:highlight w:val="none"/>
          <w:shd w:val="clear" w:color="auto" w:fill="FFFFFF"/>
          <w:lang w:val="zh-CN" w:bidi="zh-CN"/>
        </w:rPr>
        <w:t>承包人不得为发包人单位和个人购置或提供通信工具、交通工具和高档办公用品等。</w:t>
      </w:r>
    </w:p>
    <w:p w14:paraId="7D5217AD">
      <w:pPr>
        <w:pageBreakBefore w:val="0"/>
        <w:tabs>
          <w:tab w:val="left" w:pos="1154"/>
        </w:tabs>
        <w:kinsoku/>
        <w:wordWrap w:val="0"/>
        <w:overflowPunct/>
        <w:topLinePunct/>
        <w:autoSpaceDE/>
        <w:autoSpaceDN/>
        <w:bidi w:val="0"/>
        <w:spacing w:line="360" w:lineRule="auto"/>
        <w:ind w:left="387"/>
        <w:rPr>
          <w:rFonts w:hint="eastAsia" w:ascii="宋体" w:hAnsi="宋体" w:eastAsia="宋体" w:cs="宋体"/>
          <w:bCs/>
          <w:color w:val="auto"/>
          <w:spacing w:val="0"/>
          <w:szCs w:val="21"/>
          <w:highlight w:val="none"/>
        </w:rPr>
      </w:pPr>
      <w:r>
        <w:rPr>
          <w:rFonts w:hint="eastAsia" w:ascii="宋体" w:hAnsi="宋体" w:eastAsia="宋体" w:cs="宋体"/>
          <w:color w:val="auto"/>
          <w:spacing w:val="0"/>
          <w:highlight w:val="none"/>
          <w:lang w:bidi="zh-CN"/>
        </w:rPr>
        <w:t>4、</w:t>
      </w:r>
      <w:r>
        <w:rPr>
          <w:rFonts w:hint="eastAsia" w:ascii="宋体" w:hAnsi="宋体" w:eastAsia="宋体" w:cs="宋体"/>
          <w:color w:val="auto"/>
          <w:spacing w:val="0"/>
          <w:highlight w:val="none"/>
          <w:lang w:val="zh-CN" w:bidi="zh-CN"/>
        </w:rPr>
        <w:t>违约责任</w:t>
      </w:r>
    </w:p>
    <w:p w14:paraId="0267AD04">
      <w:pPr>
        <w:pageBreakBefore w:val="0"/>
        <w:tabs>
          <w:tab w:val="left" w:pos="1270"/>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1）</w:t>
      </w:r>
      <w:r>
        <w:rPr>
          <w:rFonts w:hint="eastAsia" w:ascii="宋体" w:hAnsi="宋体" w:eastAsia="宋体" w:cs="宋体"/>
          <w:color w:val="auto"/>
          <w:spacing w:val="0"/>
          <w:highlight w:val="none"/>
          <w:shd w:val="clear" w:color="auto" w:fill="FFFFFF"/>
          <w:lang w:val="zh-CN" w:bidi="zh-CN"/>
        </w:rPr>
        <w:t>发包人及其工作人员违反本合同第1、2条，按管理权限，依据有关规定给予党纪、政纪或组织处理；涉嫌犯罪的，移交司法机关追究刑事责任；给承包人单位造成经济损失的，应予以赔偿。</w:t>
      </w:r>
    </w:p>
    <w:p w14:paraId="0E37757B">
      <w:pPr>
        <w:pageBreakBefore w:val="0"/>
        <w:tabs>
          <w:tab w:val="left" w:pos="1270"/>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2）</w:t>
      </w:r>
      <w:r>
        <w:rPr>
          <w:rFonts w:hint="eastAsia" w:ascii="宋体" w:hAnsi="宋体" w:eastAsia="宋体" w:cs="宋体"/>
          <w:color w:val="auto"/>
          <w:spacing w:val="0"/>
          <w:highlight w:val="none"/>
          <w:shd w:val="clear" w:color="auto" w:fill="FFFFFF"/>
          <w:lang w:val="zh-CN" w:bidi="zh-CN"/>
        </w:rPr>
        <w:t>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10E2F69B">
      <w:pPr>
        <w:pageBreakBefore w:val="0"/>
        <w:tabs>
          <w:tab w:val="left" w:pos="975"/>
        </w:tabs>
        <w:kinsoku/>
        <w:wordWrap w:val="0"/>
        <w:overflowPunct/>
        <w:topLinePunct/>
        <w:autoSpaceDE/>
        <w:autoSpaceDN/>
        <w:bidi w:val="0"/>
        <w:spacing w:line="360" w:lineRule="auto"/>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bidi="zh-CN"/>
        </w:rPr>
        <w:t>5、</w:t>
      </w:r>
      <w:r>
        <w:rPr>
          <w:rFonts w:hint="eastAsia" w:ascii="宋体" w:hAnsi="宋体" w:eastAsia="宋体" w:cs="宋体"/>
          <w:color w:val="auto"/>
          <w:spacing w:val="0"/>
          <w:highlight w:val="none"/>
          <w:shd w:val="clear" w:color="auto" w:fill="FFFFFF"/>
          <w:lang w:val="zh-CN" w:bidi="zh-CN"/>
        </w:rPr>
        <w:t>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1ABC9F41">
      <w:pPr>
        <w:pageBreakBefore w:val="0"/>
        <w:tabs>
          <w:tab w:val="left" w:pos="1154"/>
        </w:tabs>
        <w:kinsoku/>
        <w:wordWrap w:val="0"/>
        <w:overflowPunct/>
        <w:topLinePunct/>
        <w:autoSpaceDE/>
        <w:autoSpaceDN/>
        <w:bidi w:val="0"/>
        <w:spacing w:line="360" w:lineRule="auto"/>
        <w:ind w:left="387"/>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bidi="zh-CN"/>
        </w:rPr>
        <w:t>6、</w:t>
      </w:r>
      <w:r>
        <w:rPr>
          <w:rFonts w:hint="eastAsia" w:ascii="宋体" w:hAnsi="宋体" w:eastAsia="宋体" w:cs="宋体"/>
          <w:color w:val="auto"/>
          <w:spacing w:val="0"/>
          <w:highlight w:val="none"/>
          <w:shd w:val="clear" w:color="auto" w:fill="FFFFFF"/>
          <w:lang w:val="zh-CN" w:bidi="zh-CN"/>
        </w:rPr>
        <w:t>本合同有效期为发包人和承包人签署之日起至该工程项目竣工验收后止。</w:t>
      </w:r>
    </w:p>
    <w:p w14:paraId="21926E2F">
      <w:pPr>
        <w:pageBreakBefore w:val="0"/>
        <w:tabs>
          <w:tab w:val="left" w:leader="underscore" w:pos="3373"/>
          <w:tab w:val="left" w:leader="underscore" w:pos="5307"/>
        </w:tabs>
        <w:kinsoku/>
        <w:wordWrap w:val="0"/>
        <w:overflowPunct/>
        <w:topLinePunct/>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bidi="zh-CN"/>
        </w:rPr>
        <w:t>7、</w:t>
      </w:r>
      <w:r>
        <w:rPr>
          <w:rFonts w:hint="eastAsia" w:ascii="宋体" w:hAnsi="宋体" w:eastAsia="宋体" w:cs="宋体"/>
          <w:color w:val="auto"/>
          <w:spacing w:val="0"/>
          <w:highlight w:val="none"/>
          <w:shd w:val="clear" w:color="auto" w:fill="FFFFFF"/>
          <w:lang w:val="zh-CN" w:bidi="zh-CN"/>
        </w:rPr>
        <w:t>本合同作为</w:t>
      </w:r>
      <w:r>
        <w:rPr>
          <w:rFonts w:hint="eastAsia" w:ascii="宋体" w:hAnsi="宋体" w:eastAsia="宋体" w:cs="宋体"/>
          <w:b/>
          <w:bCs/>
          <w:color w:val="auto"/>
          <w:spacing w:val="0"/>
          <w:szCs w:val="21"/>
          <w:highlight w:val="none"/>
          <w:u w:val="single"/>
          <w:lang w:val="en-US" w:eastAsia="zh-CN"/>
        </w:rPr>
        <w:t xml:space="preserve">                    </w:t>
      </w:r>
      <w:r>
        <w:rPr>
          <w:rFonts w:hint="eastAsia" w:ascii="宋体" w:hAnsi="宋体" w:eastAsia="宋体" w:cs="宋体"/>
          <w:color w:val="auto"/>
          <w:spacing w:val="0"/>
          <w:highlight w:val="none"/>
          <w:u w:val="single"/>
          <w:shd w:val="clear" w:color="auto" w:fill="FFFFFF"/>
          <w:lang w:bidi="zh-CN"/>
        </w:rPr>
        <w:t xml:space="preserve"> </w:t>
      </w:r>
      <w:r>
        <w:rPr>
          <w:rFonts w:hint="eastAsia" w:ascii="宋体" w:hAnsi="宋体" w:eastAsia="宋体" w:cs="宋体"/>
          <w:color w:val="auto"/>
          <w:spacing w:val="0"/>
          <w:highlight w:val="none"/>
          <w:shd w:val="clear" w:color="auto" w:fill="FFFFFF"/>
          <w:lang w:val="zh-CN" w:bidi="zh-CN"/>
        </w:rPr>
        <w:t xml:space="preserve"> （项目名称）标段施工合同的附件，与工程施工合同具有同等的法律效力，经合同双方签署后立即生效。</w:t>
      </w:r>
    </w:p>
    <w:p w14:paraId="2F0B2465">
      <w:pPr>
        <w:pageBreakBefore w:val="0"/>
        <w:tabs>
          <w:tab w:val="left" w:pos="978"/>
        </w:tabs>
        <w:kinsoku/>
        <w:wordWrap w:val="0"/>
        <w:overflowPunct/>
        <w:topLinePunct/>
        <w:autoSpaceDE/>
        <w:autoSpaceDN/>
        <w:bidi w:val="0"/>
        <w:spacing w:line="360" w:lineRule="auto"/>
        <w:ind w:firstLine="420" w:firstLineChars="200"/>
        <w:jc w:val="left"/>
        <w:rPr>
          <w:rFonts w:hint="eastAsia" w:ascii="宋体" w:hAnsi="宋体" w:eastAsia="宋体" w:cs="宋体"/>
          <w:color w:val="auto"/>
          <w:spacing w:val="0"/>
          <w:highlight w:val="none"/>
          <w:shd w:val="clear" w:color="auto" w:fill="FFFFFF"/>
          <w:lang w:val="zh-CN" w:bidi="zh-CN"/>
        </w:rPr>
      </w:pPr>
      <w:r>
        <w:rPr>
          <w:rFonts w:hint="eastAsia" w:ascii="宋体" w:hAnsi="宋体" w:eastAsia="宋体" w:cs="宋体"/>
          <w:color w:val="auto"/>
          <w:spacing w:val="0"/>
          <w:highlight w:val="none"/>
          <w:shd w:val="clear" w:color="auto" w:fill="FFFFFF"/>
          <w:lang w:bidi="zh-CN"/>
        </w:rPr>
        <w:t>8、</w:t>
      </w:r>
      <w:r>
        <w:rPr>
          <w:rFonts w:hint="eastAsia" w:ascii="宋体" w:hAnsi="宋体" w:eastAsia="宋体" w:cs="宋体"/>
          <w:color w:val="auto"/>
          <w:spacing w:val="0"/>
          <w:highlight w:val="none"/>
          <w:shd w:val="clear" w:color="auto" w:fill="FFFFFF"/>
          <w:lang w:val="zh-CN" w:bidi="zh-CN"/>
        </w:rPr>
        <w:t>本合同一式四份，由发包人和承包人各执一份，送交发包人和承包人的监督单位各一份。</w:t>
      </w:r>
    </w:p>
    <w:p w14:paraId="6E8A1A01">
      <w:pPr>
        <w:pageBreakBefore w:val="0"/>
        <w:tabs>
          <w:tab w:val="left" w:pos="978"/>
        </w:tabs>
        <w:kinsoku/>
        <w:wordWrap w:val="0"/>
        <w:overflowPunct/>
        <w:topLinePunct/>
        <w:autoSpaceDE/>
        <w:autoSpaceDN/>
        <w:bidi w:val="0"/>
        <w:spacing w:line="360" w:lineRule="auto"/>
        <w:ind w:firstLine="420" w:firstLineChars="200"/>
        <w:jc w:val="left"/>
        <w:rPr>
          <w:rFonts w:hint="eastAsia" w:ascii="宋体" w:hAnsi="宋体" w:eastAsia="宋体" w:cs="宋体"/>
          <w:color w:val="auto"/>
          <w:spacing w:val="0"/>
          <w:highlight w:val="none"/>
          <w:shd w:val="clear" w:color="auto" w:fill="FFFFFF"/>
          <w:lang w:val="zh-CN" w:bidi="zh-CN"/>
        </w:rPr>
      </w:pPr>
    </w:p>
    <w:p w14:paraId="42FE1870">
      <w:pPr>
        <w:pageBreakBefore w:val="0"/>
        <w:tabs>
          <w:tab w:val="left" w:pos="978"/>
        </w:tabs>
        <w:kinsoku/>
        <w:wordWrap w:val="0"/>
        <w:overflowPunct/>
        <w:topLinePunct/>
        <w:autoSpaceDE/>
        <w:autoSpaceDN/>
        <w:bidi w:val="0"/>
        <w:spacing w:line="360" w:lineRule="auto"/>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发包人监督单位：</w:t>
      </w:r>
      <w:r>
        <w:rPr>
          <w:rFonts w:hint="eastAsia" w:ascii="宋体" w:hAnsi="宋体" w:eastAsia="宋体" w:cs="宋体"/>
          <w:color w:val="auto"/>
          <w:spacing w:val="0"/>
          <w:highlight w:val="none"/>
          <w:u w:val="single"/>
          <w:shd w:val="clear" w:color="auto" w:fill="FFFFFF"/>
        </w:rPr>
        <w:t xml:space="preserve">            </w:t>
      </w:r>
      <w:r>
        <w:rPr>
          <w:rFonts w:hint="eastAsia" w:ascii="宋体" w:hAnsi="宋体" w:eastAsia="宋体" w:cs="宋体"/>
          <w:color w:val="auto"/>
          <w:spacing w:val="0"/>
          <w:highlight w:val="none"/>
          <w:u w:val="single"/>
          <w:shd w:val="clear" w:color="auto" w:fill="FFFFFF"/>
          <w:lang w:val="zh-CN"/>
        </w:rPr>
        <w:t>（盖单位章）</w:t>
      </w:r>
      <w:r>
        <w:rPr>
          <w:rFonts w:hint="eastAsia" w:ascii="宋体" w:hAnsi="宋体" w:eastAsia="宋体" w:cs="宋体"/>
          <w:color w:val="auto"/>
          <w:spacing w:val="0"/>
          <w:highlight w:val="none"/>
          <w:shd w:val="clear" w:color="auto" w:fill="FFFFFF"/>
          <w:lang w:val="zh-CN" w:bidi="zh-CN"/>
        </w:rPr>
        <w:tab/>
      </w:r>
      <w:r>
        <w:rPr>
          <w:rFonts w:hint="eastAsia" w:ascii="宋体" w:hAnsi="宋体" w:eastAsia="宋体" w:cs="宋体"/>
          <w:color w:val="auto"/>
          <w:spacing w:val="0"/>
          <w:highlight w:val="none"/>
          <w:shd w:val="clear" w:color="auto" w:fill="FFFFFF"/>
          <w:lang w:val="zh-CN" w:bidi="zh-CN"/>
        </w:rPr>
        <w:t>承包人监督单位：</w:t>
      </w:r>
      <w:r>
        <w:rPr>
          <w:rFonts w:hint="eastAsia" w:ascii="宋体" w:hAnsi="宋体" w:eastAsia="宋体" w:cs="宋体"/>
          <w:b/>
          <w:color w:val="auto"/>
          <w:spacing w:val="0"/>
          <w:szCs w:val="21"/>
          <w:highlight w:val="none"/>
          <w:u w:val="single"/>
        </w:rPr>
        <w:t xml:space="preserve">       </w:t>
      </w:r>
      <w:r>
        <w:rPr>
          <w:rFonts w:hint="eastAsia" w:ascii="宋体" w:hAnsi="宋体" w:eastAsia="宋体" w:cs="宋体"/>
          <w:color w:val="auto"/>
          <w:spacing w:val="0"/>
          <w:highlight w:val="none"/>
          <w:u w:val="single"/>
          <w:shd w:val="clear" w:color="auto" w:fill="FFFFFF"/>
          <w:lang w:val="zh-CN"/>
        </w:rPr>
        <w:t>（盖单位章）</w:t>
      </w:r>
    </w:p>
    <w:p w14:paraId="21EB4E8A">
      <w:pPr>
        <w:pageBreakBefore w:val="0"/>
        <w:kinsoku/>
        <w:wordWrap w:val="0"/>
        <w:overflowPunct/>
        <w:topLinePunct/>
        <w:autoSpaceDE/>
        <w:autoSpaceDN/>
        <w:bidi w:val="0"/>
        <w:spacing w:line="360" w:lineRule="auto"/>
        <w:ind w:firstLine="480"/>
        <w:rPr>
          <w:rFonts w:hint="eastAsia" w:ascii="宋体" w:hAnsi="宋体" w:eastAsia="宋体" w:cs="宋体"/>
          <w:b/>
          <w:color w:val="auto"/>
          <w:spacing w:val="0"/>
          <w:szCs w:val="21"/>
          <w:highlight w:val="none"/>
        </w:rPr>
      </w:pPr>
      <w:r>
        <w:rPr>
          <w:rFonts w:hint="eastAsia" w:ascii="宋体" w:hAnsi="宋体" w:eastAsia="宋体" w:cs="宋体"/>
          <w:color w:val="auto"/>
          <w:spacing w:val="0"/>
          <w:szCs w:val="21"/>
          <w:highlight w:val="none"/>
        </w:rPr>
        <mc:AlternateContent>
          <mc:Choice Requires="wps">
            <w:drawing>
              <wp:anchor distT="0" distB="0" distL="114300" distR="114300" simplePos="0" relativeHeight="251666432" behindDoc="1" locked="0" layoutInCell="1" allowOverlap="1">
                <wp:simplePos x="0" y="0"/>
                <wp:positionH relativeFrom="margin">
                  <wp:posOffset>2836545</wp:posOffset>
                </wp:positionH>
                <wp:positionV relativeFrom="paragraph">
                  <wp:posOffset>733425</wp:posOffset>
                </wp:positionV>
                <wp:extent cx="2912745" cy="1544320"/>
                <wp:effectExtent l="0" t="0" r="0" b="0"/>
                <wp:wrapTopAndBottom/>
                <wp:docPr id="9" name="文本框 9"/>
                <wp:cNvGraphicFramePr/>
                <a:graphic xmlns:a="http://schemas.openxmlformats.org/drawingml/2006/main">
                  <a:graphicData uri="http://schemas.microsoft.com/office/word/2010/wordprocessingShape">
                    <wps:wsp>
                      <wps:cNvSpPr txBox="1"/>
                      <wps:spPr>
                        <a:xfrm>
                          <a:off x="0" y="0"/>
                          <a:ext cx="2912745" cy="1544320"/>
                        </a:xfrm>
                        <a:prstGeom prst="rect">
                          <a:avLst/>
                        </a:prstGeom>
                        <a:noFill/>
                        <a:ln>
                          <a:noFill/>
                        </a:ln>
                      </wps:spPr>
                      <wps:txbx>
                        <w:txbxContent>
                          <w:p w14:paraId="35749DD3">
                            <w:pPr>
                              <w:pStyle w:val="81"/>
                              <w:shd w:val="clear" w:color="auto" w:fill="auto"/>
                              <w:tabs>
                                <w:tab w:val="left" w:leader="underscore" w:pos="2968"/>
                              </w:tabs>
                              <w:spacing w:before="0"/>
                              <w:ind w:left="1808" w:leftChars="161" w:hanging="1470" w:hangingChars="700"/>
                              <w:jc w:val="both"/>
                              <w:rPr>
                                <w:rStyle w:val="82"/>
                                <w:rFonts w:hint="eastAsia" w:ascii="宋体" w:hAnsi="宋体" w:eastAsia="宋体" w:cs="宋体"/>
                                <w:sz w:val="21"/>
                                <w:szCs w:val="21"/>
                              </w:rPr>
                            </w:pPr>
                            <w:r>
                              <w:rPr>
                                <w:rStyle w:val="82"/>
                                <w:rFonts w:hint="eastAsia" w:ascii="宋体" w:hAnsi="宋体" w:eastAsia="宋体" w:cs="宋体"/>
                                <w:sz w:val="21"/>
                                <w:szCs w:val="21"/>
                              </w:rPr>
                              <w:t>承包人：</w:t>
                            </w:r>
                            <w:r>
                              <w:rPr>
                                <w:rFonts w:hint="eastAsia" w:ascii="宋体" w:hAnsi="宋体" w:eastAsia="宋体" w:cs="宋体"/>
                                <w:b/>
                                <w:sz w:val="21"/>
                                <w:szCs w:val="21"/>
                                <w:u w:val="single"/>
                              </w:rPr>
                              <w:t xml:space="preserve">            </w:t>
                            </w:r>
                            <w:r>
                              <w:rPr>
                                <w:rStyle w:val="82"/>
                                <w:rFonts w:hint="eastAsia" w:ascii="宋体" w:hAnsi="宋体" w:eastAsia="宋体" w:cs="宋体"/>
                                <w:sz w:val="21"/>
                                <w:szCs w:val="21"/>
                              </w:rPr>
                              <w:t xml:space="preserve"> </w:t>
                            </w:r>
                          </w:p>
                          <w:p w14:paraId="394EBAA6">
                            <w:pPr>
                              <w:pStyle w:val="81"/>
                              <w:shd w:val="clear" w:color="auto" w:fill="auto"/>
                              <w:tabs>
                                <w:tab w:val="left" w:leader="underscore" w:pos="2968"/>
                              </w:tabs>
                              <w:spacing w:before="0"/>
                              <w:ind w:left="1867" w:leftChars="889"/>
                              <w:jc w:val="both"/>
                              <w:rPr>
                                <w:rFonts w:hint="eastAsia" w:ascii="宋体" w:hAnsi="宋体" w:eastAsia="宋体" w:cs="宋体"/>
                                <w:sz w:val="21"/>
                                <w:szCs w:val="21"/>
                              </w:rPr>
                            </w:pPr>
                            <w:r>
                              <w:rPr>
                                <w:rStyle w:val="82"/>
                                <w:rFonts w:hint="eastAsia" w:ascii="宋体" w:hAnsi="宋体" w:eastAsia="宋体" w:cs="宋体"/>
                                <w:sz w:val="21"/>
                                <w:szCs w:val="21"/>
                              </w:rPr>
                              <w:t>（盖单位章）</w:t>
                            </w:r>
                          </w:p>
                          <w:p w14:paraId="71CD68B8">
                            <w:pPr>
                              <w:pStyle w:val="81"/>
                              <w:shd w:val="clear" w:color="auto" w:fill="auto"/>
                              <w:tabs>
                                <w:tab w:val="left" w:leader="underscore" w:pos="2153"/>
                                <w:tab w:val="left" w:leader="underscore" w:pos="2993"/>
                                <w:tab w:val="left" w:leader="underscore" w:pos="3833"/>
                              </w:tabs>
                              <w:spacing w:before="0"/>
                              <w:ind w:left="1155" w:leftChars="100" w:hanging="945" w:hangingChars="450"/>
                              <w:jc w:val="left"/>
                              <w:rPr>
                                <w:rStyle w:val="82"/>
                                <w:rFonts w:hint="eastAsia" w:ascii="宋体" w:hAnsi="宋体" w:eastAsia="宋体" w:cs="宋体"/>
                                <w:sz w:val="21"/>
                                <w:szCs w:val="21"/>
                              </w:rPr>
                            </w:pPr>
                            <w:r>
                              <w:rPr>
                                <w:rStyle w:val="82"/>
                                <w:rFonts w:hint="eastAsia" w:ascii="宋体" w:hAnsi="宋体" w:eastAsia="宋体" w:cs="宋体"/>
                                <w:sz w:val="21"/>
                                <w:szCs w:val="21"/>
                              </w:rPr>
                              <w:t>法定代表人或其委托代理人：</w:t>
                            </w:r>
                            <w:r>
                              <w:rPr>
                                <w:rStyle w:val="82"/>
                                <w:rFonts w:hint="eastAsia" w:ascii="宋体" w:hAnsi="宋体" w:eastAsia="宋体" w:cs="宋体"/>
                                <w:sz w:val="21"/>
                                <w:szCs w:val="21"/>
                                <w:u w:val="single"/>
                              </w:rPr>
                              <w:t xml:space="preserve">       </w:t>
                            </w:r>
                            <w:r>
                              <w:rPr>
                                <w:rStyle w:val="82"/>
                                <w:rFonts w:hint="eastAsia" w:ascii="宋体" w:hAnsi="宋体" w:eastAsia="宋体" w:cs="宋体"/>
                                <w:sz w:val="21"/>
                                <w:szCs w:val="21"/>
                              </w:rPr>
                              <w:t xml:space="preserve"> （签字） </w:t>
                            </w:r>
                          </w:p>
                          <w:p w14:paraId="249EB233">
                            <w:pPr>
                              <w:pStyle w:val="81"/>
                              <w:shd w:val="clear" w:color="auto" w:fill="auto"/>
                              <w:tabs>
                                <w:tab w:val="left" w:leader="underscore" w:pos="2153"/>
                                <w:tab w:val="left" w:leader="underscore" w:pos="2993"/>
                                <w:tab w:val="left" w:leader="underscore" w:pos="3833"/>
                              </w:tabs>
                              <w:wordWrap w:val="0"/>
                              <w:spacing w:before="0"/>
                              <w:ind w:left="1063" w:leftChars="156" w:hanging="735" w:hangingChars="350"/>
                              <w:jc w:val="right"/>
                              <w:rPr>
                                <w:rStyle w:val="82"/>
                                <w:rFonts w:hint="eastAsia" w:ascii="宋体" w:hAnsi="宋体" w:eastAsia="宋体" w:cs="宋体"/>
                                <w:sz w:val="21"/>
                                <w:szCs w:val="21"/>
                              </w:rPr>
                            </w:pPr>
                          </w:p>
                          <w:p w14:paraId="7E6BB66E">
                            <w:pPr>
                              <w:pStyle w:val="81"/>
                              <w:shd w:val="clear" w:color="auto" w:fill="auto"/>
                              <w:tabs>
                                <w:tab w:val="left" w:leader="underscore" w:pos="2153"/>
                                <w:tab w:val="left" w:leader="underscore" w:pos="2993"/>
                                <w:tab w:val="left" w:leader="underscore" w:pos="3833"/>
                              </w:tabs>
                              <w:wordWrap w:val="0"/>
                              <w:spacing w:before="0"/>
                              <w:ind w:left="1063" w:leftChars="156" w:hanging="735" w:hangingChars="350"/>
                              <w:jc w:val="right"/>
                              <w:rPr>
                                <w:rFonts w:hint="eastAsia" w:ascii="宋体" w:hAnsi="宋体" w:eastAsia="宋体" w:cs="宋体"/>
                                <w:sz w:val="21"/>
                                <w:szCs w:val="21"/>
                              </w:rPr>
                            </w:pPr>
                            <w:r>
                              <w:rPr>
                                <w:rStyle w:val="82"/>
                                <w:rFonts w:hint="eastAsia" w:ascii="宋体" w:hAnsi="宋体" w:eastAsia="宋体" w:cs="宋体"/>
                                <w:sz w:val="21"/>
                                <w:szCs w:val="21"/>
                              </w:rPr>
                              <w:t>年</w:t>
                            </w:r>
                            <w:r>
                              <w:rPr>
                                <w:rStyle w:val="82"/>
                                <w:rFonts w:hint="eastAsia" w:ascii="宋体" w:hAnsi="宋体" w:eastAsia="宋体" w:cs="宋体"/>
                                <w:sz w:val="21"/>
                                <w:szCs w:val="21"/>
                              </w:rPr>
                              <w:tab/>
                            </w:r>
                            <w:r>
                              <w:rPr>
                                <w:rStyle w:val="82"/>
                                <w:rFonts w:hint="eastAsia" w:ascii="宋体" w:hAnsi="宋体" w:eastAsia="宋体" w:cs="宋体"/>
                                <w:sz w:val="21"/>
                                <w:szCs w:val="21"/>
                              </w:rPr>
                              <w:t>月   日</w:t>
                            </w:r>
                          </w:p>
                        </w:txbxContent>
                      </wps:txbx>
                      <wps:bodyPr lIns="0" tIns="0" rIns="0" bIns="0" upright="1"/>
                    </wps:wsp>
                  </a:graphicData>
                </a:graphic>
              </wp:anchor>
            </w:drawing>
          </mc:Choice>
          <mc:Fallback>
            <w:pict>
              <v:shape id="_x0000_s1026" o:spid="_x0000_s1026" o:spt="202" type="#_x0000_t202" style="position:absolute;left:0pt;margin-left:223.35pt;margin-top:57.75pt;height:121.6pt;width:229.35pt;mso-position-horizontal-relative:margin;mso-wrap-distance-bottom:0pt;mso-wrap-distance-top:0pt;z-index:-251650048;mso-width-relative:page;mso-height-relative:page;" filled="f" stroked="f" coordsize="21600,21600" o:gfxdata="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o4HmStoAAAALAQAADwAAAAAAAAABACAAAAAiAAAAZHJzL2Rvd25yZXYueG1s&#10;UEsBAhQAFAAAAAgAh07iQCie0a29AQAAcwMAAA4AAAAAAAAAAQAgAAAAKQEAAGRycy9lMm9Eb2Mu&#10;eG1sUEsFBgAAAAAGAAYAWQEAAFgFAAAAAA==&#10;">
                <v:fill on="f" focussize="0,0"/>
                <v:stroke on="f"/>
                <v:imagedata o:title=""/>
                <o:lock v:ext="edit" aspectratio="f"/>
                <v:textbox inset="0mm,0mm,0mm,0mm">
                  <w:txbxContent>
                    <w:p w14:paraId="35749DD3">
                      <w:pPr>
                        <w:pStyle w:val="81"/>
                        <w:shd w:val="clear" w:color="auto" w:fill="auto"/>
                        <w:tabs>
                          <w:tab w:val="left" w:leader="underscore" w:pos="2968"/>
                        </w:tabs>
                        <w:spacing w:before="0"/>
                        <w:ind w:left="1808" w:leftChars="161" w:hanging="1470" w:hangingChars="700"/>
                        <w:jc w:val="both"/>
                        <w:rPr>
                          <w:rStyle w:val="82"/>
                          <w:rFonts w:hint="eastAsia" w:ascii="宋体" w:hAnsi="宋体" w:eastAsia="宋体" w:cs="宋体"/>
                          <w:sz w:val="21"/>
                          <w:szCs w:val="21"/>
                        </w:rPr>
                      </w:pPr>
                      <w:r>
                        <w:rPr>
                          <w:rStyle w:val="82"/>
                          <w:rFonts w:hint="eastAsia" w:ascii="宋体" w:hAnsi="宋体" w:eastAsia="宋体" w:cs="宋体"/>
                          <w:sz w:val="21"/>
                          <w:szCs w:val="21"/>
                        </w:rPr>
                        <w:t>承包人：</w:t>
                      </w:r>
                      <w:r>
                        <w:rPr>
                          <w:rFonts w:hint="eastAsia" w:ascii="宋体" w:hAnsi="宋体" w:eastAsia="宋体" w:cs="宋体"/>
                          <w:b/>
                          <w:sz w:val="21"/>
                          <w:szCs w:val="21"/>
                          <w:u w:val="single"/>
                        </w:rPr>
                        <w:t xml:space="preserve">            </w:t>
                      </w:r>
                      <w:r>
                        <w:rPr>
                          <w:rStyle w:val="82"/>
                          <w:rFonts w:hint="eastAsia" w:ascii="宋体" w:hAnsi="宋体" w:eastAsia="宋体" w:cs="宋体"/>
                          <w:sz w:val="21"/>
                          <w:szCs w:val="21"/>
                        </w:rPr>
                        <w:t xml:space="preserve"> </w:t>
                      </w:r>
                    </w:p>
                    <w:p w14:paraId="394EBAA6">
                      <w:pPr>
                        <w:pStyle w:val="81"/>
                        <w:shd w:val="clear" w:color="auto" w:fill="auto"/>
                        <w:tabs>
                          <w:tab w:val="left" w:leader="underscore" w:pos="2968"/>
                        </w:tabs>
                        <w:spacing w:before="0"/>
                        <w:ind w:left="1867" w:leftChars="889"/>
                        <w:jc w:val="both"/>
                        <w:rPr>
                          <w:rFonts w:hint="eastAsia" w:ascii="宋体" w:hAnsi="宋体" w:eastAsia="宋体" w:cs="宋体"/>
                          <w:sz w:val="21"/>
                          <w:szCs w:val="21"/>
                        </w:rPr>
                      </w:pPr>
                      <w:r>
                        <w:rPr>
                          <w:rStyle w:val="82"/>
                          <w:rFonts w:hint="eastAsia" w:ascii="宋体" w:hAnsi="宋体" w:eastAsia="宋体" w:cs="宋体"/>
                          <w:sz w:val="21"/>
                          <w:szCs w:val="21"/>
                        </w:rPr>
                        <w:t>（盖单位章）</w:t>
                      </w:r>
                    </w:p>
                    <w:p w14:paraId="71CD68B8">
                      <w:pPr>
                        <w:pStyle w:val="81"/>
                        <w:shd w:val="clear" w:color="auto" w:fill="auto"/>
                        <w:tabs>
                          <w:tab w:val="left" w:leader="underscore" w:pos="2153"/>
                          <w:tab w:val="left" w:leader="underscore" w:pos="2993"/>
                          <w:tab w:val="left" w:leader="underscore" w:pos="3833"/>
                        </w:tabs>
                        <w:spacing w:before="0"/>
                        <w:ind w:left="1155" w:leftChars="100" w:hanging="945" w:hangingChars="450"/>
                        <w:jc w:val="left"/>
                        <w:rPr>
                          <w:rStyle w:val="82"/>
                          <w:rFonts w:hint="eastAsia" w:ascii="宋体" w:hAnsi="宋体" w:eastAsia="宋体" w:cs="宋体"/>
                          <w:sz w:val="21"/>
                          <w:szCs w:val="21"/>
                        </w:rPr>
                      </w:pPr>
                      <w:r>
                        <w:rPr>
                          <w:rStyle w:val="82"/>
                          <w:rFonts w:hint="eastAsia" w:ascii="宋体" w:hAnsi="宋体" w:eastAsia="宋体" w:cs="宋体"/>
                          <w:sz w:val="21"/>
                          <w:szCs w:val="21"/>
                        </w:rPr>
                        <w:t>法定代表人或其委托代理人：</w:t>
                      </w:r>
                      <w:r>
                        <w:rPr>
                          <w:rStyle w:val="82"/>
                          <w:rFonts w:hint="eastAsia" w:ascii="宋体" w:hAnsi="宋体" w:eastAsia="宋体" w:cs="宋体"/>
                          <w:sz w:val="21"/>
                          <w:szCs w:val="21"/>
                          <w:u w:val="single"/>
                        </w:rPr>
                        <w:t xml:space="preserve">       </w:t>
                      </w:r>
                      <w:r>
                        <w:rPr>
                          <w:rStyle w:val="82"/>
                          <w:rFonts w:hint="eastAsia" w:ascii="宋体" w:hAnsi="宋体" w:eastAsia="宋体" w:cs="宋体"/>
                          <w:sz w:val="21"/>
                          <w:szCs w:val="21"/>
                        </w:rPr>
                        <w:t xml:space="preserve"> （签字） </w:t>
                      </w:r>
                    </w:p>
                    <w:p w14:paraId="249EB233">
                      <w:pPr>
                        <w:pStyle w:val="81"/>
                        <w:shd w:val="clear" w:color="auto" w:fill="auto"/>
                        <w:tabs>
                          <w:tab w:val="left" w:leader="underscore" w:pos="2153"/>
                          <w:tab w:val="left" w:leader="underscore" w:pos="2993"/>
                          <w:tab w:val="left" w:leader="underscore" w:pos="3833"/>
                        </w:tabs>
                        <w:wordWrap w:val="0"/>
                        <w:spacing w:before="0"/>
                        <w:ind w:left="1063" w:leftChars="156" w:hanging="735" w:hangingChars="350"/>
                        <w:jc w:val="right"/>
                        <w:rPr>
                          <w:rStyle w:val="82"/>
                          <w:rFonts w:hint="eastAsia" w:ascii="宋体" w:hAnsi="宋体" w:eastAsia="宋体" w:cs="宋体"/>
                          <w:sz w:val="21"/>
                          <w:szCs w:val="21"/>
                        </w:rPr>
                      </w:pPr>
                    </w:p>
                    <w:p w14:paraId="7E6BB66E">
                      <w:pPr>
                        <w:pStyle w:val="81"/>
                        <w:shd w:val="clear" w:color="auto" w:fill="auto"/>
                        <w:tabs>
                          <w:tab w:val="left" w:leader="underscore" w:pos="2153"/>
                          <w:tab w:val="left" w:leader="underscore" w:pos="2993"/>
                          <w:tab w:val="left" w:leader="underscore" w:pos="3833"/>
                        </w:tabs>
                        <w:wordWrap w:val="0"/>
                        <w:spacing w:before="0"/>
                        <w:ind w:left="1063" w:leftChars="156" w:hanging="735" w:hangingChars="350"/>
                        <w:jc w:val="right"/>
                        <w:rPr>
                          <w:rFonts w:hint="eastAsia" w:ascii="宋体" w:hAnsi="宋体" w:eastAsia="宋体" w:cs="宋体"/>
                          <w:sz w:val="21"/>
                          <w:szCs w:val="21"/>
                        </w:rPr>
                      </w:pPr>
                      <w:r>
                        <w:rPr>
                          <w:rStyle w:val="82"/>
                          <w:rFonts w:hint="eastAsia" w:ascii="宋体" w:hAnsi="宋体" w:eastAsia="宋体" w:cs="宋体"/>
                          <w:sz w:val="21"/>
                          <w:szCs w:val="21"/>
                        </w:rPr>
                        <w:t>年</w:t>
                      </w:r>
                      <w:r>
                        <w:rPr>
                          <w:rStyle w:val="82"/>
                          <w:rFonts w:hint="eastAsia" w:ascii="宋体" w:hAnsi="宋体" w:eastAsia="宋体" w:cs="宋体"/>
                          <w:sz w:val="21"/>
                          <w:szCs w:val="21"/>
                        </w:rPr>
                        <w:tab/>
                      </w:r>
                      <w:r>
                        <w:rPr>
                          <w:rStyle w:val="82"/>
                          <w:rFonts w:hint="eastAsia" w:ascii="宋体" w:hAnsi="宋体" w:eastAsia="宋体" w:cs="宋体"/>
                          <w:sz w:val="21"/>
                          <w:szCs w:val="21"/>
                        </w:rPr>
                        <w:t>月   日</w:t>
                      </w:r>
                    </w:p>
                  </w:txbxContent>
                </v:textbox>
                <w10:wrap type="topAndBottom"/>
              </v:shape>
            </w:pict>
          </mc:Fallback>
        </mc:AlternateContent>
      </w:r>
      <w:r>
        <w:rPr>
          <w:rFonts w:hint="eastAsia" w:ascii="宋体" w:hAnsi="宋体" w:eastAsia="宋体" w:cs="宋体"/>
          <w:color w:val="auto"/>
          <w:spacing w:val="0"/>
          <w:szCs w:val="21"/>
          <w:highlight w:val="none"/>
        </w:rPr>
        <mc:AlternateContent>
          <mc:Choice Requires="wps">
            <w:drawing>
              <wp:anchor distT="0" distB="0" distL="114300" distR="114300" simplePos="0" relativeHeight="251665408" behindDoc="1" locked="0" layoutInCell="1" allowOverlap="1">
                <wp:simplePos x="0" y="0"/>
                <wp:positionH relativeFrom="margin">
                  <wp:posOffset>8255</wp:posOffset>
                </wp:positionH>
                <wp:positionV relativeFrom="paragraph">
                  <wp:posOffset>717550</wp:posOffset>
                </wp:positionV>
                <wp:extent cx="2663825" cy="1531620"/>
                <wp:effectExtent l="0" t="0" r="0" b="0"/>
                <wp:wrapTopAndBottom/>
                <wp:docPr id="10" name="文本框 10"/>
                <wp:cNvGraphicFramePr/>
                <a:graphic xmlns:a="http://schemas.openxmlformats.org/drawingml/2006/main">
                  <a:graphicData uri="http://schemas.microsoft.com/office/word/2010/wordprocessingShape">
                    <wps:wsp>
                      <wps:cNvSpPr txBox="1"/>
                      <wps:spPr>
                        <a:xfrm>
                          <a:off x="0" y="0"/>
                          <a:ext cx="2663825" cy="1531620"/>
                        </a:xfrm>
                        <a:prstGeom prst="rect">
                          <a:avLst/>
                        </a:prstGeom>
                        <a:noFill/>
                        <a:ln>
                          <a:noFill/>
                        </a:ln>
                      </wps:spPr>
                      <wps:txbx>
                        <w:txbxContent>
                          <w:p w14:paraId="19544E0A">
                            <w:pPr>
                              <w:pStyle w:val="81"/>
                              <w:shd w:val="clear" w:color="auto" w:fill="auto"/>
                              <w:tabs>
                                <w:tab w:val="left" w:leader="underscore" w:pos="2738"/>
                              </w:tabs>
                              <w:spacing w:before="0" w:line="442" w:lineRule="exact"/>
                              <w:ind w:left="1600" w:hanging="1360" w:hangingChars="800"/>
                              <w:jc w:val="both"/>
                              <w:rPr>
                                <w:rFonts w:hint="eastAsia" w:ascii="宋体" w:hAnsi="宋体" w:eastAsia="宋体" w:cs="宋体"/>
                                <w:b/>
                                <w:i w:val="0"/>
                                <w:iCs w:val="0"/>
                                <w:sz w:val="21"/>
                                <w:szCs w:val="21"/>
                                <w:u w:val="single"/>
                              </w:rPr>
                            </w:pPr>
                            <w:r>
                              <w:rPr>
                                <w:rStyle w:val="83"/>
                                <w:rFonts w:hint="eastAsia" w:ascii="宋体" w:hAnsi="宋体" w:eastAsia="宋体" w:cs="宋体"/>
                                <w:i w:val="0"/>
                                <w:iCs w:val="0"/>
                                <w:sz w:val="21"/>
                                <w:szCs w:val="21"/>
                              </w:rPr>
                              <w:t>发包人：</w:t>
                            </w:r>
                            <w:r>
                              <w:rPr>
                                <w:rStyle w:val="82"/>
                                <w:rFonts w:hint="eastAsia" w:ascii="宋体" w:hAnsi="宋体" w:eastAsia="宋体" w:cs="宋体"/>
                                <w:i w:val="0"/>
                                <w:iCs w:val="0"/>
                                <w:sz w:val="21"/>
                                <w:szCs w:val="21"/>
                              </w:rPr>
                              <w:t xml:space="preserve"> </w:t>
                            </w:r>
                            <w:r>
                              <w:rPr>
                                <w:rFonts w:hint="eastAsia" w:ascii="宋体" w:hAnsi="宋体" w:eastAsia="宋体" w:cs="宋体"/>
                                <w:b/>
                                <w:i w:val="0"/>
                                <w:iCs w:val="0"/>
                                <w:sz w:val="21"/>
                                <w:szCs w:val="21"/>
                                <w:u w:val="single"/>
                                <w:lang w:val="en-US" w:eastAsia="zh-CN"/>
                              </w:rPr>
                              <w:t xml:space="preserve">                   </w:t>
                            </w:r>
                            <w:r>
                              <w:rPr>
                                <w:rFonts w:hint="eastAsia" w:ascii="宋体" w:hAnsi="宋体" w:eastAsia="宋体" w:cs="宋体"/>
                                <w:b/>
                                <w:i w:val="0"/>
                                <w:iCs w:val="0"/>
                                <w:sz w:val="21"/>
                                <w:szCs w:val="21"/>
                                <w:u w:val="single"/>
                              </w:rPr>
                              <w:t xml:space="preserve">  </w:t>
                            </w:r>
                          </w:p>
                          <w:p w14:paraId="5EF036FB">
                            <w:pPr>
                              <w:pStyle w:val="81"/>
                              <w:shd w:val="clear" w:color="auto" w:fill="auto"/>
                              <w:tabs>
                                <w:tab w:val="left" w:leader="underscore" w:pos="2738"/>
                              </w:tabs>
                              <w:spacing w:before="0" w:line="442" w:lineRule="exact"/>
                              <w:ind w:left="1739" w:leftChars="728" w:hanging="210" w:hangingChars="100"/>
                              <w:jc w:val="both"/>
                              <w:rPr>
                                <w:rFonts w:hint="eastAsia" w:ascii="宋体" w:hAnsi="宋体" w:eastAsia="宋体" w:cs="宋体"/>
                                <w:i w:val="0"/>
                                <w:iCs w:val="0"/>
                                <w:sz w:val="21"/>
                                <w:szCs w:val="21"/>
                              </w:rPr>
                            </w:pPr>
                            <w:r>
                              <w:rPr>
                                <w:rStyle w:val="82"/>
                                <w:rFonts w:hint="eastAsia" w:ascii="宋体" w:hAnsi="宋体" w:eastAsia="宋体" w:cs="宋体"/>
                                <w:i w:val="0"/>
                                <w:iCs w:val="0"/>
                                <w:sz w:val="21"/>
                                <w:szCs w:val="21"/>
                              </w:rPr>
                              <w:t xml:space="preserve"> （盖单位章）</w:t>
                            </w:r>
                          </w:p>
                          <w:p w14:paraId="61C6218D">
                            <w:pPr>
                              <w:pStyle w:val="81"/>
                              <w:shd w:val="clear" w:color="auto" w:fill="auto"/>
                              <w:tabs>
                                <w:tab w:val="left" w:leader="underscore" w:pos="1913"/>
                                <w:tab w:val="left" w:leader="underscore" w:pos="2753"/>
                                <w:tab w:val="left" w:leader="underscore" w:pos="3593"/>
                              </w:tabs>
                              <w:spacing w:before="0" w:line="442" w:lineRule="exact"/>
                              <w:ind w:left="860" w:hanging="860"/>
                              <w:jc w:val="left"/>
                              <w:rPr>
                                <w:rStyle w:val="82"/>
                                <w:rFonts w:hint="eastAsia" w:ascii="宋体" w:hAnsi="宋体" w:eastAsia="宋体" w:cs="宋体"/>
                                <w:i w:val="0"/>
                                <w:iCs w:val="0"/>
                                <w:sz w:val="21"/>
                                <w:szCs w:val="21"/>
                              </w:rPr>
                            </w:pPr>
                            <w:r>
                              <w:rPr>
                                <w:rStyle w:val="82"/>
                                <w:rFonts w:hint="eastAsia" w:ascii="宋体" w:hAnsi="宋体" w:eastAsia="宋体" w:cs="宋体"/>
                                <w:i w:val="0"/>
                                <w:iCs w:val="0"/>
                                <w:sz w:val="21"/>
                                <w:szCs w:val="21"/>
                              </w:rPr>
                              <w:t>定代表人或其委托代理人：</w:t>
                            </w:r>
                            <w:r>
                              <w:rPr>
                                <w:rStyle w:val="82"/>
                                <w:rFonts w:hint="eastAsia" w:ascii="宋体" w:hAnsi="宋体" w:eastAsia="宋体" w:cs="宋体"/>
                                <w:i w:val="0"/>
                                <w:iCs w:val="0"/>
                                <w:sz w:val="21"/>
                                <w:szCs w:val="21"/>
                                <w:u w:val="single"/>
                              </w:rPr>
                              <w:t xml:space="preserve">       </w:t>
                            </w:r>
                            <w:r>
                              <w:rPr>
                                <w:rStyle w:val="82"/>
                                <w:rFonts w:hint="eastAsia" w:ascii="宋体" w:hAnsi="宋体" w:eastAsia="宋体" w:cs="宋体"/>
                                <w:i w:val="0"/>
                                <w:iCs w:val="0"/>
                                <w:sz w:val="21"/>
                                <w:szCs w:val="21"/>
                              </w:rPr>
                              <w:t xml:space="preserve">（签字） </w:t>
                            </w:r>
                          </w:p>
                          <w:p w14:paraId="2A841596">
                            <w:pPr>
                              <w:pStyle w:val="81"/>
                              <w:shd w:val="clear" w:color="auto" w:fill="auto"/>
                              <w:tabs>
                                <w:tab w:val="left" w:leader="underscore" w:pos="1913"/>
                                <w:tab w:val="left" w:leader="underscore" w:pos="2753"/>
                                <w:tab w:val="left" w:leader="underscore" w:pos="3593"/>
                              </w:tabs>
                              <w:wordWrap w:val="0"/>
                              <w:spacing w:before="0" w:line="442" w:lineRule="exact"/>
                              <w:ind w:left="832" w:leftChars="156" w:hanging="504" w:hangingChars="240"/>
                              <w:jc w:val="center"/>
                              <w:rPr>
                                <w:rStyle w:val="82"/>
                                <w:rFonts w:hint="eastAsia" w:ascii="宋体" w:hAnsi="宋体" w:eastAsia="宋体" w:cs="宋体"/>
                                <w:i w:val="0"/>
                                <w:iCs w:val="0"/>
                                <w:sz w:val="21"/>
                                <w:szCs w:val="21"/>
                              </w:rPr>
                            </w:pPr>
                          </w:p>
                          <w:p w14:paraId="4596F1F3">
                            <w:pPr>
                              <w:pStyle w:val="81"/>
                              <w:shd w:val="clear" w:color="auto" w:fill="auto"/>
                              <w:tabs>
                                <w:tab w:val="left" w:leader="underscore" w:pos="1913"/>
                                <w:tab w:val="left" w:leader="underscore" w:pos="2753"/>
                                <w:tab w:val="left" w:leader="underscore" w:pos="3593"/>
                              </w:tabs>
                              <w:wordWrap w:val="0"/>
                              <w:spacing w:before="0" w:line="442" w:lineRule="exact"/>
                              <w:ind w:left="832" w:leftChars="156" w:hanging="504" w:hangingChars="240"/>
                              <w:jc w:val="center"/>
                              <w:rPr>
                                <w:rFonts w:hint="eastAsia" w:ascii="宋体" w:hAnsi="宋体" w:eastAsia="宋体" w:cs="宋体"/>
                                <w:i w:val="0"/>
                                <w:iCs w:val="0"/>
                                <w:sz w:val="21"/>
                                <w:szCs w:val="21"/>
                              </w:rPr>
                            </w:pPr>
                            <w:r>
                              <w:rPr>
                                <w:rStyle w:val="82"/>
                                <w:rFonts w:hint="eastAsia" w:ascii="宋体" w:hAnsi="宋体" w:eastAsia="宋体" w:cs="宋体"/>
                                <w:i w:val="0"/>
                                <w:iCs w:val="0"/>
                                <w:sz w:val="21"/>
                                <w:szCs w:val="21"/>
                              </w:rPr>
                              <w:t xml:space="preserve"> 年</w:t>
                            </w:r>
                            <w:r>
                              <w:rPr>
                                <w:rStyle w:val="82"/>
                                <w:rFonts w:hint="eastAsia" w:ascii="宋体" w:hAnsi="宋体" w:eastAsia="宋体" w:cs="宋体"/>
                                <w:i w:val="0"/>
                                <w:iCs w:val="0"/>
                                <w:sz w:val="21"/>
                                <w:szCs w:val="21"/>
                              </w:rPr>
                              <w:tab/>
                            </w:r>
                            <w:r>
                              <w:rPr>
                                <w:rStyle w:val="82"/>
                                <w:rFonts w:hint="eastAsia" w:ascii="宋体" w:hAnsi="宋体" w:eastAsia="宋体" w:cs="宋体"/>
                                <w:i w:val="0"/>
                                <w:iCs w:val="0"/>
                                <w:sz w:val="21"/>
                                <w:szCs w:val="21"/>
                              </w:rPr>
                              <w:t>月   日</w:t>
                            </w:r>
                          </w:p>
                        </w:txbxContent>
                      </wps:txbx>
                      <wps:bodyPr lIns="0" tIns="0" rIns="0" bIns="0" upright="1"/>
                    </wps:wsp>
                  </a:graphicData>
                </a:graphic>
              </wp:anchor>
            </w:drawing>
          </mc:Choice>
          <mc:Fallback>
            <w:pict>
              <v:shape id="_x0000_s1026" o:spid="_x0000_s1026" o:spt="202" type="#_x0000_t202" style="position:absolute;left:0pt;margin-left:0.65pt;margin-top:56.5pt;height:120.6pt;width:209.75pt;mso-position-horizontal-relative:margin;mso-wrap-distance-bottom:0pt;mso-wrap-distance-top:0pt;z-index:-251651072;mso-width-relative:page;mso-height-relative:page;" filled="f" stroked="f" coordsize="21600,21600" o:gfxdata="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h69NG1wAAAAkBAAAPAAAAAAAAAAEAIAAAACIAAABkcnMvZG93bnJldi54bWxQSwEC&#10;FAAUAAAACACHTuJANu2QGbwBAAB1AwAADgAAAAAAAAABACAAAAAmAQAAZHJzL2Uyb0RvYy54bWxQ&#10;SwUGAAAAAAYABgBZAQAAVAUAAAAA&#10;">
                <v:fill on="f" focussize="0,0"/>
                <v:stroke on="f"/>
                <v:imagedata o:title=""/>
                <o:lock v:ext="edit" aspectratio="f"/>
                <v:textbox inset="0mm,0mm,0mm,0mm">
                  <w:txbxContent>
                    <w:p w14:paraId="19544E0A">
                      <w:pPr>
                        <w:pStyle w:val="81"/>
                        <w:shd w:val="clear" w:color="auto" w:fill="auto"/>
                        <w:tabs>
                          <w:tab w:val="left" w:leader="underscore" w:pos="2738"/>
                        </w:tabs>
                        <w:spacing w:before="0" w:line="442" w:lineRule="exact"/>
                        <w:ind w:left="1600" w:hanging="1360" w:hangingChars="800"/>
                        <w:jc w:val="both"/>
                        <w:rPr>
                          <w:rFonts w:hint="eastAsia" w:ascii="宋体" w:hAnsi="宋体" w:eastAsia="宋体" w:cs="宋体"/>
                          <w:b/>
                          <w:i w:val="0"/>
                          <w:iCs w:val="0"/>
                          <w:sz w:val="21"/>
                          <w:szCs w:val="21"/>
                          <w:u w:val="single"/>
                        </w:rPr>
                      </w:pPr>
                      <w:r>
                        <w:rPr>
                          <w:rStyle w:val="83"/>
                          <w:rFonts w:hint="eastAsia" w:ascii="宋体" w:hAnsi="宋体" w:eastAsia="宋体" w:cs="宋体"/>
                          <w:i w:val="0"/>
                          <w:iCs w:val="0"/>
                          <w:sz w:val="21"/>
                          <w:szCs w:val="21"/>
                        </w:rPr>
                        <w:t>发包人：</w:t>
                      </w:r>
                      <w:r>
                        <w:rPr>
                          <w:rStyle w:val="82"/>
                          <w:rFonts w:hint="eastAsia" w:ascii="宋体" w:hAnsi="宋体" w:eastAsia="宋体" w:cs="宋体"/>
                          <w:i w:val="0"/>
                          <w:iCs w:val="0"/>
                          <w:sz w:val="21"/>
                          <w:szCs w:val="21"/>
                        </w:rPr>
                        <w:t xml:space="preserve"> </w:t>
                      </w:r>
                      <w:r>
                        <w:rPr>
                          <w:rFonts w:hint="eastAsia" w:ascii="宋体" w:hAnsi="宋体" w:eastAsia="宋体" w:cs="宋体"/>
                          <w:b/>
                          <w:i w:val="0"/>
                          <w:iCs w:val="0"/>
                          <w:sz w:val="21"/>
                          <w:szCs w:val="21"/>
                          <w:u w:val="single"/>
                          <w:lang w:val="en-US" w:eastAsia="zh-CN"/>
                        </w:rPr>
                        <w:t xml:space="preserve">                   </w:t>
                      </w:r>
                      <w:r>
                        <w:rPr>
                          <w:rFonts w:hint="eastAsia" w:ascii="宋体" w:hAnsi="宋体" w:eastAsia="宋体" w:cs="宋体"/>
                          <w:b/>
                          <w:i w:val="0"/>
                          <w:iCs w:val="0"/>
                          <w:sz w:val="21"/>
                          <w:szCs w:val="21"/>
                          <w:u w:val="single"/>
                        </w:rPr>
                        <w:t xml:space="preserve">  </w:t>
                      </w:r>
                    </w:p>
                    <w:p w14:paraId="5EF036FB">
                      <w:pPr>
                        <w:pStyle w:val="81"/>
                        <w:shd w:val="clear" w:color="auto" w:fill="auto"/>
                        <w:tabs>
                          <w:tab w:val="left" w:leader="underscore" w:pos="2738"/>
                        </w:tabs>
                        <w:spacing w:before="0" w:line="442" w:lineRule="exact"/>
                        <w:ind w:left="1739" w:leftChars="728" w:hanging="210" w:hangingChars="100"/>
                        <w:jc w:val="both"/>
                        <w:rPr>
                          <w:rFonts w:hint="eastAsia" w:ascii="宋体" w:hAnsi="宋体" w:eastAsia="宋体" w:cs="宋体"/>
                          <w:i w:val="0"/>
                          <w:iCs w:val="0"/>
                          <w:sz w:val="21"/>
                          <w:szCs w:val="21"/>
                        </w:rPr>
                      </w:pPr>
                      <w:r>
                        <w:rPr>
                          <w:rStyle w:val="82"/>
                          <w:rFonts w:hint="eastAsia" w:ascii="宋体" w:hAnsi="宋体" w:eastAsia="宋体" w:cs="宋体"/>
                          <w:i w:val="0"/>
                          <w:iCs w:val="0"/>
                          <w:sz w:val="21"/>
                          <w:szCs w:val="21"/>
                        </w:rPr>
                        <w:t xml:space="preserve"> （盖单位章）</w:t>
                      </w:r>
                    </w:p>
                    <w:p w14:paraId="61C6218D">
                      <w:pPr>
                        <w:pStyle w:val="81"/>
                        <w:shd w:val="clear" w:color="auto" w:fill="auto"/>
                        <w:tabs>
                          <w:tab w:val="left" w:leader="underscore" w:pos="1913"/>
                          <w:tab w:val="left" w:leader="underscore" w:pos="2753"/>
                          <w:tab w:val="left" w:leader="underscore" w:pos="3593"/>
                        </w:tabs>
                        <w:spacing w:before="0" w:line="442" w:lineRule="exact"/>
                        <w:ind w:left="860" w:hanging="860"/>
                        <w:jc w:val="left"/>
                        <w:rPr>
                          <w:rStyle w:val="82"/>
                          <w:rFonts w:hint="eastAsia" w:ascii="宋体" w:hAnsi="宋体" w:eastAsia="宋体" w:cs="宋体"/>
                          <w:i w:val="0"/>
                          <w:iCs w:val="0"/>
                          <w:sz w:val="21"/>
                          <w:szCs w:val="21"/>
                        </w:rPr>
                      </w:pPr>
                      <w:r>
                        <w:rPr>
                          <w:rStyle w:val="82"/>
                          <w:rFonts w:hint="eastAsia" w:ascii="宋体" w:hAnsi="宋体" w:eastAsia="宋体" w:cs="宋体"/>
                          <w:i w:val="0"/>
                          <w:iCs w:val="0"/>
                          <w:sz w:val="21"/>
                          <w:szCs w:val="21"/>
                        </w:rPr>
                        <w:t>定代表人或其委托代理人：</w:t>
                      </w:r>
                      <w:r>
                        <w:rPr>
                          <w:rStyle w:val="82"/>
                          <w:rFonts w:hint="eastAsia" w:ascii="宋体" w:hAnsi="宋体" w:eastAsia="宋体" w:cs="宋体"/>
                          <w:i w:val="0"/>
                          <w:iCs w:val="0"/>
                          <w:sz w:val="21"/>
                          <w:szCs w:val="21"/>
                          <w:u w:val="single"/>
                        </w:rPr>
                        <w:t xml:space="preserve">       </w:t>
                      </w:r>
                      <w:r>
                        <w:rPr>
                          <w:rStyle w:val="82"/>
                          <w:rFonts w:hint="eastAsia" w:ascii="宋体" w:hAnsi="宋体" w:eastAsia="宋体" w:cs="宋体"/>
                          <w:i w:val="0"/>
                          <w:iCs w:val="0"/>
                          <w:sz w:val="21"/>
                          <w:szCs w:val="21"/>
                        </w:rPr>
                        <w:t xml:space="preserve">（签字） </w:t>
                      </w:r>
                    </w:p>
                    <w:p w14:paraId="2A841596">
                      <w:pPr>
                        <w:pStyle w:val="81"/>
                        <w:shd w:val="clear" w:color="auto" w:fill="auto"/>
                        <w:tabs>
                          <w:tab w:val="left" w:leader="underscore" w:pos="1913"/>
                          <w:tab w:val="left" w:leader="underscore" w:pos="2753"/>
                          <w:tab w:val="left" w:leader="underscore" w:pos="3593"/>
                        </w:tabs>
                        <w:wordWrap w:val="0"/>
                        <w:spacing w:before="0" w:line="442" w:lineRule="exact"/>
                        <w:ind w:left="832" w:leftChars="156" w:hanging="504" w:hangingChars="240"/>
                        <w:jc w:val="center"/>
                        <w:rPr>
                          <w:rStyle w:val="82"/>
                          <w:rFonts w:hint="eastAsia" w:ascii="宋体" w:hAnsi="宋体" w:eastAsia="宋体" w:cs="宋体"/>
                          <w:i w:val="0"/>
                          <w:iCs w:val="0"/>
                          <w:sz w:val="21"/>
                          <w:szCs w:val="21"/>
                        </w:rPr>
                      </w:pPr>
                    </w:p>
                    <w:p w14:paraId="4596F1F3">
                      <w:pPr>
                        <w:pStyle w:val="81"/>
                        <w:shd w:val="clear" w:color="auto" w:fill="auto"/>
                        <w:tabs>
                          <w:tab w:val="left" w:leader="underscore" w:pos="1913"/>
                          <w:tab w:val="left" w:leader="underscore" w:pos="2753"/>
                          <w:tab w:val="left" w:leader="underscore" w:pos="3593"/>
                        </w:tabs>
                        <w:wordWrap w:val="0"/>
                        <w:spacing w:before="0" w:line="442" w:lineRule="exact"/>
                        <w:ind w:left="832" w:leftChars="156" w:hanging="504" w:hangingChars="240"/>
                        <w:jc w:val="center"/>
                        <w:rPr>
                          <w:rFonts w:hint="eastAsia" w:ascii="宋体" w:hAnsi="宋体" w:eastAsia="宋体" w:cs="宋体"/>
                          <w:i w:val="0"/>
                          <w:iCs w:val="0"/>
                          <w:sz w:val="21"/>
                          <w:szCs w:val="21"/>
                        </w:rPr>
                      </w:pPr>
                      <w:r>
                        <w:rPr>
                          <w:rStyle w:val="82"/>
                          <w:rFonts w:hint="eastAsia" w:ascii="宋体" w:hAnsi="宋体" w:eastAsia="宋体" w:cs="宋体"/>
                          <w:i w:val="0"/>
                          <w:iCs w:val="0"/>
                          <w:sz w:val="21"/>
                          <w:szCs w:val="21"/>
                        </w:rPr>
                        <w:t xml:space="preserve"> 年</w:t>
                      </w:r>
                      <w:r>
                        <w:rPr>
                          <w:rStyle w:val="82"/>
                          <w:rFonts w:hint="eastAsia" w:ascii="宋体" w:hAnsi="宋体" w:eastAsia="宋体" w:cs="宋体"/>
                          <w:i w:val="0"/>
                          <w:iCs w:val="0"/>
                          <w:sz w:val="21"/>
                          <w:szCs w:val="21"/>
                        </w:rPr>
                        <w:tab/>
                      </w:r>
                      <w:r>
                        <w:rPr>
                          <w:rStyle w:val="82"/>
                          <w:rFonts w:hint="eastAsia" w:ascii="宋体" w:hAnsi="宋体" w:eastAsia="宋体" w:cs="宋体"/>
                          <w:i w:val="0"/>
                          <w:iCs w:val="0"/>
                          <w:sz w:val="21"/>
                          <w:szCs w:val="21"/>
                        </w:rPr>
                        <w:t>月   日</w:t>
                      </w:r>
                    </w:p>
                  </w:txbxContent>
                </v:textbox>
                <w10:wrap type="topAndBottom"/>
              </v:shape>
            </w:pict>
          </mc:Fallback>
        </mc:AlternateContent>
      </w:r>
    </w:p>
    <w:p w14:paraId="62E7C50A">
      <w:pPr>
        <w:keepNext/>
        <w:keepLines/>
        <w:pageBreakBefore w:val="0"/>
        <w:kinsoku/>
        <w:wordWrap w:val="0"/>
        <w:overflowPunct/>
        <w:topLinePunct/>
        <w:autoSpaceDE/>
        <w:autoSpaceDN/>
        <w:bidi w:val="0"/>
        <w:spacing w:before="280" w:after="290" w:line="360" w:lineRule="auto"/>
        <w:ind w:firstLine="281" w:firstLineChars="100"/>
        <w:outlineLvl w:val="3"/>
        <w:rPr>
          <w:rFonts w:hint="eastAsia" w:ascii="宋体" w:hAnsi="宋体" w:eastAsia="宋体" w:cs="宋体"/>
          <w:color w:val="auto"/>
          <w:spacing w:val="0"/>
          <w:sz w:val="28"/>
          <w:szCs w:val="28"/>
          <w:highlight w:val="none"/>
        </w:rPr>
      </w:pPr>
      <w:bookmarkStart w:id="119" w:name="_Toc519586146"/>
      <w:r>
        <w:rPr>
          <w:rFonts w:hint="eastAsia" w:ascii="宋体" w:hAnsi="宋体" w:eastAsia="宋体" w:cs="宋体"/>
          <w:b/>
          <w:bCs/>
          <w:color w:val="auto"/>
          <w:spacing w:val="0"/>
          <w:sz w:val="28"/>
          <w:szCs w:val="28"/>
          <w:highlight w:val="none"/>
        </w:rPr>
        <w:t>附件</w:t>
      </w:r>
      <w:r>
        <w:rPr>
          <w:rFonts w:hint="eastAsia" w:ascii="宋体" w:hAnsi="宋体" w:cs="宋体"/>
          <w:b/>
          <w:bCs/>
          <w:color w:val="auto"/>
          <w:spacing w:val="0"/>
          <w:sz w:val="28"/>
          <w:szCs w:val="28"/>
          <w:highlight w:val="none"/>
          <w:lang w:eastAsia="zh-CN"/>
        </w:rPr>
        <w:t>三</w:t>
      </w:r>
      <w:r>
        <w:rPr>
          <w:rFonts w:hint="eastAsia" w:ascii="宋体" w:hAnsi="宋体" w:eastAsia="宋体" w:cs="宋体"/>
          <w:b/>
          <w:bCs/>
          <w:color w:val="auto"/>
          <w:spacing w:val="0"/>
          <w:sz w:val="28"/>
          <w:szCs w:val="28"/>
          <w:highlight w:val="none"/>
        </w:rPr>
        <w:t xml:space="preserve">  </w:t>
      </w:r>
      <w:bookmarkEnd w:id="119"/>
    </w:p>
    <w:p w14:paraId="18E7A35A">
      <w:pPr>
        <w:keepNext/>
        <w:keepLines/>
        <w:pageBreakBefore w:val="0"/>
        <w:kinsoku/>
        <w:wordWrap w:val="0"/>
        <w:overflowPunct/>
        <w:topLinePunct/>
        <w:autoSpaceDE/>
        <w:autoSpaceDN/>
        <w:bidi w:val="0"/>
        <w:spacing w:after="388" w:line="360" w:lineRule="auto"/>
        <w:jc w:val="center"/>
        <w:outlineLvl w:val="6"/>
        <w:rPr>
          <w:rFonts w:hint="eastAsia" w:ascii="宋体" w:hAnsi="宋体" w:eastAsia="宋体" w:cs="宋体"/>
          <w:b/>
          <w:bCs/>
          <w:color w:val="auto"/>
          <w:spacing w:val="0"/>
          <w:sz w:val="44"/>
          <w:szCs w:val="44"/>
          <w:highlight w:val="none"/>
        </w:rPr>
      </w:pPr>
      <w:r>
        <w:rPr>
          <w:rFonts w:hint="eastAsia" w:ascii="宋体" w:hAnsi="宋体" w:eastAsia="宋体" w:cs="宋体"/>
          <w:b/>
          <w:bCs/>
          <w:color w:val="auto"/>
          <w:spacing w:val="0"/>
          <w:sz w:val="44"/>
          <w:highlight w:val="none"/>
          <w:shd w:val="clear" w:color="auto" w:fill="FFFFFF"/>
          <w:lang w:val="zh-CN"/>
        </w:rPr>
        <w:t>安全生产合同</w:t>
      </w:r>
    </w:p>
    <w:p w14:paraId="7439D2DD">
      <w:pPr>
        <w:pageBreakBefore w:val="0"/>
        <w:tabs>
          <w:tab w:val="left" w:leader="underscore" w:pos="2305"/>
          <w:tab w:val="left" w:leader="underscore" w:pos="4730"/>
        </w:tabs>
        <w:kinsoku/>
        <w:wordWrap w:val="0"/>
        <w:overflowPunct/>
        <w:topLinePunct/>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为在</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highlight w:val="none"/>
          <w:shd w:val="clear" w:color="auto" w:fill="FFFFFF"/>
          <w:lang w:val="zh-CN" w:bidi="zh-CN"/>
        </w:rPr>
        <w:t>施工合同的实施过程中创造安全、高效的施工环境，切实搞好本项目的安全管理工作，本项目发包人（发包人名称，以下简称“发包人”）与承包人</w:t>
      </w:r>
      <w:r>
        <w:rPr>
          <w:rFonts w:hint="eastAsia" w:ascii="宋体" w:hAnsi="宋体" w:eastAsia="宋体" w:cs="宋体"/>
          <w:b/>
          <w:color w:val="auto"/>
          <w:spacing w:val="0"/>
          <w:szCs w:val="21"/>
          <w:highlight w:val="none"/>
          <w:u w:val="single"/>
        </w:rPr>
        <w:t xml:space="preserve">             </w:t>
      </w:r>
      <w:r>
        <w:rPr>
          <w:rFonts w:hint="eastAsia" w:ascii="宋体" w:hAnsi="宋体" w:eastAsia="宋体" w:cs="宋体"/>
          <w:color w:val="auto"/>
          <w:spacing w:val="0"/>
          <w:highlight w:val="none"/>
          <w:shd w:val="clear" w:color="auto" w:fill="FFFFFF"/>
          <w:lang w:val="zh-CN" w:bidi="zh-CN"/>
        </w:rPr>
        <w:t>（承包人名称，以下简称“承包人”）特此签订安全生产合同：</w:t>
      </w:r>
    </w:p>
    <w:p w14:paraId="3D7CB26A">
      <w:pPr>
        <w:keepNext/>
        <w:keepLines/>
        <w:pageBreakBefore w:val="0"/>
        <w:tabs>
          <w:tab w:val="left" w:pos="994"/>
        </w:tabs>
        <w:kinsoku/>
        <w:wordWrap w:val="0"/>
        <w:overflowPunct/>
        <w:topLinePunct/>
        <w:autoSpaceDE/>
        <w:autoSpaceDN/>
        <w:bidi w:val="0"/>
        <w:spacing w:line="360" w:lineRule="auto"/>
        <w:ind w:firstLine="630" w:firstLineChars="300"/>
        <w:outlineLvl w:val="7"/>
        <w:rPr>
          <w:rFonts w:hint="eastAsia" w:ascii="宋体" w:hAnsi="宋体" w:eastAsia="宋体" w:cs="宋体"/>
          <w:bCs/>
          <w:color w:val="auto"/>
          <w:spacing w:val="0"/>
          <w:szCs w:val="21"/>
          <w:highlight w:val="none"/>
        </w:rPr>
      </w:pPr>
      <w:r>
        <w:rPr>
          <w:rFonts w:hint="eastAsia" w:ascii="宋体" w:hAnsi="宋体" w:eastAsia="宋体" w:cs="宋体"/>
          <w:color w:val="auto"/>
          <w:spacing w:val="0"/>
          <w:highlight w:val="none"/>
          <w:lang w:bidi="zh-CN"/>
        </w:rPr>
        <w:t>1、</w:t>
      </w:r>
      <w:r>
        <w:rPr>
          <w:rFonts w:hint="eastAsia" w:ascii="宋体" w:hAnsi="宋体" w:eastAsia="宋体" w:cs="宋体"/>
          <w:color w:val="auto"/>
          <w:spacing w:val="0"/>
          <w:highlight w:val="none"/>
          <w:lang w:val="zh-CN" w:bidi="zh-CN"/>
        </w:rPr>
        <w:t>发包人职责</w:t>
      </w:r>
    </w:p>
    <w:p w14:paraId="49E054C8">
      <w:pPr>
        <w:pageBreakBefore w:val="0"/>
        <w:tabs>
          <w:tab w:val="left" w:pos="1268"/>
        </w:tabs>
        <w:kinsoku/>
        <w:wordWrap w:val="0"/>
        <w:overflowPunct/>
        <w:topLinePunct/>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1）</w:t>
      </w:r>
      <w:r>
        <w:rPr>
          <w:rFonts w:hint="eastAsia" w:ascii="宋体" w:hAnsi="宋体" w:eastAsia="宋体" w:cs="宋体"/>
          <w:color w:val="auto"/>
          <w:spacing w:val="0"/>
          <w:highlight w:val="none"/>
          <w:shd w:val="clear" w:color="auto" w:fill="FFFFFF"/>
          <w:lang w:val="zh-CN" w:bidi="zh-CN"/>
        </w:rPr>
        <w:t>严格遵守国家有关安全生产的法律法规，认真执行工程承包合同中的有 关安全要求。</w:t>
      </w:r>
    </w:p>
    <w:p w14:paraId="3EEDF893">
      <w:pPr>
        <w:pageBreakBefore w:val="0"/>
        <w:tabs>
          <w:tab w:val="left" w:pos="1273"/>
        </w:tabs>
        <w:kinsoku/>
        <w:wordWrap w:val="0"/>
        <w:overflowPunct/>
        <w:topLinePunct/>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2）</w:t>
      </w:r>
      <w:r>
        <w:rPr>
          <w:rFonts w:hint="eastAsia" w:ascii="宋体" w:hAnsi="宋体" w:eastAsia="宋体" w:cs="宋体"/>
          <w:color w:val="auto"/>
          <w:spacing w:val="0"/>
          <w:highlight w:val="none"/>
          <w:shd w:val="clear" w:color="auto" w:fill="FFFFFF"/>
          <w:lang w:val="zh-CN" w:bidi="zh-CN"/>
        </w:rPr>
        <w:t>按照“安全第一、预防为主”和坚持“管生产必须管安全”的原则进行安全 生产管理，做到生产与安全工作同时计划、布置、检查、总结和评比。</w:t>
      </w:r>
    </w:p>
    <w:p w14:paraId="3D7625B8">
      <w:pPr>
        <w:pageBreakBefore w:val="0"/>
        <w:tabs>
          <w:tab w:val="left" w:pos="1263"/>
        </w:tabs>
        <w:kinsoku/>
        <w:wordWrap w:val="0"/>
        <w:overflowPunct/>
        <w:topLinePunct/>
        <w:autoSpaceDE/>
        <w:autoSpaceDN/>
        <w:bidi w:val="0"/>
        <w:spacing w:line="360" w:lineRule="auto"/>
        <w:ind w:left="63"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3）</w:t>
      </w:r>
      <w:r>
        <w:rPr>
          <w:rFonts w:hint="eastAsia" w:ascii="宋体" w:hAnsi="宋体" w:eastAsia="宋体" w:cs="宋体"/>
          <w:color w:val="auto"/>
          <w:spacing w:val="0"/>
          <w:highlight w:val="none"/>
          <w:shd w:val="clear" w:color="auto" w:fill="FFFFFF"/>
          <w:lang w:val="zh-CN" w:bidi="zh-CN"/>
        </w:rPr>
        <w:t>重要的安全设施必须坚持与主体工程“三同时”的原则：同时设计、审批，同时施工，同时验收，投入使用。</w:t>
      </w:r>
    </w:p>
    <w:p w14:paraId="355A2837">
      <w:pPr>
        <w:pageBreakBefore w:val="0"/>
        <w:tabs>
          <w:tab w:val="left" w:pos="1311"/>
        </w:tabs>
        <w:kinsoku/>
        <w:wordWrap w:val="0"/>
        <w:overflowPunct/>
        <w:topLinePunct/>
        <w:autoSpaceDE/>
        <w:autoSpaceDN/>
        <w:bidi w:val="0"/>
        <w:spacing w:line="360" w:lineRule="auto"/>
        <w:ind w:left="63"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4）</w:t>
      </w:r>
      <w:r>
        <w:rPr>
          <w:rFonts w:hint="eastAsia" w:ascii="宋体" w:hAnsi="宋体" w:eastAsia="宋体" w:cs="宋体"/>
          <w:color w:val="auto"/>
          <w:spacing w:val="0"/>
          <w:highlight w:val="none"/>
          <w:shd w:val="clear" w:color="auto" w:fill="FFFFFF"/>
          <w:lang w:val="zh-CN" w:bidi="zh-CN"/>
        </w:rPr>
        <w:t>定期召开安全生产调度会，及时传达中央及地方有关安全生产的精神。</w:t>
      </w:r>
    </w:p>
    <w:p w14:paraId="1D04C693">
      <w:pPr>
        <w:pageBreakBefore w:val="0"/>
        <w:tabs>
          <w:tab w:val="left" w:pos="1273"/>
        </w:tabs>
        <w:kinsoku/>
        <w:wordWrap w:val="0"/>
        <w:overflowPunct/>
        <w:topLinePunct/>
        <w:autoSpaceDE/>
        <w:autoSpaceDN/>
        <w:bidi w:val="0"/>
        <w:spacing w:line="360" w:lineRule="auto"/>
        <w:ind w:left="63"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5）</w:t>
      </w:r>
      <w:r>
        <w:rPr>
          <w:rFonts w:hint="eastAsia" w:ascii="宋体" w:hAnsi="宋体" w:eastAsia="宋体" w:cs="宋体"/>
          <w:color w:val="auto"/>
          <w:spacing w:val="0"/>
          <w:highlight w:val="none"/>
          <w:shd w:val="clear" w:color="auto" w:fill="FFFFFF"/>
          <w:lang w:val="zh-CN" w:bidi="zh-CN"/>
        </w:rPr>
        <w:t>组织对承包人施工现场进行安全生产检查，监督承包人及时处理发现的 各种安全隐患。</w:t>
      </w:r>
    </w:p>
    <w:p w14:paraId="0FD09FCF">
      <w:pPr>
        <w:keepNext/>
        <w:keepLines/>
        <w:pageBreakBefore w:val="0"/>
        <w:tabs>
          <w:tab w:val="left" w:pos="1018"/>
        </w:tabs>
        <w:kinsoku/>
        <w:wordWrap w:val="0"/>
        <w:overflowPunct/>
        <w:topLinePunct/>
        <w:autoSpaceDE/>
        <w:autoSpaceDN/>
        <w:bidi w:val="0"/>
        <w:spacing w:line="360" w:lineRule="auto"/>
        <w:ind w:firstLine="630" w:firstLineChars="300"/>
        <w:outlineLvl w:val="7"/>
        <w:rPr>
          <w:rFonts w:hint="eastAsia" w:ascii="宋体" w:hAnsi="宋体" w:eastAsia="宋体" w:cs="宋体"/>
          <w:bCs/>
          <w:color w:val="auto"/>
          <w:spacing w:val="0"/>
          <w:szCs w:val="21"/>
          <w:highlight w:val="none"/>
        </w:rPr>
      </w:pPr>
      <w:r>
        <w:rPr>
          <w:rFonts w:hint="eastAsia" w:ascii="宋体" w:hAnsi="宋体" w:eastAsia="宋体" w:cs="宋体"/>
          <w:color w:val="auto"/>
          <w:spacing w:val="0"/>
          <w:highlight w:val="none"/>
          <w:lang w:bidi="zh-CN"/>
        </w:rPr>
        <w:t>2、</w:t>
      </w:r>
      <w:r>
        <w:rPr>
          <w:rFonts w:hint="eastAsia" w:ascii="宋体" w:hAnsi="宋体" w:eastAsia="宋体" w:cs="宋体"/>
          <w:color w:val="auto"/>
          <w:spacing w:val="0"/>
          <w:highlight w:val="none"/>
          <w:lang w:val="zh-CN" w:bidi="zh-CN"/>
        </w:rPr>
        <w:t>承包人职责</w:t>
      </w:r>
    </w:p>
    <w:p w14:paraId="5006C70B">
      <w:pPr>
        <w:pageBreakBefore w:val="0"/>
        <w:tabs>
          <w:tab w:val="left" w:pos="1270"/>
        </w:tabs>
        <w:kinsoku/>
        <w:wordWrap w:val="0"/>
        <w:overflowPunct/>
        <w:topLinePunct/>
        <w:autoSpaceDE/>
        <w:autoSpaceDN/>
        <w:bidi w:val="0"/>
        <w:spacing w:line="360" w:lineRule="auto"/>
        <w:ind w:left="176"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1）</w:t>
      </w:r>
      <w:r>
        <w:rPr>
          <w:rFonts w:hint="eastAsia" w:ascii="宋体" w:hAnsi="宋体" w:eastAsia="宋体" w:cs="宋体"/>
          <w:color w:val="auto"/>
          <w:spacing w:val="0"/>
          <w:highlight w:val="none"/>
          <w:shd w:val="clear" w:color="auto" w:fill="FFFFFF"/>
          <w:lang w:val="zh-CN" w:bidi="zh-CN"/>
        </w:rPr>
        <w:t>严格遵守《中华人民共和国安全生产法》、《建设工程安全生产管理条例》 等国家有关安全生产的法律法规、《公路水运工程安全生产监督管理办法》和《公路 工程施工安全技术规范》等有关安全生产的规定。认真执行工程承包合同中的有关 安全要求。</w:t>
      </w:r>
    </w:p>
    <w:p w14:paraId="0C13C2C5">
      <w:pPr>
        <w:pageBreakBefore w:val="0"/>
        <w:tabs>
          <w:tab w:val="left" w:pos="1275"/>
        </w:tabs>
        <w:kinsoku/>
        <w:wordWrap w:val="0"/>
        <w:overflowPunct/>
        <w:topLinePunct/>
        <w:autoSpaceDE/>
        <w:autoSpaceDN/>
        <w:bidi w:val="0"/>
        <w:spacing w:line="360" w:lineRule="auto"/>
        <w:ind w:left="176"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2）</w:t>
      </w:r>
      <w:r>
        <w:rPr>
          <w:rFonts w:hint="eastAsia" w:ascii="宋体" w:hAnsi="宋体" w:eastAsia="宋体" w:cs="宋体"/>
          <w:color w:val="auto"/>
          <w:spacing w:val="0"/>
          <w:highlight w:val="none"/>
          <w:shd w:val="clear" w:color="auto" w:fill="FFFFFF"/>
          <w:lang w:val="zh-CN" w:bidi="zh-CN"/>
        </w:rPr>
        <w:t>坚持“安全第一、预防为主”和“管生产必须管安全”的原则，加强安全生 产宣传教育，增强全员安全生产意识，建立健全各项安全生产的管理机构和安全生 产管理制度，配备专职及兼职安全检查人员，有组织有领导地开展安全生产活动。 各级领导、工程技术人员、生产管理人员和具体操作人员，必须熟悉和遵守本合同 的各项规定，做到生产与安全工作同时计划、布置、检查、总结和评比。</w:t>
      </w:r>
    </w:p>
    <w:p w14:paraId="5435365A">
      <w:pPr>
        <w:pageBreakBefore w:val="0"/>
        <w:tabs>
          <w:tab w:val="left" w:pos="1275"/>
        </w:tabs>
        <w:kinsoku/>
        <w:wordWrap w:val="0"/>
        <w:overflowPunct/>
        <w:topLinePunct/>
        <w:autoSpaceDE/>
        <w:autoSpaceDN/>
        <w:bidi w:val="0"/>
        <w:spacing w:line="360" w:lineRule="auto"/>
        <w:ind w:left="176"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3）</w:t>
      </w:r>
      <w:r>
        <w:rPr>
          <w:rFonts w:hint="eastAsia" w:ascii="宋体" w:hAnsi="宋体" w:eastAsia="宋体" w:cs="宋体"/>
          <w:color w:val="auto"/>
          <w:spacing w:val="0"/>
          <w:highlight w:val="none"/>
          <w:shd w:val="clear" w:color="auto" w:fill="FFFFFF"/>
          <w:lang w:val="zh-CN" w:bidi="zh-CN"/>
        </w:rPr>
        <w:t>建立健全安全生产责任制。从派往项目实施的项目经理到生产工人（包 括临时雇请的民工）的安全生产管理系统必须做到纵向到底，一环不漏；各职能部 门、人员的安全生产责任制做到横向到边，人人有责。项目经理是安全生产的第一 责任人。现场设置的安全机构，应按《公路水运工程安全生产监督管理办法》规定 的最低数量和资质条件配备专职安全生产管理人员，专职负责所有员工的安全和治 安保卫工作及预防事故的发生。安全机构人员有权按有关规定发布指令，并采取保 护性措施防止事故发生。</w:t>
      </w:r>
    </w:p>
    <w:p w14:paraId="67CE4DDE">
      <w:pPr>
        <w:pageBreakBefore w:val="0"/>
        <w:tabs>
          <w:tab w:val="left" w:pos="531"/>
        </w:tabs>
        <w:kinsoku/>
        <w:wordWrap w:val="0"/>
        <w:overflowPunct/>
        <w:topLinePunct/>
        <w:autoSpaceDE/>
        <w:autoSpaceDN/>
        <w:bidi w:val="0"/>
        <w:spacing w:line="360" w:lineRule="auto"/>
        <w:ind w:left="176"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4）</w:t>
      </w:r>
      <w:r>
        <w:rPr>
          <w:rFonts w:hint="eastAsia" w:ascii="宋体" w:hAnsi="宋体" w:eastAsia="宋体" w:cs="宋体"/>
          <w:color w:val="auto"/>
          <w:spacing w:val="0"/>
          <w:highlight w:val="none"/>
          <w:shd w:val="clear" w:color="auto" w:fill="FFFFFF"/>
          <w:lang w:val="zh-CN" w:bidi="zh-CN"/>
        </w:rPr>
        <w:t>承包人在任何时候都应采取各种合理的预防措施，防止其员工发生任何 违法、违禁、暴力或妨碍治安的行为。</w:t>
      </w:r>
    </w:p>
    <w:p w14:paraId="1C45B1E0">
      <w:pPr>
        <w:pageBreakBefore w:val="0"/>
        <w:tabs>
          <w:tab w:val="left" w:pos="1273"/>
        </w:tabs>
        <w:kinsoku/>
        <w:wordWrap w:val="0"/>
        <w:overflowPunct/>
        <w:topLinePunct/>
        <w:autoSpaceDE/>
        <w:autoSpaceDN/>
        <w:bidi w:val="0"/>
        <w:spacing w:line="360" w:lineRule="auto"/>
        <w:ind w:left="176"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5）</w:t>
      </w:r>
      <w:r>
        <w:rPr>
          <w:rFonts w:hint="eastAsia" w:ascii="宋体" w:hAnsi="宋体" w:eastAsia="宋体" w:cs="宋体"/>
          <w:color w:val="auto"/>
          <w:spacing w:val="0"/>
          <w:highlight w:val="none"/>
          <w:shd w:val="clear" w:color="auto" w:fill="FFFFFF"/>
          <w:lang w:val="zh-CN" w:bidi="zh-CN"/>
        </w:rPr>
        <w:t>承包人必须具有劳动安全管理部门颁发的安全生产考核合格证书，参加 施工的人员，必须接受安全技术教育，熟知和遵守本工种的各项安全技术操作规程，定期进行安全技术考核，合格者方准上岗操作。对于从事电气、起重、建筑登高架 设作业、锅炉、压力容器、焊接、机动车船艇驾驶、爆破、潜水、瓦斯检验等特殊 工种的人员，经过专业培训，获得《安全操作合格证》后，方准持证上岗。施工现 场如出现特种作业无证操作现象时，项目经理必须承担管理责任。</w:t>
      </w:r>
    </w:p>
    <w:p w14:paraId="0B27342B">
      <w:pPr>
        <w:pageBreakBefore w:val="0"/>
        <w:tabs>
          <w:tab w:val="left" w:pos="1273"/>
        </w:tabs>
        <w:kinsoku/>
        <w:wordWrap w:val="0"/>
        <w:overflowPunct/>
        <w:topLinePunct/>
        <w:autoSpaceDE/>
        <w:autoSpaceDN/>
        <w:bidi w:val="0"/>
        <w:spacing w:line="360" w:lineRule="auto"/>
        <w:ind w:left="176"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6）</w:t>
      </w:r>
      <w:r>
        <w:rPr>
          <w:rFonts w:hint="eastAsia" w:ascii="宋体" w:hAnsi="宋体" w:eastAsia="宋体" w:cs="宋体"/>
          <w:color w:val="auto"/>
          <w:spacing w:val="0"/>
          <w:highlight w:val="none"/>
          <w:shd w:val="clear" w:color="auto" w:fill="FFFFFF"/>
          <w:lang w:val="zh-CN" w:bidi="zh-CN"/>
        </w:rPr>
        <w:t>对于易燃易爆的材料除应专门妥善保管之外，还应配备有足够的消防设 施，所有施工人员都应熟悉消防设备的性能和使用方法；承包人不得将任何种类的 爆炸物给予、易货或以其他方式转让给任何其他人，或允许、容忍上述同样行为。</w:t>
      </w:r>
    </w:p>
    <w:p w14:paraId="65652600">
      <w:pPr>
        <w:pageBreakBefore w:val="0"/>
        <w:tabs>
          <w:tab w:val="left" w:pos="1261"/>
        </w:tabs>
        <w:kinsoku/>
        <w:wordWrap w:val="0"/>
        <w:overflowPunct/>
        <w:topLinePunct/>
        <w:autoSpaceDE/>
        <w:autoSpaceDN/>
        <w:bidi w:val="0"/>
        <w:spacing w:line="360" w:lineRule="auto"/>
        <w:ind w:left="176"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7）</w:t>
      </w:r>
      <w:r>
        <w:rPr>
          <w:rFonts w:hint="eastAsia" w:ascii="宋体" w:hAnsi="宋体" w:eastAsia="宋体" w:cs="宋体"/>
          <w:color w:val="auto"/>
          <w:spacing w:val="0"/>
          <w:highlight w:val="none"/>
          <w:shd w:val="clear" w:color="auto" w:fill="FFFFFF"/>
          <w:lang w:val="zh-CN" w:bidi="zh-CN"/>
        </w:rPr>
        <w:t>操作人员上岗，必须按规定穿戴防护用品。施工负责人和安全检查员应 随时检查劳动防护用品的穿戴情况，不按规定穿戴防护用品的人员不得上岗。</w:t>
      </w:r>
    </w:p>
    <w:p w14:paraId="61DEF6A5">
      <w:pPr>
        <w:pageBreakBefore w:val="0"/>
        <w:tabs>
          <w:tab w:val="left" w:pos="1273"/>
        </w:tabs>
        <w:kinsoku/>
        <w:wordWrap w:val="0"/>
        <w:overflowPunct/>
        <w:topLinePunct/>
        <w:autoSpaceDE/>
        <w:autoSpaceDN/>
        <w:bidi w:val="0"/>
        <w:spacing w:line="360" w:lineRule="auto"/>
        <w:ind w:left="176"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8）</w:t>
      </w:r>
      <w:r>
        <w:rPr>
          <w:rFonts w:hint="eastAsia" w:ascii="宋体" w:hAnsi="宋体" w:eastAsia="宋体" w:cs="宋体"/>
          <w:color w:val="auto"/>
          <w:spacing w:val="0"/>
          <w:highlight w:val="none"/>
          <w:shd w:val="clear" w:color="auto" w:fill="FFFFFF"/>
          <w:lang w:val="zh-CN" w:bidi="zh-CN"/>
        </w:rPr>
        <w:t>所有施工机具设备和高空作业的设备均应定期检查，并有安全员的签字 记录，保证其经常处于完好状态；不合格的机具、设备和劳动保护用品严禁使用。</w:t>
      </w:r>
    </w:p>
    <w:p w14:paraId="139C9CC3">
      <w:pPr>
        <w:pageBreakBefore w:val="0"/>
        <w:tabs>
          <w:tab w:val="left" w:pos="1270"/>
        </w:tabs>
        <w:kinsoku/>
        <w:wordWrap w:val="0"/>
        <w:overflowPunct/>
        <w:topLinePunct/>
        <w:autoSpaceDE/>
        <w:autoSpaceDN/>
        <w:bidi w:val="0"/>
        <w:spacing w:line="360" w:lineRule="auto"/>
        <w:ind w:left="176"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9）</w:t>
      </w:r>
      <w:r>
        <w:rPr>
          <w:rFonts w:hint="eastAsia" w:ascii="宋体" w:hAnsi="宋体" w:eastAsia="宋体" w:cs="宋体"/>
          <w:color w:val="auto"/>
          <w:spacing w:val="0"/>
          <w:highlight w:val="none"/>
          <w:shd w:val="clear" w:color="auto" w:fill="FFFFFF"/>
          <w:lang w:val="zh-CN" w:bidi="zh-CN"/>
        </w:rPr>
        <w:t>施工中采用新技术、新工艺、新设备、新材料时，必须制定相应的安全 技术措施，施工现场必须具有相关的安全标志牌。</w:t>
      </w:r>
    </w:p>
    <w:p w14:paraId="13E00BD7">
      <w:pPr>
        <w:pageBreakBefore w:val="0"/>
        <w:tabs>
          <w:tab w:val="left" w:pos="1390"/>
        </w:tabs>
        <w:kinsoku/>
        <w:wordWrap w:val="0"/>
        <w:overflowPunct/>
        <w:topLinePunct/>
        <w:autoSpaceDE/>
        <w:autoSpaceDN/>
        <w:bidi w:val="0"/>
        <w:spacing w:line="360" w:lineRule="auto"/>
        <w:ind w:left="176"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10）</w:t>
      </w:r>
      <w:r>
        <w:rPr>
          <w:rFonts w:hint="eastAsia" w:ascii="宋体" w:hAnsi="宋体" w:eastAsia="宋体" w:cs="宋体"/>
          <w:color w:val="auto"/>
          <w:spacing w:val="0"/>
          <w:highlight w:val="none"/>
          <w:shd w:val="clear" w:color="auto" w:fill="FFFFFF"/>
          <w:lang w:val="zh-CN" w:bidi="zh-CN"/>
        </w:rPr>
        <w:t>承包人必须按照本工程项目特点，组织制定本工程实施中的生产安全事 故应急救援预案；如果发生安全事故，应按照《国务院关于特大安全事故行政责任 追究的规定》以及其他有关规定，及时上报有关部门，并坚持“四不放过”的原则，严肃处理相关责任人。</w:t>
      </w:r>
    </w:p>
    <w:p w14:paraId="54F4DBE2">
      <w:pPr>
        <w:pageBreakBefore w:val="0"/>
        <w:tabs>
          <w:tab w:val="left" w:pos="994"/>
        </w:tabs>
        <w:kinsoku/>
        <w:wordWrap w:val="0"/>
        <w:overflowPunct/>
        <w:topLinePunct/>
        <w:autoSpaceDE/>
        <w:autoSpaceDN/>
        <w:bidi w:val="0"/>
        <w:spacing w:line="360" w:lineRule="auto"/>
        <w:ind w:firstLine="420" w:firstLineChars="200"/>
        <w:rPr>
          <w:rFonts w:hint="eastAsia" w:ascii="宋体" w:hAnsi="宋体" w:eastAsia="宋体" w:cs="宋体"/>
          <w:bCs/>
          <w:color w:val="auto"/>
          <w:spacing w:val="0"/>
          <w:szCs w:val="21"/>
          <w:highlight w:val="none"/>
        </w:rPr>
      </w:pPr>
      <w:r>
        <w:rPr>
          <w:rFonts w:hint="eastAsia" w:ascii="宋体" w:hAnsi="宋体" w:eastAsia="宋体" w:cs="宋体"/>
          <w:color w:val="auto"/>
          <w:spacing w:val="0"/>
          <w:highlight w:val="none"/>
          <w:lang w:bidi="zh-CN"/>
        </w:rPr>
        <w:t>3、</w:t>
      </w:r>
      <w:r>
        <w:rPr>
          <w:rFonts w:hint="eastAsia" w:ascii="宋体" w:hAnsi="宋体" w:eastAsia="宋体" w:cs="宋体"/>
          <w:color w:val="auto"/>
          <w:spacing w:val="0"/>
          <w:highlight w:val="none"/>
          <w:lang w:val="zh-CN" w:bidi="zh-CN"/>
        </w:rPr>
        <w:t>违约责任</w:t>
      </w:r>
    </w:p>
    <w:p w14:paraId="4E9F596E">
      <w:pPr>
        <w:pageBreakBefore w:val="0"/>
        <w:kinsoku/>
        <w:wordWrap w:val="0"/>
        <w:overflowPunct/>
        <w:topLinePunct/>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如因发包人或承包人违约造成安全事故，将依法追究责任。</w:t>
      </w:r>
    </w:p>
    <w:p w14:paraId="6B9D19A9">
      <w:pPr>
        <w:pageBreakBefore w:val="0"/>
        <w:tabs>
          <w:tab w:val="left" w:pos="966"/>
        </w:tabs>
        <w:kinsoku/>
        <w:wordWrap w:val="0"/>
        <w:overflowPunct/>
        <w:topLinePunct/>
        <w:autoSpaceDE/>
        <w:autoSpaceDN/>
        <w:bidi w:val="0"/>
        <w:spacing w:line="360" w:lineRule="auto"/>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bidi="zh-CN"/>
        </w:rPr>
        <w:t>4、</w:t>
      </w:r>
      <w:r>
        <w:rPr>
          <w:rFonts w:hint="eastAsia" w:ascii="宋体" w:hAnsi="宋体" w:eastAsia="宋体" w:cs="宋体"/>
          <w:color w:val="auto"/>
          <w:spacing w:val="0"/>
          <w:highlight w:val="none"/>
          <w:shd w:val="clear" w:color="auto" w:fill="FFFFFF"/>
          <w:lang w:val="zh-CN" w:bidi="zh-CN"/>
        </w:rPr>
        <w:t>本合同由双方法定代表人或其授权的代理人签署并加盖单位章后生效，全部工程竣工验收后失效。</w:t>
      </w:r>
    </w:p>
    <w:p w14:paraId="553F39B3">
      <w:pPr>
        <w:pageBreakBefore w:val="0"/>
        <w:tabs>
          <w:tab w:val="left" w:leader="underscore" w:pos="3679"/>
          <w:tab w:val="left" w:leader="underscore" w:pos="7914"/>
        </w:tabs>
        <w:kinsoku/>
        <w:wordWrap w:val="0"/>
        <w:overflowPunct/>
        <w:topLinePunct/>
        <w:autoSpaceDE/>
        <w:autoSpaceDN/>
        <w:bidi w:val="0"/>
        <w:spacing w:line="360" w:lineRule="auto"/>
        <w:ind w:firstLine="420" w:firstLineChars="200"/>
        <w:rPr>
          <w:rFonts w:hint="eastAsia" w:ascii="宋体" w:hAnsi="宋体" w:eastAsia="宋体" w:cs="宋体"/>
          <w:color w:val="auto"/>
          <w:spacing w:val="0"/>
          <w:highlight w:val="none"/>
          <w:shd w:val="clear" w:color="auto" w:fill="FFFFFF"/>
          <w:lang w:val="zh-CN" w:bidi="zh-CN"/>
        </w:rPr>
      </w:pPr>
      <w:r>
        <w:rPr>
          <w:rFonts w:hint="eastAsia" w:ascii="宋体" w:hAnsi="宋体" w:eastAsia="宋体" w:cs="宋体"/>
          <w:color w:val="auto"/>
          <w:spacing w:val="0"/>
          <w:highlight w:val="none"/>
          <w:shd w:val="clear" w:color="auto" w:fill="FFFFFF"/>
          <w:lang w:bidi="zh-CN"/>
        </w:rPr>
        <w:t>5、</w:t>
      </w:r>
      <w:r>
        <w:rPr>
          <w:rFonts w:hint="eastAsia" w:ascii="宋体" w:hAnsi="宋体" w:eastAsia="宋体" w:cs="宋体"/>
          <w:color w:val="auto"/>
          <w:spacing w:val="0"/>
          <w:highlight w:val="none"/>
          <w:shd w:val="clear" w:color="auto" w:fill="FFFFFF"/>
          <w:lang w:val="zh-CN" w:bidi="zh-CN"/>
        </w:rPr>
        <w:t>本合同正本二份、副本</w:t>
      </w:r>
      <w:r>
        <w:rPr>
          <w:rFonts w:hint="eastAsia" w:ascii="宋体" w:hAnsi="宋体" w:eastAsia="宋体" w:cs="宋体"/>
          <w:color w:val="auto"/>
          <w:spacing w:val="0"/>
          <w:highlight w:val="none"/>
          <w:u w:val="single"/>
          <w:shd w:val="clear" w:color="auto" w:fill="FFFFFF"/>
          <w:lang w:bidi="zh-CN"/>
        </w:rPr>
        <w:t xml:space="preserve"> 二 </w:t>
      </w:r>
      <w:r>
        <w:rPr>
          <w:rFonts w:hint="eastAsia" w:ascii="宋体" w:hAnsi="宋体" w:eastAsia="宋体" w:cs="宋体"/>
          <w:color w:val="auto"/>
          <w:spacing w:val="0"/>
          <w:highlight w:val="none"/>
          <w:shd w:val="clear" w:color="auto" w:fill="FFFFFF"/>
          <w:lang w:val="zh-CN" w:bidi="zh-CN"/>
        </w:rPr>
        <w:t>份，合同双方各执正本一份，副本</w:t>
      </w:r>
      <w:r>
        <w:rPr>
          <w:rFonts w:hint="eastAsia" w:ascii="宋体" w:hAnsi="宋体" w:eastAsia="宋体" w:cs="宋体"/>
          <w:color w:val="auto"/>
          <w:spacing w:val="0"/>
          <w:highlight w:val="none"/>
          <w:u w:val="single"/>
          <w:shd w:val="clear" w:color="auto" w:fill="FFFFFF"/>
          <w:lang w:bidi="zh-CN"/>
        </w:rPr>
        <w:t xml:space="preserve">  一 </w:t>
      </w:r>
      <w:r>
        <w:rPr>
          <w:rFonts w:hint="eastAsia" w:ascii="宋体" w:hAnsi="宋体" w:eastAsia="宋体" w:cs="宋体"/>
          <w:color w:val="auto"/>
          <w:spacing w:val="0"/>
          <w:highlight w:val="none"/>
          <w:shd w:val="clear" w:color="auto" w:fill="FFFFFF"/>
          <w:lang w:val="zh-CN" w:bidi="zh-CN"/>
        </w:rPr>
        <w:t>份，当正本与副本的内容不一致时，以正本为准。</w:t>
      </w:r>
    </w:p>
    <w:p w14:paraId="2BF27F63">
      <w:pPr>
        <w:pageBreakBefore w:val="0"/>
        <w:tabs>
          <w:tab w:val="left" w:leader="underscore" w:pos="3679"/>
          <w:tab w:val="left" w:leader="underscore" w:pos="7914"/>
        </w:tabs>
        <w:kinsoku/>
        <w:wordWrap w:val="0"/>
        <w:overflowPunct/>
        <w:topLinePunct/>
        <w:autoSpaceDE/>
        <w:autoSpaceDN/>
        <w:bidi w:val="0"/>
        <w:spacing w:line="360" w:lineRule="auto"/>
        <w:rPr>
          <w:rFonts w:hint="eastAsia" w:ascii="宋体" w:hAnsi="宋体" w:eastAsia="宋体" w:cs="宋体"/>
          <w:b/>
          <w:bCs/>
          <w:color w:val="auto"/>
          <w:spacing w:val="0"/>
          <w:highlight w:val="none"/>
          <w:shd w:val="clear" w:color="auto" w:fill="FFFFFF"/>
          <w:lang w:val="zh-CN" w:bidi="zh-CN"/>
        </w:rPr>
      </w:pPr>
    </w:p>
    <w:p w14:paraId="3F79F3EE">
      <w:pPr>
        <w:pageBreakBefore w:val="0"/>
        <w:tabs>
          <w:tab w:val="left" w:leader="underscore" w:pos="3679"/>
          <w:tab w:val="left" w:leader="underscore" w:pos="7914"/>
        </w:tabs>
        <w:kinsoku/>
        <w:wordWrap w:val="0"/>
        <w:overflowPunct/>
        <w:topLinePunct/>
        <w:autoSpaceDE/>
        <w:autoSpaceDN/>
        <w:bidi w:val="0"/>
        <w:spacing w:line="360" w:lineRule="auto"/>
        <w:rPr>
          <w:rFonts w:hint="eastAsia" w:ascii="宋体" w:hAnsi="宋体" w:eastAsia="宋体" w:cs="宋体"/>
          <w:b/>
          <w:bCs/>
          <w:color w:val="auto"/>
          <w:spacing w:val="0"/>
          <w:highlight w:val="none"/>
          <w:shd w:val="clear" w:color="auto" w:fill="FFFFFF"/>
          <w:lang w:val="zh-CN" w:bidi="zh-CN"/>
        </w:rPr>
      </w:pPr>
    </w:p>
    <w:p w14:paraId="09577990">
      <w:pPr>
        <w:pageBreakBefore w:val="0"/>
        <w:kinsoku/>
        <w:wordWrap w:val="0"/>
        <w:overflowPunct/>
        <w:topLinePunct/>
        <w:autoSpaceDE/>
        <w:autoSpaceDN/>
        <w:bidi w:val="0"/>
        <w:spacing w:line="380" w:lineRule="exact"/>
        <w:ind w:left="5520" w:hanging="5040" w:hangingChars="2400"/>
        <w:jc w:val="left"/>
        <w:rPr>
          <w:rFonts w:hint="eastAsia" w:ascii="宋体" w:hAnsi="宋体" w:eastAsia="宋体" w:cs="宋体"/>
          <w:iCs/>
          <w:color w:val="auto"/>
          <w:spacing w:val="0"/>
          <w:highlight w:val="none"/>
          <w:shd w:val="clear" w:color="auto" w:fill="FFFFFF"/>
          <w:lang w:val="zh-CN"/>
        </w:rPr>
      </w:pPr>
    </w:p>
    <w:p w14:paraId="7CDD05D1">
      <w:pPr>
        <w:pageBreakBefore w:val="0"/>
        <w:kinsoku/>
        <w:wordWrap w:val="0"/>
        <w:overflowPunct/>
        <w:topLinePunct/>
        <w:autoSpaceDE/>
        <w:autoSpaceDN/>
        <w:bidi w:val="0"/>
        <w:spacing w:line="380" w:lineRule="exact"/>
        <w:ind w:left="5520" w:hanging="5040" w:hangingChars="2400"/>
        <w:jc w:val="left"/>
        <w:rPr>
          <w:rFonts w:hint="eastAsia" w:ascii="宋体" w:hAnsi="宋体" w:eastAsia="宋体" w:cs="宋体"/>
          <w:iCs/>
          <w:color w:val="auto"/>
          <w:spacing w:val="0"/>
          <w:highlight w:val="none"/>
          <w:shd w:val="clear" w:color="auto" w:fill="FFFFFF"/>
          <w:lang w:val="zh-CN"/>
        </w:rPr>
      </w:pPr>
    </w:p>
    <w:p w14:paraId="3E2872C6">
      <w:pPr>
        <w:pageBreakBefore w:val="0"/>
        <w:kinsoku/>
        <w:wordWrap w:val="0"/>
        <w:overflowPunct/>
        <w:topLinePunct/>
        <w:autoSpaceDE/>
        <w:autoSpaceDN/>
        <w:bidi w:val="0"/>
        <w:spacing w:line="380" w:lineRule="exact"/>
        <w:ind w:left="5520" w:hanging="5040" w:hangingChars="2400"/>
        <w:jc w:val="left"/>
        <w:rPr>
          <w:rFonts w:hint="eastAsia" w:ascii="宋体" w:hAnsi="宋体" w:eastAsia="宋体" w:cs="宋体"/>
          <w:color w:val="auto"/>
          <w:spacing w:val="0"/>
          <w:highlight w:val="none"/>
          <w:shd w:val="clear" w:color="auto" w:fill="FFFFFF"/>
          <w:lang w:val="zh-CN" w:bidi="zh-CN"/>
        </w:rPr>
      </w:pPr>
      <w:r>
        <w:rPr>
          <w:rFonts w:hint="eastAsia" w:ascii="宋体" w:hAnsi="宋体" w:eastAsia="宋体" w:cs="宋体"/>
          <w:iCs/>
          <w:color w:val="auto"/>
          <w:spacing w:val="0"/>
          <w:highlight w:val="none"/>
          <w:shd w:val="clear" w:color="auto" w:fill="FFFFFF"/>
          <w:lang w:val="zh-CN"/>
        </w:rPr>
        <w:t>发包人：</w:t>
      </w:r>
      <w:r>
        <w:rPr>
          <w:rFonts w:hint="eastAsia" w:ascii="宋体" w:hAnsi="宋体" w:eastAsia="宋体" w:cs="宋体"/>
          <w:b/>
          <w:color w:val="auto"/>
          <w:spacing w:val="0"/>
          <w:szCs w:val="21"/>
          <w:highlight w:val="none"/>
          <w:u w:val="single"/>
          <w:lang w:val="en-US" w:eastAsia="zh-CN"/>
        </w:rPr>
        <w:t xml:space="preserve">                   </w:t>
      </w:r>
      <w:r>
        <w:rPr>
          <w:rFonts w:hint="eastAsia" w:ascii="宋体" w:hAnsi="宋体" w:eastAsia="宋体" w:cs="宋体"/>
          <w:b/>
          <w:color w:val="auto"/>
          <w:spacing w:val="0"/>
          <w:szCs w:val="21"/>
          <w:highlight w:val="none"/>
          <w:u w:val="single"/>
        </w:rPr>
        <w:t xml:space="preserve">  </w:t>
      </w:r>
      <w:r>
        <w:rPr>
          <w:rFonts w:hint="eastAsia" w:ascii="宋体" w:hAnsi="宋体" w:eastAsia="宋体" w:cs="宋体"/>
          <w:color w:val="auto"/>
          <w:spacing w:val="0"/>
          <w:highlight w:val="none"/>
          <w:shd w:val="clear" w:color="auto" w:fill="FFFFFF"/>
          <w:lang w:bidi="zh-CN"/>
        </w:rPr>
        <w:t xml:space="preserve">        </w:t>
      </w:r>
      <w:r>
        <w:rPr>
          <w:rFonts w:hint="eastAsia" w:ascii="宋体" w:hAnsi="宋体" w:eastAsia="宋体" w:cs="宋体"/>
          <w:color w:val="auto"/>
          <w:spacing w:val="0"/>
          <w:highlight w:val="none"/>
          <w:shd w:val="clear" w:color="auto" w:fill="FFFFFF"/>
          <w:lang w:val="zh-CN" w:bidi="zh-CN"/>
        </w:rPr>
        <w:t>承包人：</w:t>
      </w:r>
      <w:r>
        <w:rPr>
          <w:rFonts w:hint="eastAsia" w:ascii="宋体" w:hAnsi="宋体" w:eastAsia="宋体" w:cs="宋体"/>
          <w:b/>
          <w:color w:val="auto"/>
          <w:spacing w:val="0"/>
          <w:szCs w:val="21"/>
          <w:highlight w:val="none"/>
          <w:u w:val="single"/>
        </w:rPr>
        <w:t xml:space="preserve">     </w:t>
      </w:r>
      <w:r>
        <w:rPr>
          <w:rFonts w:hint="eastAsia" w:ascii="宋体" w:hAnsi="宋体" w:eastAsia="宋体" w:cs="宋体"/>
          <w:b/>
          <w:color w:val="auto"/>
          <w:spacing w:val="0"/>
          <w:szCs w:val="21"/>
          <w:highlight w:val="none"/>
          <w:u w:val="single"/>
          <w:lang w:val="en-US" w:eastAsia="zh-CN"/>
        </w:rPr>
        <w:t xml:space="preserve">           </w:t>
      </w:r>
      <w:r>
        <w:rPr>
          <w:rFonts w:hint="eastAsia" w:ascii="宋体" w:hAnsi="宋体" w:eastAsia="宋体" w:cs="宋体"/>
          <w:b/>
          <w:color w:val="auto"/>
          <w:spacing w:val="0"/>
          <w:szCs w:val="21"/>
          <w:highlight w:val="none"/>
          <w:u w:val="single"/>
        </w:rPr>
        <w:t xml:space="preserve">     </w:t>
      </w:r>
      <w:r>
        <w:rPr>
          <w:rFonts w:hint="eastAsia" w:ascii="宋体" w:hAnsi="宋体" w:eastAsia="宋体" w:cs="宋体"/>
          <w:color w:val="auto"/>
          <w:spacing w:val="0"/>
          <w:highlight w:val="none"/>
          <w:shd w:val="clear" w:color="auto" w:fill="FFFFFF"/>
          <w:lang w:val="zh-CN" w:bidi="zh-CN"/>
        </w:rPr>
        <w:t xml:space="preserve"> </w:t>
      </w:r>
    </w:p>
    <w:p w14:paraId="451006B7">
      <w:pPr>
        <w:pageBreakBefore w:val="0"/>
        <w:kinsoku/>
        <w:wordWrap w:val="0"/>
        <w:overflowPunct/>
        <w:topLinePunct/>
        <w:autoSpaceDE/>
        <w:autoSpaceDN/>
        <w:bidi w:val="0"/>
        <w:spacing w:line="380" w:lineRule="exact"/>
        <w:ind w:left="5040" w:hanging="5040" w:hangingChars="2400"/>
        <w:jc w:val="left"/>
        <w:rPr>
          <w:rFonts w:hint="eastAsia" w:ascii="宋体" w:hAnsi="宋体" w:eastAsia="宋体" w:cs="宋体"/>
          <w:color w:val="auto"/>
          <w:spacing w:val="0"/>
          <w:highlight w:val="none"/>
          <w:shd w:val="clear" w:color="auto" w:fill="FFFFFF"/>
          <w:lang w:val="zh-CN" w:bidi="zh-CN"/>
        </w:rPr>
      </w:pPr>
      <w:r>
        <w:rPr>
          <w:rFonts w:hint="eastAsia" w:ascii="宋体" w:hAnsi="宋体" w:eastAsia="宋体" w:cs="宋体"/>
          <w:color w:val="auto"/>
          <w:spacing w:val="0"/>
          <w:highlight w:val="none"/>
          <w:shd w:val="clear" w:color="auto" w:fill="FFFFFF"/>
          <w:lang w:bidi="zh-CN"/>
        </w:rPr>
        <w:t xml:space="preserve">     </w:t>
      </w:r>
      <w:r>
        <w:rPr>
          <w:rFonts w:hint="eastAsia" w:ascii="宋体" w:hAnsi="宋体" w:eastAsia="宋体" w:cs="宋体"/>
          <w:color w:val="auto"/>
          <w:spacing w:val="0"/>
          <w:highlight w:val="none"/>
          <w:shd w:val="clear" w:color="auto" w:fill="FFFFFF"/>
          <w:lang w:val="zh-CN" w:bidi="zh-CN"/>
        </w:rPr>
        <w:t>（盖单位章）</w:t>
      </w:r>
      <w:r>
        <w:rPr>
          <w:rFonts w:hint="eastAsia" w:ascii="宋体" w:hAnsi="宋体" w:eastAsia="宋体" w:cs="宋体"/>
          <w:color w:val="auto"/>
          <w:spacing w:val="0"/>
          <w:highlight w:val="none"/>
          <w:shd w:val="clear" w:color="auto" w:fill="FFFFFF"/>
          <w:lang w:bidi="zh-CN"/>
        </w:rPr>
        <w:t xml:space="preserve">                                            </w:t>
      </w:r>
      <w:r>
        <w:rPr>
          <w:rFonts w:hint="eastAsia" w:ascii="宋体" w:hAnsi="宋体" w:eastAsia="宋体" w:cs="宋体"/>
          <w:color w:val="auto"/>
          <w:spacing w:val="0"/>
          <w:highlight w:val="none"/>
          <w:shd w:val="clear" w:color="auto" w:fill="FFFFFF"/>
          <w:lang w:val="zh-CN" w:bidi="zh-CN"/>
        </w:rPr>
        <w:t>（盖单位章）</w:t>
      </w:r>
    </w:p>
    <w:p w14:paraId="333BB75E">
      <w:pPr>
        <w:pageBreakBefore w:val="0"/>
        <w:kinsoku/>
        <w:wordWrap w:val="0"/>
        <w:overflowPunct/>
        <w:topLinePunct/>
        <w:autoSpaceDE/>
        <w:autoSpaceDN/>
        <w:bidi w:val="0"/>
        <w:spacing w:line="380" w:lineRule="exact"/>
        <w:ind w:left="5040" w:hanging="5040" w:hangingChars="2400"/>
        <w:jc w:val="left"/>
        <w:rPr>
          <w:rFonts w:hint="eastAsia" w:ascii="宋体" w:hAnsi="宋体" w:eastAsia="宋体" w:cs="宋体"/>
          <w:color w:val="auto"/>
          <w:spacing w:val="0"/>
          <w:highlight w:val="none"/>
          <w:shd w:val="clear" w:color="auto" w:fill="FFFFFF"/>
          <w:lang w:val="zh-CN" w:bidi="zh-CN"/>
        </w:rPr>
      </w:pPr>
    </w:p>
    <w:p w14:paraId="556F27BA">
      <w:pPr>
        <w:pageBreakBefore w:val="0"/>
        <w:kinsoku/>
        <w:wordWrap w:val="0"/>
        <w:overflowPunct/>
        <w:topLinePunct/>
        <w:autoSpaceDE/>
        <w:autoSpaceDN/>
        <w:bidi w:val="0"/>
        <w:spacing w:line="380" w:lineRule="exact"/>
        <w:ind w:left="5040" w:hanging="5040" w:hangingChars="2400"/>
        <w:jc w:val="left"/>
        <w:rPr>
          <w:rFonts w:hint="eastAsia" w:ascii="宋体" w:hAnsi="宋体" w:eastAsia="宋体" w:cs="宋体"/>
          <w:color w:val="auto"/>
          <w:spacing w:val="0"/>
          <w:highlight w:val="none"/>
          <w:shd w:val="clear" w:color="auto" w:fill="FFFFFF"/>
          <w:lang w:val="zh-CN" w:bidi="zh-CN"/>
        </w:rPr>
      </w:pPr>
    </w:p>
    <w:p w14:paraId="38932E5D">
      <w:pPr>
        <w:pageBreakBefore w:val="0"/>
        <w:tabs>
          <w:tab w:val="left" w:leader="underscore" w:pos="1913"/>
          <w:tab w:val="left" w:leader="underscore" w:pos="2747"/>
          <w:tab w:val="left" w:leader="underscore" w:pos="3679"/>
          <w:tab w:val="left" w:pos="5508"/>
          <w:tab w:val="left" w:leader="underscore" w:pos="6593"/>
          <w:tab w:val="left" w:leader="underscore" w:pos="7408"/>
          <w:tab w:val="left" w:leader="underscore" w:pos="8273"/>
        </w:tabs>
        <w:kinsoku/>
        <w:wordWrap w:val="0"/>
        <w:overflowPunct/>
        <w:topLinePunct/>
        <w:autoSpaceDE/>
        <w:autoSpaceDN/>
        <w:bidi w:val="0"/>
        <w:spacing w:line="360" w:lineRule="auto"/>
        <w:jc w:val="left"/>
        <w:rPr>
          <w:rFonts w:hint="eastAsia" w:ascii="宋体" w:hAnsi="宋体" w:eastAsia="宋体" w:cs="宋体"/>
          <w:color w:val="auto"/>
          <w:spacing w:val="0"/>
          <w:highlight w:val="none"/>
          <w:shd w:val="clear" w:color="auto" w:fill="FFFFFF"/>
          <w:lang w:val="zh-CN" w:bidi="zh-CN"/>
        </w:rPr>
      </w:pPr>
      <w:r>
        <w:rPr>
          <w:rFonts w:hint="eastAsia" w:ascii="宋体" w:hAnsi="宋体" w:eastAsia="宋体" w:cs="宋体"/>
          <w:color w:val="auto"/>
          <w:spacing w:val="0"/>
          <w:highlight w:val="none"/>
          <w:shd w:val="clear" w:color="auto" w:fill="FFFFFF"/>
          <w:lang w:val="zh-CN" w:bidi="zh-CN"/>
        </w:rPr>
        <w:t>法定代表人或其委托代理人：</w:t>
      </w:r>
      <w:r>
        <w:rPr>
          <w:rFonts w:hint="eastAsia" w:ascii="宋体" w:hAnsi="宋体" w:eastAsia="宋体" w:cs="宋体"/>
          <w:color w:val="auto"/>
          <w:spacing w:val="0"/>
          <w:highlight w:val="none"/>
          <w:u w:val="single"/>
          <w:shd w:val="clear" w:color="auto" w:fill="FFFFFF"/>
          <w:lang w:val="zh-CN" w:bidi="zh-CN"/>
        </w:rPr>
        <w:t xml:space="preserve">    </w:t>
      </w:r>
      <w:r>
        <w:rPr>
          <w:rFonts w:hint="eastAsia" w:ascii="宋体" w:hAnsi="宋体" w:eastAsia="宋体" w:cs="宋体"/>
          <w:color w:val="auto"/>
          <w:spacing w:val="0"/>
          <w:highlight w:val="none"/>
          <w:u w:val="single"/>
          <w:shd w:val="clear" w:color="auto" w:fill="FFFFFF"/>
          <w:lang w:bidi="zh-CN"/>
        </w:rPr>
        <w:t xml:space="preserve">  </w:t>
      </w:r>
      <w:r>
        <w:rPr>
          <w:rFonts w:hint="eastAsia" w:ascii="宋体" w:hAnsi="宋体" w:eastAsia="宋体" w:cs="宋体"/>
          <w:color w:val="auto"/>
          <w:spacing w:val="0"/>
          <w:highlight w:val="none"/>
          <w:u w:val="single"/>
          <w:shd w:val="clear" w:color="auto" w:fill="FFFFFF"/>
          <w:lang w:val="zh-CN" w:bidi="zh-CN"/>
        </w:rPr>
        <w:t>（</w:t>
      </w:r>
      <w:r>
        <w:rPr>
          <w:rFonts w:hint="eastAsia" w:ascii="宋体" w:hAnsi="宋体" w:eastAsia="宋体" w:cs="宋体"/>
          <w:color w:val="auto"/>
          <w:spacing w:val="0"/>
          <w:highlight w:val="none"/>
          <w:shd w:val="clear" w:color="auto" w:fill="FFFFFF"/>
          <w:lang w:val="zh-CN" w:bidi="zh-CN"/>
        </w:rPr>
        <w:t>签字）    法定代表人或其委托代理人：</w:t>
      </w:r>
      <w:r>
        <w:rPr>
          <w:rFonts w:hint="eastAsia" w:ascii="宋体" w:hAnsi="宋体" w:eastAsia="宋体" w:cs="宋体"/>
          <w:color w:val="auto"/>
          <w:spacing w:val="0"/>
          <w:highlight w:val="none"/>
          <w:u w:val="single"/>
          <w:shd w:val="clear" w:color="auto" w:fill="FFFFFF"/>
          <w:lang w:bidi="zh-CN"/>
        </w:rPr>
        <w:t xml:space="preserve">         </w:t>
      </w:r>
      <w:r>
        <w:rPr>
          <w:rFonts w:hint="eastAsia" w:ascii="宋体" w:hAnsi="宋体" w:eastAsia="宋体" w:cs="宋体"/>
          <w:color w:val="auto"/>
          <w:spacing w:val="0"/>
          <w:highlight w:val="none"/>
          <w:shd w:val="clear" w:color="auto" w:fill="FFFFFF"/>
          <w:lang w:val="zh-CN" w:bidi="zh-CN"/>
        </w:rPr>
        <w:t xml:space="preserve">（签字） </w:t>
      </w:r>
    </w:p>
    <w:p w14:paraId="599A6E85">
      <w:pPr>
        <w:pageBreakBefore w:val="0"/>
        <w:tabs>
          <w:tab w:val="left" w:leader="underscore" w:pos="1913"/>
          <w:tab w:val="left" w:leader="underscore" w:pos="2747"/>
          <w:tab w:val="left" w:leader="underscore" w:pos="3679"/>
          <w:tab w:val="left" w:pos="5508"/>
          <w:tab w:val="left" w:leader="underscore" w:pos="6593"/>
          <w:tab w:val="left" w:leader="underscore" w:pos="7408"/>
          <w:tab w:val="left" w:leader="underscore" w:pos="8273"/>
        </w:tabs>
        <w:kinsoku/>
        <w:wordWrap w:val="0"/>
        <w:overflowPunct/>
        <w:topLinePunct/>
        <w:autoSpaceDE/>
        <w:autoSpaceDN/>
        <w:bidi w:val="0"/>
        <w:spacing w:line="360" w:lineRule="auto"/>
        <w:jc w:val="left"/>
        <w:rPr>
          <w:rFonts w:hint="eastAsia" w:ascii="宋体" w:hAnsi="宋体" w:eastAsia="宋体" w:cs="宋体"/>
          <w:color w:val="auto"/>
          <w:spacing w:val="0"/>
          <w:highlight w:val="none"/>
          <w:shd w:val="clear" w:color="auto" w:fill="FFFFFF"/>
          <w:lang w:val="zh-CN" w:bidi="zh-CN"/>
        </w:rPr>
      </w:pPr>
    </w:p>
    <w:p w14:paraId="4AC0E3E8">
      <w:pPr>
        <w:pageBreakBefore w:val="0"/>
        <w:tabs>
          <w:tab w:val="left" w:leader="underscore" w:pos="1913"/>
          <w:tab w:val="left" w:leader="underscore" w:pos="2747"/>
          <w:tab w:val="left" w:leader="underscore" w:pos="3679"/>
          <w:tab w:val="left" w:pos="5508"/>
          <w:tab w:val="left" w:leader="underscore" w:pos="6593"/>
          <w:tab w:val="left" w:leader="underscore" w:pos="7408"/>
          <w:tab w:val="left" w:leader="underscore" w:pos="8273"/>
        </w:tabs>
        <w:kinsoku/>
        <w:wordWrap w:val="0"/>
        <w:overflowPunct/>
        <w:topLinePunct/>
        <w:autoSpaceDE/>
        <w:autoSpaceDN/>
        <w:bidi w:val="0"/>
        <w:spacing w:line="360" w:lineRule="auto"/>
        <w:jc w:val="left"/>
        <w:rPr>
          <w:rFonts w:hint="eastAsia" w:ascii="宋体" w:hAnsi="宋体" w:eastAsia="宋体" w:cs="宋体"/>
          <w:color w:val="auto"/>
          <w:spacing w:val="0"/>
          <w:highlight w:val="none"/>
          <w:shd w:val="clear" w:color="auto" w:fill="FFFFFF"/>
          <w:lang w:val="zh-CN" w:bidi="zh-CN"/>
        </w:rPr>
      </w:pPr>
      <w:r>
        <w:rPr>
          <w:rFonts w:hint="eastAsia" w:ascii="宋体" w:hAnsi="宋体" w:eastAsia="宋体" w:cs="宋体"/>
          <w:color w:val="auto"/>
          <w:spacing w:val="0"/>
          <w:highlight w:val="none"/>
          <w:shd w:val="clear" w:color="auto" w:fill="FFFFFF"/>
          <w:lang w:val="zh-CN" w:bidi="zh-CN"/>
        </w:rPr>
        <w:tab/>
      </w:r>
      <w:r>
        <w:rPr>
          <w:rFonts w:hint="eastAsia" w:ascii="宋体" w:hAnsi="宋体" w:eastAsia="宋体" w:cs="宋体"/>
          <w:color w:val="auto"/>
          <w:spacing w:val="0"/>
          <w:highlight w:val="none"/>
          <w:shd w:val="clear" w:color="auto" w:fill="FFFFFF"/>
          <w:lang w:val="zh-CN" w:bidi="zh-CN"/>
        </w:rPr>
        <w:t>年</w:t>
      </w:r>
      <w:r>
        <w:rPr>
          <w:rFonts w:hint="eastAsia" w:ascii="宋体" w:hAnsi="宋体" w:eastAsia="宋体" w:cs="宋体"/>
          <w:color w:val="auto"/>
          <w:spacing w:val="0"/>
          <w:highlight w:val="none"/>
          <w:shd w:val="clear" w:color="auto" w:fill="FFFFFF"/>
          <w:lang w:val="zh-CN" w:bidi="zh-CN"/>
        </w:rPr>
        <w:tab/>
      </w:r>
      <w:r>
        <w:rPr>
          <w:rFonts w:hint="eastAsia" w:ascii="宋体" w:hAnsi="宋体" w:eastAsia="宋体" w:cs="宋体"/>
          <w:color w:val="auto"/>
          <w:spacing w:val="0"/>
          <w:highlight w:val="none"/>
          <w:shd w:val="clear" w:color="auto" w:fill="FFFFFF"/>
          <w:lang w:val="zh-CN" w:bidi="zh-CN"/>
        </w:rPr>
        <w:t>月</w:t>
      </w:r>
      <w:r>
        <w:rPr>
          <w:rFonts w:hint="eastAsia" w:ascii="宋体" w:hAnsi="宋体" w:eastAsia="宋体" w:cs="宋体"/>
          <w:color w:val="auto"/>
          <w:spacing w:val="0"/>
          <w:highlight w:val="none"/>
          <w:shd w:val="clear" w:color="auto" w:fill="FFFFFF"/>
          <w:lang w:val="zh-CN" w:bidi="zh-CN"/>
        </w:rPr>
        <w:tab/>
      </w:r>
      <w:r>
        <w:rPr>
          <w:rFonts w:hint="eastAsia" w:ascii="宋体" w:hAnsi="宋体" w:eastAsia="宋体" w:cs="宋体"/>
          <w:color w:val="auto"/>
          <w:spacing w:val="0"/>
          <w:highlight w:val="none"/>
          <w:shd w:val="clear" w:color="auto" w:fill="FFFFFF"/>
          <w:lang w:val="zh-CN" w:bidi="zh-CN"/>
        </w:rPr>
        <w:t>日</w:t>
      </w:r>
      <w:r>
        <w:rPr>
          <w:rFonts w:hint="eastAsia" w:ascii="宋体" w:hAnsi="宋体" w:eastAsia="宋体" w:cs="宋体"/>
          <w:color w:val="auto"/>
          <w:spacing w:val="0"/>
          <w:highlight w:val="none"/>
          <w:shd w:val="clear" w:color="auto" w:fill="FFFFFF"/>
          <w:lang w:val="zh-CN" w:bidi="zh-CN"/>
        </w:rPr>
        <w:tab/>
      </w:r>
      <w:r>
        <w:rPr>
          <w:rFonts w:hint="eastAsia" w:ascii="宋体" w:hAnsi="宋体" w:eastAsia="宋体" w:cs="宋体"/>
          <w:color w:val="auto"/>
          <w:spacing w:val="0"/>
          <w:highlight w:val="none"/>
          <w:shd w:val="clear" w:color="auto" w:fill="FFFFFF"/>
          <w:lang w:val="zh-CN" w:bidi="zh-CN"/>
        </w:rPr>
        <w:tab/>
      </w:r>
      <w:r>
        <w:rPr>
          <w:rFonts w:hint="eastAsia" w:ascii="宋体" w:hAnsi="宋体" w:eastAsia="宋体" w:cs="宋体"/>
          <w:color w:val="auto"/>
          <w:spacing w:val="0"/>
          <w:highlight w:val="none"/>
          <w:shd w:val="clear" w:color="auto" w:fill="FFFFFF"/>
          <w:lang w:val="zh-CN" w:bidi="zh-CN"/>
        </w:rPr>
        <w:t>年</w:t>
      </w:r>
      <w:r>
        <w:rPr>
          <w:rFonts w:hint="eastAsia" w:ascii="宋体" w:hAnsi="宋体" w:eastAsia="宋体" w:cs="宋体"/>
          <w:color w:val="auto"/>
          <w:spacing w:val="0"/>
          <w:highlight w:val="none"/>
          <w:shd w:val="clear" w:color="auto" w:fill="FFFFFF"/>
          <w:lang w:val="zh-CN" w:bidi="zh-CN"/>
        </w:rPr>
        <w:tab/>
      </w:r>
      <w:r>
        <w:rPr>
          <w:rFonts w:hint="eastAsia" w:ascii="宋体" w:hAnsi="宋体" w:eastAsia="宋体" w:cs="宋体"/>
          <w:color w:val="auto"/>
          <w:spacing w:val="0"/>
          <w:highlight w:val="none"/>
          <w:shd w:val="clear" w:color="auto" w:fill="FFFFFF"/>
          <w:lang w:val="zh-CN" w:bidi="zh-CN"/>
        </w:rPr>
        <w:t>月</w:t>
      </w:r>
      <w:r>
        <w:rPr>
          <w:rFonts w:hint="eastAsia" w:ascii="宋体" w:hAnsi="宋体" w:eastAsia="宋体" w:cs="宋体"/>
          <w:color w:val="auto"/>
          <w:spacing w:val="0"/>
          <w:highlight w:val="none"/>
          <w:shd w:val="clear" w:color="auto" w:fill="FFFFFF"/>
          <w:lang w:val="zh-CN" w:bidi="zh-CN"/>
        </w:rPr>
        <w:tab/>
      </w:r>
      <w:r>
        <w:rPr>
          <w:rFonts w:hint="eastAsia" w:ascii="宋体" w:hAnsi="宋体" w:eastAsia="宋体" w:cs="宋体"/>
          <w:color w:val="auto"/>
          <w:spacing w:val="0"/>
          <w:highlight w:val="none"/>
          <w:shd w:val="clear" w:color="auto" w:fill="FFFFFF"/>
          <w:lang w:val="zh-CN" w:bidi="zh-CN"/>
        </w:rPr>
        <w:t>日</w:t>
      </w:r>
    </w:p>
    <w:p w14:paraId="4A4D9E1A">
      <w:pPr>
        <w:pageBreakBefore w:val="0"/>
        <w:tabs>
          <w:tab w:val="left" w:leader="underscore" w:pos="1913"/>
          <w:tab w:val="left" w:leader="underscore" w:pos="2747"/>
          <w:tab w:val="left" w:leader="underscore" w:pos="3679"/>
          <w:tab w:val="left" w:pos="5508"/>
          <w:tab w:val="left" w:leader="underscore" w:pos="6593"/>
          <w:tab w:val="left" w:leader="underscore" w:pos="7408"/>
          <w:tab w:val="left" w:leader="underscore" w:pos="8273"/>
        </w:tabs>
        <w:kinsoku/>
        <w:wordWrap w:val="0"/>
        <w:overflowPunct/>
        <w:topLinePunct/>
        <w:autoSpaceDE/>
        <w:autoSpaceDN/>
        <w:bidi w:val="0"/>
        <w:spacing w:line="360" w:lineRule="auto"/>
        <w:jc w:val="left"/>
        <w:rPr>
          <w:rFonts w:hint="eastAsia" w:ascii="宋体" w:hAnsi="宋体" w:eastAsia="宋体" w:cs="宋体"/>
          <w:color w:val="auto"/>
          <w:spacing w:val="0"/>
          <w:highlight w:val="none"/>
          <w:shd w:val="clear" w:color="auto" w:fill="FFFFFF"/>
          <w:lang w:val="zh-CN" w:bidi="zh-CN"/>
        </w:rPr>
      </w:pPr>
    </w:p>
    <w:p w14:paraId="51F86FF7">
      <w:pPr>
        <w:keepNext/>
        <w:keepLines/>
        <w:pageBreakBefore w:val="0"/>
        <w:kinsoku/>
        <w:wordWrap w:val="0"/>
        <w:overflowPunct/>
        <w:topLinePunct/>
        <w:autoSpaceDE/>
        <w:autoSpaceDN/>
        <w:bidi w:val="0"/>
        <w:spacing w:before="280" w:after="290" w:line="360" w:lineRule="auto"/>
        <w:ind w:firstLine="281" w:firstLineChars="100"/>
        <w:outlineLvl w:val="3"/>
        <w:rPr>
          <w:rFonts w:hint="eastAsia" w:ascii="宋体" w:hAnsi="宋体" w:eastAsia="宋体" w:cs="宋体"/>
          <w:b/>
          <w:bCs/>
          <w:color w:val="auto"/>
          <w:spacing w:val="0"/>
          <w:sz w:val="28"/>
          <w:szCs w:val="28"/>
          <w:highlight w:val="none"/>
        </w:rPr>
        <w:sectPr>
          <w:pgSz w:w="11906" w:h="16838"/>
          <w:pgMar w:top="1440" w:right="1080" w:bottom="1440" w:left="1080" w:header="567" w:footer="567" w:gutter="567"/>
          <w:pgNumType w:fmt="decimal"/>
          <w:cols w:space="0" w:num="1"/>
          <w:docGrid w:type="lines" w:linePitch="312" w:charSpace="0"/>
        </w:sectPr>
      </w:pPr>
      <w:bookmarkStart w:id="120" w:name="_Toc519586147"/>
      <w:bookmarkStart w:id="121" w:name="_Toc394929419"/>
    </w:p>
    <w:p w14:paraId="29F1B41F">
      <w:pPr>
        <w:keepNext/>
        <w:keepLines/>
        <w:pageBreakBefore w:val="0"/>
        <w:kinsoku/>
        <w:wordWrap w:val="0"/>
        <w:overflowPunct/>
        <w:topLinePunct/>
        <w:autoSpaceDE/>
        <w:autoSpaceDN/>
        <w:bidi w:val="0"/>
        <w:spacing w:before="280" w:after="290" w:line="360" w:lineRule="auto"/>
        <w:ind w:firstLine="281" w:firstLineChars="100"/>
        <w:outlineLvl w:val="3"/>
        <w:rPr>
          <w:rFonts w:hint="eastAsia" w:ascii="宋体" w:hAnsi="宋体" w:eastAsia="宋体" w:cs="宋体"/>
          <w:b/>
          <w:bCs/>
          <w:color w:val="auto"/>
          <w:spacing w:val="0"/>
          <w:sz w:val="28"/>
          <w:szCs w:val="28"/>
          <w:highlight w:val="none"/>
        </w:rPr>
      </w:pPr>
      <w:r>
        <w:rPr>
          <w:rFonts w:hint="eastAsia" w:ascii="宋体" w:hAnsi="宋体" w:eastAsia="宋体" w:cs="宋体"/>
          <w:b/>
          <w:bCs/>
          <w:color w:val="auto"/>
          <w:spacing w:val="0"/>
          <w:sz w:val="28"/>
          <w:szCs w:val="28"/>
          <w:highlight w:val="none"/>
        </w:rPr>
        <w:t>附件</w:t>
      </w:r>
      <w:r>
        <w:rPr>
          <w:rFonts w:hint="eastAsia" w:ascii="宋体" w:hAnsi="宋体" w:cs="宋体"/>
          <w:b/>
          <w:bCs/>
          <w:color w:val="auto"/>
          <w:spacing w:val="0"/>
          <w:sz w:val="28"/>
          <w:szCs w:val="28"/>
          <w:highlight w:val="none"/>
          <w:lang w:eastAsia="zh-CN"/>
        </w:rPr>
        <w:t>四</w:t>
      </w:r>
      <w:r>
        <w:rPr>
          <w:rFonts w:hint="eastAsia" w:ascii="宋体" w:hAnsi="宋体" w:eastAsia="宋体" w:cs="宋体"/>
          <w:b/>
          <w:bCs/>
          <w:color w:val="auto"/>
          <w:spacing w:val="0"/>
          <w:sz w:val="28"/>
          <w:szCs w:val="28"/>
          <w:highlight w:val="none"/>
        </w:rPr>
        <w:t xml:space="preserve">  </w:t>
      </w:r>
    </w:p>
    <w:p w14:paraId="3C30100C">
      <w:pPr>
        <w:pStyle w:val="76"/>
        <w:keepNext/>
        <w:keepLines/>
        <w:pageBreakBefore w:val="0"/>
        <w:kinsoku/>
        <w:wordWrap w:val="0"/>
        <w:overflowPunct/>
        <w:topLinePunct/>
        <w:autoSpaceDE/>
        <w:autoSpaceDN/>
        <w:bidi w:val="0"/>
        <w:spacing w:line="600" w:lineRule="auto"/>
        <w:ind w:right="20"/>
        <w:jc w:val="center"/>
        <w:outlineLvl w:val="6"/>
        <w:rPr>
          <w:rStyle w:val="33"/>
          <w:rFonts w:hint="eastAsia" w:ascii="宋体" w:hAnsi="宋体" w:eastAsia="宋体" w:cs="宋体"/>
          <w:color w:val="auto"/>
          <w:spacing w:val="0"/>
          <w:kern w:val="0"/>
          <w:sz w:val="24"/>
          <w:szCs w:val="24"/>
          <w:highlight w:val="none"/>
        </w:rPr>
      </w:pPr>
      <w:bookmarkStart w:id="122" w:name="bookmark197"/>
      <w:bookmarkEnd w:id="122"/>
      <w:r>
        <w:rPr>
          <w:rStyle w:val="33"/>
          <w:rFonts w:hint="eastAsia" w:ascii="宋体" w:hAnsi="宋体" w:eastAsia="宋体" w:cs="宋体"/>
          <w:color w:val="auto"/>
          <w:spacing w:val="0"/>
          <w:kern w:val="0"/>
          <w:sz w:val="26"/>
          <w:szCs w:val="26"/>
          <w:highlight w:val="none"/>
          <w:u w:val="single"/>
          <w:shd w:val="clear" w:color="auto" w:fill="FFFFFF"/>
          <w:lang w:eastAsia="zh-CN"/>
        </w:rPr>
        <w:t>（</w:t>
      </w:r>
      <w:r>
        <w:rPr>
          <w:rStyle w:val="33"/>
          <w:rFonts w:hint="eastAsia" w:ascii="宋体" w:hAnsi="宋体" w:eastAsia="宋体" w:cs="宋体"/>
          <w:color w:val="auto"/>
          <w:spacing w:val="0"/>
          <w:kern w:val="0"/>
          <w:sz w:val="24"/>
          <w:szCs w:val="24"/>
          <w:highlight w:val="none"/>
          <w:u w:val="single"/>
          <w:shd w:val="clear" w:color="auto" w:fill="FFFFFF"/>
        </w:rPr>
        <w:t>承包人全称）</w:t>
      </w:r>
    </w:p>
    <w:p w14:paraId="51C90DC4">
      <w:pPr>
        <w:pStyle w:val="76"/>
        <w:keepNext/>
        <w:keepLines/>
        <w:pageBreakBefore w:val="0"/>
        <w:kinsoku/>
        <w:wordWrap w:val="0"/>
        <w:overflowPunct/>
        <w:topLinePunct/>
        <w:autoSpaceDE/>
        <w:autoSpaceDN/>
        <w:bidi w:val="0"/>
        <w:spacing w:after="774" w:line="600" w:lineRule="auto"/>
        <w:ind w:right="20"/>
        <w:jc w:val="center"/>
        <w:outlineLvl w:val="6"/>
        <w:rPr>
          <w:rStyle w:val="33"/>
          <w:rFonts w:hint="eastAsia" w:ascii="宋体" w:hAnsi="宋体" w:eastAsia="宋体" w:cs="宋体"/>
          <w:color w:val="auto"/>
          <w:spacing w:val="0"/>
          <w:kern w:val="0"/>
          <w:sz w:val="24"/>
          <w:szCs w:val="24"/>
          <w:highlight w:val="none"/>
        </w:rPr>
      </w:pPr>
      <w:r>
        <w:rPr>
          <w:rStyle w:val="33"/>
          <w:rFonts w:hint="eastAsia" w:ascii="宋体" w:hAnsi="宋体" w:eastAsia="宋体" w:cs="宋体"/>
          <w:color w:val="auto"/>
          <w:spacing w:val="0"/>
          <w:kern w:val="0"/>
          <w:sz w:val="24"/>
          <w:szCs w:val="24"/>
          <w:highlight w:val="none"/>
          <w:u w:val="single"/>
          <w:shd w:val="clear" w:color="auto" w:fill="FFFFFF"/>
          <w:lang w:eastAsia="zh-CN"/>
        </w:rPr>
        <w:t>（</w:t>
      </w:r>
      <w:r>
        <w:rPr>
          <w:rStyle w:val="33"/>
          <w:rFonts w:hint="eastAsia" w:ascii="宋体" w:hAnsi="宋体" w:eastAsia="宋体" w:cs="宋体"/>
          <w:color w:val="auto"/>
          <w:spacing w:val="0"/>
          <w:kern w:val="0"/>
          <w:sz w:val="24"/>
          <w:szCs w:val="24"/>
          <w:highlight w:val="none"/>
          <w:u w:val="single"/>
          <w:shd w:val="clear" w:color="auto" w:fill="FFFFFF"/>
        </w:rPr>
        <w:t>合同工程名称）</w:t>
      </w:r>
      <w:r>
        <w:rPr>
          <w:rStyle w:val="33"/>
          <w:rFonts w:hint="eastAsia" w:ascii="宋体" w:hAnsi="宋体" w:eastAsia="宋体" w:cs="宋体"/>
          <w:color w:val="auto"/>
          <w:spacing w:val="0"/>
          <w:kern w:val="0"/>
          <w:sz w:val="24"/>
          <w:szCs w:val="24"/>
          <w:highlight w:val="none"/>
          <w:shd w:val="clear" w:color="auto" w:fill="FFFFFF"/>
        </w:rPr>
        <w:t>项目经理委任书</w:t>
      </w:r>
    </w:p>
    <w:p w14:paraId="5E518F99">
      <w:pPr>
        <w:pStyle w:val="76"/>
        <w:pageBreakBefore w:val="0"/>
        <w:kinsoku/>
        <w:wordWrap w:val="0"/>
        <w:overflowPunct/>
        <w:topLinePunct/>
        <w:autoSpaceDE/>
        <w:autoSpaceDN/>
        <w:bidi w:val="0"/>
        <w:spacing w:line="600" w:lineRule="auto"/>
        <w:rPr>
          <w:rStyle w:val="33"/>
          <w:rFonts w:hint="eastAsia" w:ascii="宋体" w:hAnsi="宋体" w:eastAsia="宋体" w:cs="宋体"/>
          <w:color w:val="auto"/>
          <w:spacing w:val="0"/>
          <w:kern w:val="0"/>
          <w:sz w:val="24"/>
          <w:szCs w:val="24"/>
          <w:highlight w:val="none"/>
        </w:rPr>
      </w:pPr>
      <w:r>
        <w:rPr>
          <w:rStyle w:val="33"/>
          <w:rFonts w:hint="eastAsia" w:ascii="宋体" w:hAnsi="宋体" w:eastAsia="宋体" w:cs="宋体"/>
          <w:color w:val="auto"/>
          <w:spacing w:val="0"/>
          <w:kern w:val="0"/>
          <w:sz w:val="24"/>
          <w:szCs w:val="24"/>
          <w:highlight w:val="none"/>
          <w:shd w:val="clear" w:color="auto" w:fill="FFFFFF"/>
        </w:rPr>
        <w:t>致：</w:t>
      </w:r>
      <w:r>
        <w:rPr>
          <w:rStyle w:val="33"/>
          <w:rFonts w:hint="eastAsia" w:ascii="宋体" w:hAnsi="宋体" w:eastAsia="宋体" w:cs="宋体"/>
          <w:color w:val="auto"/>
          <w:spacing w:val="0"/>
          <w:kern w:val="0"/>
          <w:sz w:val="24"/>
          <w:szCs w:val="24"/>
          <w:highlight w:val="none"/>
          <w:u w:val="single"/>
          <w:shd w:val="clear" w:color="auto" w:fill="FFFFFF"/>
        </w:rPr>
        <w:t>（发包人全称）</w:t>
      </w:r>
    </w:p>
    <w:p w14:paraId="1E1486C7">
      <w:pPr>
        <w:pStyle w:val="76"/>
        <w:pageBreakBefore w:val="0"/>
        <w:kinsoku/>
        <w:wordWrap w:val="0"/>
        <w:overflowPunct/>
        <w:topLinePunct/>
        <w:autoSpaceDE/>
        <w:autoSpaceDN/>
        <w:bidi w:val="0"/>
        <w:spacing w:after="360" w:line="600" w:lineRule="auto"/>
        <w:ind w:firstLine="1020"/>
        <w:rPr>
          <w:rStyle w:val="33"/>
          <w:rFonts w:hint="eastAsia" w:ascii="宋体" w:hAnsi="宋体" w:eastAsia="宋体" w:cs="宋体"/>
          <w:color w:val="auto"/>
          <w:spacing w:val="0"/>
          <w:kern w:val="0"/>
          <w:sz w:val="24"/>
          <w:szCs w:val="24"/>
          <w:highlight w:val="none"/>
        </w:rPr>
      </w:pPr>
      <w:r>
        <w:rPr>
          <w:rStyle w:val="33"/>
          <w:rFonts w:hint="eastAsia" w:ascii="宋体" w:hAnsi="宋体" w:eastAsia="宋体" w:cs="宋体"/>
          <w:color w:val="auto"/>
          <w:spacing w:val="0"/>
          <w:kern w:val="0"/>
          <w:sz w:val="24"/>
          <w:szCs w:val="24"/>
          <w:highlight w:val="none"/>
          <w:u w:val="single"/>
          <w:shd w:val="clear" w:color="auto" w:fill="FFFFFF"/>
          <w:lang w:eastAsia="zh-CN"/>
        </w:rPr>
        <w:t>（</w:t>
      </w:r>
      <w:r>
        <w:rPr>
          <w:rStyle w:val="33"/>
          <w:rFonts w:hint="eastAsia" w:ascii="宋体" w:hAnsi="宋体" w:eastAsia="宋体" w:cs="宋体"/>
          <w:color w:val="auto"/>
          <w:spacing w:val="0"/>
          <w:kern w:val="0"/>
          <w:sz w:val="24"/>
          <w:szCs w:val="24"/>
          <w:highlight w:val="none"/>
          <w:u w:val="single"/>
          <w:shd w:val="clear" w:color="auto" w:fill="FFFFFF"/>
        </w:rPr>
        <w:t>承包人全称）</w:t>
      </w:r>
      <w:r>
        <w:rPr>
          <w:rStyle w:val="33"/>
          <w:rFonts w:hint="eastAsia" w:ascii="宋体" w:hAnsi="宋体" w:eastAsia="宋体" w:cs="宋体"/>
          <w:color w:val="auto"/>
          <w:spacing w:val="0"/>
          <w:kern w:val="0"/>
          <w:sz w:val="24"/>
          <w:szCs w:val="24"/>
          <w:highlight w:val="none"/>
          <w:shd w:val="clear" w:color="auto" w:fill="FFFFFF"/>
        </w:rPr>
        <w:t>法定代表人</w:t>
      </w:r>
      <w:r>
        <w:rPr>
          <w:rStyle w:val="33"/>
          <w:rFonts w:hint="eastAsia" w:ascii="宋体" w:hAnsi="宋体" w:eastAsia="宋体" w:cs="宋体"/>
          <w:color w:val="auto"/>
          <w:spacing w:val="0"/>
          <w:kern w:val="0"/>
          <w:sz w:val="24"/>
          <w:szCs w:val="24"/>
          <w:highlight w:val="none"/>
          <w:u w:val="single"/>
          <w:shd w:val="clear" w:color="auto" w:fill="FFFFFF"/>
        </w:rPr>
        <w:t>（职务、姓名）</w:t>
      </w:r>
      <w:r>
        <w:rPr>
          <w:rStyle w:val="33"/>
          <w:rFonts w:hint="eastAsia" w:ascii="宋体" w:hAnsi="宋体" w:eastAsia="宋体" w:cs="宋体"/>
          <w:color w:val="auto"/>
          <w:spacing w:val="0"/>
          <w:kern w:val="0"/>
          <w:sz w:val="24"/>
          <w:szCs w:val="24"/>
          <w:highlight w:val="none"/>
          <w:shd w:val="clear" w:color="auto" w:fill="FFFFFF"/>
        </w:rPr>
        <w:t>代表本单位委任</w:t>
      </w:r>
      <w:r>
        <w:rPr>
          <w:rStyle w:val="33"/>
          <w:rFonts w:hint="eastAsia" w:ascii="宋体" w:hAnsi="宋体" w:eastAsia="宋体" w:cs="宋体"/>
          <w:color w:val="auto"/>
          <w:spacing w:val="0"/>
          <w:kern w:val="0"/>
          <w:sz w:val="24"/>
          <w:szCs w:val="24"/>
          <w:highlight w:val="none"/>
          <w:u w:val="single"/>
          <w:shd w:val="clear" w:color="auto" w:fill="FFFFFF"/>
        </w:rPr>
        <w:t>（职务、姓 名）</w:t>
      </w:r>
      <w:r>
        <w:rPr>
          <w:rStyle w:val="33"/>
          <w:rFonts w:hint="eastAsia" w:ascii="宋体" w:hAnsi="宋体" w:eastAsia="宋体" w:cs="宋体"/>
          <w:color w:val="auto"/>
          <w:spacing w:val="0"/>
          <w:kern w:val="0"/>
          <w:sz w:val="24"/>
          <w:szCs w:val="24"/>
          <w:highlight w:val="none"/>
          <w:shd w:val="clear" w:color="auto" w:fill="FFFFFF"/>
        </w:rPr>
        <w:t>为</w:t>
      </w:r>
      <w:r>
        <w:rPr>
          <w:rStyle w:val="33"/>
          <w:rFonts w:hint="eastAsia" w:ascii="宋体" w:hAnsi="宋体" w:eastAsia="宋体" w:cs="宋体"/>
          <w:color w:val="auto"/>
          <w:spacing w:val="0"/>
          <w:kern w:val="0"/>
          <w:sz w:val="24"/>
          <w:szCs w:val="24"/>
          <w:highlight w:val="none"/>
          <w:u w:val="single"/>
          <w:shd w:val="clear" w:color="auto" w:fill="FFFFFF"/>
        </w:rPr>
        <w:t>（合同工程名称）</w:t>
      </w:r>
      <w:r>
        <w:rPr>
          <w:rStyle w:val="33"/>
          <w:rFonts w:hint="eastAsia" w:ascii="宋体" w:hAnsi="宋体" w:eastAsia="宋体" w:cs="宋体"/>
          <w:color w:val="auto"/>
          <w:spacing w:val="0"/>
          <w:kern w:val="0"/>
          <w:sz w:val="24"/>
          <w:szCs w:val="24"/>
          <w:highlight w:val="none"/>
          <w:shd w:val="clear" w:color="auto" w:fill="FFFFFF"/>
        </w:rPr>
        <w:t>的项目经理。凡本合同执行中的有关技术、工程进度、现 场管理、质量检验、结算与支付等方面工作，由</w:t>
      </w:r>
      <w:r>
        <w:rPr>
          <w:rStyle w:val="33"/>
          <w:rFonts w:hint="eastAsia" w:ascii="宋体" w:hAnsi="宋体" w:eastAsia="宋体" w:cs="宋体"/>
          <w:color w:val="auto"/>
          <w:spacing w:val="0"/>
          <w:kern w:val="0"/>
          <w:sz w:val="24"/>
          <w:szCs w:val="24"/>
          <w:highlight w:val="none"/>
          <w:u w:val="single"/>
          <w:shd w:val="clear" w:color="auto" w:fill="FFFFFF"/>
        </w:rPr>
        <w:t>（姓名）</w:t>
      </w:r>
      <w:r>
        <w:rPr>
          <w:rStyle w:val="33"/>
          <w:rFonts w:hint="eastAsia" w:ascii="宋体" w:hAnsi="宋体" w:eastAsia="宋体" w:cs="宋体"/>
          <w:color w:val="auto"/>
          <w:spacing w:val="0"/>
          <w:kern w:val="0"/>
          <w:sz w:val="24"/>
          <w:szCs w:val="24"/>
          <w:highlight w:val="none"/>
          <w:shd w:val="clear" w:color="auto" w:fill="FFFFFF"/>
        </w:rPr>
        <w:t>代表本单位全面负责。</w:t>
      </w:r>
    </w:p>
    <w:p w14:paraId="68C19D15">
      <w:pPr>
        <w:pStyle w:val="76"/>
        <w:pageBreakBefore w:val="0"/>
        <w:kinsoku/>
        <w:wordWrap w:val="0"/>
        <w:overflowPunct/>
        <w:topLinePunct/>
        <w:autoSpaceDE/>
        <w:autoSpaceDN/>
        <w:bidi w:val="0"/>
        <w:spacing w:line="600" w:lineRule="auto"/>
        <w:ind w:left="3880"/>
        <w:rPr>
          <w:rStyle w:val="33"/>
          <w:rFonts w:hint="eastAsia" w:ascii="宋体" w:hAnsi="宋体" w:eastAsia="宋体" w:cs="宋体"/>
          <w:color w:val="auto"/>
          <w:spacing w:val="0"/>
          <w:kern w:val="0"/>
          <w:sz w:val="24"/>
          <w:szCs w:val="24"/>
          <w:highlight w:val="none"/>
        </w:rPr>
      </w:pPr>
      <w:r>
        <w:rPr>
          <w:rStyle w:val="33"/>
          <w:rFonts w:hint="eastAsia" w:ascii="宋体" w:hAnsi="宋体" w:eastAsia="宋体" w:cs="宋体"/>
          <w:color w:val="auto"/>
          <w:spacing w:val="0"/>
          <w:kern w:val="0"/>
          <w:sz w:val="24"/>
          <w:szCs w:val="24"/>
          <w:highlight w:val="none"/>
          <w:shd w:val="clear" w:color="auto" w:fill="FFFFFF"/>
        </w:rPr>
        <w:t>承包人：</w:t>
      </w:r>
      <w:r>
        <w:rPr>
          <w:rStyle w:val="33"/>
          <w:rFonts w:hint="eastAsia" w:ascii="宋体" w:hAnsi="宋体" w:eastAsia="宋体" w:cs="宋体"/>
          <w:color w:val="auto"/>
          <w:spacing w:val="0"/>
          <w:kern w:val="0"/>
          <w:sz w:val="24"/>
          <w:szCs w:val="24"/>
          <w:highlight w:val="none"/>
          <w:shd w:val="clear" w:color="auto" w:fill="FFFFFF"/>
        </w:rPr>
        <w:tab/>
      </w:r>
      <w:r>
        <w:rPr>
          <w:rStyle w:val="33"/>
          <w:rFonts w:hint="eastAsia" w:ascii="宋体" w:hAnsi="宋体" w:eastAsia="宋体" w:cs="宋体"/>
          <w:color w:val="auto"/>
          <w:spacing w:val="0"/>
          <w:kern w:val="0"/>
          <w:sz w:val="24"/>
          <w:szCs w:val="24"/>
          <w:highlight w:val="none"/>
          <w:shd w:val="clear" w:color="auto" w:fill="FFFFFF"/>
          <w:lang w:eastAsia="zh-CN"/>
        </w:rPr>
        <w:t>（</w:t>
      </w:r>
      <w:r>
        <w:rPr>
          <w:rStyle w:val="33"/>
          <w:rFonts w:hint="eastAsia" w:ascii="宋体" w:hAnsi="宋体" w:eastAsia="宋体" w:cs="宋体"/>
          <w:color w:val="auto"/>
          <w:spacing w:val="0"/>
          <w:kern w:val="0"/>
          <w:sz w:val="24"/>
          <w:szCs w:val="24"/>
          <w:highlight w:val="none"/>
          <w:shd w:val="clear" w:color="auto" w:fill="FFFFFF"/>
        </w:rPr>
        <w:t>盖单位章）</w:t>
      </w:r>
    </w:p>
    <w:p w14:paraId="109304B1">
      <w:pPr>
        <w:pStyle w:val="76"/>
        <w:pageBreakBefore w:val="0"/>
        <w:kinsoku/>
        <w:wordWrap w:val="0"/>
        <w:overflowPunct/>
        <w:topLinePunct/>
        <w:autoSpaceDE/>
        <w:autoSpaceDN/>
        <w:bidi w:val="0"/>
        <w:spacing w:line="600" w:lineRule="auto"/>
        <w:ind w:left="4640"/>
        <w:rPr>
          <w:rStyle w:val="33"/>
          <w:rFonts w:hint="eastAsia" w:ascii="宋体" w:hAnsi="宋体" w:eastAsia="宋体" w:cs="宋体"/>
          <w:color w:val="auto"/>
          <w:spacing w:val="0"/>
          <w:kern w:val="0"/>
          <w:sz w:val="24"/>
          <w:szCs w:val="24"/>
          <w:highlight w:val="none"/>
        </w:rPr>
      </w:pPr>
      <w:r>
        <w:rPr>
          <w:rStyle w:val="33"/>
          <w:rFonts w:hint="eastAsia" w:ascii="宋体" w:hAnsi="宋体" w:eastAsia="宋体" w:cs="宋体"/>
          <w:color w:val="auto"/>
          <w:spacing w:val="0"/>
          <w:kern w:val="0"/>
          <w:sz w:val="24"/>
          <w:szCs w:val="24"/>
          <w:highlight w:val="none"/>
          <w:shd w:val="clear" w:color="auto" w:fill="FFFFFF"/>
        </w:rPr>
        <w:t>法定代表人：</w:t>
      </w:r>
      <w:r>
        <w:rPr>
          <w:rStyle w:val="33"/>
          <w:rFonts w:hint="eastAsia" w:ascii="宋体" w:hAnsi="宋体" w:eastAsia="宋体" w:cs="宋体"/>
          <w:color w:val="auto"/>
          <w:spacing w:val="0"/>
          <w:kern w:val="0"/>
          <w:sz w:val="24"/>
          <w:szCs w:val="24"/>
          <w:highlight w:val="none"/>
          <w:u w:val="single"/>
          <w:shd w:val="clear" w:color="auto" w:fill="FFFFFF"/>
        </w:rPr>
        <w:tab/>
      </w:r>
      <w:r>
        <w:rPr>
          <w:rStyle w:val="33"/>
          <w:rFonts w:hint="eastAsia" w:ascii="宋体" w:hAnsi="宋体" w:eastAsia="宋体" w:cs="宋体"/>
          <w:color w:val="auto"/>
          <w:spacing w:val="0"/>
          <w:kern w:val="0"/>
          <w:sz w:val="24"/>
          <w:szCs w:val="24"/>
          <w:highlight w:val="none"/>
          <w:u w:val="single"/>
          <w:shd w:val="clear" w:color="auto" w:fill="FFFFFF"/>
          <w:lang w:eastAsia="zh-CN"/>
        </w:rPr>
        <w:t>（</w:t>
      </w:r>
      <w:r>
        <w:rPr>
          <w:rStyle w:val="33"/>
          <w:rFonts w:hint="eastAsia" w:ascii="宋体" w:hAnsi="宋体" w:eastAsia="宋体" w:cs="宋体"/>
          <w:color w:val="auto"/>
          <w:spacing w:val="0"/>
          <w:kern w:val="0"/>
          <w:sz w:val="24"/>
          <w:szCs w:val="24"/>
          <w:highlight w:val="none"/>
          <w:u w:val="single"/>
          <w:shd w:val="clear" w:color="auto" w:fill="FFFFFF"/>
        </w:rPr>
        <w:t>职务）</w:t>
      </w:r>
    </w:p>
    <w:p w14:paraId="610C196C">
      <w:pPr>
        <w:pStyle w:val="76"/>
        <w:pageBreakBefore w:val="0"/>
        <w:kinsoku/>
        <w:wordWrap w:val="0"/>
        <w:overflowPunct/>
        <w:topLinePunct/>
        <w:autoSpaceDE/>
        <w:autoSpaceDN/>
        <w:bidi w:val="0"/>
        <w:spacing w:line="600" w:lineRule="auto"/>
        <w:ind w:left="6140"/>
        <w:rPr>
          <w:rStyle w:val="33"/>
          <w:rFonts w:hint="eastAsia" w:ascii="宋体" w:hAnsi="宋体" w:eastAsia="宋体" w:cs="宋体"/>
          <w:color w:val="auto"/>
          <w:spacing w:val="0"/>
          <w:kern w:val="0"/>
          <w:sz w:val="24"/>
          <w:szCs w:val="24"/>
          <w:highlight w:val="none"/>
        </w:rPr>
      </w:pPr>
      <w:r>
        <w:rPr>
          <w:rStyle w:val="33"/>
          <w:rFonts w:hint="eastAsia" w:ascii="宋体" w:hAnsi="宋体" w:eastAsia="宋体" w:cs="宋体"/>
          <w:color w:val="auto"/>
          <w:spacing w:val="0"/>
          <w:kern w:val="0"/>
          <w:sz w:val="24"/>
          <w:szCs w:val="24"/>
          <w:highlight w:val="none"/>
          <w:shd w:val="clear" w:color="auto" w:fill="FFFFFF"/>
        </w:rPr>
        <w:tab/>
      </w:r>
      <w:r>
        <w:rPr>
          <w:rStyle w:val="33"/>
          <w:rFonts w:hint="eastAsia" w:ascii="宋体" w:hAnsi="宋体" w:eastAsia="宋体" w:cs="宋体"/>
          <w:color w:val="auto"/>
          <w:spacing w:val="0"/>
          <w:kern w:val="0"/>
          <w:sz w:val="24"/>
          <w:szCs w:val="24"/>
          <w:highlight w:val="none"/>
          <w:u w:val="single"/>
          <w:shd w:val="clear" w:color="auto" w:fill="FFFFFF"/>
          <w:lang w:eastAsia="zh-CN"/>
        </w:rPr>
        <w:t>（</w:t>
      </w:r>
      <w:r>
        <w:rPr>
          <w:rStyle w:val="33"/>
          <w:rFonts w:hint="eastAsia" w:ascii="宋体" w:hAnsi="宋体" w:eastAsia="宋体" w:cs="宋体"/>
          <w:color w:val="auto"/>
          <w:spacing w:val="0"/>
          <w:kern w:val="0"/>
          <w:sz w:val="24"/>
          <w:szCs w:val="24"/>
          <w:highlight w:val="none"/>
          <w:u w:val="single"/>
          <w:shd w:val="clear" w:color="auto" w:fill="FFFFFF"/>
        </w:rPr>
        <w:t>姓名）</w:t>
      </w:r>
    </w:p>
    <w:p w14:paraId="771E87FD">
      <w:pPr>
        <w:pStyle w:val="76"/>
        <w:pageBreakBefore w:val="0"/>
        <w:kinsoku/>
        <w:wordWrap w:val="0"/>
        <w:overflowPunct/>
        <w:topLinePunct/>
        <w:autoSpaceDE/>
        <w:autoSpaceDN/>
        <w:bidi w:val="0"/>
        <w:spacing w:line="600" w:lineRule="auto"/>
        <w:ind w:left="6140"/>
        <w:rPr>
          <w:rStyle w:val="33"/>
          <w:rFonts w:hint="eastAsia" w:ascii="宋体" w:hAnsi="宋体" w:eastAsia="宋体" w:cs="宋体"/>
          <w:b/>
          <w:bCs/>
          <w:color w:val="auto"/>
          <w:spacing w:val="0"/>
          <w:kern w:val="0"/>
          <w:sz w:val="24"/>
          <w:szCs w:val="24"/>
          <w:highlight w:val="none"/>
        </w:rPr>
      </w:pPr>
      <w:r>
        <w:rPr>
          <w:rStyle w:val="33"/>
          <w:rFonts w:hint="eastAsia" w:ascii="宋体" w:hAnsi="宋体" w:eastAsia="宋体" w:cs="宋体"/>
          <w:b/>
          <w:bCs/>
          <w:color w:val="auto"/>
          <w:spacing w:val="0"/>
          <w:kern w:val="0"/>
          <w:sz w:val="24"/>
          <w:szCs w:val="24"/>
          <w:highlight w:val="none"/>
        </w:rPr>
        <w:tab/>
      </w:r>
      <w:r>
        <w:rPr>
          <w:rStyle w:val="33"/>
          <w:rFonts w:hint="eastAsia" w:ascii="宋体" w:hAnsi="宋体" w:eastAsia="宋体" w:cs="宋体"/>
          <w:color w:val="auto"/>
          <w:spacing w:val="0"/>
          <w:kern w:val="0"/>
          <w:sz w:val="24"/>
          <w:szCs w:val="24"/>
          <w:highlight w:val="none"/>
          <w:u w:val="single"/>
          <w:lang w:eastAsia="zh-CN"/>
        </w:rPr>
        <w:t>（</w:t>
      </w:r>
      <w:r>
        <w:rPr>
          <w:rStyle w:val="33"/>
          <w:rFonts w:hint="eastAsia" w:ascii="宋体" w:hAnsi="宋体" w:eastAsia="宋体" w:cs="宋体"/>
          <w:color w:val="auto"/>
          <w:spacing w:val="0"/>
          <w:kern w:val="0"/>
          <w:sz w:val="24"/>
          <w:szCs w:val="24"/>
          <w:highlight w:val="none"/>
          <w:u w:val="single"/>
        </w:rPr>
        <w:t>签字</w:t>
      </w:r>
      <w:r>
        <w:rPr>
          <w:rStyle w:val="33"/>
          <w:rFonts w:hint="eastAsia" w:ascii="宋体" w:hAnsi="宋体" w:eastAsia="宋体" w:cs="宋体"/>
          <w:color w:val="auto"/>
          <w:spacing w:val="0"/>
          <w:kern w:val="0"/>
          <w:sz w:val="24"/>
          <w:szCs w:val="24"/>
          <w:highlight w:val="none"/>
          <w:u w:val="single"/>
          <w:lang w:eastAsia="zh-CN"/>
        </w:rPr>
        <w:t>）</w:t>
      </w:r>
      <w:r>
        <w:rPr>
          <w:rStyle w:val="33"/>
          <w:rFonts w:hint="eastAsia" w:ascii="宋体" w:hAnsi="宋体" w:eastAsia="宋体" w:cs="宋体"/>
          <w:b/>
          <w:bCs/>
          <w:color w:val="auto"/>
          <w:spacing w:val="0"/>
          <w:kern w:val="0"/>
          <w:sz w:val="24"/>
          <w:szCs w:val="24"/>
          <w:highlight w:val="none"/>
        </w:rPr>
        <w:tab/>
      </w:r>
    </w:p>
    <w:p w14:paraId="40C3290F">
      <w:pPr>
        <w:pStyle w:val="76"/>
        <w:pageBreakBefore w:val="0"/>
        <w:kinsoku/>
        <w:wordWrap w:val="0"/>
        <w:overflowPunct/>
        <w:topLinePunct/>
        <w:autoSpaceDE/>
        <w:autoSpaceDN/>
        <w:bidi w:val="0"/>
        <w:spacing w:after="1283" w:line="600" w:lineRule="auto"/>
        <w:ind w:left="5660" w:firstLine="420"/>
        <w:rPr>
          <w:rStyle w:val="33"/>
          <w:rFonts w:hint="eastAsia" w:ascii="宋体" w:hAnsi="宋体" w:eastAsia="宋体" w:cs="宋体"/>
          <w:color w:val="auto"/>
          <w:spacing w:val="0"/>
          <w:kern w:val="0"/>
          <w:sz w:val="24"/>
          <w:szCs w:val="24"/>
          <w:highlight w:val="none"/>
          <w:shd w:val="clear" w:color="auto" w:fill="FFFFFF"/>
        </w:rPr>
      </w:pPr>
      <w:r>
        <w:rPr>
          <w:rStyle w:val="33"/>
          <w:rFonts w:hint="eastAsia" w:ascii="宋体" w:hAnsi="宋体" w:eastAsia="宋体" w:cs="宋体"/>
          <w:color w:val="auto"/>
          <w:spacing w:val="0"/>
          <w:kern w:val="0"/>
          <w:sz w:val="24"/>
          <w:szCs w:val="24"/>
          <w:highlight w:val="none"/>
          <w:shd w:val="clear" w:color="auto" w:fill="FFFFFF"/>
        </w:rPr>
        <w:tab/>
      </w:r>
      <w:r>
        <w:rPr>
          <w:rStyle w:val="33"/>
          <w:rFonts w:hint="eastAsia" w:ascii="宋体" w:hAnsi="宋体" w:eastAsia="宋体" w:cs="宋体"/>
          <w:color w:val="auto"/>
          <w:spacing w:val="0"/>
          <w:kern w:val="0"/>
          <w:sz w:val="24"/>
          <w:szCs w:val="24"/>
          <w:highlight w:val="none"/>
          <w:shd w:val="clear" w:color="auto" w:fill="FFFFFF"/>
        </w:rPr>
        <w:t>年</w:t>
      </w:r>
      <w:r>
        <w:rPr>
          <w:rStyle w:val="33"/>
          <w:rFonts w:hint="eastAsia" w:ascii="宋体" w:hAnsi="宋体" w:eastAsia="宋体" w:cs="宋体"/>
          <w:color w:val="auto"/>
          <w:spacing w:val="0"/>
          <w:kern w:val="0"/>
          <w:sz w:val="24"/>
          <w:szCs w:val="24"/>
          <w:highlight w:val="none"/>
          <w:shd w:val="clear" w:color="auto" w:fill="FFFFFF"/>
        </w:rPr>
        <w:tab/>
      </w:r>
      <w:r>
        <w:rPr>
          <w:rStyle w:val="33"/>
          <w:rFonts w:hint="eastAsia" w:ascii="宋体" w:hAnsi="宋体" w:eastAsia="宋体" w:cs="宋体"/>
          <w:color w:val="auto"/>
          <w:spacing w:val="0"/>
          <w:kern w:val="0"/>
          <w:sz w:val="24"/>
          <w:szCs w:val="24"/>
          <w:highlight w:val="none"/>
          <w:shd w:val="clear" w:color="auto" w:fill="FFFFFF"/>
        </w:rPr>
        <w:t>月</w:t>
      </w:r>
      <w:r>
        <w:rPr>
          <w:rStyle w:val="33"/>
          <w:rFonts w:hint="eastAsia" w:ascii="宋体" w:hAnsi="宋体" w:eastAsia="宋体" w:cs="宋体"/>
          <w:color w:val="auto"/>
          <w:spacing w:val="0"/>
          <w:kern w:val="0"/>
          <w:sz w:val="24"/>
          <w:szCs w:val="24"/>
          <w:highlight w:val="none"/>
          <w:shd w:val="clear" w:color="auto" w:fill="FFFFFF"/>
        </w:rPr>
        <w:tab/>
      </w:r>
      <w:r>
        <w:rPr>
          <w:rStyle w:val="33"/>
          <w:rFonts w:hint="eastAsia" w:ascii="宋体" w:hAnsi="宋体" w:eastAsia="宋体" w:cs="宋体"/>
          <w:color w:val="auto"/>
          <w:spacing w:val="0"/>
          <w:kern w:val="0"/>
          <w:sz w:val="24"/>
          <w:szCs w:val="24"/>
          <w:highlight w:val="none"/>
          <w:shd w:val="clear" w:color="auto" w:fill="FFFFFF"/>
        </w:rPr>
        <w:t>日</w:t>
      </w:r>
    </w:p>
    <w:p w14:paraId="47F0F127">
      <w:pPr>
        <w:pStyle w:val="79"/>
        <w:pageBreakBefore w:val="0"/>
        <w:kinsoku/>
        <w:wordWrap w:val="0"/>
        <w:overflowPunct/>
        <w:topLinePunct/>
        <w:autoSpaceDE/>
        <w:autoSpaceDN/>
        <w:bidi w:val="0"/>
        <w:spacing w:after="1283"/>
        <w:rPr>
          <w:rStyle w:val="33"/>
          <w:rFonts w:hint="eastAsia" w:ascii="宋体" w:hAnsi="宋体" w:eastAsia="宋体" w:cs="宋体"/>
          <w:color w:val="auto"/>
          <w:spacing w:val="0"/>
          <w:kern w:val="0"/>
          <w:sz w:val="24"/>
          <w:szCs w:val="24"/>
          <w:highlight w:val="none"/>
          <w:shd w:val="clear" w:color="auto" w:fill="FFFFFF"/>
        </w:rPr>
      </w:pPr>
      <w:r>
        <w:rPr>
          <w:rStyle w:val="33"/>
          <w:rFonts w:hint="eastAsia" w:ascii="宋体" w:hAnsi="宋体" w:eastAsia="宋体" w:cs="宋体"/>
          <w:color w:val="auto"/>
          <w:spacing w:val="0"/>
          <w:kern w:val="0"/>
          <w:sz w:val="24"/>
          <w:szCs w:val="24"/>
          <w:highlight w:val="none"/>
        </w:rPr>
        <w:t>抄送：</w:t>
      </w:r>
      <w:r>
        <w:rPr>
          <w:rStyle w:val="33"/>
          <w:rFonts w:hint="eastAsia" w:ascii="宋体" w:hAnsi="宋体" w:eastAsia="宋体" w:cs="宋体"/>
          <w:color w:val="auto"/>
          <w:spacing w:val="0"/>
          <w:kern w:val="0"/>
          <w:sz w:val="24"/>
          <w:szCs w:val="24"/>
          <w:highlight w:val="none"/>
          <w:u w:val="single"/>
        </w:rPr>
        <w:t>（监理人）</w:t>
      </w:r>
      <w:r>
        <w:rPr>
          <w:rStyle w:val="33"/>
          <w:rFonts w:hint="eastAsia" w:ascii="宋体" w:hAnsi="宋体" w:eastAsia="宋体" w:cs="宋体"/>
          <w:color w:val="auto"/>
          <w:spacing w:val="0"/>
          <w:kern w:val="0"/>
          <w:sz w:val="24"/>
          <w:szCs w:val="24"/>
          <w:highlight w:val="none"/>
          <w:u w:val="single"/>
        </w:rPr>
        <w:tab/>
      </w:r>
    </w:p>
    <w:bookmarkEnd w:id="120"/>
    <w:bookmarkEnd w:id="121"/>
    <w:p w14:paraId="5B8E2A69">
      <w:pPr>
        <w:spacing w:line="400" w:lineRule="exact"/>
        <w:rPr>
          <w:rFonts w:ascii="宋体" w:hAnsi="宋体" w:cs="宋体"/>
          <w:color w:val="auto"/>
          <w:szCs w:val="21"/>
          <w:highlight w:val="none"/>
        </w:rPr>
      </w:pPr>
      <w:bookmarkStart w:id="123" w:name="_Toc394929423"/>
    </w:p>
    <w:p w14:paraId="3C0BB473">
      <w:pPr>
        <w:rPr>
          <w:rFonts w:ascii="宋体" w:hAnsi="宋体" w:cs="宋体"/>
          <w:color w:val="auto"/>
          <w:szCs w:val="21"/>
          <w:highlight w:val="none"/>
        </w:rPr>
      </w:pPr>
    </w:p>
    <w:p w14:paraId="1474ACE8">
      <w:pPr>
        <w:pStyle w:val="6"/>
        <w:ind w:firstLine="422"/>
        <w:jc w:val="both"/>
        <w:rPr>
          <w:rFonts w:hint="eastAsia" w:ascii="宋体" w:hAnsi="宋体" w:eastAsia="宋体" w:cs="宋体"/>
          <w:b/>
          <w:bCs/>
          <w:color w:val="auto"/>
          <w:spacing w:val="0"/>
          <w:sz w:val="28"/>
          <w:szCs w:val="28"/>
          <w:highlight w:val="none"/>
        </w:rPr>
      </w:pPr>
      <w:bookmarkStart w:id="124" w:name="_Toc514759060"/>
      <w:bookmarkStart w:id="125" w:name="_Toc18401"/>
      <w:bookmarkStart w:id="126" w:name="_Toc511595200"/>
      <w:bookmarkStart w:id="127" w:name="_Toc508779716"/>
      <w:r>
        <w:rPr>
          <w:rFonts w:hint="eastAsia" w:ascii="宋体" w:hAnsi="宋体" w:eastAsia="宋体" w:cs="宋体"/>
          <w:b/>
          <w:bCs/>
          <w:color w:val="auto"/>
          <w:spacing w:val="0"/>
          <w:sz w:val="28"/>
          <w:szCs w:val="28"/>
          <w:highlight w:val="none"/>
        </w:rPr>
        <w:t>附件</w:t>
      </w:r>
      <w:r>
        <w:rPr>
          <w:rFonts w:hint="eastAsia" w:cs="宋体"/>
          <w:b/>
          <w:bCs/>
          <w:color w:val="auto"/>
          <w:spacing w:val="0"/>
          <w:sz w:val="28"/>
          <w:szCs w:val="28"/>
          <w:highlight w:val="none"/>
          <w:lang w:eastAsia="zh-CN"/>
        </w:rPr>
        <w:t>五</w:t>
      </w:r>
      <w:r>
        <w:rPr>
          <w:rFonts w:hint="eastAsia" w:ascii="宋体" w:hAnsi="宋体" w:eastAsia="宋体" w:cs="宋体"/>
          <w:b/>
          <w:bCs/>
          <w:color w:val="auto"/>
          <w:spacing w:val="0"/>
          <w:sz w:val="28"/>
          <w:szCs w:val="28"/>
          <w:highlight w:val="none"/>
        </w:rPr>
        <w:t xml:space="preserve"> </w:t>
      </w:r>
      <w:bookmarkEnd w:id="123"/>
      <w:bookmarkEnd w:id="124"/>
      <w:bookmarkEnd w:id="125"/>
      <w:bookmarkEnd w:id="126"/>
      <w:bookmarkEnd w:id="127"/>
    </w:p>
    <w:p w14:paraId="5D35DA4A">
      <w:pPr>
        <w:pStyle w:val="81"/>
        <w:shd w:val="clear" w:color="auto" w:fill="auto"/>
        <w:spacing w:before="0" w:line="377" w:lineRule="exact"/>
        <w:ind w:firstLine="42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(发包人与承包人签订合同协议书时应与发包人指定的银行签署工程资金监管协议，工程资金监管协议内容在保证本项目资金有效监管的前提下由三方共同商定)</w:t>
      </w:r>
    </w:p>
    <w:p w14:paraId="1DBC71A3">
      <w:pPr>
        <w:pStyle w:val="88"/>
        <w:keepNext/>
        <w:keepLines/>
        <w:shd w:val="clear" w:color="auto" w:fill="auto"/>
        <w:spacing w:after="335" w:line="640" w:lineRule="exact"/>
        <w:jc w:val="center"/>
        <w:outlineLvl w:val="9"/>
        <w:rPr>
          <w:rFonts w:hint="eastAsia" w:ascii="宋体" w:hAnsi="宋体" w:eastAsia="宋体" w:cs="宋体"/>
          <w:b/>
          <w:bCs/>
          <w:color w:val="auto"/>
          <w:spacing w:val="0"/>
          <w:sz w:val="28"/>
          <w:szCs w:val="28"/>
          <w:highlight w:val="none"/>
        </w:rPr>
      </w:pPr>
      <w:bookmarkStart w:id="128" w:name="_Toc514786923"/>
      <w:bookmarkStart w:id="129" w:name="bookmark202"/>
      <w:r>
        <w:rPr>
          <w:rStyle w:val="89"/>
          <w:rFonts w:hint="eastAsia" w:ascii="宋体" w:hAnsi="宋体" w:eastAsia="宋体" w:cs="宋体"/>
          <w:b/>
          <w:bCs/>
          <w:color w:val="auto"/>
          <w:sz w:val="28"/>
          <w:szCs w:val="28"/>
          <w:highlight w:val="none"/>
        </w:rPr>
        <w:t>工程资金监管协议</w:t>
      </w:r>
      <w:bookmarkEnd w:id="128"/>
      <w:bookmarkEnd w:id="129"/>
    </w:p>
    <w:p w14:paraId="6809A2EC">
      <w:pPr>
        <w:pStyle w:val="81"/>
        <w:shd w:val="clear" w:color="auto" w:fill="auto"/>
        <w:tabs>
          <w:tab w:val="left" w:leader="underscore" w:pos="2930"/>
        </w:tabs>
        <w:spacing w:before="0" w:line="440" w:lineRule="exact"/>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发包人：</w:t>
      </w:r>
      <w:r>
        <w:rPr>
          <w:rStyle w:val="86"/>
          <w:rFonts w:hint="eastAsia" w:ascii="宋体" w:hAnsi="宋体" w:eastAsia="宋体" w:cs="宋体"/>
          <w:color w:val="auto"/>
          <w:sz w:val="21"/>
          <w:szCs w:val="21"/>
          <w:highlight w:val="none"/>
        </w:rPr>
        <w:tab/>
      </w:r>
      <w:r>
        <w:rPr>
          <w:rStyle w:val="86"/>
          <w:rFonts w:hint="eastAsia" w:ascii="宋体" w:hAnsi="宋体" w:eastAsia="宋体" w:cs="宋体"/>
          <w:color w:val="auto"/>
          <w:sz w:val="21"/>
          <w:szCs w:val="21"/>
          <w:highlight w:val="none"/>
        </w:rPr>
        <w:t>(以下简称“甲方”）</w:t>
      </w:r>
    </w:p>
    <w:p w14:paraId="5439CA25">
      <w:pPr>
        <w:pStyle w:val="81"/>
        <w:shd w:val="clear" w:color="auto" w:fill="auto"/>
        <w:tabs>
          <w:tab w:val="left" w:leader="underscore" w:pos="2930"/>
        </w:tabs>
        <w:spacing w:before="0" w:line="440" w:lineRule="exact"/>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承包人：</w:t>
      </w:r>
      <w:r>
        <w:rPr>
          <w:rStyle w:val="86"/>
          <w:rFonts w:hint="eastAsia" w:ascii="宋体" w:hAnsi="宋体" w:eastAsia="宋体" w:cs="宋体"/>
          <w:color w:val="auto"/>
          <w:sz w:val="21"/>
          <w:szCs w:val="21"/>
          <w:highlight w:val="none"/>
        </w:rPr>
        <w:tab/>
      </w:r>
      <w:r>
        <w:rPr>
          <w:rStyle w:val="86"/>
          <w:rFonts w:hint="eastAsia" w:ascii="宋体" w:hAnsi="宋体" w:eastAsia="宋体" w:cs="宋体"/>
          <w:color w:val="auto"/>
          <w:sz w:val="21"/>
          <w:szCs w:val="21"/>
          <w:highlight w:val="none"/>
        </w:rPr>
        <w:t>(以下简称“乙方”）</w:t>
      </w:r>
    </w:p>
    <w:p w14:paraId="5189D444">
      <w:pPr>
        <w:pStyle w:val="81"/>
        <w:shd w:val="clear" w:color="auto" w:fill="auto"/>
        <w:tabs>
          <w:tab w:val="left" w:leader="underscore" w:pos="2930"/>
        </w:tabs>
        <w:spacing w:before="0" w:after="300" w:line="440" w:lineRule="exact"/>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经办银行：</w:t>
      </w:r>
      <w:r>
        <w:rPr>
          <w:rStyle w:val="86"/>
          <w:rFonts w:hint="eastAsia" w:ascii="宋体" w:hAnsi="宋体" w:eastAsia="宋体" w:cs="宋体"/>
          <w:color w:val="auto"/>
          <w:sz w:val="21"/>
          <w:szCs w:val="21"/>
          <w:highlight w:val="none"/>
        </w:rPr>
        <w:tab/>
      </w:r>
      <w:r>
        <w:rPr>
          <w:rStyle w:val="86"/>
          <w:rFonts w:hint="eastAsia" w:ascii="宋体" w:hAnsi="宋体" w:eastAsia="宋体" w:cs="宋体"/>
          <w:color w:val="auto"/>
          <w:sz w:val="21"/>
          <w:szCs w:val="21"/>
          <w:highlight w:val="none"/>
        </w:rPr>
        <w:t>(以下简称“丙方”）</w:t>
      </w:r>
    </w:p>
    <w:p w14:paraId="3FF798A5">
      <w:pPr>
        <w:pStyle w:val="81"/>
        <w:shd w:val="clear" w:color="auto" w:fill="auto"/>
        <w:tabs>
          <w:tab w:val="left" w:leader="underscore" w:pos="2482"/>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为了促进</w:t>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lang w:val="en-US"/>
        </w:rPr>
        <w:t xml:space="preserve"> </w:t>
      </w:r>
      <w:r>
        <w:rPr>
          <w:rStyle w:val="86"/>
          <w:rFonts w:hint="eastAsia" w:ascii="宋体" w:hAnsi="宋体" w:eastAsia="宋体" w:cs="宋体"/>
          <w:color w:val="auto"/>
          <w:sz w:val="21"/>
          <w:szCs w:val="21"/>
          <w:highlight w:val="none"/>
        </w:rPr>
        <w:t>(项目名称）的顺利实施，管好用好建设资金，确保工程资金专款专用，同时为承包人提供便捷有效的银行业务服务，根据</w:t>
      </w:r>
      <w:r>
        <w:rPr>
          <w:rStyle w:val="86"/>
          <w:rFonts w:hint="eastAsia" w:ascii="宋体" w:hAnsi="宋体" w:eastAsia="宋体" w:cs="宋体"/>
          <w:color w:val="auto"/>
          <w:sz w:val="21"/>
          <w:szCs w:val="21"/>
          <w:highlight w:val="none"/>
        </w:rPr>
        <w:tab/>
      </w:r>
      <w:r>
        <w:rPr>
          <w:rStyle w:val="86"/>
          <w:rFonts w:hint="eastAsia" w:ascii="宋体" w:hAnsi="宋体" w:eastAsia="宋体" w:cs="宋体"/>
          <w:color w:val="auto"/>
          <w:sz w:val="21"/>
          <w:szCs w:val="21"/>
          <w:highlight w:val="none"/>
        </w:rPr>
        <w:t>(项目名称)合同条款有关规定，经甲、乙、丙三方协商，达成协议如下：</w:t>
      </w:r>
    </w:p>
    <w:p w14:paraId="2F023779">
      <w:pPr>
        <w:pStyle w:val="81"/>
        <w:shd w:val="clear" w:color="auto" w:fill="auto"/>
        <w:tabs>
          <w:tab w:val="left" w:pos="854"/>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lang w:val="en-US"/>
        </w:rPr>
        <w:t>1.</w:t>
      </w:r>
      <w:r>
        <w:rPr>
          <w:rStyle w:val="86"/>
          <w:rFonts w:hint="eastAsia" w:ascii="宋体" w:hAnsi="宋体" w:eastAsia="宋体" w:cs="宋体"/>
          <w:color w:val="auto"/>
          <w:sz w:val="21"/>
          <w:szCs w:val="21"/>
          <w:highlight w:val="none"/>
        </w:rPr>
        <w:t>资金管理的内容</w:t>
      </w:r>
    </w:p>
    <w:p w14:paraId="792CCB8F">
      <w:pPr>
        <w:pStyle w:val="81"/>
        <w:shd w:val="clear" w:color="auto" w:fill="auto"/>
        <w:tabs>
          <w:tab w:val="left" w:pos="1169"/>
          <w:tab w:val="left" w:leader="underscore" w:pos="3237"/>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w:t>
      </w:r>
      <w:r>
        <w:rPr>
          <w:rStyle w:val="86"/>
          <w:rFonts w:hint="eastAsia" w:ascii="宋体" w:hAnsi="宋体" w:eastAsia="宋体" w:cs="宋体"/>
          <w:color w:val="auto"/>
          <w:sz w:val="21"/>
          <w:szCs w:val="21"/>
          <w:highlight w:val="none"/>
          <w:lang w:val="en-US"/>
        </w:rPr>
        <w:t>1）</w:t>
      </w:r>
      <w:r>
        <w:rPr>
          <w:rStyle w:val="86"/>
          <w:rFonts w:hint="eastAsia" w:ascii="宋体" w:hAnsi="宋体" w:eastAsia="宋体" w:cs="宋体"/>
          <w:color w:val="auto"/>
          <w:sz w:val="21"/>
          <w:szCs w:val="21"/>
          <w:highlight w:val="none"/>
        </w:rPr>
        <w:t>乙方为完成</w:t>
      </w:r>
      <w:r>
        <w:rPr>
          <w:rStyle w:val="86"/>
          <w:rFonts w:hint="eastAsia" w:ascii="宋体" w:hAnsi="宋体" w:eastAsia="宋体" w:cs="宋体"/>
          <w:color w:val="auto"/>
          <w:sz w:val="21"/>
          <w:szCs w:val="21"/>
          <w:highlight w:val="none"/>
        </w:rPr>
        <w:tab/>
      </w:r>
      <w:r>
        <w:rPr>
          <w:rStyle w:val="86"/>
          <w:rFonts w:hint="eastAsia" w:ascii="宋体" w:hAnsi="宋体" w:eastAsia="宋体" w:cs="宋体"/>
          <w:color w:val="auto"/>
          <w:sz w:val="21"/>
          <w:szCs w:val="21"/>
          <w:highlight w:val="none"/>
        </w:rPr>
        <w:t>(项目名称）工程成立的项目经理部在丙方开设基本结算户；</w:t>
      </w:r>
    </w:p>
    <w:p w14:paraId="43C50C98">
      <w:pPr>
        <w:pStyle w:val="81"/>
        <w:shd w:val="clear" w:color="auto" w:fill="auto"/>
        <w:tabs>
          <w:tab w:val="left" w:pos="1169"/>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w:t>
      </w:r>
      <w:r>
        <w:rPr>
          <w:rStyle w:val="86"/>
          <w:rFonts w:hint="eastAsia" w:ascii="宋体" w:hAnsi="宋体" w:eastAsia="宋体" w:cs="宋体"/>
          <w:color w:val="auto"/>
          <w:sz w:val="21"/>
          <w:szCs w:val="21"/>
          <w:highlight w:val="none"/>
          <w:lang w:val="en-US"/>
        </w:rPr>
        <w:t>2）</w:t>
      </w:r>
      <w:r>
        <w:rPr>
          <w:rStyle w:val="86"/>
          <w:rFonts w:hint="eastAsia" w:ascii="宋体" w:hAnsi="宋体" w:eastAsia="宋体" w:cs="宋体"/>
          <w:color w:val="auto"/>
          <w:sz w:val="21"/>
          <w:szCs w:val="21"/>
          <w:highlight w:val="none"/>
        </w:rPr>
        <w:t>甲方应按合同规定将工程款汇入乙方在丙方开设的账户；</w:t>
      </w:r>
    </w:p>
    <w:p w14:paraId="146926AC">
      <w:pPr>
        <w:pStyle w:val="81"/>
        <w:shd w:val="clear" w:color="auto" w:fill="auto"/>
        <w:tabs>
          <w:tab w:val="left" w:leader="underscore" w:pos="6866"/>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w:t>
      </w:r>
      <w:r>
        <w:rPr>
          <w:rStyle w:val="86"/>
          <w:rFonts w:hint="eastAsia" w:ascii="宋体" w:hAnsi="宋体" w:eastAsia="宋体" w:cs="宋体"/>
          <w:color w:val="auto"/>
          <w:sz w:val="21"/>
          <w:szCs w:val="21"/>
          <w:highlight w:val="none"/>
          <w:lang w:val="en-US"/>
        </w:rPr>
        <w:t>3）</w:t>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u w:val="single"/>
        </w:rPr>
        <w:t xml:space="preserve"> </w:t>
      </w:r>
      <w:r>
        <w:rPr>
          <w:rStyle w:val="86"/>
          <w:rFonts w:hint="eastAsia" w:ascii="宋体" w:hAnsi="宋体" w:eastAsia="宋体" w:cs="宋体"/>
          <w:color w:val="auto"/>
          <w:sz w:val="21"/>
          <w:szCs w:val="21"/>
          <w:highlight w:val="none"/>
        </w:rPr>
        <w:t>乙方应将流动资金及甲方所拨付资金专项用于</w:t>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rPr>
        <w:t>(项目名称）；</w:t>
      </w:r>
    </w:p>
    <w:p w14:paraId="292E4DAE">
      <w:pPr>
        <w:pStyle w:val="81"/>
        <w:shd w:val="clear" w:color="auto" w:fill="auto"/>
        <w:tabs>
          <w:tab w:val="left" w:pos="1136"/>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w:t>
      </w:r>
      <w:r>
        <w:rPr>
          <w:rStyle w:val="86"/>
          <w:rFonts w:hint="eastAsia" w:ascii="宋体" w:hAnsi="宋体" w:eastAsia="宋体" w:cs="宋体"/>
          <w:color w:val="auto"/>
          <w:sz w:val="21"/>
          <w:szCs w:val="21"/>
          <w:highlight w:val="none"/>
          <w:lang w:val="en-US"/>
        </w:rPr>
        <w:t>4）</w:t>
      </w:r>
      <w:r>
        <w:rPr>
          <w:rStyle w:val="86"/>
          <w:rFonts w:hint="eastAsia" w:ascii="宋体" w:hAnsi="宋体" w:eastAsia="宋体" w:cs="宋体"/>
          <w:color w:val="auto"/>
          <w:sz w:val="21"/>
          <w:szCs w:val="21"/>
          <w:highlight w:val="none"/>
        </w:rPr>
        <w:t>丙方应为乙方提供便捷有效的银行业务服务，并接受甲方委托对乙方在丙方开设的基本结算户资金使用情况进行监督。</w:t>
      </w:r>
    </w:p>
    <w:p w14:paraId="6C527E81">
      <w:pPr>
        <w:pStyle w:val="81"/>
        <w:shd w:val="clear" w:color="auto" w:fill="auto"/>
        <w:tabs>
          <w:tab w:val="left" w:pos="878"/>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lang w:val="en-US"/>
        </w:rPr>
        <w:t>2.</w:t>
      </w:r>
      <w:r>
        <w:rPr>
          <w:rStyle w:val="86"/>
          <w:rFonts w:hint="eastAsia" w:ascii="宋体" w:hAnsi="宋体" w:eastAsia="宋体" w:cs="宋体"/>
          <w:color w:val="auto"/>
          <w:sz w:val="21"/>
          <w:szCs w:val="21"/>
          <w:highlight w:val="none"/>
        </w:rPr>
        <w:t>甲方的权责</w:t>
      </w:r>
    </w:p>
    <w:p w14:paraId="45C203FA">
      <w:pPr>
        <w:pStyle w:val="81"/>
        <w:shd w:val="clear" w:color="auto" w:fill="auto"/>
        <w:tabs>
          <w:tab w:val="left" w:pos="1169"/>
          <w:tab w:val="left" w:leader="underscore" w:pos="2482"/>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（1）按照</w:t>
      </w:r>
      <w:r>
        <w:rPr>
          <w:rStyle w:val="86"/>
          <w:rFonts w:hint="eastAsia" w:ascii="宋体" w:hAnsi="宋体" w:eastAsia="宋体" w:cs="宋体"/>
          <w:color w:val="auto"/>
          <w:sz w:val="21"/>
          <w:szCs w:val="21"/>
          <w:highlight w:val="none"/>
        </w:rPr>
        <w:tab/>
      </w:r>
      <w:r>
        <w:rPr>
          <w:rStyle w:val="86"/>
          <w:rFonts w:hint="eastAsia" w:ascii="宋体" w:hAnsi="宋体" w:eastAsia="宋体" w:cs="宋体"/>
          <w:color w:val="auto"/>
          <w:sz w:val="21"/>
          <w:szCs w:val="21"/>
          <w:highlight w:val="none"/>
        </w:rPr>
        <w:t xml:space="preserve"> (项目名称)合同有关条款规定的时间和方式，向乙方支付工程款；</w:t>
      </w:r>
    </w:p>
    <w:p w14:paraId="51B4B67B">
      <w:pPr>
        <w:pStyle w:val="81"/>
        <w:shd w:val="clear" w:color="auto" w:fill="auto"/>
        <w:tabs>
          <w:tab w:val="left" w:pos="1136"/>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（2）在发现乙方将本项目资金挪用、转移时，甲方有权中止工程支付，直至乙方改正为止；</w:t>
      </w:r>
    </w:p>
    <w:p w14:paraId="3878BBD9">
      <w:pPr>
        <w:pStyle w:val="81"/>
        <w:shd w:val="clear" w:color="auto" w:fill="auto"/>
        <w:tabs>
          <w:tab w:val="left" w:pos="1136"/>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（3）不定期审查丙方对乙方的资金使用监督情况，如丙方不能履行其责任，甲方有权随时终止本协议；</w:t>
      </w:r>
    </w:p>
    <w:p w14:paraId="226989A0">
      <w:pPr>
        <w:pStyle w:val="81"/>
        <w:shd w:val="clear" w:color="auto" w:fill="auto"/>
        <w:tabs>
          <w:tab w:val="left" w:pos="1169"/>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（4）在乙、丙双方发生争议时，甲方应负责协调、解决。</w:t>
      </w:r>
    </w:p>
    <w:p w14:paraId="0F5B7E8A">
      <w:pPr>
        <w:pStyle w:val="81"/>
        <w:shd w:val="clear" w:color="auto" w:fill="auto"/>
        <w:tabs>
          <w:tab w:val="left" w:pos="878"/>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lang w:val="en-US"/>
        </w:rPr>
        <w:t>3.</w:t>
      </w:r>
      <w:r>
        <w:rPr>
          <w:rStyle w:val="86"/>
          <w:rFonts w:hint="eastAsia" w:ascii="宋体" w:hAnsi="宋体" w:eastAsia="宋体" w:cs="宋体"/>
          <w:color w:val="auto"/>
          <w:sz w:val="21"/>
          <w:szCs w:val="21"/>
          <w:highlight w:val="none"/>
        </w:rPr>
        <w:t>乙方的权责</w:t>
      </w:r>
    </w:p>
    <w:p w14:paraId="77772282">
      <w:pPr>
        <w:pStyle w:val="81"/>
        <w:shd w:val="clear" w:color="auto" w:fill="auto"/>
        <w:tabs>
          <w:tab w:val="left" w:pos="1169"/>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w:t>
      </w:r>
      <w:r>
        <w:rPr>
          <w:rStyle w:val="86"/>
          <w:rFonts w:hint="eastAsia" w:ascii="宋体" w:hAnsi="宋体" w:eastAsia="宋体" w:cs="宋体"/>
          <w:color w:val="auto"/>
          <w:sz w:val="21"/>
          <w:szCs w:val="21"/>
          <w:highlight w:val="none"/>
          <w:lang w:val="en-US"/>
        </w:rPr>
        <w:t>1）</w:t>
      </w:r>
      <w:r>
        <w:rPr>
          <w:rStyle w:val="86"/>
          <w:rFonts w:hint="eastAsia" w:ascii="宋体" w:hAnsi="宋体" w:eastAsia="宋体" w:cs="宋体"/>
          <w:color w:val="auto"/>
          <w:sz w:val="21"/>
          <w:szCs w:val="21"/>
          <w:highlight w:val="none"/>
        </w:rPr>
        <w:t>项目经理部成立以后，乙方应尽快在丙方开设基本结算户；</w:t>
      </w:r>
    </w:p>
    <w:p w14:paraId="72E12804">
      <w:pPr>
        <w:pStyle w:val="81"/>
        <w:shd w:val="clear" w:color="auto" w:fill="auto"/>
        <w:tabs>
          <w:tab w:val="left" w:pos="1134"/>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w:t>
      </w:r>
      <w:r>
        <w:rPr>
          <w:rStyle w:val="86"/>
          <w:rFonts w:hint="eastAsia" w:ascii="宋体" w:hAnsi="宋体" w:eastAsia="宋体" w:cs="宋体"/>
          <w:color w:val="auto"/>
          <w:sz w:val="21"/>
          <w:szCs w:val="21"/>
          <w:highlight w:val="none"/>
          <w:lang w:val="en-US"/>
        </w:rPr>
        <w:t>2）</w:t>
      </w:r>
      <w:r>
        <w:rPr>
          <w:rStyle w:val="86"/>
          <w:rFonts w:hint="eastAsia" w:ascii="宋体" w:hAnsi="宋体" w:eastAsia="宋体" w:cs="宋体"/>
          <w:color w:val="auto"/>
          <w:sz w:val="21"/>
          <w:szCs w:val="21"/>
          <w:highlight w:val="none"/>
        </w:rPr>
        <w:t>确保本项目资金专款专用，不发生挪用、转移资金的现象；保证不通过权益转让、抵押、担保承担债务等任何其他方式使用基本结算户的资金；</w:t>
      </w:r>
    </w:p>
    <w:p w14:paraId="2346AA84">
      <w:pPr>
        <w:pStyle w:val="81"/>
        <w:shd w:val="clear" w:color="auto" w:fill="auto"/>
        <w:tabs>
          <w:tab w:val="left" w:pos="1138"/>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w:t>
      </w:r>
      <w:r>
        <w:rPr>
          <w:rStyle w:val="86"/>
          <w:rFonts w:hint="eastAsia" w:ascii="宋体" w:hAnsi="宋体" w:eastAsia="宋体" w:cs="宋体"/>
          <w:color w:val="auto"/>
          <w:sz w:val="21"/>
          <w:szCs w:val="21"/>
          <w:highlight w:val="none"/>
          <w:lang w:val="en-US"/>
        </w:rPr>
        <w:t>3）</w:t>
      </w:r>
      <w:r>
        <w:rPr>
          <w:rStyle w:val="86"/>
          <w:rFonts w:hint="eastAsia" w:ascii="宋体" w:hAnsi="宋体" w:eastAsia="宋体" w:cs="宋体"/>
          <w:color w:val="auto"/>
          <w:sz w:val="21"/>
          <w:szCs w:val="21"/>
          <w:highlight w:val="none"/>
        </w:rPr>
        <w:t>办理材料、设备等采购业务金额在_万元以上的，应出示购货合同、协议和发票；在办理总额超过_万元以上的釆购业务时，应将合同、协议和发票复印件 送丙方备案；购买应急材料、设备时可先办理支付手续，但事后必须补备有关资料;</w:t>
      </w:r>
    </w:p>
    <w:p w14:paraId="6C2831B7">
      <w:pPr>
        <w:pStyle w:val="81"/>
        <w:shd w:val="clear" w:color="auto" w:fill="auto"/>
        <w:tabs>
          <w:tab w:val="left" w:pos="529"/>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w:t>
      </w:r>
      <w:r>
        <w:rPr>
          <w:rStyle w:val="86"/>
          <w:rFonts w:hint="eastAsia" w:ascii="宋体" w:hAnsi="宋体" w:eastAsia="宋体" w:cs="宋体"/>
          <w:color w:val="auto"/>
          <w:sz w:val="21"/>
          <w:szCs w:val="21"/>
          <w:highlight w:val="none"/>
          <w:lang w:val="en-US"/>
        </w:rPr>
        <w:t>4）</w:t>
      </w:r>
      <w:r>
        <w:rPr>
          <w:rStyle w:val="86"/>
          <w:rFonts w:hint="eastAsia" w:ascii="宋体" w:hAnsi="宋体" w:eastAsia="宋体" w:cs="宋体"/>
          <w:color w:val="auto"/>
          <w:sz w:val="21"/>
          <w:szCs w:val="21"/>
          <w:highlight w:val="none"/>
        </w:rPr>
        <w:t>用银行转账支票办理支付款项时，必须将转账支票送交丙方，由丙方负责办理支票转付手续；</w:t>
      </w:r>
    </w:p>
    <w:p w14:paraId="168B11E5">
      <w:pPr>
        <w:pStyle w:val="81"/>
        <w:shd w:val="clear" w:color="auto" w:fill="auto"/>
        <w:tabs>
          <w:tab w:val="left" w:pos="1169"/>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w:t>
      </w:r>
      <w:r>
        <w:rPr>
          <w:rStyle w:val="86"/>
          <w:rFonts w:hint="eastAsia" w:ascii="宋体" w:hAnsi="宋体" w:eastAsia="宋体" w:cs="宋体"/>
          <w:color w:val="auto"/>
          <w:sz w:val="21"/>
          <w:szCs w:val="21"/>
          <w:highlight w:val="none"/>
          <w:lang w:val="en-US"/>
        </w:rPr>
        <w:t>5）</w:t>
      </w:r>
      <w:r>
        <w:rPr>
          <w:rStyle w:val="86"/>
          <w:rFonts w:hint="eastAsia" w:ascii="宋体" w:hAnsi="宋体" w:eastAsia="宋体" w:cs="宋体"/>
          <w:color w:val="auto"/>
          <w:sz w:val="21"/>
          <w:szCs w:val="21"/>
          <w:highlight w:val="none"/>
        </w:rPr>
        <w:t>向分包单位支付工程进度款时，应附甲方批准分包的文件；</w:t>
      </w:r>
    </w:p>
    <w:p w14:paraId="41F81CA4">
      <w:pPr>
        <w:pStyle w:val="81"/>
        <w:shd w:val="clear" w:color="auto" w:fill="auto"/>
        <w:tabs>
          <w:tab w:val="left" w:pos="1134"/>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w:t>
      </w:r>
      <w:r>
        <w:rPr>
          <w:rStyle w:val="86"/>
          <w:rFonts w:hint="eastAsia" w:ascii="宋体" w:hAnsi="宋体" w:eastAsia="宋体" w:cs="宋体"/>
          <w:color w:val="auto"/>
          <w:sz w:val="21"/>
          <w:szCs w:val="21"/>
          <w:highlight w:val="none"/>
          <w:lang w:val="en-US"/>
        </w:rPr>
        <w:t>6）</w:t>
      </w:r>
      <w:r>
        <w:rPr>
          <w:rStyle w:val="86"/>
          <w:rFonts w:hint="eastAsia" w:ascii="宋体" w:hAnsi="宋体" w:eastAsia="宋体" w:cs="宋体"/>
          <w:color w:val="auto"/>
          <w:sz w:val="21"/>
          <w:szCs w:val="21"/>
          <w:highlight w:val="none"/>
        </w:rPr>
        <w:t>向上级单位缴纳管理费、机械设备及周转材料租赁摊销费等款项时，应附上级单位出具的转账通知等有关资料，以确保资金专款专用。</w:t>
      </w:r>
    </w:p>
    <w:p w14:paraId="0C176D41">
      <w:pPr>
        <w:pStyle w:val="81"/>
        <w:shd w:val="clear" w:color="auto" w:fill="auto"/>
        <w:tabs>
          <w:tab w:val="left" w:pos="858"/>
        </w:tabs>
        <w:spacing w:before="0" w:line="400" w:lineRule="exact"/>
        <w:ind w:firstLine="630" w:firstLineChars="3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lang w:val="en-US"/>
        </w:rPr>
        <w:t>4.</w:t>
      </w:r>
      <w:r>
        <w:rPr>
          <w:rStyle w:val="86"/>
          <w:rFonts w:hint="eastAsia" w:ascii="宋体" w:hAnsi="宋体" w:eastAsia="宋体" w:cs="宋体"/>
          <w:color w:val="auto"/>
          <w:sz w:val="21"/>
          <w:szCs w:val="21"/>
          <w:highlight w:val="none"/>
        </w:rPr>
        <w:t>丙方的权责</w:t>
      </w:r>
    </w:p>
    <w:p w14:paraId="1F9C5B79">
      <w:pPr>
        <w:pStyle w:val="81"/>
        <w:shd w:val="clear" w:color="auto" w:fill="auto"/>
        <w:tabs>
          <w:tab w:val="left" w:pos="1169"/>
          <w:tab w:val="left" w:leader="underscore" w:pos="2529"/>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w:t>
      </w:r>
      <w:r>
        <w:rPr>
          <w:rStyle w:val="86"/>
          <w:rFonts w:hint="eastAsia" w:ascii="宋体" w:hAnsi="宋体" w:eastAsia="宋体" w:cs="宋体"/>
          <w:color w:val="auto"/>
          <w:sz w:val="21"/>
          <w:szCs w:val="21"/>
          <w:highlight w:val="none"/>
          <w:lang w:val="en-US"/>
        </w:rPr>
        <w:t>1）</w:t>
      </w:r>
      <w:r>
        <w:rPr>
          <w:rStyle w:val="86"/>
          <w:rFonts w:hint="eastAsia" w:ascii="宋体" w:hAnsi="宋体" w:eastAsia="宋体" w:cs="宋体"/>
          <w:color w:val="auto"/>
          <w:sz w:val="21"/>
          <w:szCs w:val="21"/>
          <w:highlight w:val="none"/>
        </w:rPr>
        <w:t>成立</w:t>
      </w:r>
      <w:r>
        <w:rPr>
          <w:rStyle w:val="86"/>
          <w:rFonts w:hint="eastAsia" w:ascii="宋体" w:hAnsi="宋体" w:eastAsia="宋体" w:cs="宋体"/>
          <w:color w:val="auto"/>
          <w:sz w:val="21"/>
          <w:szCs w:val="21"/>
          <w:highlight w:val="none"/>
        </w:rPr>
        <w:tab/>
      </w:r>
      <w:r>
        <w:rPr>
          <w:rStyle w:val="86"/>
          <w:rFonts w:hint="eastAsia" w:ascii="宋体" w:hAnsi="宋体" w:eastAsia="宋体" w:cs="宋体"/>
          <w:color w:val="auto"/>
          <w:sz w:val="21"/>
          <w:szCs w:val="21"/>
          <w:highlight w:val="none"/>
        </w:rPr>
        <w:t>(项目名称）工程资金管理服务小组，明确业务流程，提高工作效率，杜绝“压票”现象；</w:t>
      </w:r>
    </w:p>
    <w:p w14:paraId="38C4DD03">
      <w:pPr>
        <w:pStyle w:val="81"/>
        <w:shd w:val="clear" w:color="auto" w:fill="auto"/>
        <w:tabs>
          <w:tab w:val="left" w:pos="1169"/>
        </w:tabs>
        <w:spacing w:before="0" w:line="400" w:lineRule="exact"/>
        <w:ind w:firstLine="420" w:firstLineChars="200"/>
        <w:jc w:val="left"/>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w:t>
      </w:r>
      <w:r>
        <w:rPr>
          <w:rStyle w:val="86"/>
          <w:rFonts w:hint="eastAsia" w:ascii="宋体" w:hAnsi="宋体" w:eastAsia="宋体" w:cs="宋体"/>
          <w:color w:val="auto"/>
          <w:sz w:val="21"/>
          <w:szCs w:val="21"/>
          <w:highlight w:val="none"/>
          <w:lang w:val="en-US"/>
        </w:rPr>
        <w:t>2）</w:t>
      </w:r>
      <w:r>
        <w:rPr>
          <w:rStyle w:val="86"/>
          <w:rFonts w:hint="eastAsia" w:ascii="宋体" w:hAnsi="宋体" w:eastAsia="宋体" w:cs="宋体"/>
          <w:color w:val="auto"/>
          <w:sz w:val="21"/>
          <w:szCs w:val="21"/>
          <w:highlight w:val="none"/>
        </w:rPr>
        <w:t>根据乙方提供的购货合同、协议和发票，检查其所购材料、设备是否用于 (项目名称）工程建设，对本标段以外的购货款项，有权拒绝办理，并及时报告甲方；</w:t>
      </w:r>
    </w:p>
    <w:p w14:paraId="072B29DF">
      <w:pPr>
        <w:pStyle w:val="81"/>
        <w:shd w:val="clear" w:color="auto" w:fill="auto"/>
        <w:tabs>
          <w:tab w:val="left" w:pos="1131"/>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w:t>
      </w:r>
      <w:r>
        <w:rPr>
          <w:rStyle w:val="86"/>
          <w:rFonts w:hint="eastAsia" w:ascii="宋体" w:hAnsi="宋体" w:eastAsia="宋体" w:cs="宋体"/>
          <w:color w:val="auto"/>
          <w:sz w:val="21"/>
          <w:szCs w:val="21"/>
          <w:highlight w:val="none"/>
          <w:lang w:val="en-US"/>
        </w:rPr>
        <w:t>3）</w:t>
      </w:r>
      <w:r>
        <w:rPr>
          <w:rStyle w:val="86"/>
          <w:rFonts w:hint="eastAsia" w:ascii="宋体" w:hAnsi="宋体" w:eastAsia="宋体" w:cs="宋体"/>
          <w:color w:val="auto"/>
          <w:sz w:val="21"/>
          <w:szCs w:val="21"/>
          <w:highlight w:val="none"/>
        </w:rPr>
        <w:t>根据乙方与分包单位签订的合同及支付文件，检查其支付款项是否符合有关条件，向分包单位以外单位的支付有权拒绝办理，并及时报告甲方；</w:t>
      </w:r>
    </w:p>
    <w:p w14:paraId="3E1A1744">
      <w:pPr>
        <w:pStyle w:val="81"/>
        <w:shd w:val="clear" w:color="auto" w:fill="auto"/>
        <w:tabs>
          <w:tab w:val="left" w:pos="1136"/>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w:t>
      </w:r>
      <w:r>
        <w:rPr>
          <w:rStyle w:val="86"/>
          <w:rFonts w:hint="eastAsia" w:ascii="宋体" w:hAnsi="宋体" w:eastAsia="宋体" w:cs="宋体"/>
          <w:color w:val="auto"/>
          <w:sz w:val="21"/>
          <w:szCs w:val="21"/>
          <w:highlight w:val="none"/>
          <w:lang w:val="en-US"/>
        </w:rPr>
        <w:t>4）</w:t>
      </w:r>
      <w:r>
        <w:rPr>
          <w:rStyle w:val="86"/>
          <w:rFonts w:hint="eastAsia" w:ascii="宋体" w:hAnsi="宋体" w:eastAsia="宋体" w:cs="宋体"/>
          <w:color w:val="auto"/>
          <w:sz w:val="21"/>
          <w:szCs w:val="21"/>
          <w:highlight w:val="none"/>
        </w:rPr>
        <w:t>根据乙方提供的上级单位出具的转账通知等有关资料，办理管理费、机械设备及周转材料租赁摊销费等款项的支付；对超出转账通知等有关资料以外的支付， 有权拒绝办理，并及时报告甲方；</w:t>
      </w:r>
    </w:p>
    <w:p w14:paraId="3BBA24CC">
      <w:pPr>
        <w:pStyle w:val="81"/>
        <w:shd w:val="clear" w:color="auto" w:fill="auto"/>
        <w:tabs>
          <w:tab w:val="left" w:pos="1117"/>
        </w:tabs>
        <w:spacing w:before="0" w:line="400" w:lineRule="exact"/>
        <w:ind w:firstLine="420" w:firstLineChars="2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w:t>
      </w:r>
      <w:r>
        <w:rPr>
          <w:rStyle w:val="86"/>
          <w:rFonts w:hint="eastAsia" w:ascii="宋体" w:hAnsi="宋体" w:eastAsia="宋体" w:cs="宋体"/>
          <w:color w:val="auto"/>
          <w:sz w:val="21"/>
          <w:szCs w:val="21"/>
          <w:highlight w:val="none"/>
          <w:lang w:val="en-US"/>
        </w:rPr>
        <w:t>5）</w:t>
      </w:r>
      <w:r>
        <w:rPr>
          <w:rStyle w:val="86"/>
          <w:rFonts w:hint="eastAsia" w:ascii="宋体" w:hAnsi="宋体" w:eastAsia="宋体" w:cs="宋体"/>
          <w:color w:val="auto"/>
          <w:sz w:val="21"/>
          <w:szCs w:val="21"/>
          <w:highlight w:val="none"/>
        </w:rPr>
        <w:t>定期将乙方前一个周期的支付情况，整理后书面报送甲方；乙方复印备案的材料一并送甲方。</w:t>
      </w:r>
    </w:p>
    <w:p w14:paraId="31DBEA78">
      <w:pPr>
        <w:pStyle w:val="81"/>
        <w:shd w:val="clear" w:color="auto" w:fill="auto"/>
        <w:tabs>
          <w:tab w:val="left" w:pos="812"/>
        </w:tabs>
        <w:spacing w:before="0" w:line="400" w:lineRule="exact"/>
        <w:ind w:firstLine="630" w:firstLineChars="300"/>
        <w:jc w:val="left"/>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lang w:val="en-US"/>
        </w:rPr>
        <w:t>5.</w:t>
      </w:r>
      <w:r>
        <w:rPr>
          <w:rStyle w:val="86"/>
          <w:rFonts w:hint="eastAsia" w:ascii="宋体" w:hAnsi="宋体" w:eastAsia="宋体" w:cs="宋体"/>
          <w:color w:val="auto"/>
          <w:sz w:val="21"/>
          <w:szCs w:val="21"/>
          <w:highlight w:val="none"/>
        </w:rPr>
        <w:t>甲、乙、丙三方都应履行保密责任，不得将其他两方的业务情况透露给三方以外的其他单位或个人。</w:t>
      </w:r>
    </w:p>
    <w:p w14:paraId="744526F7">
      <w:pPr>
        <w:pStyle w:val="81"/>
        <w:shd w:val="clear" w:color="auto" w:fill="auto"/>
        <w:tabs>
          <w:tab w:val="left" w:pos="829"/>
        </w:tabs>
        <w:spacing w:before="0" w:line="400" w:lineRule="exact"/>
        <w:ind w:firstLine="630" w:firstLineChars="300"/>
        <w:jc w:val="left"/>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lang w:val="en-US"/>
        </w:rPr>
        <w:t>6.</w:t>
      </w:r>
      <w:r>
        <w:rPr>
          <w:rStyle w:val="86"/>
          <w:rFonts w:hint="eastAsia" w:ascii="宋体" w:hAnsi="宋体" w:eastAsia="宋体" w:cs="宋体"/>
          <w:color w:val="auto"/>
          <w:sz w:val="21"/>
          <w:szCs w:val="21"/>
          <w:highlight w:val="none"/>
        </w:rPr>
        <w:t>本协议有效期自乙方在丙方开户起，至工程交工验收甲方向乙方颁发交工验收证书后结束。</w:t>
      </w:r>
    </w:p>
    <w:p w14:paraId="6FF80E2A">
      <w:pPr>
        <w:pStyle w:val="81"/>
        <w:shd w:val="clear" w:color="auto" w:fill="auto"/>
        <w:tabs>
          <w:tab w:val="left" w:pos="858"/>
        </w:tabs>
        <w:spacing w:before="0" w:line="400" w:lineRule="exact"/>
        <w:ind w:firstLine="630" w:firstLineChars="300"/>
        <w:jc w:val="both"/>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lang w:val="en-US"/>
        </w:rPr>
        <w:t>7.</w:t>
      </w:r>
      <w:r>
        <w:rPr>
          <w:rStyle w:val="86"/>
          <w:rFonts w:hint="eastAsia" w:ascii="宋体" w:hAnsi="宋体" w:eastAsia="宋体" w:cs="宋体"/>
          <w:color w:val="auto"/>
          <w:sz w:val="21"/>
          <w:szCs w:val="21"/>
          <w:highlight w:val="none"/>
        </w:rPr>
        <w:t>本协议未尽事宜，由甲方牵头，三方协商解决。</w:t>
      </w:r>
    </w:p>
    <w:p w14:paraId="5CA4CA98">
      <w:pPr>
        <w:pStyle w:val="81"/>
        <w:shd w:val="clear" w:color="auto" w:fill="auto"/>
        <w:tabs>
          <w:tab w:val="left" w:pos="838"/>
        </w:tabs>
        <w:spacing w:before="0" w:line="400" w:lineRule="exact"/>
        <w:ind w:firstLine="630" w:firstLineChars="300"/>
        <w:jc w:val="left"/>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lang w:val="en-US"/>
        </w:rPr>
        <w:t>8.</w:t>
      </w:r>
      <w:r>
        <w:rPr>
          <w:rStyle w:val="86"/>
          <w:rFonts w:hint="eastAsia" w:ascii="宋体" w:hAnsi="宋体" w:eastAsia="宋体" w:cs="宋体"/>
          <w:color w:val="auto"/>
          <w:sz w:val="21"/>
          <w:szCs w:val="21"/>
          <w:highlight w:val="none"/>
        </w:rPr>
        <w:t>本协议正本三份、副本_份。合同三方各执正本一份、副本_份，当正本与 副本内容不一致时，以正本为准。</w:t>
      </w:r>
    </w:p>
    <w:p w14:paraId="04937E42">
      <w:pPr>
        <w:pStyle w:val="81"/>
        <w:shd w:val="clear" w:color="auto" w:fill="auto"/>
        <w:tabs>
          <w:tab w:val="left" w:leader="underscore" w:pos="4086"/>
        </w:tabs>
        <w:spacing w:before="0" w:line="500" w:lineRule="exact"/>
        <w:jc w:val="left"/>
        <w:rPr>
          <w:rFonts w:hint="eastAsia" w:ascii="宋体" w:hAnsi="宋体" w:eastAsia="宋体" w:cs="宋体"/>
          <w:color w:val="auto"/>
          <w:spacing w:val="0"/>
          <w:sz w:val="21"/>
          <w:szCs w:val="21"/>
          <w:highlight w:val="none"/>
        </w:rPr>
      </w:pPr>
      <w:r>
        <w:rPr>
          <w:rStyle w:val="86"/>
          <w:rFonts w:hint="eastAsia" w:ascii="宋体" w:hAnsi="宋体" w:eastAsia="宋体" w:cs="宋体"/>
          <w:iCs/>
          <w:color w:val="auto"/>
          <w:sz w:val="21"/>
          <w:szCs w:val="21"/>
          <w:highlight w:val="none"/>
        </w:rPr>
        <w:t>发包人：</w:t>
      </w:r>
      <w:r>
        <w:rPr>
          <w:rStyle w:val="86"/>
          <w:rFonts w:hint="eastAsia" w:ascii="宋体" w:hAnsi="宋体" w:eastAsia="宋体" w:cs="宋体"/>
          <w:color w:val="auto"/>
          <w:sz w:val="21"/>
          <w:szCs w:val="21"/>
          <w:highlight w:val="none"/>
        </w:rPr>
        <w:tab/>
      </w:r>
      <w:r>
        <w:rPr>
          <w:rStyle w:val="86"/>
          <w:rFonts w:hint="eastAsia" w:ascii="宋体" w:hAnsi="宋体" w:eastAsia="宋体" w:cs="宋体"/>
          <w:color w:val="auto"/>
          <w:sz w:val="21"/>
          <w:szCs w:val="21"/>
          <w:highlight w:val="none"/>
        </w:rPr>
        <w:t xml:space="preserve"> (盖单位章)</w:t>
      </w:r>
    </w:p>
    <w:p w14:paraId="47863D6A">
      <w:pPr>
        <w:pStyle w:val="81"/>
        <w:shd w:val="clear" w:color="auto" w:fill="auto"/>
        <w:tabs>
          <w:tab w:val="left" w:leader="underscore" w:pos="4689"/>
        </w:tabs>
        <w:spacing w:before="0" w:line="500" w:lineRule="exact"/>
        <w:jc w:val="left"/>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法定代表人或其委托代理人：</w:t>
      </w:r>
      <w:r>
        <w:rPr>
          <w:rStyle w:val="86"/>
          <w:rFonts w:hint="eastAsia" w:ascii="宋体" w:hAnsi="宋体" w:eastAsia="宋体" w:cs="宋体"/>
          <w:color w:val="auto"/>
          <w:sz w:val="21"/>
          <w:szCs w:val="21"/>
          <w:highlight w:val="none"/>
        </w:rPr>
        <w:tab/>
      </w:r>
      <w:r>
        <w:rPr>
          <w:rStyle w:val="86"/>
          <w:rFonts w:hint="eastAsia" w:ascii="宋体" w:hAnsi="宋体" w:eastAsia="宋体" w:cs="宋体"/>
          <w:color w:val="auto"/>
          <w:sz w:val="21"/>
          <w:szCs w:val="21"/>
          <w:highlight w:val="none"/>
        </w:rPr>
        <w:t>签字)</w:t>
      </w:r>
    </w:p>
    <w:p w14:paraId="45F9049A">
      <w:pPr>
        <w:pStyle w:val="81"/>
        <w:shd w:val="clear" w:color="auto" w:fill="auto"/>
        <w:tabs>
          <w:tab w:val="left" w:leader="underscore" w:pos="3022"/>
          <w:tab w:val="left" w:leader="underscore" w:pos="4086"/>
        </w:tabs>
        <w:spacing w:before="0" w:line="500" w:lineRule="exact"/>
        <w:jc w:val="left"/>
        <w:rPr>
          <w:rStyle w:val="86"/>
          <w:rFonts w:hint="eastAsia" w:ascii="宋体" w:hAnsi="宋体" w:eastAsia="宋体" w:cs="宋体"/>
          <w:color w:val="auto"/>
          <w:sz w:val="21"/>
          <w:szCs w:val="21"/>
          <w:highlight w:val="none"/>
        </w:rPr>
      </w:pPr>
      <w:r>
        <w:rPr>
          <w:rStyle w:val="86"/>
          <w:rFonts w:ascii="宋体" w:hAnsi="宋体" w:eastAsia="宋体" w:cs="宋体"/>
          <w:color w:val="auto"/>
          <w:sz w:val="21"/>
          <w:szCs w:val="21"/>
          <w:highlight w:val="none"/>
          <w:u w:val="single"/>
        </w:rPr>
        <w:t xml:space="preserve">          </w:t>
      </w:r>
      <w:r>
        <w:rPr>
          <w:rStyle w:val="86"/>
          <w:rFonts w:ascii="宋体" w:hAnsi="宋体" w:eastAsia="宋体" w:cs="宋体"/>
          <w:color w:val="auto"/>
          <w:sz w:val="21"/>
          <w:szCs w:val="21"/>
          <w:highlight w:val="none"/>
        </w:rPr>
        <w:t>年</w:t>
      </w:r>
      <w:r>
        <w:rPr>
          <w:rStyle w:val="86"/>
          <w:rFonts w:ascii="宋体" w:hAnsi="宋体" w:eastAsia="宋体" w:cs="宋体"/>
          <w:color w:val="auto"/>
          <w:sz w:val="21"/>
          <w:szCs w:val="21"/>
          <w:highlight w:val="none"/>
          <w:u w:val="single"/>
        </w:rPr>
        <w:t xml:space="preserve">     </w:t>
      </w:r>
      <w:r>
        <w:rPr>
          <w:rStyle w:val="86"/>
          <w:rFonts w:ascii="宋体" w:hAnsi="宋体" w:eastAsia="宋体" w:cs="宋体"/>
          <w:color w:val="auto"/>
          <w:sz w:val="21"/>
          <w:szCs w:val="21"/>
          <w:highlight w:val="none"/>
        </w:rPr>
        <w:t>月</w:t>
      </w:r>
      <w:r>
        <w:rPr>
          <w:rStyle w:val="86"/>
          <w:rFonts w:ascii="宋体" w:hAnsi="宋体" w:eastAsia="宋体" w:cs="宋体"/>
          <w:color w:val="auto"/>
          <w:sz w:val="21"/>
          <w:szCs w:val="21"/>
          <w:highlight w:val="none"/>
          <w:u w:val="single"/>
        </w:rPr>
        <w:t xml:space="preserve">  </w:t>
      </w:r>
      <w:r>
        <w:rPr>
          <w:rStyle w:val="86"/>
          <w:rFonts w:hint="eastAsia" w:ascii="宋体" w:hAnsi="宋体" w:eastAsia="宋体" w:cs="宋体"/>
          <w:color w:val="auto"/>
          <w:sz w:val="21"/>
          <w:szCs w:val="21"/>
          <w:highlight w:val="none"/>
          <w:u w:val="single"/>
          <w:lang w:val="en-US"/>
        </w:rPr>
        <w:t xml:space="preserve"> </w:t>
      </w:r>
      <w:r>
        <w:rPr>
          <w:rStyle w:val="86"/>
          <w:rFonts w:ascii="宋体" w:hAnsi="宋体" w:eastAsia="宋体" w:cs="宋体"/>
          <w:color w:val="auto"/>
          <w:sz w:val="21"/>
          <w:szCs w:val="21"/>
          <w:highlight w:val="none"/>
          <w:u w:val="single"/>
        </w:rPr>
        <w:t xml:space="preserve">  </w:t>
      </w:r>
      <w:r>
        <w:rPr>
          <w:rStyle w:val="86"/>
          <w:rFonts w:ascii="宋体" w:hAnsi="宋体" w:eastAsia="宋体" w:cs="宋体"/>
          <w:color w:val="auto"/>
          <w:sz w:val="21"/>
          <w:szCs w:val="21"/>
          <w:highlight w:val="none"/>
        </w:rPr>
        <w:t>日</w:t>
      </w:r>
    </w:p>
    <w:p w14:paraId="42BFE471">
      <w:pPr>
        <w:pStyle w:val="81"/>
        <w:shd w:val="clear" w:color="auto" w:fill="auto"/>
        <w:tabs>
          <w:tab w:val="left" w:leader="underscore" w:pos="4086"/>
          <w:tab w:val="left" w:pos="6820"/>
        </w:tabs>
        <w:spacing w:before="0" w:line="500" w:lineRule="exact"/>
        <w:jc w:val="left"/>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承包人：</w:t>
      </w:r>
      <w:r>
        <w:rPr>
          <w:rStyle w:val="86"/>
          <w:rFonts w:hint="eastAsia" w:ascii="宋体" w:hAnsi="宋体" w:eastAsia="宋体" w:cs="宋体"/>
          <w:color w:val="auto"/>
          <w:sz w:val="21"/>
          <w:szCs w:val="21"/>
          <w:highlight w:val="none"/>
        </w:rPr>
        <w:tab/>
      </w:r>
      <w:r>
        <w:rPr>
          <w:rStyle w:val="86"/>
          <w:rFonts w:hint="eastAsia" w:ascii="宋体" w:hAnsi="宋体" w:eastAsia="宋体" w:cs="宋体"/>
          <w:color w:val="auto"/>
          <w:sz w:val="21"/>
          <w:szCs w:val="21"/>
          <w:highlight w:val="none"/>
        </w:rPr>
        <w:t xml:space="preserve"> (盖单位章)</w:t>
      </w:r>
      <w:r>
        <w:rPr>
          <w:rStyle w:val="86"/>
          <w:rFonts w:hint="eastAsia" w:ascii="宋体" w:hAnsi="宋体" w:eastAsia="宋体" w:cs="宋体"/>
          <w:color w:val="auto"/>
          <w:sz w:val="21"/>
          <w:szCs w:val="21"/>
          <w:highlight w:val="none"/>
        </w:rPr>
        <w:tab/>
      </w:r>
    </w:p>
    <w:p w14:paraId="10899012">
      <w:pPr>
        <w:pStyle w:val="81"/>
        <w:shd w:val="clear" w:color="auto" w:fill="auto"/>
        <w:tabs>
          <w:tab w:val="left" w:leader="underscore" w:pos="4689"/>
        </w:tabs>
        <w:spacing w:before="0" w:line="500" w:lineRule="exact"/>
        <w:jc w:val="left"/>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法定代表人或其委托代理人：</w:t>
      </w:r>
      <w:r>
        <w:rPr>
          <w:rStyle w:val="86"/>
          <w:rFonts w:hint="eastAsia" w:ascii="宋体" w:hAnsi="宋体" w:eastAsia="宋体" w:cs="宋体"/>
          <w:color w:val="auto"/>
          <w:sz w:val="21"/>
          <w:szCs w:val="21"/>
          <w:highlight w:val="none"/>
        </w:rPr>
        <w:tab/>
      </w:r>
      <w:r>
        <w:rPr>
          <w:rStyle w:val="86"/>
          <w:rFonts w:hint="eastAsia" w:ascii="宋体" w:hAnsi="宋体" w:eastAsia="宋体" w:cs="宋体"/>
          <w:color w:val="auto"/>
          <w:sz w:val="21"/>
          <w:szCs w:val="21"/>
          <w:highlight w:val="none"/>
        </w:rPr>
        <w:t>签字)</w:t>
      </w:r>
    </w:p>
    <w:p w14:paraId="77411E18">
      <w:pPr>
        <w:pStyle w:val="81"/>
        <w:shd w:val="clear" w:color="auto" w:fill="auto"/>
        <w:tabs>
          <w:tab w:val="left" w:leader="underscore" w:pos="4086"/>
        </w:tabs>
        <w:spacing w:before="0" w:line="500" w:lineRule="exact"/>
        <w:jc w:val="left"/>
        <w:rPr>
          <w:rStyle w:val="86"/>
          <w:rFonts w:ascii="宋体" w:hAnsi="宋体" w:eastAsia="宋体" w:cs="宋体"/>
          <w:color w:val="auto"/>
          <w:sz w:val="21"/>
          <w:szCs w:val="21"/>
          <w:highlight w:val="none"/>
        </w:rPr>
      </w:pPr>
      <w:r>
        <w:rPr>
          <w:rStyle w:val="86"/>
          <w:rFonts w:ascii="宋体" w:hAnsi="宋体" w:eastAsia="宋体" w:cs="宋体"/>
          <w:color w:val="auto"/>
          <w:sz w:val="21"/>
          <w:szCs w:val="21"/>
          <w:highlight w:val="none"/>
          <w:u w:val="single"/>
        </w:rPr>
        <w:t xml:space="preserve">          </w:t>
      </w:r>
      <w:r>
        <w:rPr>
          <w:rStyle w:val="86"/>
          <w:rFonts w:ascii="宋体" w:hAnsi="宋体" w:eastAsia="宋体" w:cs="宋体"/>
          <w:color w:val="auto"/>
          <w:sz w:val="21"/>
          <w:szCs w:val="21"/>
          <w:highlight w:val="none"/>
        </w:rPr>
        <w:t>年</w:t>
      </w:r>
      <w:r>
        <w:rPr>
          <w:rStyle w:val="86"/>
          <w:rFonts w:ascii="宋体" w:hAnsi="宋体" w:eastAsia="宋体" w:cs="宋体"/>
          <w:color w:val="auto"/>
          <w:sz w:val="21"/>
          <w:szCs w:val="21"/>
          <w:highlight w:val="none"/>
          <w:u w:val="single"/>
        </w:rPr>
        <w:t xml:space="preserve">     </w:t>
      </w:r>
      <w:r>
        <w:rPr>
          <w:rStyle w:val="86"/>
          <w:rFonts w:ascii="宋体" w:hAnsi="宋体" w:eastAsia="宋体" w:cs="宋体"/>
          <w:color w:val="auto"/>
          <w:sz w:val="21"/>
          <w:szCs w:val="21"/>
          <w:highlight w:val="none"/>
        </w:rPr>
        <w:t>月</w:t>
      </w:r>
      <w:r>
        <w:rPr>
          <w:rStyle w:val="86"/>
          <w:rFonts w:ascii="宋体" w:hAnsi="宋体" w:eastAsia="宋体" w:cs="宋体"/>
          <w:color w:val="auto"/>
          <w:sz w:val="21"/>
          <w:szCs w:val="21"/>
          <w:highlight w:val="none"/>
          <w:u w:val="single"/>
        </w:rPr>
        <w:t xml:space="preserve">  </w:t>
      </w:r>
      <w:r>
        <w:rPr>
          <w:rStyle w:val="86"/>
          <w:rFonts w:hint="eastAsia" w:ascii="宋体" w:hAnsi="宋体" w:eastAsia="宋体" w:cs="宋体"/>
          <w:color w:val="auto"/>
          <w:sz w:val="21"/>
          <w:szCs w:val="21"/>
          <w:highlight w:val="none"/>
          <w:u w:val="single"/>
          <w:lang w:val="en-US"/>
        </w:rPr>
        <w:t xml:space="preserve"> </w:t>
      </w:r>
      <w:r>
        <w:rPr>
          <w:rStyle w:val="86"/>
          <w:rFonts w:ascii="宋体" w:hAnsi="宋体" w:eastAsia="宋体" w:cs="宋体"/>
          <w:color w:val="auto"/>
          <w:sz w:val="21"/>
          <w:szCs w:val="21"/>
          <w:highlight w:val="none"/>
          <w:u w:val="single"/>
        </w:rPr>
        <w:t xml:space="preserve">  </w:t>
      </w:r>
      <w:r>
        <w:rPr>
          <w:rStyle w:val="86"/>
          <w:rFonts w:ascii="宋体" w:hAnsi="宋体" w:eastAsia="宋体" w:cs="宋体"/>
          <w:color w:val="auto"/>
          <w:sz w:val="21"/>
          <w:szCs w:val="21"/>
          <w:highlight w:val="none"/>
        </w:rPr>
        <w:t>日</w:t>
      </w:r>
    </w:p>
    <w:p w14:paraId="3FF1A008">
      <w:pPr>
        <w:pStyle w:val="81"/>
        <w:shd w:val="clear" w:color="auto" w:fill="auto"/>
        <w:tabs>
          <w:tab w:val="left" w:leader="underscore" w:pos="4086"/>
        </w:tabs>
        <w:spacing w:before="0" w:line="500" w:lineRule="exact"/>
        <w:jc w:val="left"/>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经办银行：</w:t>
      </w:r>
      <w:r>
        <w:rPr>
          <w:rStyle w:val="86"/>
          <w:rFonts w:hint="eastAsia" w:ascii="宋体" w:hAnsi="宋体" w:eastAsia="宋体" w:cs="宋体"/>
          <w:color w:val="auto"/>
          <w:sz w:val="21"/>
          <w:szCs w:val="21"/>
          <w:highlight w:val="none"/>
        </w:rPr>
        <w:tab/>
      </w:r>
      <w:r>
        <w:rPr>
          <w:rStyle w:val="86"/>
          <w:rFonts w:hint="eastAsia" w:ascii="宋体" w:hAnsi="宋体" w:eastAsia="宋体" w:cs="宋体"/>
          <w:color w:val="auto"/>
          <w:sz w:val="21"/>
          <w:szCs w:val="21"/>
          <w:highlight w:val="none"/>
        </w:rPr>
        <w:t xml:space="preserve"> (盖单位章)</w:t>
      </w:r>
    </w:p>
    <w:p w14:paraId="0480B210">
      <w:pPr>
        <w:pStyle w:val="81"/>
        <w:shd w:val="clear" w:color="auto" w:fill="auto"/>
        <w:tabs>
          <w:tab w:val="left" w:leader="underscore" w:pos="4689"/>
        </w:tabs>
        <w:spacing w:before="0" w:line="500" w:lineRule="exact"/>
        <w:jc w:val="left"/>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法定代表人或其委托代理人：</w:t>
      </w:r>
      <w:r>
        <w:rPr>
          <w:rStyle w:val="86"/>
          <w:rFonts w:hint="eastAsia" w:ascii="宋体" w:hAnsi="宋体" w:eastAsia="宋体" w:cs="宋体"/>
          <w:color w:val="auto"/>
          <w:sz w:val="21"/>
          <w:szCs w:val="21"/>
          <w:highlight w:val="none"/>
        </w:rPr>
        <w:tab/>
      </w:r>
      <w:r>
        <w:rPr>
          <w:rStyle w:val="86"/>
          <w:rFonts w:hint="eastAsia" w:ascii="宋体" w:hAnsi="宋体" w:eastAsia="宋体" w:cs="宋体"/>
          <w:color w:val="auto"/>
          <w:sz w:val="21"/>
          <w:szCs w:val="21"/>
          <w:highlight w:val="none"/>
        </w:rPr>
        <w:t>签字)</w:t>
      </w:r>
    </w:p>
    <w:p w14:paraId="0B7813B6">
      <w:pPr>
        <w:tabs>
          <w:tab w:val="left" w:pos="1080"/>
        </w:tabs>
        <w:spacing w:line="500" w:lineRule="exact"/>
        <w:jc w:val="left"/>
        <w:rPr>
          <w:rFonts w:ascii="宋体" w:hAnsi="宋体" w:cs="宋体"/>
          <w:color w:val="auto"/>
          <w:szCs w:val="21"/>
          <w:highlight w:val="none"/>
        </w:rPr>
      </w:pPr>
      <w:r>
        <w:rPr>
          <w:rStyle w:val="86"/>
          <w:rFonts w:ascii="宋体" w:hAnsi="宋体" w:eastAsia="宋体" w:cs="宋体"/>
          <w:color w:val="auto"/>
          <w:sz w:val="21"/>
          <w:szCs w:val="21"/>
          <w:highlight w:val="none"/>
          <w:u w:val="single"/>
        </w:rPr>
        <w:t xml:space="preserve">          </w:t>
      </w:r>
      <w:r>
        <w:rPr>
          <w:rStyle w:val="86"/>
          <w:rFonts w:ascii="宋体" w:hAnsi="宋体" w:eastAsia="宋体" w:cs="宋体"/>
          <w:color w:val="auto"/>
          <w:sz w:val="21"/>
          <w:szCs w:val="21"/>
          <w:highlight w:val="none"/>
        </w:rPr>
        <w:t>年</w:t>
      </w:r>
      <w:r>
        <w:rPr>
          <w:rStyle w:val="86"/>
          <w:rFonts w:ascii="宋体" w:hAnsi="宋体" w:eastAsia="宋体" w:cs="宋体"/>
          <w:color w:val="auto"/>
          <w:sz w:val="21"/>
          <w:szCs w:val="21"/>
          <w:highlight w:val="none"/>
          <w:u w:val="single"/>
        </w:rPr>
        <w:t xml:space="preserve">     </w:t>
      </w:r>
      <w:r>
        <w:rPr>
          <w:rStyle w:val="86"/>
          <w:rFonts w:ascii="宋体" w:hAnsi="宋体" w:eastAsia="宋体" w:cs="宋体"/>
          <w:color w:val="auto"/>
          <w:sz w:val="21"/>
          <w:szCs w:val="21"/>
          <w:highlight w:val="none"/>
        </w:rPr>
        <w:t>月</w:t>
      </w:r>
      <w:r>
        <w:rPr>
          <w:rStyle w:val="86"/>
          <w:rFonts w:ascii="宋体" w:hAnsi="宋体" w:eastAsia="宋体" w:cs="宋体"/>
          <w:color w:val="auto"/>
          <w:sz w:val="21"/>
          <w:szCs w:val="21"/>
          <w:highlight w:val="none"/>
          <w:u w:val="single"/>
        </w:rPr>
        <w:t xml:space="preserve">  </w:t>
      </w:r>
      <w:r>
        <w:rPr>
          <w:rStyle w:val="86"/>
          <w:rFonts w:hint="eastAsia" w:ascii="宋体" w:hAnsi="宋体" w:eastAsia="宋体" w:cs="宋体"/>
          <w:color w:val="auto"/>
          <w:sz w:val="21"/>
          <w:szCs w:val="21"/>
          <w:highlight w:val="none"/>
          <w:u w:val="single"/>
          <w:lang w:val="en-US"/>
        </w:rPr>
        <w:t xml:space="preserve"> </w:t>
      </w:r>
      <w:r>
        <w:rPr>
          <w:rStyle w:val="86"/>
          <w:rFonts w:ascii="宋体" w:hAnsi="宋体" w:eastAsia="宋体" w:cs="宋体"/>
          <w:color w:val="auto"/>
          <w:sz w:val="21"/>
          <w:szCs w:val="21"/>
          <w:highlight w:val="none"/>
          <w:u w:val="single"/>
        </w:rPr>
        <w:t xml:space="preserve">  </w:t>
      </w:r>
      <w:r>
        <w:rPr>
          <w:rStyle w:val="86"/>
          <w:rFonts w:ascii="宋体" w:hAnsi="宋体" w:eastAsia="宋体" w:cs="宋体"/>
          <w:color w:val="auto"/>
          <w:sz w:val="21"/>
          <w:szCs w:val="21"/>
          <w:highlight w:val="none"/>
        </w:rPr>
        <w:t>日</w:t>
      </w:r>
    </w:p>
    <w:p w14:paraId="49A6185B">
      <w:pPr>
        <w:pStyle w:val="11"/>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sectPr>
      <w:pgSz w:w="11906" w:h="16838"/>
      <w:pgMar w:top="1440" w:right="1080" w:bottom="1440" w:left="1080" w:header="567" w:footer="567" w:gutter="567"/>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汉仪中宋简">
    <w:altName w:val="宋体"/>
    <w:panose1 w:val="02010609000101010101"/>
    <w:charset w:val="86"/>
    <w:family w:val="modern"/>
    <w:pitch w:val="default"/>
    <w:sig w:usb0="00000000" w:usb1="00000000" w:usb2="00000012" w:usb3="00000000" w:csb0="00040000" w:csb1="00000000"/>
  </w:font>
  <w:font w:name="汉仪字典宋简">
    <w:altName w:val="宋体"/>
    <w:panose1 w:val="02010609000101010101"/>
    <w:charset w:val="86"/>
    <w:family w:val="modern"/>
    <w:pitch w:val="default"/>
    <w:sig w:usb0="00000000" w:usb1="00000000" w:usb2="00000012" w:usb3="00000000" w:csb0="00040000" w:csb1="00000000"/>
  </w:font>
  <w:font w:name="MingLiU">
    <w:panose1 w:val="02020509000000000000"/>
    <w:charset w:val="88"/>
    <w:family w:val="modern"/>
    <w:pitch w:val="default"/>
    <w:sig w:usb0="A00002FF" w:usb1="28CFFCFA" w:usb2="00000016" w:usb3="00000000" w:csb0="00100001" w:csb1="00000000"/>
    <w:embedRegular r:id="rId1" w:fontKey="{265712B9-A4E9-45EF-A0BB-2335D5D49E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3D083">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65736">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565736">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335EE">
    <w:pPr>
      <w:pStyle w:val="19"/>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32D77">
                          <w:pPr>
                            <w:pStyle w:val="19"/>
                            <w:rPr>
                              <w:color w:val="auto"/>
                            </w:rPr>
                          </w:pPr>
                          <w:r>
                            <w:rPr>
                              <w:color w:val="auto"/>
                            </w:rPr>
                            <w:fldChar w:fldCharType="begin"/>
                          </w:r>
                          <w:r>
                            <w:rPr>
                              <w:color w:val="auto"/>
                            </w:rPr>
                            <w:instrText xml:space="preserve"> PAGE  \* MERGEFORMAT </w:instrText>
                          </w:r>
                          <w:r>
                            <w:rPr>
                              <w:color w:val="auto"/>
                            </w:rPr>
                            <w:fldChar w:fldCharType="separate"/>
                          </w:r>
                          <w:r>
                            <w:rPr>
                              <w:color w:val="auto"/>
                            </w:rPr>
                            <w:t>26</w:t>
                          </w:r>
                          <w:r>
                            <w:rPr>
                              <w:color w:val="auto"/>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6532D77">
                    <w:pPr>
                      <w:pStyle w:val="19"/>
                      <w:rPr>
                        <w:color w:val="auto"/>
                      </w:rPr>
                    </w:pPr>
                    <w:r>
                      <w:rPr>
                        <w:color w:val="auto"/>
                      </w:rPr>
                      <w:fldChar w:fldCharType="begin"/>
                    </w:r>
                    <w:r>
                      <w:rPr>
                        <w:color w:val="auto"/>
                      </w:rPr>
                      <w:instrText xml:space="preserve"> PAGE  \* MERGEFORMAT </w:instrText>
                    </w:r>
                    <w:r>
                      <w:rPr>
                        <w:color w:val="auto"/>
                      </w:rPr>
                      <w:fldChar w:fldCharType="separate"/>
                    </w:r>
                    <w:r>
                      <w:rPr>
                        <w:color w:val="auto"/>
                      </w:rPr>
                      <w:t>26</w:t>
                    </w:r>
                    <w:r>
                      <w:rPr>
                        <w:color w:val="auto"/>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5B39E">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337CD9">
                          <w:pPr>
                            <w:pStyle w:val="1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A337CD9">
                    <w:pPr>
                      <w:pStyle w:val="1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322FF">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8C9BA">
    <w:pPr>
      <w:spacing w:line="4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94FB7"/>
    <w:multiLevelType w:val="singleLevel"/>
    <w:tmpl w:val="86894FB7"/>
    <w:lvl w:ilvl="0" w:tentative="0">
      <w:start w:val="1"/>
      <w:numFmt w:val="decimal"/>
      <w:lvlText w:val="%1."/>
      <w:lvlJc w:val="left"/>
      <w:pPr>
        <w:tabs>
          <w:tab w:val="left" w:pos="312"/>
        </w:tabs>
      </w:pPr>
    </w:lvl>
  </w:abstractNum>
  <w:abstractNum w:abstractNumId="1">
    <w:nsid w:val="872EA84D"/>
    <w:multiLevelType w:val="singleLevel"/>
    <w:tmpl w:val="872EA84D"/>
    <w:lvl w:ilvl="0" w:tentative="0">
      <w:start w:val="6"/>
      <w:numFmt w:val="chineseCounting"/>
      <w:suff w:val="space"/>
      <w:lvlText w:val="第%1章"/>
      <w:lvlJc w:val="left"/>
      <w:rPr>
        <w:rFonts w:hint="eastAsia"/>
      </w:rPr>
    </w:lvl>
  </w:abstractNum>
  <w:abstractNum w:abstractNumId="2">
    <w:nsid w:val="8D2181D6"/>
    <w:multiLevelType w:val="singleLevel"/>
    <w:tmpl w:val="8D2181D6"/>
    <w:lvl w:ilvl="0" w:tentative="0">
      <w:start w:val="1"/>
      <w:numFmt w:val="decimal"/>
      <w:suff w:val="nothing"/>
      <w:lvlText w:val="（%1）"/>
      <w:lvlJc w:val="left"/>
    </w:lvl>
  </w:abstractNum>
  <w:abstractNum w:abstractNumId="3">
    <w:nsid w:val="91579D05"/>
    <w:multiLevelType w:val="singleLevel"/>
    <w:tmpl w:val="91579D05"/>
    <w:lvl w:ilvl="0" w:tentative="0">
      <w:start w:val="1"/>
      <w:numFmt w:val="decimal"/>
      <w:suff w:val="nothing"/>
      <w:lvlText w:val="（%1）"/>
      <w:lvlJc w:val="left"/>
    </w:lvl>
  </w:abstractNum>
  <w:abstractNum w:abstractNumId="4">
    <w:nsid w:val="B95A857C"/>
    <w:multiLevelType w:val="singleLevel"/>
    <w:tmpl w:val="B95A857C"/>
    <w:lvl w:ilvl="0" w:tentative="0">
      <w:start w:val="1"/>
      <w:numFmt w:val="decimal"/>
      <w:suff w:val="nothing"/>
      <w:lvlText w:val="（%1）"/>
      <w:lvlJc w:val="left"/>
    </w:lvl>
  </w:abstractNum>
  <w:abstractNum w:abstractNumId="5">
    <w:nsid w:val="C6294DF2"/>
    <w:multiLevelType w:val="singleLevel"/>
    <w:tmpl w:val="C6294DF2"/>
    <w:lvl w:ilvl="0" w:tentative="0">
      <w:start w:val="1"/>
      <w:numFmt w:val="decimal"/>
      <w:suff w:val="nothing"/>
      <w:lvlText w:val="（%1）"/>
      <w:lvlJc w:val="left"/>
    </w:lvl>
  </w:abstractNum>
  <w:abstractNum w:abstractNumId="6">
    <w:nsid w:val="D724A42D"/>
    <w:multiLevelType w:val="singleLevel"/>
    <w:tmpl w:val="D724A42D"/>
    <w:lvl w:ilvl="0" w:tentative="0">
      <w:start w:val="1"/>
      <w:numFmt w:val="decimal"/>
      <w:suff w:val="nothing"/>
      <w:lvlText w:val="（%1）"/>
      <w:lvlJc w:val="left"/>
    </w:lvl>
  </w:abstractNum>
  <w:abstractNum w:abstractNumId="7">
    <w:nsid w:val="00000039"/>
    <w:multiLevelType w:val="multilevel"/>
    <w:tmpl w:val="00000039"/>
    <w:lvl w:ilvl="0" w:tentative="0">
      <w:start w:val="1"/>
      <w:numFmt w:val="upp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8">
    <w:nsid w:val="0000003B"/>
    <w:multiLevelType w:val="multilevel"/>
    <w:tmpl w:val="0000003B"/>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9">
    <w:nsid w:val="0000003C"/>
    <w:multiLevelType w:val="multilevel"/>
    <w:tmpl w:val="0000003C"/>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0">
    <w:nsid w:val="0000003D"/>
    <w:multiLevelType w:val="multilevel"/>
    <w:tmpl w:val="0000003D"/>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1">
    <w:nsid w:val="0000003E"/>
    <w:multiLevelType w:val="multilevel"/>
    <w:tmpl w:val="0000003E"/>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2">
    <w:nsid w:val="0000003F"/>
    <w:multiLevelType w:val="multilevel"/>
    <w:tmpl w:val="0000003F"/>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3">
    <w:nsid w:val="00000042"/>
    <w:multiLevelType w:val="multilevel"/>
    <w:tmpl w:val="00000042"/>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4">
    <w:nsid w:val="00000043"/>
    <w:multiLevelType w:val="multilevel"/>
    <w:tmpl w:val="00000043"/>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5">
    <w:nsid w:val="00000045"/>
    <w:multiLevelType w:val="multilevel"/>
    <w:tmpl w:val="00000045"/>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6">
    <w:nsid w:val="00000046"/>
    <w:multiLevelType w:val="multilevel"/>
    <w:tmpl w:val="00000046"/>
    <w:lvl w:ilvl="0" w:tentative="0">
      <w:start w:val="1"/>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7">
    <w:nsid w:val="00000047"/>
    <w:multiLevelType w:val="multilevel"/>
    <w:tmpl w:val="00000047"/>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8">
    <w:nsid w:val="00000048"/>
    <w:multiLevelType w:val="multilevel"/>
    <w:tmpl w:val="00000048"/>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9">
    <w:nsid w:val="00000049"/>
    <w:multiLevelType w:val="multilevel"/>
    <w:tmpl w:val="00000049"/>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0">
    <w:nsid w:val="0000004B"/>
    <w:multiLevelType w:val="multilevel"/>
    <w:tmpl w:val="0000004B"/>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1">
    <w:nsid w:val="0000004D"/>
    <w:multiLevelType w:val="multilevel"/>
    <w:tmpl w:val="0000004D"/>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2">
    <w:nsid w:val="00000051"/>
    <w:multiLevelType w:val="multilevel"/>
    <w:tmpl w:val="00000051"/>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3">
    <w:nsid w:val="00000052"/>
    <w:multiLevelType w:val="multilevel"/>
    <w:tmpl w:val="00000052"/>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4">
    <w:nsid w:val="00000053"/>
    <w:multiLevelType w:val="multilevel"/>
    <w:tmpl w:val="00000053"/>
    <w:lvl w:ilvl="0" w:tentative="0">
      <w:start w:val="1"/>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5">
    <w:nsid w:val="00000057"/>
    <w:multiLevelType w:val="multilevel"/>
    <w:tmpl w:val="00000057"/>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6">
    <w:nsid w:val="0000005A"/>
    <w:multiLevelType w:val="multilevel"/>
    <w:tmpl w:val="0000005A"/>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7">
    <w:nsid w:val="0000005B"/>
    <w:multiLevelType w:val="multilevel"/>
    <w:tmpl w:val="0000005B"/>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8">
    <w:nsid w:val="0000005C"/>
    <w:multiLevelType w:val="multilevel"/>
    <w:tmpl w:val="0000005C"/>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9">
    <w:nsid w:val="0000005D"/>
    <w:multiLevelType w:val="multilevel"/>
    <w:tmpl w:val="0000005D"/>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0">
    <w:nsid w:val="00000060"/>
    <w:multiLevelType w:val="multilevel"/>
    <w:tmpl w:val="00000060"/>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1">
    <w:nsid w:val="00000063"/>
    <w:multiLevelType w:val="multilevel"/>
    <w:tmpl w:val="00000063"/>
    <w:lvl w:ilvl="0" w:tentative="0">
      <w:start w:val="1"/>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2">
    <w:nsid w:val="00000064"/>
    <w:multiLevelType w:val="multilevel"/>
    <w:tmpl w:val="00000064"/>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3">
    <w:nsid w:val="00000067"/>
    <w:multiLevelType w:val="multilevel"/>
    <w:tmpl w:val="00000067"/>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4">
    <w:nsid w:val="00000068"/>
    <w:multiLevelType w:val="multilevel"/>
    <w:tmpl w:val="00000068"/>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5">
    <w:nsid w:val="0000006A"/>
    <w:multiLevelType w:val="multilevel"/>
    <w:tmpl w:val="0000006A"/>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6">
    <w:nsid w:val="0000006B"/>
    <w:multiLevelType w:val="multilevel"/>
    <w:tmpl w:val="0000006B"/>
    <w:lvl w:ilvl="0" w:tentative="0">
      <w:start w:val="20"/>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7">
    <w:nsid w:val="0000006C"/>
    <w:multiLevelType w:val="multilevel"/>
    <w:tmpl w:val="0000006C"/>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8">
    <w:nsid w:val="0000006E"/>
    <w:multiLevelType w:val="multilevel"/>
    <w:tmpl w:val="0000006E"/>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9">
    <w:nsid w:val="00000072"/>
    <w:multiLevelType w:val="multilevel"/>
    <w:tmpl w:val="00000072"/>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0">
    <w:nsid w:val="00000073"/>
    <w:multiLevelType w:val="multilevel"/>
    <w:tmpl w:val="00000073"/>
    <w:lvl w:ilvl="0" w:tentative="0">
      <w:start w:val="2"/>
      <w:numFmt w:val="upp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1">
    <w:nsid w:val="21A205B0"/>
    <w:multiLevelType w:val="singleLevel"/>
    <w:tmpl w:val="21A205B0"/>
    <w:lvl w:ilvl="0" w:tentative="0">
      <w:start w:val="2"/>
      <w:numFmt w:val="chineseCounting"/>
      <w:suff w:val="space"/>
      <w:lvlText w:val="第%1章"/>
      <w:lvlJc w:val="left"/>
      <w:rPr>
        <w:rFonts w:hint="eastAsia"/>
      </w:rPr>
    </w:lvl>
  </w:abstractNum>
  <w:abstractNum w:abstractNumId="42">
    <w:nsid w:val="3FE81478"/>
    <w:multiLevelType w:val="singleLevel"/>
    <w:tmpl w:val="3FE81478"/>
    <w:lvl w:ilvl="0" w:tentative="0">
      <w:start w:val="11"/>
      <w:numFmt w:val="decimal"/>
      <w:suff w:val="nothing"/>
      <w:lvlText w:val="%1．"/>
      <w:lvlJc w:val="left"/>
    </w:lvl>
  </w:abstractNum>
  <w:abstractNum w:abstractNumId="43">
    <w:nsid w:val="7109B62A"/>
    <w:multiLevelType w:val="singleLevel"/>
    <w:tmpl w:val="7109B62A"/>
    <w:lvl w:ilvl="0" w:tentative="0">
      <w:start w:val="1"/>
      <w:numFmt w:val="decimal"/>
      <w:suff w:val="space"/>
      <w:lvlText w:val="（%1）"/>
      <w:lvlJc w:val="left"/>
    </w:lvl>
  </w:abstractNum>
  <w:num w:numId="1">
    <w:abstractNumId w:val="41"/>
  </w:num>
  <w:num w:numId="2">
    <w:abstractNumId w:val="1"/>
  </w:num>
  <w:num w:numId="3">
    <w:abstractNumId w:val="7"/>
  </w:num>
  <w:num w:numId="4">
    <w:abstractNumId w:val="8"/>
  </w:num>
  <w:num w:numId="5">
    <w:abstractNumId w:val="9"/>
  </w:num>
  <w:num w:numId="6">
    <w:abstractNumId w:val="10"/>
  </w:num>
  <w:num w:numId="7">
    <w:abstractNumId w:val="11"/>
  </w:num>
  <w:num w:numId="8">
    <w:abstractNumId w:val="12"/>
  </w:num>
  <w:num w:numId="9">
    <w:abstractNumId w:val="6"/>
  </w:num>
  <w:num w:numId="10">
    <w:abstractNumId w:val="13"/>
  </w:num>
  <w:num w:numId="11">
    <w:abstractNumId w:val="14"/>
  </w:num>
  <w:num w:numId="12">
    <w:abstractNumId w:val="43"/>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4"/>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
  </w:num>
  <w:num w:numId="33">
    <w:abstractNumId w:val="33"/>
  </w:num>
  <w:num w:numId="34">
    <w:abstractNumId w:val="34"/>
  </w:num>
  <w:num w:numId="35">
    <w:abstractNumId w:val="35"/>
  </w:num>
  <w:num w:numId="36">
    <w:abstractNumId w:val="5"/>
  </w:num>
  <w:num w:numId="37">
    <w:abstractNumId w:val="36"/>
  </w:num>
  <w:num w:numId="38">
    <w:abstractNumId w:val="37"/>
  </w:num>
  <w:num w:numId="39">
    <w:abstractNumId w:val="38"/>
  </w:num>
  <w:num w:numId="40">
    <w:abstractNumId w:val="39"/>
  </w:num>
  <w:num w:numId="41">
    <w:abstractNumId w:val="40"/>
  </w:num>
  <w:num w:numId="42">
    <w:abstractNumId w:val="0"/>
  </w:num>
  <w:num w:numId="43">
    <w:abstractNumId w:val="2"/>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ZDJkZDJhOTYxYTMzZDIzZTY5YjU3MTYxNmMxOTQifQ=="/>
    <w:docVar w:name="KSO_WPS_MARK_KEY" w:val="0f36c477-a813-4eb2-9910-36f309e25514"/>
  </w:docVars>
  <w:rsids>
    <w:rsidRoot w:val="556F068E"/>
    <w:rsid w:val="00022272"/>
    <w:rsid w:val="00046300"/>
    <w:rsid w:val="00092EAF"/>
    <w:rsid w:val="000A365B"/>
    <w:rsid w:val="000C199D"/>
    <w:rsid w:val="000E03F8"/>
    <w:rsid w:val="001A5BFD"/>
    <w:rsid w:val="001C657D"/>
    <w:rsid w:val="002203C2"/>
    <w:rsid w:val="00222EAA"/>
    <w:rsid w:val="0028721A"/>
    <w:rsid w:val="002C2E79"/>
    <w:rsid w:val="00341A32"/>
    <w:rsid w:val="00344260"/>
    <w:rsid w:val="003479CE"/>
    <w:rsid w:val="00350E8A"/>
    <w:rsid w:val="003566F1"/>
    <w:rsid w:val="00396966"/>
    <w:rsid w:val="003B5B92"/>
    <w:rsid w:val="004302EE"/>
    <w:rsid w:val="00430665"/>
    <w:rsid w:val="00446559"/>
    <w:rsid w:val="004B25EB"/>
    <w:rsid w:val="00511007"/>
    <w:rsid w:val="0055311E"/>
    <w:rsid w:val="005F1692"/>
    <w:rsid w:val="006C03D0"/>
    <w:rsid w:val="006E49D4"/>
    <w:rsid w:val="006F4DB7"/>
    <w:rsid w:val="007051D0"/>
    <w:rsid w:val="0073092E"/>
    <w:rsid w:val="00740C23"/>
    <w:rsid w:val="00753155"/>
    <w:rsid w:val="00762457"/>
    <w:rsid w:val="0079775D"/>
    <w:rsid w:val="007B713C"/>
    <w:rsid w:val="00822614"/>
    <w:rsid w:val="0086498E"/>
    <w:rsid w:val="008A64A8"/>
    <w:rsid w:val="008D11E2"/>
    <w:rsid w:val="008D54D8"/>
    <w:rsid w:val="008E648C"/>
    <w:rsid w:val="008F25AF"/>
    <w:rsid w:val="00922F24"/>
    <w:rsid w:val="00946919"/>
    <w:rsid w:val="009564A4"/>
    <w:rsid w:val="00985A95"/>
    <w:rsid w:val="009A2CCA"/>
    <w:rsid w:val="009B2168"/>
    <w:rsid w:val="009D2098"/>
    <w:rsid w:val="009E6A77"/>
    <w:rsid w:val="00A360B5"/>
    <w:rsid w:val="00A461D0"/>
    <w:rsid w:val="00A51D4B"/>
    <w:rsid w:val="00A74461"/>
    <w:rsid w:val="00A806A3"/>
    <w:rsid w:val="00A974A6"/>
    <w:rsid w:val="00AA6128"/>
    <w:rsid w:val="00AD4031"/>
    <w:rsid w:val="00AF24A3"/>
    <w:rsid w:val="00B27491"/>
    <w:rsid w:val="00B3531B"/>
    <w:rsid w:val="00B57815"/>
    <w:rsid w:val="00BA74DD"/>
    <w:rsid w:val="00BC04D1"/>
    <w:rsid w:val="00BC2F65"/>
    <w:rsid w:val="00C720D9"/>
    <w:rsid w:val="00CD32AF"/>
    <w:rsid w:val="00CE6497"/>
    <w:rsid w:val="00D12F80"/>
    <w:rsid w:val="00D17065"/>
    <w:rsid w:val="00D676B2"/>
    <w:rsid w:val="00D7037D"/>
    <w:rsid w:val="00DA25AA"/>
    <w:rsid w:val="00DD6B5C"/>
    <w:rsid w:val="00E828D2"/>
    <w:rsid w:val="00F447E0"/>
    <w:rsid w:val="00F5573C"/>
    <w:rsid w:val="00FA5913"/>
    <w:rsid w:val="00FF0247"/>
    <w:rsid w:val="00FF6368"/>
    <w:rsid w:val="01003FCC"/>
    <w:rsid w:val="01104A24"/>
    <w:rsid w:val="013730A5"/>
    <w:rsid w:val="01457570"/>
    <w:rsid w:val="014C3BDB"/>
    <w:rsid w:val="016D676E"/>
    <w:rsid w:val="01813E16"/>
    <w:rsid w:val="0190392E"/>
    <w:rsid w:val="01A340D1"/>
    <w:rsid w:val="01C46F61"/>
    <w:rsid w:val="01D152A8"/>
    <w:rsid w:val="01D16F05"/>
    <w:rsid w:val="01D9471B"/>
    <w:rsid w:val="01E5765B"/>
    <w:rsid w:val="01E8610D"/>
    <w:rsid w:val="0217360F"/>
    <w:rsid w:val="02365E7D"/>
    <w:rsid w:val="02756169"/>
    <w:rsid w:val="027827AD"/>
    <w:rsid w:val="02806C74"/>
    <w:rsid w:val="02932757"/>
    <w:rsid w:val="02B62811"/>
    <w:rsid w:val="02C47A2B"/>
    <w:rsid w:val="02DC227F"/>
    <w:rsid w:val="02E80E6A"/>
    <w:rsid w:val="02E93C7C"/>
    <w:rsid w:val="02F76F90"/>
    <w:rsid w:val="032075CD"/>
    <w:rsid w:val="03244D3B"/>
    <w:rsid w:val="03361F3B"/>
    <w:rsid w:val="03A41F96"/>
    <w:rsid w:val="03BE5C4F"/>
    <w:rsid w:val="03C57F1D"/>
    <w:rsid w:val="03D3354B"/>
    <w:rsid w:val="043C2B7C"/>
    <w:rsid w:val="045D6149"/>
    <w:rsid w:val="04631E56"/>
    <w:rsid w:val="047553ED"/>
    <w:rsid w:val="04832496"/>
    <w:rsid w:val="048838BB"/>
    <w:rsid w:val="04903C37"/>
    <w:rsid w:val="04924FE3"/>
    <w:rsid w:val="04A24CDA"/>
    <w:rsid w:val="04AF1326"/>
    <w:rsid w:val="04FD0E31"/>
    <w:rsid w:val="050637A5"/>
    <w:rsid w:val="054769B3"/>
    <w:rsid w:val="05480B39"/>
    <w:rsid w:val="05571F68"/>
    <w:rsid w:val="05897932"/>
    <w:rsid w:val="05A0262C"/>
    <w:rsid w:val="05F46366"/>
    <w:rsid w:val="06021BFE"/>
    <w:rsid w:val="061631B2"/>
    <w:rsid w:val="06191E33"/>
    <w:rsid w:val="061C3D5B"/>
    <w:rsid w:val="06352C8D"/>
    <w:rsid w:val="06376F97"/>
    <w:rsid w:val="065A3ABE"/>
    <w:rsid w:val="066947FF"/>
    <w:rsid w:val="06836237"/>
    <w:rsid w:val="06A7419D"/>
    <w:rsid w:val="06E35353"/>
    <w:rsid w:val="07245A59"/>
    <w:rsid w:val="0745028B"/>
    <w:rsid w:val="075A22F1"/>
    <w:rsid w:val="07AD2721"/>
    <w:rsid w:val="07AF6F49"/>
    <w:rsid w:val="07BB664B"/>
    <w:rsid w:val="07F82E00"/>
    <w:rsid w:val="082006F3"/>
    <w:rsid w:val="083C3003"/>
    <w:rsid w:val="08406DEA"/>
    <w:rsid w:val="086871CD"/>
    <w:rsid w:val="086E336F"/>
    <w:rsid w:val="087B43C8"/>
    <w:rsid w:val="08B531C4"/>
    <w:rsid w:val="08B74801"/>
    <w:rsid w:val="08E06F07"/>
    <w:rsid w:val="0903492F"/>
    <w:rsid w:val="090A71E9"/>
    <w:rsid w:val="0916122C"/>
    <w:rsid w:val="094B34E5"/>
    <w:rsid w:val="0950282C"/>
    <w:rsid w:val="099D12AF"/>
    <w:rsid w:val="09AD5E3C"/>
    <w:rsid w:val="09B12057"/>
    <w:rsid w:val="09C735AB"/>
    <w:rsid w:val="09D41DD9"/>
    <w:rsid w:val="09EF6FE1"/>
    <w:rsid w:val="09FB0360"/>
    <w:rsid w:val="0A312D88"/>
    <w:rsid w:val="0A443EE4"/>
    <w:rsid w:val="0A816CBD"/>
    <w:rsid w:val="0A9C7D1B"/>
    <w:rsid w:val="0ADB0DD6"/>
    <w:rsid w:val="0AF95B2E"/>
    <w:rsid w:val="0AFA3F41"/>
    <w:rsid w:val="0B163B89"/>
    <w:rsid w:val="0B1A6F5A"/>
    <w:rsid w:val="0B311F83"/>
    <w:rsid w:val="0B5374D4"/>
    <w:rsid w:val="0B5934C2"/>
    <w:rsid w:val="0B7023F3"/>
    <w:rsid w:val="0B9665C6"/>
    <w:rsid w:val="0B9E50B9"/>
    <w:rsid w:val="0BC2585F"/>
    <w:rsid w:val="0BC4602F"/>
    <w:rsid w:val="0BC50665"/>
    <w:rsid w:val="0BE0389B"/>
    <w:rsid w:val="0C03028C"/>
    <w:rsid w:val="0C5636E2"/>
    <w:rsid w:val="0C770701"/>
    <w:rsid w:val="0C816B43"/>
    <w:rsid w:val="0CB060DE"/>
    <w:rsid w:val="0CB43D56"/>
    <w:rsid w:val="0CBA47E6"/>
    <w:rsid w:val="0CBF41E0"/>
    <w:rsid w:val="0CC66ADF"/>
    <w:rsid w:val="0D001946"/>
    <w:rsid w:val="0D006A41"/>
    <w:rsid w:val="0D1A6DAB"/>
    <w:rsid w:val="0D236286"/>
    <w:rsid w:val="0D4357F1"/>
    <w:rsid w:val="0D4C7621"/>
    <w:rsid w:val="0D6A400D"/>
    <w:rsid w:val="0D98311E"/>
    <w:rsid w:val="0DB92613"/>
    <w:rsid w:val="0DC3449B"/>
    <w:rsid w:val="0DF13383"/>
    <w:rsid w:val="0E1D31AF"/>
    <w:rsid w:val="0E2E5189"/>
    <w:rsid w:val="0E347FDD"/>
    <w:rsid w:val="0E4531F0"/>
    <w:rsid w:val="0E5114F5"/>
    <w:rsid w:val="0E8A703D"/>
    <w:rsid w:val="0EB12B04"/>
    <w:rsid w:val="0EB8284C"/>
    <w:rsid w:val="0EBF4D9D"/>
    <w:rsid w:val="0F37609A"/>
    <w:rsid w:val="0F5E7FAF"/>
    <w:rsid w:val="0F666CCA"/>
    <w:rsid w:val="0F801C32"/>
    <w:rsid w:val="0FC73BE9"/>
    <w:rsid w:val="0FDD010F"/>
    <w:rsid w:val="0FEC00EE"/>
    <w:rsid w:val="0FEE6836"/>
    <w:rsid w:val="101A1FFE"/>
    <w:rsid w:val="10574280"/>
    <w:rsid w:val="108A2DF9"/>
    <w:rsid w:val="109218D9"/>
    <w:rsid w:val="10A1515D"/>
    <w:rsid w:val="10AB7642"/>
    <w:rsid w:val="10B637C0"/>
    <w:rsid w:val="10EB474A"/>
    <w:rsid w:val="11170ED8"/>
    <w:rsid w:val="11347157"/>
    <w:rsid w:val="11467149"/>
    <w:rsid w:val="114E2AEE"/>
    <w:rsid w:val="115B567E"/>
    <w:rsid w:val="11922165"/>
    <w:rsid w:val="11A823B3"/>
    <w:rsid w:val="11AD4D9B"/>
    <w:rsid w:val="11BF6701"/>
    <w:rsid w:val="11C436DA"/>
    <w:rsid w:val="11CC3E60"/>
    <w:rsid w:val="121E0907"/>
    <w:rsid w:val="12417917"/>
    <w:rsid w:val="12423A2C"/>
    <w:rsid w:val="12451D7A"/>
    <w:rsid w:val="125C359D"/>
    <w:rsid w:val="12972A6D"/>
    <w:rsid w:val="12A03046"/>
    <w:rsid w:val="12F16C1F"/>
    <w:rsid w:val="137F578F"/>
    <w:rsid w:val="138A5D40"/>
    <w:rsid w:val="13AD6A55"/>
    <w:rsid w:val="13B33EEB"/>
    <w:rsid w:val="13BC12BF"/>
    <w:rsid w:val="13BF768D"/>
    <w:rsid w:val="13CF3AB0"/>
    <w:rsid w:val="14034BB8"/>
    <w:rsid w:val="14236617"/>
    <w:rsid w:val="14405D22"/>
    <w:rsid w:val="1444201F"/>
    <w:rsid w:val="14990D44"/>
    <w:rsid w:val="14BE5716"/>
    <w:rsid w:val="14C34F24"/>
    <w:rsid w:val="14EB19FB"/>
    <w:rsid w:val="14F670A8"/>
    <w:rsid w:val="150123B6"/>
    <w:rsid w:val="151F00E8"/>
    <w:rsid w:val="153170A0"/>
    <w:rsid w:val="153C1486"/>
    <w:rsid w:val="1574696E"/>
    <w:rsid w:val="15863C48"/>
    <w:rsid w:val="15907FBE"/>
    <w:rsid w:val="15BD2C4B"/>
    <w:rsid w:val="15C15585"/>
    <w:rsid w:val="15C6474A"/>
    <w:rsid w:val="15D762E2"/>
    <w:rsid w:val="15F46539"/>
    <w:rsid w:val="15F815D5"/>
    <w:rsid w:val="16326427"/>
    <w:rsid w:val="16433642"/>
    <w:rsid w:val="16441BC9"/>
    <w:rsid w:val="164A3658"/>
    <w:rsid w:val="164E4553"/>
    <w:rsid w:val="16621C8D"/>
    <w:rsid w:val="1665243A"/>
    <w:rsid w:val="167E64D5"/>
    <w:rsid w:val="16950C3B"/>
    <w:rsid w:val="16A13E1C"/>
    <w:rsid w:val="16E77B3D"/>
    <w:rsid w:val="16F23CD8"/>
    <w:rsid w:val="16FA4E2C"/>
    <w:rsid w:val="16FF5FB9"/>
    <w:rsid w:val="171C17FB"/>
    <w:rsid w:val="171D46C2"/>
    <w:rsid w:val="171F74F7"/>
    <w:rsid w:val="17580A4C"/>
    <w:rsid w:val="17593127"/>
    <w:rsid w:val="17607065"/>
    <w:rsid w:val="176F2E6E"/>
    <w:rsid w:val="17716EB9"/>
    <w:rsid w:val="17863661"/>
    <w:rsid w:val="17A941B6"/>
    <w:rsid w:val="180C7126"/>
    <w:rsid w:val="181C7503"/>
    <w:rsid w:val="18236833"/>
    <w:rsid w:val="18333BE2"/>
    <w:rsid w:val="18664E5B"/>
    <w:rsid w:val="18776039"/>
    <w:rsid w:val="188305B7"/>
    <w:rsid w:val="191C7213"/>
    <w:rsid w:val="19597AF3"/>
    <w:rsid w:val="19813A83"/>
    <w:rsid w:val="19845EE9"/>
    <w:rsid w:val="199D157A"/>
    <w:rsid w:val="199D5C40"/>
    <w:rsid w:val="19A940E1"/>
    <w:rsid w:val="19BA6784"/>
    <w:rsid w:val="19E80221"/>
    <w:rsid w:val="1A0B3DC0"/>
    <w:rsid w:val="1A2F6BB8"/>
    <w:rsid w:val="1A397664"/>
    <w:rsid w:val="1A700B7C"/>
    <w:rsid w:val="1A9C70C5"/>
    <w:rsid w:val="1AB8269D"/>
    <w:rsid w:val="1AE41258"/>
    <w:rsid w:val="1B070751"/>
    <w:rsid w:val="1B090479"/>
    <w:rsid w:val="1B093739"/>
    <w:rsid w:val="1B093B1D"/>
    <w:rsid w:val="1B305F40"/>
    <w:rsid w:val="1B356C3A"/>
    <w:rsid w:val="1B3A401D"/>
    <w:rsid w:val="1B644C78"/>
    <w:rsid w:val="1B7156B8"/>
    <w:rsid w:val="1B757C39"/>
    <w:rsid w:val="1B770817"/>
    <w:rsid w:val="1B7B7487"/>
    <w:rsid w:val="1B7E7F14"/>
    <w:rsid w:val="1BC04FD1"/>
    <w:rsid w:val="1BD27D58"/>
    <w:rsid w:val="1BE54582"/>
    <w:rsid w:val="1BF84AF8"/>
    <w:rsid w:val="1BFB09A3"/>
    <w:rsid w:val="1BFD6C7E"/>
    <w:rsid w:val="1C164185"/>
    <w:rsid w:val="1C262354"/>
    <w:rsid w:val="1C4D58A1"/>
    <w:rsid w:val="1C75643E"/>
    <w:rsid w:val="1C93342E"/>
    <w:rsid w:val="1C986933"/>
    <w:rsid w:val="1CAA6D68"/>
    <w:rsid w:val="1CBD2679"/>
    <w:rsid w:val="1CC31008"/>
    <w:rsid w:val="1CCC3CBC"/>
    <w:rsid w:val="1CD566D8"/>
    <w:rsid w:val="1CD974FA"/>
    <w:rsid w:val="1CDF3B2A"/>
    <w:rsid w:val="1CE4752C"/>
    <w:rsid w:val="1CE83302"/>
    <w:rsid w:val="1CEE68B6"/>
    <w:rsid w:val="1D167EEA"/>
    <w:rsid w:val="1D2F2D17"/>
    <w:rsid w:val="1D495FAC"/>
    <w:rsid w:val="1D4C4A30"/>
    <w:rsid w:val="1D503E27"/>
    <w:rsid w:val="1D8D58DE"/>
    <w:rsid w:val="1DB2375B"/>
    <w:rsid w:val="1DC05A19"/>
    <w:rsid w:val="1DF71A39"/>
    <w:rsid w:val="1DFB4A45"/>
    <w:rsid w:val="1DFC6FA3"/>
    <w:rsid w:val="1E005F9D"/>
    <w:rsid w:val="1E096100"/>
    <w:rsid w:val="1E1D673B"/>
    <w:rsid w:val="1E231AEA"/>
    <w:rsid w:val="1E490C91"/>
    <w:rsid w:val="1E5C7AA3"/>
    <w:rsid w:val="1E6426A0"/>
    <w:rsid w:val="1E8500B7"/>
    <w:rsid w:val="1E8D2FC4"/>
    <w:rsid w:val="1EAF7CA6"/>
    <w:rsid w:val="1ECA5910"/>
    <w:rsid w:val="1F5E1AA4"/>
    <w:rsid w:val="1F655403"/>
    <w:rsid w:val="1F807C45"/>
    <w:rsid w:val="1F86142A"/>
    <w:rsid w:val="1F8D47B9"/>
    <w:rsid w:val="1F8E2E26"/>
    <w:rsid w:val="1F9E53C0"/>
    <w:rsid w:val="1FAB4F33"/>
    <w:rsid w:val="1FE67D3D"/>
    <w:rsid w:val="1FE80522"/>
    <w:rsid w:val="1FE9475C"/>
    <w:rsid w:val="1FFC7D8E"/>
    <w:rsid w:val="20254C0F"/>
    <w:rsid w:val="204E5A2F"/>
    <w:rsid w:val="20664963"/>
    <w:rsid w:val="20A9754C"/>
    <w:rsid w:val="20BA111E"/>
    <w:rsid w:val="20BC6BEC"/>
    <w:rsid w:val="20C454B5"/>
    <w:rsid w:val="20F825B3"/>
    <w:rsid w:val="20FE67E9"/>
    <w:rsid w:val="211713ED"/>
    <w:rsid w:val="21241618"/>
    <w:rsid w:val="21460B4D"/>
    <w:rsid w:val="219B7DE7"/>
    <w:rsid w:val="21B075F4"/>
    <w:rsid w:val="21BA18CA"/>
    <w:rsid w:val="21C4457A"/>
    <w:rsid w:val="21EC3353"/>
    <w:rsid w:val="21F05D61"/>
    <w:rsid w:val="21F3425F"/>
    <w:rsid w:val="22001A09"/>
    <w:rsid w:val="22096FE7"/>
    <w:rsid w:val="221E50FA"/>
    <w:rsid w:val="222D1D02"/>
    <w:rsid w:val="222F2097"/>
    <w:rsid w:val="227B4DAD"/>
    <w:rsid w:val="229A079F"/>
    <w:rsid w:val="22AD31A5"/>
    <w:rsid w:val="22B4097F"/>
    <w:rsid w:val="22B64134"/>
    <w:rsid w:val="22B90697"/>
    <w:rsid w:val="22D15291"/>
    <w:rsid w:val="22F22FF9"/>
    <w:rsid w:val="230F42A2"/>
    <w:rsid w:val="23141D1B"/>
    <w:rsid w:val="231470B2"/>
    <w:rsid w:val="23260413"/>
    <w:rsid w:val="236B31BC"/>
    <w:rsid w:val="236D4D88"/>
    <w:rsid w:val="237B3D5E"/>
    <w:rsid w:val="237D3953"/>
    <w:rsid w:val="23856F77"/>
    <w:rsid w:val="239177CA"/>
    <w:rsid w:val="23CB3857"/>
    <w:rsid w:val="23F35D0C"/>
    <w:rsid w:val="23FA7E69"/>
    <w:rsid w:val="244627A5"/>
    <w:rsid w:val="245323A6"/>
    <w:rsid w:val="2460107D"/>
    <w:rsid w:val="24756BA6"/>
    <w:rsid w:val="24B060A4"/>
    <w:rsid w:val="24B43F14"/>
    <w:rsid w:val="24E309A7"/>
    <w:rsid w:val="24E449CE"/>
    <w:rsid w:val="25116E92"/>
    <w:rsid w:val="25300011"/>
    <w:rsid w:val="2532575D"/>
    <w:rsid w:val="25555D52"/>
    <w:rsid w:val="255D2553"/>
    <w:rsid w:val="25927C62"/>
    <w:rsid w:val="259A0584"/>
    <w:rsid w:val="25A247E7"/>
    <w:rsid w:val="25A87042"/>
    <w:rsid w:val="25B03EE3"/>
    <w:rsid w:val="25B111B0"/>
    <w:rsid w:val="25B92E0A"/>
    <w:rsid w:val="25BA7C53"/>
    <w:rsid w:val="25BE204F"/>
    <w:rsid w:val="26153106"/>
    <w:rsid w:val="261673CB"/>
    <w:rsid w:val="262D2DD3"/>
    <w:rsid w:val="26322B7B"/>
    <w:rsid w:val="26361BCE"/>
    <w:rsid w:val="264A53DE"/>
    <w:rsid w:val="26501172"/>
    <w:rsid w:val="265509DB"/>
    <w:rsid w:val="26616E22"/>
    <w:rsid w:val="266B1340"/>
    <w:rsid w:val="267257B3"/>
    <w:rsid w:val="267A636E"/>
    <w:rsid w:val="268D7140"/>
    <w:rsid w:val="269711B9"/>
    <w:rsid w:val="26B26A7B"/>
    <w:rsid w:val="26BD1640"/>
    <w:rsid w:val="26BD6D0E"/>
    <w:rsid w:val="26D121AE"/>
    <w:rsid w:val="26E873DA"/>
    <w:rsid w:val="270933F2"/>
    <w:rsid w:val="27187560"/>
    <w:rsid w:val="272A0C68"/>
    <w:rsid w:val="273D765A"/>
    <w:rsid w:val="27433C4E"/>
    <w:rsid w:val="27585D4A"/>
    <w:rsid w:val="27665E21"/>
    <w:rsid w:val="27736981"/>
    <w:rsid w:val="277C2603"/>
    <w:rsid w:val="278230B3"/>
    <w:rsid w:val="279961FC"/>
    <w:rsid w:val="27AE44D5"/>
    <w:rsid w:val="27BA554D"/>
    <w:rsid w:val="27D80610"/>
    <w:rsid w:val="27F531EF"/>
    <w:rsid w:val="280944AF"/>
    <w:rsid w:val="282646EC"/>
    <w:rsid w:val="282C6E8B"/>
    <w:rsid w:val="28662581"/>
    <w:rsid w:val="28687751"/>
    <w:rsid w:val="286B4291"/>
    <w:rsid w:val="289A528E"/>
    <w:rsid w:val="28A8460E"/>
    <w:rsid w:val="28C24CA3"/>
    <w:rsid w:val="28F63507"/>
    <w:rsid w:val="28FC1E02"/>
    <w:rsid w:val="290E23D9"/>
    <w:rsid w:val="29157609"/>
    <w:rsid w:val="291D6FAC"/>
    <w:rsid w:val="29267D5D"/>
    <w:rsid w:val="292C56FA"/>
    <w:rsid w:val="29311834"/>
    <w:rsid w:val="29347D47"/>
    <w:rsid w:val="29611F8B"/>
    <w:rsid w:val="296C7C2C"/>
    <w:rsid w:val="299F4685"/>
    <w:rsid w:val="29AD67F7"/>
    <w:rsid w:val="29DC62F2"/>
    <w:rsid w:val="2A021B3E"/>
    <w:rsid w:val="2A290BDC"/>
    <w:rsid w:val="2A351F7B"/>
    <w:rsid w:val="2A3E35AD"/>
    <w:rsid w:val="2A4D76CB"/>
    <w:rsid w:val="2A652BD4"/>
    <w:rsid w:val="2A6C420C"/>
    <w:rsid w:val="2AB033FD"/>
    <w:rsid w:val="2AB26607"/>
    <w:rsid w:val="2ACE4FC6"/>
    <w:rsid w:val="2AD94755"/>
    <w:rsid w:val="2AF77367"/>
    <w:rsid w:val="2B0A326E"/>
    <w:rsid w:val="2B411857"/>
    <w:rsid w:val="2B54148E"/>
    <w:rsid w:val="2B5E61B8"/>
    <w:rsid w:val="2B7118BF"/>
    <w:rsid w:val="2B724E22"/>
    <w:rsid w:val="2B8818D0"/>
    <w:rsid w:val="2B8A1EA0"/>
    <w:rsid w:val="2B9366BA"/>
    <w:rsid w:val="2B9C27E4"/>
    <w:rsid w:val="2BE13188"/>
    <w:rsid w:val="2BE713FE"/>
    <w:rsid w:val="2C053476"/>
    <w:rsid w:val="2C113654"/>
    <w:rsid w:val="2C1B212D"/>
    <w:rsid w:val="2C387D97"/>
    <w:rsid w:val="2C3E2C44"/>
    <w:rsid w:val="2C44674C"/>
    <w:rsid w:val="2C920372"/>
    <w:rsid w:val="2CDD2828"/>
    <w:rsid w:val="2CF34B76"/>
    <w:rsid w:val="2D0B0F28"/>
    <w:rsid w:val="2D1360CE"/>
    <w:rsid w:val="2D28535E"/>
    <w:rsid w:val="2D6A01DB"/>
    <w:rsid w:val="2D735A67"/>
    <w:rsid w:val="2D935E8D"/>
    <w:rsid w:val="2DBA131A"/>
    <w:rsid w:val="2DBA5AC8"/>
    <w:rsid w:val="2DCB735A"/>
    <w:rsid w:val="2DD462C2"/>
    <w:rsid w:val="2DDD2134"/>
    <w:rsid w:val="2DDD4E5F"/>
    <w:rsid w:val="2DE16C77"/>
    <w:rsid w:val="2DE60BE9"/>
    <w:rsid w:val="2E2668E4"/>
    <w:rsid w:val="2E3615D0"/>
    <w:rsid w:val="2E3B5ECD"/>
    <w:rsid w:val="2E451A7C"/>
    <w:rsid w:val="2E4C1EBA"/>
    <w:rsid w:val="2EAE301C"/>
    <w:rsid w:val="2ED36202"/>
    <w:rsid w:val="2EE13B2F"/>
    <w:rsid w:val="2EE15691"/>
    <w:rsid w:val="2F1F4FB0"/>
    <w:rsid w:val="2F4A5657"/>
    <w:rsid w:val="2F543A38"/>
    <w:rsid w:val="2F7B59FE"/>
    <w:rsid w:val="2F9C2E37"/>
    <w:rsid w:val="2FB000FC"/>
    <w:rsid w:val="2FC93316"/>
    <w:rsid w:val="2FCC5583"/>
    <w:rsid w:val="2FD61001"/>
    <w:rsid w:val="300852DE"/>
    <w:rsid w:val="30464020"/>
    <w:rsid w:val="306B512F"/>
    <w:rsid w:val="306D5C41"/>
    <w:rsid w:val="30A83EC2"/>
    <w:rsid w:val="30B80D4C"/>
    <w:rsid w:val="30BD2B5F"/>
    <w:rsid w:val="30F84E6F"/>
    <w:rsid w:val="31127E0D"/>
    <w:rsid w:val="3129025F"/>
    <w:rsid w:val="31320998"/>
    <w:rsid w:val="31453C7B"/>
    <w:rsid w:val="314D312F"/>
    <w:rsid w:val="31615C49"/>
    <w:rsid w:val="316C3953"/>
    <w:rsid w:val="316D7D22"/>
    <w:rsid w:val="31843543"/>
    <w:rsid w:val="31857990"/>
    <w:rsid w:val="318B126D"/>
    <w:rsid w:val="31A1157A"/>
    <w:rsid w:val="31B363D2"/>
    <w:rsid w:val="31C25309"/>
    <w:rsid w:val="31D67B45"/>
    <w:rsid w:val="31DE0499"/>
    <w:rsid w:val="31E35430"/>
    <w:rsid w:val="31F0727B"/>
    <w:rsid w:val="3210510A"/>
    <w:rsid w:val="322055D3"/>
    <w:rsid w:val="322C2A8A"/>
    <w:rsid w:val="322E1180"/>
    <w:rsid w:val="324D07E6"/>
    <w:rsid w:val="32757B61"/>
    <w:rsid w:val="32822213"/>
    <w:rsid w:val="32867567"/>
    <w:rsid w:val="328F2B5E"/>
    <w:rsid w:val="32981347"/>
    <w:rsid w:val="329F7A2B"/>
    <w:rsid w:val="32E415EC"/>
    <w:rsid w:val="3311647A"/>
    <w:rsid w:val="3329346A"/>
    <w:rsid w:val="333659DA"/>
    <w:rsid w:val="335553C6"/>
    <w:rsid w:val="3357102E"/>
    <w:rsid w:val="33572FB0"/>
    <w:rsid w:val="33633EB8"/>
    <w:rsid w:val="336D250C"/>
    <w:rsid w:val="338D2239"/>
    <w:rsid w:val="33B30672"/>
    <w:rsid w:val="33D579CF"/>
    <w:rsid w:val="33E836FB"/>
    <w:rsid w:val="33F205F7"/>
    <w:rsid w:val="33FF2179"/>
    <w:rsid w:val="345E13BA"/>
    <w:rsid w:val="345E3292"/>
    <w:rsid w:val="34664A0B"/>
    <w:rsid w:val="346E2D0F"/>
    <w:rsid w:val="349B3630"/>
    <w:rsid w:val="34AE1E6A"/>
    <w:rsid w:val="350E3B42"/>
    <w:rsid w:val="35125628"/>
    <w:rsid w:val="352100FF"/>
    <w:rsid w:val="352167CF"/>
    <w:rsid w:val="3566212E"/>
    <w:rsid w:val="356B276A"/>
    <w:rsid w:val="358E654C"/>
    <w:rsid w:val="35965B9C"/>
    <w:rsid w:val="359F0A1F"/>
    <w:rsid w:val="35C43240"/>
    <w:rsid w:val="35D42CBE"/>
    <w:rsid w:val="360D03D3"/>
    <w:rsid w:val="361B3EDC"/>
    <w:rsid w:val="361F6493"/>
    <w:rsid w:val="365C025C"/>
    <w:rsid w:val="36626692"/>
    <w:rsid w:val="367242E0"/>
    <w:rsid w:val="36897340"/>
    <w:rsid w:val="36D05609"/>
    <w:rsid w:val="36E35E9F"/>
    <w:rsid w:val="36EC24B8"/>
    <w:rsid w:val="36FF2B34"/>
    <w:rsid w:val="3712448B"/>
    <w:rsid w:val="373A5362"/>
    <w:rsid w:val="37A34A15"/>
    <w:rsid w:val="37A52ECC"/>
    <w:rsid w:val="37C64260"/>
    <w:rsid w:val="38282D9D"/>
    <w:rsid w:val="38473444"/>
    <w:rsid w:val="38496EE5"/>
    <w:rsid w:val="385308AB"/>
    <w:rsid w:val="38854458"/>
    <w:rsid w:val="389A51EB"/>
    <w:rsid w:val="38A22B6B"/>
    <w:rsid w:val="38D1126F"/>
    <w:rsid w:val="38D563EE"/>
    <w:rsid w:val="38EA10A6"/>
    <w:rsid w:val="390441CE"/>
    <w:rsid w:val="390B5D7B"/>
    <w:rsid w:val="39166111"/>
    <w:rsid w:val="39255B75"/>
    <w:rsid w:val="395370EE"/>
    <w:rsid w:val="39545D8E"/>
    <w:rsid w:val="3985179C"/>
    <w:rsid w:val="39BF1CE5"/>
    <w:rsid w:val="3A0B1954"/>
    <w:rsid w:val="3A151FA0"/>
    <w:rsid w:val="3A2B232A"/>
    <w:rsid w:val="3A793A8F"/>
    <w:rsid w:val="3ABF2507"/>
    <w:rsid w:val="3AC32E01"/>
    <w:rsid w:val="3AC9498B"/>
    <w:rsid w:val="3B256DAF"/>
    <w:rsid w:val="3B533D48"/>
    <w:rsid w:val="3B5A1A2F"/>
    <w:rsid w:val="3B5B5758"/>
    <w:rsid w:val="3B8D3791"/>
    <w:rsid w:val="3BA27B10"/>
    <w:rsid w:val="3BA92E72"/>
    <w:rsid w:val="3BAA04FF"/>
    <w:rsid w:val="3BAD1686"/>
    <w:rsid w:val="3BAF6081"/>
    <w:rsid w:val="3BBD016F"/>
    <w:rsid w:val="3BE0479C"/>
    <w:rsid w:val="3BEE3761"/>
    <w:rsid w:val="3C0E5061"/>
    <w:rsid w:val="3C194C39"/>
    <w:rsid w:val="3C1F49BF"/>
    <w:rsid w:val="3C6D55F2"/>
    <w:rsid w:val="3C9A335A"/>
    <w:rsid w:val="3CBB635D"/>
    <w:rsid w:val="3CC05722"/>
    <w:rsid w:val="3CDC396E"/>
    <w:rsid w:val="3CF248ED"/>
    <w:rsid w:val="3D0D4A0D"/>
    <w:rsid w:val="3D312940"/>
    <w:rsid w:val="3D681D5A"/>
    <w:rsid w:val="3D6A1C0B"/>
    <w:rsid w:val="3D8D6ED1"/>
    <w:rsid w:val="3D8F3E21"/>
    <w:rsid w:val="3DC31ADA"/>
    <w:rsid w:val="3DFD7731"/>
    <w:rsid w:val="3E0C733A"/>
    <w:rsid w:val="3E874902"/>
    <w:rsid w:val="3E921361"/>
    <w:rsid w:val="3EA96219"/>
    <w:rsid w:val="3EB06A0E"/>
    <w:rsid w:val="3EB31640"/>
    <w:rsid w:val="3EB54AE2"/>
    <w:rsid w:val="3EB92D62"/>
    <w:rsid w:val="3EF16D0C"/>
    <w:rsid w:val="3F0D224A"/>
    <w:rsid w:val="3F15023A"/>
    <w:rsid w:val="3F2476CE"/>
    <w:rsid w:val="3F273217"/>
    <w:rsid w:val="3F2A77CA"/>
    <w:rsid w:val="3F5C67E0"/>
    <w:rsid w:val="3F6046C3"/>
    <w:rsid w:val="3F816C8A"/>
    <w:rsid w:val="3FA93691"/>
    <w:rsid w:val="3FC568AC"/>
    <w:rsid w:val="3FD0385B"/>
    <w:rsid w:val="3FE6347C"/>
    <w:rsid w:val="402F6781"/>
    <w:rsid w:val="40394958"/>
    <w:rsid w:val="403A1C8F"/>
    <w:rsid w:val="404D5299"/>
    <w:rsid w:val="404E76D3"/>
    <w:rsid w:val="408560B2"/>
    <w:rsid w:val="408F3C3B"/>
    <w:rsid w:val="40AD0BEA"/>
    <w:rsid w:val="40B45FA1"/>
    <w:rsid w:val="40C50789"/>
    <w:rsid w:val="40E2404A"/>
    <w:rsid w:val="40FA0619"/>
    <w:rsid w:val="41141D46"/>
    <w:rsid w:val="41262582"/>
    <w:rsid w:val="41277321"/>
    <w:rsid w:val="415C5513"/>
    <w:rsid w:val="41661CEC"/>
    <w:rsid w:val="417304D2"/>
    <w:rsid w:val="41756B51"/>
    <w:rsid w:val="41B67760"/>
    <w:rsid w:val="41BB3CAA"/>
    <w:rsid w:val="4200486D"/>
    <w:rsid w:val="42084854"/>
    <w:rsid w:val="420A4AA8"/>
    <w:rsid w:val="42341E3D"/>
    <w:rsid w:val="423C231C"/>
    <w:rsid w:val="424E5D3B"/>
    <w:rsid w:val="42894103"/>
    <w:rsid w:val="42DA35EB"/>
    <w:rsid w:val="42DC1373"/>
    <w:rsid w:val="42EB5F3F"/>
    <w:rsid w:val="433B4FAD"/>
    <w:rsid w:val="43494E83"/>
    <w:rsid w:val="434A1ED7"/>
    <w:rsid w:val="434B5F61"/>
    <w:rsid w:val="43534F1F"/>
    <w:rsid w:val="439452CD"/>
    <w:rsid w:val="43987C3E"/>
    <w:rsid w:val="43DF168F"/>
    <w:rsid w:val="43F70347"/>
    <w:rsid w:val="440D2A75"/>
    <w:rsid w:val="44151500"/>
    <w:rsid w:val="44225771"/>
    <w:rsid w:val="442E2C0A"/>
    <w:rsid w:val="443415E8"/>
    <w:rsid w:val="44471AAC"/>
    <w:rsid w:val="4491321B"/>
    <w:rsid w:val="449A2A3E"/>
    <w:rsid w:val="44C0114A"/>
    <w:rsid w:val="44CA2639"/>
    <w:rsid w:val="44D50E68"/>
    <w:rsid w:val="44E25F72"/>
    <w:rsid w:val="44E32866"/>
    <w:rsid w:val="44EB189F"/>
    <w:rsid w:val="44FD7B3F"/>
    <w:rsid w:val="451136F6"/>
    <w:rsid w:val="45127E77"/>
    <w:rsid w:val="451417BD"/>
    <w:rsid w:val="45355F69"/>
    <w:rsid w:val="45387544"/>
    <w:rsid w:val="453975C8"/>
    <w:rsid w:val="453B0148"/>
    <w:rsid w:val="453B36EE"/>
    <w:rsid w:val="45681A93"/>
    <w:rsid w:val="459020E6"/>
    <w:rsid w:val="45EB5B41"/>
    <w:rsid w:val="45FC5122"/>
    <w:rsid w:val="4608625E"/>
    <w:rsid w:val="460E37F4"/>
    <w:rsid w:val="462D0D70"/>
    <w:rsid w:val="462E28FA"/>
    <w:rsid w:val="463D21F4"/>
    <w:rsid w:val="46E17C2E"/>
    <w:rsid w:val="46E66176"/>
    <w:rsid w:val="46F618BC"/>
    <w:rsid w:val="47172FCE"/>
    <w:rsid w:val="472D20DA"/>
    <w:rsid w:val="47301733"/>
    <w:rsid w:val="47322751"/>
    <w:rsid w:val="473E0204"/>
    <w:rsid w:val="473E1081"/>
    <w:rsid w:val="475075B1"/>
    <w:rsid w:val="477301BF"/>
    <w:rsid w:val="47770F2B"/>
    <w:rsid w:val="47935022"/>
    <w:rsid w:val="47B82E27"/>
    <w:rsid w:val="47D9109A"/>
    <w:rsid w:val="47DF1EDE"/>
    <w:rsid w:val="47E32A44"/>
    <w:rsid w:val="48001EB1"/>
    <w:rsid w:val="48321F62"/>
    <w:rsid w:val="485F067A"/>
    <w:rsid w:val="48A46FB5"/>
    <w:rsid w:val="48C63978"/>
    <w:rsid w:val="48D931CF"/>
    <w:rsid w:val="48DB1A95"/>
    <w:rsid w:val="49095468"/>
    <w:rsid w:val="49191F71"/>
    <w:rsid w:val="492B4F94"/>
    <w:rsid w:val="492E6967"/>
    <w:rsid w:val="493F4714"/>
    <w:rsid w:val="49A25D9E"/>
    <w:rsid w:val="49A96B07"/>
    <w:rsid w:val="49C14DC0"/>
    <w:rsid w:val="49C51CAF"/>
    <w:rsid w:val="49F53957"/>
    <w:rsid w:val="4A2057D5"/>
    <w:rsid w:val="4A2A06C4"/>
    <w:rsid w:val="4A6819DC"/>
    <w:rsid w:val="4A8A479E"/>
    <w:rsid w:val="4A8F0E29"/>
    <w:rsid w:val="4A902D26"/>
    <w:rsid w:val="4AC17322"/>
    <w:rsid w:val="4AEB7F8C"/>
    <w:rsid w:val="4B1506E1"/>
    <w:rsid w:val="4B182BCD"/>
    <w:rsid w:val="4B2E3F72"/>
    <w:rsid w:val="4B341A2A"/>
    <w:rsid w:val="4B375FBE"/>
    <w:rsid w:val="4B3B7B1E"/>
    <w:rsid w:val="4B414BEA"/>
    <w:rsid w:val="4B587F93"/>
    <w:rsid w:val="4B7103C2"/>
    <w:rsid w:val="4B812B8E"/>
    <w:rsid w:val="4B85737C"/>
    <w:rsid w:val="4B9F74CF"/>
    <w:rsid w:val="4C073223"/>
    <w:rsid w:val="4C1A464A"/>
    <w:rsid w:val="4C274913"/>
    <w:rsid w:val="4C9513B0"/>
    <w:rsid w:val="4CA14D01"/>
    <w:rsid w:val="4CAC3D23"/>
    <w:rsid w:val="4CBB0999"/>
    <w:rsid w:val="4CCF792C"/>
    <w:rsid w:val="4CED7708"/>
    <w:rsid w:val="4CFB7F38"/>
    <w:rsid w:val="4CFE7AD0"/>
    <w:rsid w:val="4D033455"/>
    <w:rsid w:val="4D10719D"/>
    <w:rsid w:val="4D2211D8"/>
    <w:rsid w:val="4D583F97"/>
    <w:rsid w:val="4D725764"/>
    <w:rsid w:val="4DC002E1"/>
    <w:rsid w:val="4DC07059"/>
    <w:rsid w:val="4DD44A19"/>
    <w:rsid w:val="4DE75FC1"/>
    <w:rsid w:val="4E0144D3"/>
    <w:rsid w:val="4E6A7C4E"/>
    <w:rsid w:val="4E6E58E7"/>
    <w:rsid w:val="4EA551CE"/>
    <w:rsid w:val="4EA57992"/>
    <w:rsid w:val="4EC86811"/>
    <w:rsid w:val="4F112BD8"/>
    <w:rsid w:val="4F2359D6"/>
    <w:rsid w:val="4F27534F"/>
    <w:rsid w:val="4F3A6B04"/>
    <w:rsid w:val="4F6621C1"/>
    <w:rsid w:val="4F69181E"/>
    <w:rsid w:val="4F9A2167"/>
    <w:rsid w:val="4FD0029E"/>
    <w:rsid w:val="502B1AD6"/>
    <w:rsid w:val="50596932"/>
    <w:rsid w:val="50833C49"/>
    <w:rsid w:val="50880633"/>
    <w:rsid w:val="508F5958"/>
    <w:rsid w:val="50A32944"/>
    <w:rsid w:val="50C316DC"/>
    <w:rsid w:val="50C362DD"/>
    <w:rsid w:val="50DD469C"/>
    <w:rsid w:val="50E41AF7"/>
    <w:rsid w:val="50EC3EA9"/>
    <w:rsid w:val="50ED0E10"/>
    <w:rsid w:val="513B0119"/>
    <w:rsid w:val="513C7D41"/>
    <w:rsid w:val="514F3021"/>
    <w:rsid w:val="51586419"/>
    <w:rsid w:val="515A0C65"/>
    <w:rsid w:val="515E27BB"/>
    <w:rsid w:val="516445C2"/>
    <w:rsid w:val="51A45F6D"/>
    <w:rsid w:val="51B907B6"/>
    <w:rsid w:val="51DF0CDF"/>
    <w:rsid w:val="51E30B98"/>
    <w:rsid w:val="51E97071"/>
    <w:rsid w:val="51FD61FC"/>
    <w:rsid w:val="52203D61"/>
    <w:rsid w:val="52386D39"/>
    <w:rsid w:val="523C3645"/>
    <w:rsid w:val="5242431B"/>
    <w:rsid w:val="524877D4"/>
    <w:rsid w:val="524F0DF4"/>
    <w:rsid w:val="52A00B52"/>
    <w:rsid w:val="52A651A9"/>
    <w:rsid w:val="52C04276"/>
    <w:rsid w:val="52CB4CC5"/>
    <w:rsid w:val="52D0584F"/>
    <w:rsid w:val="52E23DAC"/>
    <w:rsid w:val="52EB770C"/>
    <w:rsid w:val="52F6441F"/>
    <w:rsid w:val="5309719A"/>
    <w:rsid w:val="53140C09"/>
    <w:rsid w:val="531E1115"/>
    <w:rsid w:val="53311A2E"/>
    <w:rsid w:val="5366484D"/>
    <w:rsid w:val="53731EF1"/>
    <w:rsid w:val="53733493"/>
    <w:rsid w:val="538F34A5"/>
    <w:rsid w:val="53912B90"/>
    <w:rsid w:val="53AC07DC"/>
    <w:rsid w:val="53BB74C2"/>
    <w:rsid w:val="53C41B44"/>
    <w:rsid w:val="53F969C4"/>
    <w:rsid w:val="5404740A"/>
    <w:rsid w:val="54050B1A"/>
    <w:rsid w:val="542362A5"/>
    <w:rsid w:val="54280325"/>
    <w:rsid w:val="546D41B1"/>
    <w:rsid w:val="547701CD"/>
    <w:rsid w:val="549501D8"/>
    <w:rsid w:val="54A65B3A"/>
    <w:rsid w:val="54CD01EC"/>
    <w:rsid w:val="54F558F9"/>
    <w:rsid w:val="54FA6EB3"/>
    <w:rsid w:val="550348EE"/>
    <w:rsid w:val="550E3200"/>
    <w:rsid w:val="55135050"/>
    <w:rsid w:val="551E35E3"/>
    <w:rsid w:val="5520072C"/>
    <w:rsid w:val="55373ACE"/>
    <w:rsid w:val="55540CA5"/>
    <w:rsid w:val="556A2277"/>
    <w:rsid w:val="556F068E"/>
    <w:rsid w:val="558D4430"/>
    <w:rsid w:val="559427CA"/>
    <w:rsid w:val="55C8191C"/>
    <w:rsid w:val="55C8432B"/>
    <w:rsid w:val="55D33DE7"/>
    <w:rsid w:val="56223544"/>
    <w:rsid w:val="562B0309"/>
    <w:rsid w:val="56320F1A"/>
    <w:rsid w:val="564D41A9"/>
    <w:rsid w:val="565B64BC"/>
    <w:rsid w:val="565E4274"/>
    <w:rsid w:val="5666031A"/>
    <w:rsid w:val="566A27F8"/>
    <w:rsid w:val="56803FF0"/>
    <w:rsid w:val="568F750C"/>
    <w:rsid w:val="569014CB"/>
    <w:rsid w:val="56925ED7"/>
    <w:rsid w:val="56B55995"/>
    <w:rsid w:val="56C91168"/>
    <w:rsid w:val="56E15BAE"/>
    <w:rsid w:val="56FA0DF2"/>
    <w:rsid w:val="56FF0F11"/>
    <w:rsid w:val="5714339A"/>
    <w:rsid w:val="5717042A"/>
    <w:rsid w:val="571A1A7B"/>
    <w:rsid w:val="572E4DA3"/>
    <w:rsid w:val="572E781C"/>
    <w:rsid w:val="575952E3"/>
    <w:rsid w:val="57842375"/>
    <w:rsid w:val="57866CAC"/>
    <w:rsid w:val="579B36BD"/>
    <w:rsid w:val="57B2220D"/>
    <w:rsid w:val="57B7551B"/>
    <w:rsid w:val="57C137EC"/>
    <w:rsid w:val="57C76DE6"/>
    <w:rsid w:val="57D165DD"/>
    <w:rsid w:val="57D80574"/>
    <w:rsid w:val="580A0E63"/>
    <w:rsid w:val="580E3A4B"/>
    <w:rsid w:val="5814779C"/>
    <w:rsid w:val="584357AA"/>
    <w:rsid w:val="58764BA4"/>
    <w:rsid w:val="588221AB"/>
    <w:rsid w:val="58870496"/>
    <w:rsid w:val="588A1876"/>
    <w:rsid w:val="588D71B2"/>
    <w:rsid w:val="58AC68EF"/>
    <w:rsid w:val="58BE53CF"/>
    <w:rsid w:val="58C007C6"/>
    <w:rsid w:val="58C41915"/>
    <w:rsid w:val="58E15EE7"/>
    <w:rsid w:val="58E407EA"/>
    <w:rsid w:val="590649AC"/>
    <w:rsid w:val="59102C82"/>
    <w:rsid w:val="591B616B"/>
    <w:rsid w:val="592D1F6B"/>
    <w:rsid w:val="59304CE8"/>
    <w:rsid w:val="59370159"/>
    <w:rsid w:val="5951469E"/>
    <w:rsid w:val="59532C2C"/>
    <w:rsid w:val="5981656F"/>
    <w:rsid w:val="59A06B52"/>
    <w:rsid w:val="59A26243"/>
    <w:rsid w:val="59C76055"/>
    <w:rsid w:val="59E75FD1"/>
    <w:rsid w:val="5A065F4B"/>
    <w:rsid w:val="5A0B1C28"/>
    <w:rsid w:val="5A180305"/>
    <w:rsid w:val="5A2255E6"/>
    <w:rsid w:val="5A851E01"/>
    <w:rsid w:val="5A8F2EB6"/>
    <w:rsid w:val="5AA15ABA"/>
    <w:rsid w:val="5AA73154"/>
    <w:rsid w:val="5AB06C76"/>
    <w:rsid w:val="5AF63E2E"/>
    <w:rsid w:val="5B1128EC"/>
    <w:rsid w:val="5B29025F"/>
    <w:rsid w:val="5B3143F9"/>
    <w:rsid w:val="5B503CBD"/>
    <w:rsid w:val="5B63785E"/>
    <w:rsid w:val="5BF21181"/>
    <w:rsid w:val="5BFA46DF"/>
    <w:rsid w:val="5BFD0432"/>
    <w:rsid w:val="5C1974E5"/>
    <w:rsid w:val="5C1C7E80"/>
    <w:rsid w:val="5C4828EE"/>
    <w:rsid w:val="5C856CEB"/>
    <w:rsid w:val="5CA72002"/>
    <w:rsid w:val="5CBD3C20"/>
    <w:rsid w:val="5CBF734C"/>
    <w:rsid w:val="5CE075FF"/>
    <w:rsid w:val="5CE9518C"/>
    <w:rsid w:val="5D2166D8"/>
    <w:rsid w:val="5D272680"/>
    <w:rsid w:val="5D45468E"/>
    <w:rsid w:val="5D6B04DF"/>
    <w:rsid w:val="5D707B84"/>
    <w:rsid w:val="5D9B1497"/>
    <w:rsid w:val="5DDC51F6"/>
    <w:rsid w:val="5DE3422A"/>
    <w:rsid w:val="5E05130E"/>
    <w:rsid w:val="5E135B29"/>
    <w:rsid w:val="5E466F37"/>
    <w:rsid w:val="5E6A0CC2"/>
    <w:rsid w:val="5E845B3F"/>
    <w:rsid w:val="5E8D1899"/>
    <w:rsid w:val="5E9B47BF"/>
    <w:rsid w:val="5ED063E1"/>
    <w:rsid w:val="5EF4213A"/>
    <w:rsid w:val="5EF778DD"/>
    <w:rsid w:val="5F012051"/>
    <w:rsid w:val="5F150F5D"/>
    <w:rsid w:val="5F151A68"/>
    <w:rsid w:val="5F1E594E"/>
    <w:rsid w:val="5F2306D2"/>
    <w:rsid w:val="5F364291"/>
    <w:rsid w:val="5F720D05"/>
    <w:rsid w:val="5F7C7B38"/>
    <w:rsid w:val="5FB038A7"/>
    <w:rsid w:val="5FBB2542"/>
    <w:rsid w:val="5FFB489D"/>
    <w:rsid w:val="6014637F"/>
    <w:rsid w:val="60304923"/>
    <w:rsid w:val="60340051"/>
    <w:rsid w:val="60350C06"/>
    <w:rsid w:val="603B74D8"/>
    <w:rsid w:val="60687CAA"/>
    <w:rsid w:val="6074197E"/>
    <w:rsid w:val="60A7279D"/>
    <w:rsid w:val="60C625CB"/>
    <w:rsid w:val="60C71D15"/>
    <w:rsid w:val="61036CD9"/>
    <w:rsid w:val="61097F16"/>
    <w:rsid w:val="61222BDD"/>
    <w:rsid w:val="612451AE"/>
    <w:rsid w:val="613E3C59"/>
    <w:rsid w:val="61513C66"/>
    <w:rsid w:val="61717233"/>
    <w:rsid w:val="61734481"/>
    <w:rsid w:val="61842912"/>
    <w:rsid w:val="619513BF"/>
    <w:rsid w:val="61A55E2E"/>
    <w:rsid w:val="61B90EE2"/>
    <w:rsid w:val="61C34C9F"/>
    <w:rsid w:val="61CF1FDD"/>
    <w:rsid w:val="61FA205F"/>
    <w:rsid w:val="620D15FF"/>
    <w:rsid w:val="624F2F20"/>
    <w:rsid w:val="62561946"/>
    <w:rsid w:val="626C2C39"/>
    <w:rsid w:val="627A61C5"/>
    <w:rsid w:val="62841CE0"/>
    <w:rsid w:val="62B47789"/>
    <w:rsid w:val="62B524F7"/>
    <w:rsid w:val="62E513AE"/>
    <w:rsid w:val="62EF4D57"/>
    <w:rsid w:val="62F1602A"/>
    <w:rsid w:val="62F85366"/>
    <w:rsid w:val="630860C9"/>
    <w:rsid w:val="63203A10"/>
    <w:rsid w:val="6321699F"/>
    <w:rsid w:val="63360CF0"/>
    <w:rsid w:val="63554E4D"/>
    <w:rsid w:val="63652DBD"/>
    <w:rsid w:val="63687E84"/>
    <w:rsid w:val="637257E9"/>
    <w:rsid w:val="63951967"/>
    <w:rsid w:val="63B50F8C"/>
    <w:rsid w:val="63D22FCA"/>
    <w:rsid w:val="640E61DB"/>
    <w:rsid w:val="641206A9"/>
    <w:rsid w:val="64545838"/>
    <w:rsid w:val="64575064"/>
    <w:rsid w:val="645F02B5"/>
    <w:rsid w:val="64681B01"/>
    <w:rsid w:val="64867FEE"/>
    <w:rsid w:val="649007B3"/>
    <w:rsid w:val="64AE06FA"/>
    <w:rsid w:val="64D401A5"/>
    <w:rsid w:val="65024685"/>
    <w:rsid w:val="652A7FEB"/>
    <w:rsid w:val="652B00E3"/>
    <w:rsid w:val="65535A5A"/>
    <w:rsid w:val="659D0DEE"/>
    <w:rsid w:val="65A6262A"/>
    <w:rsid w:val="65D219C2"/>
    <w:rsid w:val="65D21E1C"/>
    <w:rsid w:val="65DA54B3"/>
    <w:rsid w:val="65ED6A40"/>
    <w:rsid w:val="65FB4D18"/>
    <w:rsid w:val="660A7073"/>
    <w:rsid w:val="660E3C9E"/>
    <w:rsid w:val="66164CE6"/>
    <w:rsid w:val="66425F55"/>
    <w:rsid w:val="664E5D65"/>
    <w:rsid w:val="665C5C0C"/>
    <w:rsid w:val="66BF254A"/>
    <w:rsid w:val="66EE49DE"/>
    <w:rsid w:val="676F09D5"/>
    <w:rsid w:val="67790849"/>
    <w:rsid w:val="67AA7DCF"/>
    <w:rsid w:val="67B34464"/>
    <w:rsid w:val="67BD22B9"/>
    <w:rsid w:val="67FE1162"/>
    <w:rsid w:val="681B0E12"/>
    <w:rsid w:val="688F28E2"/>
    <w:rsid w:val="68A11DD7"/>
    <w:rsid w:val="68A51FB8"/>
    <w:rsid w:val="68B731E7"/>
    <w:rsid w:val="68DB53E7"/>
    <w:rsid w:val="68EA3016"/>
    <w:rsid w:val="68EB7ABC"/>
    <w:rsid w:val="69062705"/>
    <w:rsid w:val="691B0B6B"/>
    <w:rsid w:val="69715E72"/>
    <w:rsid w:val="69782CD3"/>
    <w:rsid w:val="697F5EFC"/>
    <w:rsid w:val="698A7439"/>
    <w:rsid w:val="69936875"/>
    <w:rsid w:val="69964E32"/>
    <w:rsid w:val="69AE114D"/>
    <w:rsid w:val="69DC7E67"/>
    <w:rsid w:val="69E80350"/>
    <w:rsid w:val="69EF047B"/>
    <w:rsid w:val="6A1D56B2"/>
    <w:rsid w:val="6A2B6FC3"/>
    <w:rsid w:val="6A30515B"/>
    <w:rsid w:val="6A3A339B"/>
    <w:rsid w:val="6A3A5E65"/>
    <w:rsid w:val="6A6F1C4C"/>
    <w:rsid w:val="6A7202DC"/>
    <w:rsid w:val="6AA74E35"/>
    <w:rsid w:val="6AC6225B"/>
    <w:rsid w:val="6B505BBB"/>
    <w:rsid w:val="6B6333A7"/>
    <w:rsid w:val="6BCA5C39"/>
    <w:rsid w:val="6BE27CF9"/>
    <w:rsid w:val="6C2B32C6"/>
    <w:rsid w:val="6C2D1409"/>
    <w:rsid w:val="6C2D7D63"/>
    <w:rsid w:val="6C3206C8"/>
    <w:rsid w:val="6C357AB5"/>
    <w:rsid w:val="6C3628E8"/>
    <w:rsid w:val="6C3934B6"/>
    <w:rsid w:val="6C615C61"/>
    <w:rsid w:val="6C6367AC"/>
    <w:rsid w:val="6C80536B"/>
    <w:rsid w:val="6C862345"/>
    <w:rsid w:val="6C8B724B"/>
    <w:rsid w:val="6C9048E4"/>
    <w:rsid w:val="6C9E2A18"/>
    <w:rsid w:val="6CA35456"/>
    <w:rsid w:val="6CB017D7"/>
    <w:rsid w:val="6CB32B41"/>
    <w:rsid w:val="6CBC68B9"/>
    <w:rsid w:val="6CD66EDA"/>
    <w:rsid w:val="6D0F3EEF"/>
    <w:rsid w:val="6D146CD3"/>
    <w:rsid w:val="6D1566D6"/>
    <w:rsid w:val="6D1C589C"/>
    <w:rsid w:val="6D3F4DC5"/>
    <w:rsid w:val="6D5502AA"/>
    <w:rsid w:val="6DA31776"/>
    <w:rsid w:val="6DA45FD5"/>
    <w:rsid w:val="6DA65016"/>
    <w:rsid w:val="6DB921CC"/>
    <w:rsid w:val="6DCB15BA"/>
    <w:rsid w:val="6DE2733E"/>
    <w:rsid w:val="6DEF5697"/>
    <w:rsid w:val="6DF80527"/>
    <w:rsid w:val="6E120604"/>
    <w:rsid w:val="6E290AC9"/>
    <w:rsid w:val="6E2E4332"/>
    <w:rsid w:val="6E366026"/>
    <w:rsid w:val="6E3C157B"/>
    <w:rsid w:val="6E4628B1"/>
    <w:rsid w:val="6E5F098F"/>
    <w:rsid w:val="6E6903A5"/>
    <w:rsid w:val="6E9905B2"/>
    <w:rsid w:val="6EB87125"/>
    <w:rsid w:val="6EBB6069"/>
    <w:rsid w:val="6EBB7EF6"/>
    <w:rsid w:val="6EC11D71"/>
    <w:rsid w:val="6EC647CC"/>
    <w:rsid w:val="6EEB4982"/>
    <w:rsid w:val="6F1222C5"/>
    <w:rsid w:val="6F161214"/>
    <w:rsid w:val="6F1F1ECC"/>
    <w:rsid w:val="6F317DD0"/>
    <w:rsid w:val="6F322D6E"/>
    <w:rsid w:val="6F3A0D2D"/>
    <w:rsid w:val="6F710F7D"/>
    <w:rsid w:val="6F757BA3"/>
    <w:rsid w:val="6F794E16"/>
    <w:rsid w:val="6F8E0F7C"/>
    <w:rsid w:val="6FA813AA"/>
    <w:rsid w:val="6FAF019B"/>
    <w:rsid w:val="6FB202FC"/>
    <w:rsid w:val="6FBA5851"/>
    <w:rsid w:val="6FD431BC"/>
    <w:rsid w:val="6FD64D8A"/>
    <w:rsid w:val="6FD870DF"/>
    <w:rsid w:val="70423E0A"/>
    <w:rsid w:val="70765B1C"/>
    <w:rsid w:val="709649ED"/>
    <w:rsid w:val="70A84AD3"/>
    <w:rsid w:val="70AE3508"/>
    <w:rsid w:val="70B351A6"/>
    <w:rsid w:val="70BF773C"/>
    <w:rsid w:val="70C41831"/>
    <w:rsid w:val="70CF7DE8"/>
    <w:rsid w:val="70E94F37"/>
    <w:rsid w:val="70F62C6A"/>
    <w:rsid w:val="7117334E"/>
    <w:rsid w:val="711F7F62"/>
    <w:rsid w:val="712719C8"/>
    <w:rsid w:val="71336359"/>
    <w:rsid w:val="71492755"/>
    <w:rsid w:val="714B63FF"/>
    <w:rsid w:val="717A4EBB"/>
    <w:rsid w:val="71A121E2"/>
    <w:rsid w:val="71AA47BF"/>
    <w:rsid w:val="71CD5454"/>
    <w:rsid w:val="71D5629F"/>
    <w:rsid w:val="71EB57C6"/>
    <w:rsid w:val="71F46524"/>
    <w:rsid w:val="71FB06B4"/>
    <w:rsid w:val="720D5D43"/>
    <w:rsid w:val="72112D0B"/>
    <w:rsid w:val="72144DE3"/>
    <w:rsid w:val="72196118"/>
    <w:rsid w:val="72352932"/>
    <w:rsid w:val="723C3D7F"/>
    <w:rsid w:val="72736E18"/>
    <w:rsid w:val="728D1118"/>
    <w:rsid w:val="72B03A9F"/>
    <w:rsid w:val="72B25F6B"/>
    <w:rsid w:val="72B81190"/>
    <w:rsid w:val="72EF7206"/>
    <w:rsid w:val="73032A0D"/>
    <w:rsid w:val="731F3B82"/>
    <w:rsid w:val="734D21A1"/>
    <w:rsid w:val="73836ECE"/>
    <w:rsid w:val="73C67500"/>
    <w:rsid w:val="73C864B5"/>
    <w:rsid w:val="73DE7E71"/>
    <w:rsid w:val="74087657"/>
    <w:rsid w:val="744D411F"/>
    <w:rsid w:val="745C2CF4"/>
    <w:rsid w:val="74641182"/>
    <w:rsid w:val="74744A68"/>
    <w:rsid w:val="749D4770"/>
    <w:rsid w:val="74A622B2"/>
    <w:rsid w:val="74B50C75"/>
    <w:rsid w:val="74D43FCD"/>
    <w:rsid w:val="74D736BD"/>
    <w:rsid w:val="74E403D4"/>
    <w:rsid w:val="74EA6DE6"/>
    <w:rsid w:val="74FC6F38"/>
    <w:rsid w:val="74FE3413"/>
    <w:rsid w:val="751029AE"/>
    <w:rsid w:val="751111C4"/>
    <w:rsid w:val="753649D0"/>
    <w:rsid w:val="756A1040"/>
    <w:rsid w:val="75921044"/>
    <w:rsid w:val="75970512"/>
    <w:rsid w:val="759944E1"/>
    <w:rsid w:val="759B5199"/>
    <w:rsid w:val="75E31E75"/>
    <w:rsid w:val="75FC6AC3"/>
    <w:rsid w:val="761A6BC1"/>
    <w:rsid w:val="763E74B8"/>
    <w:rsid w:val="765C476B"/>
    <w:rsid w:val="765D6FD0"/>
    <w:rsid w:val="76764904"/>
    <w:rsid w:val="76952171"/>
    <w:rsid w:val="76B9306F"/>
    <w:rsid w:val="76BA690C"/>
    <w:rsid w:val="76EF17B7"/>
    <w:rsid w:val="76F275B7"/>
    <w:rsid w:val="77057570"/>
    <w:rsid w:val="773118FC"/>
    <w:rsid w:val="77313A2D"/>
    <w:rsid w:val="774A6DC8"/>
    <w:rsid w:val="77503EB2"/>
    <w:rsid w:val="77752D13"/>
    <w:rsid w:val="77953B9B"/>
    <w:rsid w:val="77AF64E3"/>
    <w:rsid w:val="77CD4DD9"/>
    <w:rsid w:val="77EB51F5"/>
    <w:rsid w:val="77F2017E"/>
    <w:rsid w:val="77FA423A"/>
    <w:rsid w:val="78005019"/>
    <w:rsid w:val="78092CC0"/>
    <w:rsid w:val="780C2435"/>
    <w:rsid w:val="782A0B51"/>
    <w:rsid w:val="78353363"/>
    <w:rsid w:val="783A31FE"/>
    <w:rsid w:val="78486CF0"/>
    <w:rsid w:val="78534919"/>
    <w:rsid w:val="785663DA"/>
    <w:rsid w:val="78584462"/>
    <w:rsid w:val="7895462E"/>
    <w:rsid w:val="78D631FC"/>
    <w:rsid w:val="78EF5134"/>
    <w:rsid w:val="78FC2FBF"/>
    <w:rsid w:val="78FD5501"/>
    <w:rsid w:val="791467F0"/>
    <w:rsid w:val="79430114"/>
    <w:rsid w:val="79430A37"/>
    <w:rsid w:val="795E7C16"/>
    <w:rsid w:val="795F01E3"/>
    <w:rsid w:val="79AD6C40"/>
    <w:rsid w:val="79B10333"/>
    <w:rsid w:val="79C95ADF"/>
    <w:rsid w:val="79EF0BCC"/>
    <w:rsid w:val="79FF02D1"/>
    <w:rsid w:val="7A0612C2"/>
    <w:rsid w:val="7A1833CE"/>
    <w:rsid w:val="7A1F3257"/>
    <w:rsid w:val="7A3C1967"/>
    <w:rsid w:val="7A60132A"/>
    <w:rsid w:val="7A6E2CF1"/>
    <w:rsid w:val="7A817696"/>
    <w:rsid w:val="7AA05017"/>
    <w:rsid w:val="7AA86BBE"/>
    <w:rsid w:val="7AC51B7A"/>
    <w:rsid w:val="7AC94AC1"/>
    <w:rsid w:val="7AC977F9"/>
    <w:rsid w:val="7ACA7597"/>
    <w:rsid w:val="7AE11572"/>
    <w:rsid w:val="7AE31524"/>
    <w:rsid w:val="7AE70BEB"/>
    <w:rsid w:val="7B057C25"/>
    <w:rsid w:val="7B4C6C66"/>
    <w:rsid w:val="7B5C332E"/>
    <w:rsid w:val="7B904C22"/>
    <w:rsid w:val="7B9E18EF"/>
    <w:rsid w:val="7BB9672E"/>
    <w:rsid w:val="7BE52AA5"/>
    <w:rsid w:val="7BEB61E2"/>
    <w:rsid w:val="7C0968F5"/>
    <w:rsid w:val="7C097F62"/>
    <w:rsid w:val="7C1235AA"/>
    <w:rsid w:val="7C160893"/>
    <w:rsid w:val="7C5622FF"/>
    <w:rsid w:val="7C571497"/>
    <w:rsid w:val="7CB95588"/>
    <w:rsid w:val="7CBA56FF"/>
    <w:rsid w:val="7CE64D15"/>
    <w:rsid w:val="7CF732D1"/>
    <w:rsid w:val="7D131D7B"/>
    <w:rsid w:val="7D1E10B2"/>
    <w:rsid w:val="7D3D5EFF"/>
    <w:rsid w:val="7D435739"/>
    <w:rsid w:val="7D93221A"/>
    <w:rsid w:val="7DA977AA"/>
    <w:rsid w:val="7DAC0454"/>
    <w:rsid w:val="7DED2A89"/>
    <w:rsid w:val="7DFA3D48"/>
    <w:rsid w:val="7E63789F"/>
    <w:rsid w:val="7E980733"/>
    <w:rsid w:val="7E9B0B7A"/>
    <w:rsid w:val="7E9B4DC3"/>
    <w:rsid w:val="7EC57197"/>
    <w:rsid w:val="7EFB4248"/>
    <w:rsid w:val="7EFD7DC7"/>
    <w:rsid w:val="7F274E2A"/>
    <w:rsid w:val="7F2C2F55"/>
    <w:rsid w:val="7F45439F"/>
    <w:rsid w:val="7F4A4D43"/>
    <w:rsid w:val="7F545830"/>
    <w:rsid w:val="7F590F20"/>
    <w:rsid w:val="7F5D047E"/>
    <w:rsid w:val="7F8F3F40"/>
    <w:rsid w:val="7FA62478"/>
    <w:rsid w:val="7FB2257F"/>
    <w:rsid w:val="7FE92E70"/>
    <w:rsid w:val="7FF400FF"/>
    <w:rsid w:val="7FF6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360" w:lineRule="auto"/>
      <w:outlineLvl w:val="0"/>
    </w:pPr>
    <w:rPr>
      <w:rFonts w:ascii="Times New Roman" w:hAnsi="Times New Roman" w:eastAsia="宋体"/>
      <w:b/>
      <w:bCs/>
      <w:kern w:val="44"/>
      <w:sz w:val="28"/>
      <w:szCs w:val="44"/>
    </w:rPr>
  </w:style>
  <w:style w:type="paragraph" w:styleId="4">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24" w:lineRule="auto"/>
      <w:outlineLvl w:val="2"/>
    </w:pPr>
    <w:rPr>
      <w:rFonts w:ascii="宋体" w:hAnsi="宋体"/>
      <w:b/>
      <w:bCs/>
      <w:kern w:val="0"/>
      <w:sz w:val="24"/>
      <w:szCs w:val="32"/>
    </w:rPr>
  </w:style>
  <w:style w:type="paragraph" w:styleId="6">
    <w:name w:val="heading 4"/>
    <w:basedOn w:val="1"/>
    <w:next w:val="1"/>
    <w:unhideWhenUsed/>
    <w:qFormat/>
    <w:uiPriority w:val="0"/>
    <w:pPr>
      <w:spacing w:before="35"/>
      <w:ind w:left="142"/>
      <w:jc w:val="center"/>
      <w:outlineLvl w:val="3"/>
    </w:pPr>
    <w:rPr>
      <w:rFonts w:ascii="宋体" w:hAnsi="宋体" w:cs="宋体"/>
      <w:b/>
      <w:bCs/>
      <w:sz w:val="32"/>
      <w:szCs w:val="32"/>
      <w:lang w:val="zh-CN" w:bidi="zh-CN"/>
    </w:rPr>
  </w:style>
  <w:style w:type="paragraph" w:styleId="7">
    <w:name w:val="heading 5"/>
    <w:basedOn w:val="1"/>
    <w:next w:val="1"/>
    <w:qFormat/>
    <w:uiPriority w:val="0"/>
    <w:pPr>
      <w:keepNext/>
      <w:keepLines/>
      <w:spacing w:line="372" w:lineRule="auto"/>
      <w:outlineLvl w:val="4"/>
    </w:pPr>
    <w:rPr>
      <w:b/>
      <w:bCs/>
      <w:sz w:val="28"/>
      <w:szCs w:val="28"/>
    </w:rPr>
  </w:style>
  <w:style w:type="paragraph" w:styleId="8">
    <w:name w:val="heading 7"/>
    <w:basedOn w:val="1"/>
    <w:next w:val="1"/>
    <w:unhideWhenUsed/>
    <w:qFormat/>
    <w:uiPriority w:val="0"/>
    <w:pPr>
      <w:ind w:left="448"/>
      <w:outlineLvl w:val="6"/>
    </w:pPr>
    <w:rPr>
      <w:rFonts w:ascii="宋体" w:hAnsi="宋体" w:cs="宋体"/>
      <w:sz w:val="24"/>
      <w:lang w:val="zh-CN" w:bidi="zh-CN"/>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after="120" w:afterLines="0" w:line="480" w:lineRule="auto"/>
    </w:pPr>
  </w:style>
  <w:style w:type="paragraph" w:styleId="9">
    <w:name w:val="Normal Indent"/>
    <w:basedOn w:val="1"/>
    <w:unhideWhenUsed/>
    <w:qFormat/>
    <w:uiPriority w:val="0"/>
    <w:pPr>
      <w:ind w:firstLine="420" w:firstLineChars="200"/>
    </w:pPr>
  </w:style>
  <w:style w:type="paragraph" w:styleId="10">
    <w:name w:val="annotation text"/>
    <w:basedOn w:val="1"/>
    <w:link w:val="44"/>
    <w:qFormat/>
    <w:uiPriority w:val="0"/>
    <w:pPr>
      <w:jc w:val="left"/>
    </w:pPr>
  </w:style>
  <w:style w:type="paragraph" w:styleId="11">
    <w:name w:val="Body Text"/>
    <w:basedOn w:val="1"/>
    <w:qFormat/>
    <w:uiPriority w:val="0"/>
    <w:pPr>
      <w:autoSpaceDE w:val="0"/>
      <w:autoSpaceDN w:val="0"/>
      <w:adjustRightInd w:val="0"/>
      <w:spacing w:after="120"/>
      <w:jc w:val="left"/>
    </w:pPr>
    <w:rPr>
      <w:rFonts w:ascii="宋体"/>
      <w:kern w:val="0"/>
      <w:sz w:val="34"/>
      <w:szCs w:val="20"/>
    </w:rPr>
  </w:style>
  <w:style w:type="paragraph" w:styleId="12">
    <w:name w:val="Body Text Indent"/>
    <w:basedOn w:val="1"/>
    <w:next w:val="13"/>
    <w:qFormat/>
    <w:uiPriority w:val="0"/>
    <w:pPr>
      <w:ind w:firstLine="830" w:firstLineChars="352"/>
    </w:pPr>
    <w:rPr>
      <w:rFonts w:ascii="FangSong_GB2312" w:eastAsia="FangSong_GB2312"/>
      <w:sz w:val="32"/>
      <w:szCs w:val="20"/>
    </w:rPr>
  </w:style>
  <w:style w:type="paragraph" w:styleId="13">
    <w:name w:val="envelope return"/>
    <w:basedOn w:val="1"/>
    <w:unhideWhenUsed/>
    <w:qFormat/>
    <w:uiPriority w:val="0"/>
    <w:pPr>
      <w:snapToGrid w:val="0"/>
    </w:pPr>
    <w:rPr>
      <w:rFonts w:ascii="Arial" w:hAnsi="Arial"/>
    </w:rPr>
  </w:style>
  <w:style w:type="paragraph" w:styleId="14">
    <w:name w:val="List 2"/>
    <w:basedOn w:val="1"/>
    <w:unhideWhenUsed/>
    <w:qFormat/>
    <w:uiPriority w:val="99"/>
    <w:pPr>
      <w:ind w:left="100" w:leftChars="200" w:hanging="200" w:hangingChars="200"/>
      <w:contextualSpacing/>
    </w:pPr>
  </w:style>
  <w:style w:type="paragraph" w:styleId="15">
    <w:name w:val="Plain Text"/>
    <w:basedOn w:val="1"/>
    <w:qFormat/>
    <w:uiPriority w:val="0"/>
    <w:rPr>
      <w:rFonts w:ascii="宋体" w:hAnsi="Courier New" w:cs="Courier New"/>
      <w:szCs w:val="21"/>
    </w:rPr>
  </w:style>
  <w:style w:type="paragraph" w:styleId="16">
    <w:name w:val="Date"/>
    <w:basedOn w:val="1"/>
    <w:next w:val="1"/>
    <w:qFormat/>
    <w:uiPriority w:val="0"/>
    <w:pPr>
      <w:ind w:left="100" w:leftChars="2500"/>
    </w:pPr>
    <w:rPr>
      <w:rFonts w:ascii="宋体" w:hAnsi="Courier New"/>
      <w:bCs/>
      <w:sz w:val="24"/>
    </w:rPr>
  </w:style>
  <w:style w:type="paragraph" w:styleId="17">
    <w:name w:val="Body Text Indent 2"/>
    <w:basedOn w:val="1"/>
    <w:qFormat/>
    <w:uiPriority w:val="0"/>
    <w:pPr>
      <w:spacing w:after="120" w:line="480" w:lineRule="auto"/>
      <w:ind w:leftChars="200"/>
    </w:pPr>
  </w:style>
  <w:style w:type="paragraph" w:styleId="18">
    <w:name w:val="Balloon Text"/>
    <w:basedOn w:val="1"/>
    <w:link w:val="46"/>
    <w:qFormat/>
    <w:uiPriority w:val="0"/>
    <w:rPr>
      <w:sz w:val="18"/>
      <w:szCs w:val="18"/>
    </w:rPr>
  </w:style>
  <w:style w:type="paragraph" w:styleId="19">
    <w:name w:val="footer"/>
    <w:basedOn w:val="1"/>
    <w:next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Body Text Indent 3"/>
    <w:basedOn w:val="1"/>
    <w:qFormat/>
    <w:uiPriority w:val="0"/>
    <w:pPr>
      <w:spacing w:after="120"/>
      <w:ind w:left="420" w:leftChars="200"/>
    </w:pPr>
    <w:rPr>
      <w:sz w:val="16"/>
      <w:szCs w:val="16"/>
    </w:rPr>
  </w:style>
  <w:style w:type="paragraph" w:styleId="23">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24">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6">
    <w:name w:val="index 1"/>
    <w:basedOn w:val="1"/>
    <w:next w:val="1"/>
    <w:qFormat/>
    <w:uiPriority w:val="0"/>
    <w:rPr>
      <w:lang w:eastAsia="en-US"/>
    </w:rPr>
  </w:style>
  <w:style w:type="paragraph" w:styleId="27">
    <w:name w:val="Title"/>
    <w:basedOn w:val="1"/>
    <w:next w:val="1"/>
    <w:qFormat/>
    <w:uiPriority w:val="0"/>
    <w:pPr>
      <w:spacing w:before="240" w:after="60"/>
      <w:jc w:val="center"/>
      <w:outlineLvl w:val="0"/>
    </w:pPr>
    <w:rPr>
      <w:rFonts w:ascii="Cambria" w:hAnsi="Cambria"/>
      <w:b/>
      <w:bCs/>
      <w:sz w:val="32"/>
      <w:szCs w:val="32"/>
    </w:rPr>
  </w:style>
  <w:style w:type="paragraph" w:styleId="28">
    <w:name w:val="annotation subject"/>
    <w:basedOn w:val="10"/>
    <w:next w:val="10"/>
    <w:link w:val="45"/>
    <w:qFormat/>
    <w:uiPriority w:val="0"/>
    <w:rPr>
      <w:b/>
      <w:bCs/>
    </w:rPr>
  </w:style>
  <w:style w:type="paragraph" w:styleId="29">
    <w:name w:val="Body Text First Indent"/>
    <w:basedOn w:val="11"/>
    <w:next w:val="1"/>
    <w:qFormat/>
    <w:uiPriority w:val="0"/>
    <w:pPr>
      <w:ind w:firstLine="420" w:firstLineChars="100"/>
    </w:pPr>
    <w:rPr>
      <w:rFonts w:ascii="Times New Roman"/>
      <w:sz w:val="21"/>
      <w:szCs w:val="24"/>
    </w:rPr>
  </w:style>
  <w:style w:type="paragraph" w:styleId="30">
    <w:name w:val="Body Text First Indent 2"/>
    <w:basedOn w:val="12"/>
    <w:next w:val="1"/>
    <w:qFormat/>
    <w:uiPriority w:val="0"/>
    <w:pPr>
      <w:spacing w:line="360" w:lineRule="auto"/>
      <w:ind w:firstLine="420" w:firstLineChars="200"/>
    </w:pPr>
    <w:rPr>
      <w:sz w:val="24"/>
      <w:szCs w:val="24"/>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0"/>
    <w:rPr>
      <w:b/>
    </w:rPr>
  </w:style>
  <w:style w:type="character" w:styleId="35">
    <w:name w:val="page number"/>
    <w:basedOn w:val="33"/>
    <w:qFormat/>
    <w:uiPriority w:val="0"/>
  </w:style>
  <w:style w:type="character" w:styleId="36">
    <w:name w:val="Hyperlink"/>
    <w:basedOn w:val="33"/>
    <w:unhideWhenUsed/>
    <w:qFormat/>
    <w:uiPriority w:val="99"/>
    <w:rPr>
      <w:color w:val="0000FF"/>
      <w:u w:val="single"/>
    </w:rPr>
  </w:style>
  <w:style w:type="character" w:styleId="37">
    <w:name w:val="annotation reference"/>
    <w:qFormat/>
    <w:uiPriority w:val="0"/>
    <w:rPr>
      <w:sz w:val="21"/>
      <w:szCs w:val="21"/>
    </w:rPr>
  </w:style>
  <w:style w:type="character" w:styleId="38">
    <w:name w:val="HTML Sample"/>
    <w:basedOn w:val="33"/>
    <w:qFormat/>
    <w:uiPriority w:val="0"/>
    <w:rPr>
      <w:rFonts w:ascii="Courier New" w:hAnsi="Courier New"/>
    </w:rPr>
  </w:style>
  <w:style w:type="paragraph" w:customStyle="1" w:styleId="39">
    <w:name w:val="表格文字"/>
    <w:basedOn w:val="12"/>
    <w:qFormat/>
    <w:uiPriority w:val="99"/>
    <w:pPr>
      <w:spacing w:before="25" w:after="25"/>
      <w:jc w:val="left"/>
    </w:pPr>
    <w:rPr>
      <w:bCs/>
      <w:spacing w:val="10"/>
      <w:kern w:val="0"/>
      <w:sz w:val="24"/>
    </w:rPr>
  </w:style>
  <w:style w:type="paragraph" w:customStyle="1" w:styleId="40">
    <w:name w:val="Default"/>
    <w:qFormat/>
    <w:uiPriority w:val="0"/>
    <w:pPr>
      <w:widowControl w:val="0"/>
      <w:autoSpaceDE w:val="0"/>
      <w:autoSpaceDN w:val="0"/>
      <w:adjustRightInd w:val="0"/>
    </w:pPr>
    <w:rPr>
      <w:rFonts w:ascii="......." w:hAnsi="......." w:eastAsia="......." w:cs="......."/>
      <w:color w:val="000000"/>
      <w:sz w:val="21"/>
      <w:szCs w:val="24"/>
      <w:lang w:val="en-US" w:eastAsia="zh-CN" w:bidi="ar-SA"/>
    </w:rPr>
  </w:style>
  <w:style w:type="paragraph" w:styleId="41">
    <w:name w:val="List Paragraph"/>
    <w:basedOn w:val="1"/>
    <w:qFormat/>
    <w:uiPriority w:val="34"/>
    <w:pPr>
      <w:ind w:firstLine="420" w:firstLineChars="200"/>
    </w:pPr>
  </w:style>
  <w:style w:type="paragraph" w:customStyle="1" w:styleId="42">
    <w:name w:val="Plain Text1"/>
    <w:basedOn w:val="1"/>
    <w:qFormat/>
    <w:uiPriority w:val="0"/>
    <w:rPr>
      <w:rFonts w:ascii="宋体" w:hAnsi="Courier New" w:cs="Courier New"/>
      <w:szCs w:val="21"/>
    </w:rPr>
  </w:style>
  <w:style w:type="paragraph" w:customStyle="1" w:styleId="43">
    <w:name w:val="Table Paragraph"/>
    <w:basedOn w:val="1"/>
    <w:qFormat/>
    <w:uiPriority w:val="1"/>
    <w:rPr>
      <w:rFonts w:ascii="宋体" w:hAnsi="宋体" w:cs="宋体"/>
      <w:lang w:val="zh-CN" w:bidi="zh-CN"/>
    </w:rPr>
  </w:style>
  <w:style w:type="character" w:customStyle="1" w:styleId="44">
    <w:name w:val="批注文字 Char"/>
    <w:basedOn w:val="33"/>
    <w:link w:val="10"/>
    <w:qFormat/>
    <w:uiPriority w:val="0"/>
    <w:rPr>
      <w:kern w:val="2"/>
      <w:sz w:val="21"/>
      <w:szCs w:val="24"/>
    </w:rPr>
  </w:style>
  <w:style w:type="character" w:customStyle="1" w:styleId="45">
    <w:name w:val="批注主题 Char"/>
    <w:basedOn w:val="44"/>
    <w:link w:val="28"/>
    <w:qFormat/>
    <w:uiPriority w:val="0"/>
    <w:rPr>
      <w:b/>
      <w:bCs/>
      <w:kern w:val="2"/>
      <w:sz w:val="21"/>
      <w:szCs w:val="24"/>
    </w:rPr>
  </w:style>
  <w:style w:type="character" w:customStyle="1" w:styleId="46">
    <w:name w:val="批注框文本 Char"/>
    <w:basedOn w:val="33"/>
    <w:link w:val="18"/>
    <w:qFormat/>
    <w:uiPriority w:val="0"/>
    <w:rPr>
      <w:kern w:val="2"/>
      <w:sz w:val="18"/>
      <w:szCs w:val="18"/>
    </w:rPr>
  </w:style>
  <w:style w:type="paragraph" w:customStyle="1" w:styleId="47">
    <w:name w:val="纯文本1"/>
    <w:basedOn w:val="1"/>
    <w:qFormat/>
    <w:uiPriority w:val="0"/>
    <w:pPr>
      <w:suppressAutoHyphens/>
    </w:pPr>
    <w:rPr>
      <w:rFonts w:ascii="宋体" w:hAnsi="宋体" w:cs="Courier New"/>
      <w:szCs w:val="21"/>
      <w:lang w:eastAsia="ar-SA"/>
    </w:rPr>
  </w:style>
  <w:style w:type="paragraph" w:customStyle="1" w:styleId="4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heme="minorEastAsia" w:cstheme="minorBidi"/>
      <w:kern w:val="0"/>
      <w:szCs w:val="21"/>
    </w:rPr>
  </w:style>
  <w:style w:type="character" w:customStyle="1" w:styleId="49">
    <w:name w:val="textcontents"/>
    <w:basedOn w:val="33"/>
    <w:qFormat/>
    <w:uiPriority w:val="0"/>
  </w:style>
  <w:style w:type="paragraph" w:customStyle="1" w:styleId="50">
    <w:name w:val="正文2"/>
    <w:basedOn w:val="1"/>
    <w:qFormat/>
    <w:uiPriority w:val="0"/>
    <w:pPr>
      <w:adjustRightInd w:val="0"/>
      <w:spacing w:before="156" w:line="360" w:lineRule="auto"/>
      <w:ind w:firstLine="510" w:firstLineChars="200"/>
    </w:pPr>
    <w:rPr>
      <w:kern w:val="0"/>
      <w:sz w:val="24"/>
      <w:szCs w:val="20"/>
    </w:rPr>
  </w:style>
  <w:style w:type="paragraph" w:customStyle="1" w:styleId="51">
    <w:name w:val="WPSOffice手动目录 1"/>
    <w:qFormat/>
    <w:uiPriority w:val="0"/>
    <w:pPr>
      <w:ind w:leftChars="0"/>
    </w:pPr>
    <w:rPr>
      <w:rFonts w:ascii="Times New Roman" w:hAnsi="Times New Roman" w:eastAsia="宋体" w:cs="Times New Roman"/>
      <w:sz w:val="20"/>
      <w:szCs w:val="20"/>
    </w:rPr>
  </w:style>
  <w:style w:type="table" w:customStyle="1" w:styleId="52">
    <w:name w:val="Table Normal"/>
    <w:semiHidden/>
    <w:unhideWhenUsed/>
    <w:qFormat/>
    <w:uiPriority w:val="0"/>
    <w:tblPr>
      <w:tblCellMar>
        <w:top w:w="0" w:type="dxa"/>
        <w:left w:w="0" w:type="dxa"/>
        <w:bottom w:w="0" w:type="dxa"/>
        <w:right w:w="0" w:type="dxa"/>
      </w:tblCellMar>
    </w:tblPr>
  </w:style>
  <w:style w:type="paragraph" w:customStyle="1" w:styleId="5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文本_0"/>
    <w:basedOn w:val="53"/>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55">
    <w:name w:val="Normal_1"/>
    <w:qFormat/>
    <w:uiPriority w:val="0"/>
    <w:rPr>
      <w:rFonts w:ascii="Times New Roman" w:hAnsi="Times New Roman" w:eastAsia="Times New Roman" w:cs="Times New Roman"/>
      <w:sz w:val="24"/>
      <w:szCs w:val="24"/>
    </w:rPr>
  </w:style>
  <w:style w:type="paragraph" w:customStyle="1" w:styleId="56">
    <w:name w:val="Body text|1_2"/>
    <w:basedOn w:val="53"/>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57">
    <w:name w:val="Other|1_2"/>
    <w:basedOn w:val="53"/>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58">
    <w:name w:val="标题 2_1"/>
    <w:basedOn w:val="53"/>
    <w:next w:val="53"/>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59">
    <w:name w:val="标题 3_2"/>
    <w:basedOn w:val="53"/>
    <w:next w:val="53"/>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60">
    <w:name w:val="标题 2_0"/>
    <w:basedOn w:val="61"/>
    <w:next w:val="61"/>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1">
    <w:name w:val="正文_2"/>
    <w:basedOn w:val="62"/>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62">
    <w:name w:val="正文_3"/>
    <w:basedOn w:val="53"/>
    <w:qFormat/>
    <w:uiPriority w:val="0"/>
    <w:rPr>
      <w:rFonts w:eastAsia="宋体"/>
      <w:lang w:eastAsia="zh-CN" w:bidi="ar-SA"/>
    </w:rPr>
  </w:style>
  <w:style w:type="paragraph" w:customStyle="1" w:styleId="63">
    <w:name w:val="标题 3_1"/>
    <w:basedOn w:val="61"/>
    <w:next w:val="61"/>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64">
    <w:name w:val="Body text|1_1"/>
    <w:basedOn w:val="61"/>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65">
    <w:name w:val="Body text|2_0"/>
    <w:basedOn w:val="61"/>
    <w:qFormat/>
    <w:uiPriority w:val="0"/>
    <w:pPr>
      <w:spacing w:after="30"/>
      <w:ind w:firstLine="420"/>
    </w:pPr>
    <w:rPr>
      <w:rFonts w:eastAsia="宋体"/>
      <w:color w:val="auto"/>
      <w:sz w:val="20"/>
      <w:szCs w:val="20"/>
      <w:lang w:bidi="ar-SA"/>
    </w:rPr>
  </w:style>
  <w:style w:type="paragraph" w:customStyle="1" w:styleId="66">
    <w:name w:val="Other|1_1"/>
    <w:basedOn w:val="61"/>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67">
    <w:name w:val="正文_2_0"/>
    <w:basedOn w:val="61"/>
    <w:qFormat/>
    <w:uiPriority w:val="0"/>
    <w:rPr>
      <w:rFonts w:eastAsia="宋体"/>
      <w:lang w:eastAsia="zh-CN" w:bidi="ar-SA"/>
    </w:rPr>
  </w:style>
  <w:style w:type="character" w:customStyle="1" w:styleId="68">
    <w:name w:val="10"/>
    <w:qFormat/>
    <w:uiPriority w:val="0"/>
    <w:rPr>
      <w:rFonts w:hint="default" w:ascii="Times New Roman" w:hAnsi="Times New Roman" w:eastAsia="Times New Roman" w:cs="Times New Roman"/>
      <w:lang w:eastAsia="en-US" w:bidi="en-US"/>
    </w:rPr>
  </w:style>
  <w:style w:type="paragraph" w:customStyle="1" w:styleId="69">
    <w:name w:val="样式 样式16 + 首行缩进:  2 字符"/>
    <w:basedOn w:val="1"/>
    <w:qFormat/>
    <w:uiPriority w:val="0"/>
    <w:pPr>
      <w:spacing w:line="400" w:lineRule="exact"/>
      <w:ind w:firstLine="200" w:firstLineChars="200"/>
    </w:pPr>
    <w:rPr>
      <w:rFonts w:ascii="汉仪中宋简" w:hAnsi="宋体" w:eastAsia="汉仪字典宋简"/>
      <w:b/>
      <w:bCs/>
      <w:spacing w:val="2"/>
      <w:sz w:val="24"/>
      <w:szCs w:val="20"/>
    </w:rPr>
  </w:style>
  <w:style w:type="paragraph" w:customStyle="1" w:styleId="70">
    <w:name w:val="样式 正文首行缩进 + 首行缩进:  1 字符1"/>
    <w:basedOn w:val="1"/>
    <w:next w:val="1"/>
    <w:qFormat/>
    <w:uiPriority w:val="0"/>
    <w:pPr>
      <w:spacing w:line="360" w:lineRule="auto"/>
      <w:ind w:firstLine="480" w:firstLineChars="200"/>
      <w:jc w:val="left"/>
    </w:pPr>
    <w:rPr>
      <w:rFonts w:hint="eastAsia" w:ascii="宋体" w:hAnsi="宋体" w:cs="宋体"/>
      <w:szCs w:val="20"/>
    </w:rPr>
  </w:style>
  <w:style w:type="paragraph" w:customStyle="1" w:styleId="71">
    <w:name w:val="Other|1"/>
    <w:basedOn w:val="1"/>
    <w:qFormat/>
    <w:uiPriority w:val="0"/>
    <w:pPr>
      <w:spacing w:line="360" w:lineRule="auto"/>
      <w:ind w:firstLine="400"/>
      <w:jc w:val="left"/>
    </w:pPr>
    <w:rPr>
      <w:rFonts w:ascii="宋体" w:hAnsi="宋体" w:cs="宋体"/>
      <w:kern w:val="0"/>
      <w:sz w:val="20"/>
      <w:szCs w:val="20"/>
      <w:lang w:val="zh-CN" w:bidi="zh-CN"/>
    </w:rPr>
  </w:style>
  <w:style w:type="paragraph" w:customStyle="1" w:styleId="72">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
    <w:name w:val="标题 3_0"/>
    <w:basedOn w:val="1"/>
    <w:next w:val="61"/>
    <w:qFormat/>
    <w:uiPriority w:val="99"/>
    <w:rPr>
      <w:szCs w:val="20"/>
    </w:rPr>
  </w:style>
  <w:style w:type="paragraph" w:customStyle="1" w:styleId="74">
    <w:name w:val="纯文本_0"/>
    <w:basedOn w:val="1"/>
    <w:qFormat/>
    <w:uiPriority w:val="99"/>
    <w:rPr>
      <w:szCs w:val="20"/>
    </w:rPr>
  </w:style>
  <w:style w:type="paragraph" w:customStyle="1" w:styleId="75">
    <w:name w:val="Normal_0"/>
    <w:qFormat/>
    <w:uiPriority w:val="0"/>
    <w:rPr>
      <w:rFonts w:ascii="Times New Roman" w:hAnsi="Times New Roman" w:eastAsia="Times New Roman" w:cs="Times New Roman"/>
      <w:sz w:val="24"/>
      <w:szCs w:val="24"/>
    </w:rPr>
  </w:style>
  <w:style w:type="paragraph" w:customStyle="1" w:styleId="76">
    <w:name w:val="正文_5"/>
    <w:next w:val="7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正文文本缩进 2_1"/>
    <w:basedOn w:val="76"/>
    <w:unhideWhenUsed/>
    <w:qFormat/>
    <w:uiPriority w:val="99"/>
    <w:pPr>
      <w:spacing w:after="120" w:line="480" w:lineRule="auto"/>
      <w:ind w:left="420" w:leftChars="200"/>
    </w:pPr>
  </w:style>
  <w:style w:type="paragraph" w:customStyle="1" w:styleId="78">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正文_4_0"/>
    <w:basedOn w:val="80"/>
    <w:qFormat/>
    <w:uiPriority w:val="0"/>
  </w:style>
  <w:style w:type="paragraph" w:customStyle="1" w:styleId="80">
    <w:name w:val="正文_5_0"/>
    <w:basedOn w:val="76"/>
    <w:qFormat/>
    <w:uiPriority w:val="0"/>
  </w:style>
  <w:style w:type="paragraph" w:customStyle="1" w:styleId="81">
    <w:name w:val="正文文本 (2)4"/>
    <w:basedOn w:val="1"/>
    <w:qFormat/>
    <w:uiPriority w:val="0"/>
    <w:pPr>
      <w:shd w:val="clear" w:color="auto" w:fill="FFFFFF"/>
      <w:spacing w:before="300" w:line="439" w:lineRule="exact"/>
      <w:jc w:val="distribute"/>
    </w:pPr>
    <w:rPr>
      <w:rFonts w:ascii="MingLiU" w:hAnsi="MingLiU" w:eastAsia="MingLiU"/>
      <w:spacing w:val="20"/>
    </w:rPr>
  </w:style>
  <w:style w:type="character" w:customStyle="1" w:styleId="82">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83">
    <w:name w:val="正文文本 (2) + 5.5 pt1"/>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paragraph" w:customStyle="1" w:styleId="84">
    <w:name w:val="标题 #7 (4)"/>
    <w:basedOn w:val="1"/>
    <w:qFormat/>
    <w:uiPriority w:val="0"/>
    <w:pPr>
      <w:shd w:val="clear" w:color="auto" w:fill="FFFFFF"/>
      <w:autoSpaceDE/>
      <w:autoSpaceDN/>
      <w:adjustRightInd/>
      <w:spacing w:after="1020" w:line="240" w:lineRule="atLeast"/>
      <w:outlineLvl w:val="6"/>
    </w:pPr>
    <w:rPr>
      <w:rFonts w:hint="default" w:ascii="MingLiU" w:hAnsi="MingLiU" w:eastAsia="MingLiU"/>
      <w:sz w:val="26"/>
      <w:szCs w:val="26"/>
    </w:rPr>
  </w:style>
  <w:style w:type="character" w:customStyle="1" w:styleId="85">
    <w:name w:val="标题 #7 (4) + 间距 7 pt"/>
    <w:qFormat/>
    <w:uiPriority w:val="0"/>
    <w:rPr>
      <w:rFonts w:ascii="MingLiU" w:hAnsi="MingLiU" w:eastAsia="MingLiU"/>
      <w:color w:val="000000"/>
      <w:spacing w:val="140"/>
      <w:w w:val="100"/>
      <w:position w:val="0"/>
      <w:sz w:val="26"/>
      <w:szCs w:val="26"/>
      <w:lang w:val="zh-CN" w:eastAsia="zh-CN" w:bidi="ar-SA"/>
    </w:rPr>
  </w:style>
  <w:style w:type="character" w:customStyle="1" w:styleId="86">
    <w:name w:val="正文文本 (2) + 间距 0 pt2"/>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87">
    <w:name w:val="正文文本 (2) + 5.5 pt"/>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paragraph" w:customStyle="1" w:styleId="88">
    <w:name w:val="标题 #7 (5)"/>
    <w:basedOn w:val="1"/>
    <w:qFormat/>
    <w:uiPriority w:val="0"/>
    <w:pPr>
      <w:shd w:val="clear" w:color="auto" w:fill="FFFFFF"/>
      <w:autoSpaceDE/>
      <w:autoSpaceDN/>
      <w:adjustRightInd/>
      <w:spacing w:line="559" w:lineRule="exact"/>
      <w:outlineLvl w:val="6"/>
    </w:pPr>
    <w:rPr>
      <w:rFonts w:hint="default" w:ascii="MingLiU" w:hAnsi="MingLiU" w:eastAsia="MingLiU"/>
      <w:spacing w:val="50"/>
      <w:sz w:val="30"/>
      <w:szCs w:val="30"/>
    </w:rPr>
  </w:style>
  <w:style w:type="character" w:customStyle="1" w:styleId="89">
    <w:name w:val="标题 #7 (5) + 间距 0 pt"/>
    <w:qFormat/>
    <w:uiPriority w:val="0"/>
    <w:rPr>
      <w:rFonts w:ascii="MingLiU" w:hAnsi="MingLiU" w:eastAsia="MingLiU"/>
      <w:color w:val="000000"/>
      <w:spacing w:val="0"/>
      <w:w w:val="100"/>
      <w:position w:val="0"/>
      <w:sz w:val="30"/>
      <w:szCs w:val="30"/>
      <w:lang w:val="zh-CN" w:eastAsia="zh-CN" w:bidi="ar-SA"/>
    </w:rPr>
  </w:style>
  <w:style w:type="paragraph" w:customStyle="1" w:styleId="90">
    <w:name w:val="Char Char Char Char Char Char Char Char Char Char Char Char Char Char Char Char"/>
    <w:basedOn w:val="1"/>
    <w:qFormat/>
    <w:uiPriority w:val="0"/>
    <w:pPr>
      <w:tabs>
        <w:tab w:val="left" w:pos="360"/>
      </w:tabs>
      <w:spacing w:line="360" w:lineRule="auto"/>
      <w:ind w:left="482" w:firstLine="200" w:firstLineChars="200"/>
    </w:pPr>
    <w:rPr>
      <w:rFonts w:eastAsia="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102</Pages>
  <Words>20114</Words>
  <Characters>21887</Characters>
  <Lines>51</Lines>
  <Paragraphs>59</Paragraphs>
  <TotalTime>19</TotalTime>
  <ScaleCrop>false</ScaleCrop>
  <LinksUpToDate>false</LinksUpToDate>
  <CharactersWithSpaces>22057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2018-08-29T07:43:00Z</dcterms:created>
  <dc:creator>Administrator</dc:creator>
  <cp:lastModifiedBy>Administrator</cp:lastModifiedBy>
  <cp:lastPrinted>2023-12-28T08:32:00Z</cp:lastPrinted>
  <dcterms:modified xsi:type="dcterms:W3CDTF">2025-09-19T10:39:36Z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EC069194C9014FA1B349E29A466A9699_13</vt:lpwstr>
  </property>
  <property fmtid="{D5CDD505-2E9C-101B-9397-08002B2CF9AE}" pid="4" name="KSOTemplateDocerSaveRecord">
    <vt:lpwstr>eyJoZGlkIjoiMDE1ZDJkZDJhOTYxYTMzZDIzZTY5YjU3MTYxNmMxOTQiLCJ1c2VySWQiOiIxMjEzMTkwMDMyIn0=</vt:lpwstr>
  </property>
</Properties>
</file>