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rPr>
          <w:rFonts w:hint="eastAsia" w:asciiTheme="minorEastAsia" w:hAnsiTheme="minorEastAsia" w:eastAsiaTheme="minorEastAsia" w:cstheme="minorEastAsia"/>
          <w:b/>
          <w:bCs/>
          <w:color w:val="auto"/>
          <w:sz w:val="36"/>
          <w:szCs w:val="36"/>
          <w:highlight w:val="none"/>
          <w:lang w:val="en-US" w:eastAsia="en-US" w:bidi="ar-SA"/>
        </w:rPr>
        <w:id w:val="147482307"/>
        <w15:color w:val="DBDBDB"/>
        <w:docPartObj>
          <w:docPartGallery w:val="Table of Contents"/>
          <w:docPartUnique/>
        </w:docPartObj>
      </w:sdtPr>
      <w:sdtEndPr>
        <w:rPr>
          <w:rFonts w:hint="eastAsia" w:asciiTheme="minorEastAsia" w:hAnsiTheme="minorEastAsia" w:eastAsiaTheme="minorEastAsia" w:cstheme="minorEastAsia"/>
          <w:b/>
          <w:bCs/>
          <w:color w:val="auto"/>
          <w:spacing w:val="-2"/>
          <w:kern w:val="2"/>
          <w:sz w:val="28"/>
          <w:szCs w:val="28"/>
          <w:highlight w:val="none"/>
          <w:lang w:val="en-US" w:eastAsia="zh-CN" w:bidi="ar-SA"/>
        </w:rPr>
      </w:sdtEndPr>
      <w:sdtContent>
        <w:p>
          <w:pPr>
            <w:pageBreakBefore w:val="0"/>
            <w:kinsoku/>
            <w:overflowPunct/>
            <w:topLinePunct w:val="0"/>
            <w:bidi w:val="0"/>
            <w:spacing w:beforeAutospacing="0" w:afterAutospacing="0" w:line="360" w:lineRule="auto"/>
            <w:ind w:left="0" w:leftChars="0" w:right="0"/>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政府采购</w:t>
          </w:r>
        </w:p>
        <w:p>
          <w:pPr>
            <w:pageBreakBefore w:val="0"/>
            <w:kinsoku/>
            <w:overflowPunct/>
            <w:topLinePunct w:val="0"/>
            <w:bidi w:val="0"/>
            <w:spacing w:beforeAutospacing="0" w:afterAutospacing="0" w:line="360" w:lineRule="auto"/>
            <w:ind w:left="0" w:leftChars="0" w:right="0"/>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公开招标文件（货物类）</w:t>
          </w:r>
        </w:p>
        <w:p>
          <w:pPr>
            <w:pageBreakBefore w:val="0"/>
            <w:kinsoku/>
            <w:overflowPunct/>
            <w:topLinePunct w:val="0"/>
            <w:bidi w:val="0"/>
            <w:spacing w:beforeAutospacing="0" w:afterAutospacing="0" w:line="360" w:lineRule="auto"/>
            <w:ind w:left="0" w:leftChars="0" w:right="0"/>
            <w:jc w:val="center"/>
            <w:rPr>
              <w:rFonts w:hint="eastAsia" w:ascii="仿宋" w:hAnsi="仿宋" w:eastAsia="仿宋" w:cs="仿宋"/>
              <w:b/>
              <w:color w:val="auto"/>
              <w:sz w:val="48"/>
              <w:szCs w:val="48"/>
              <w:highlight w:val="none"/>
            </w:rPr>
          </w:pPr>
        </w:p>
        <w:p>
          <w:pPr>
            <w:pageBreakBefore w:val="0"/>
            <w:kinsoku/>
            <w:overflowPunct/>
            <w:topLinePunct w:val="0"/>
            <w:bidi w:val="0"/>
            <w:spacing w:beforeAutospacing="0" w:afterAutospacing="0" w:line="360" w:lineRule="auto"/>
            <w:ind w:left="0" w:leftChars="0" w:right="0"/>
            <w:jc w:val="center"/>
            <w:rPr>
              <w:rFonts w:hint="eastAsia" w:ascii="仿宋" w:hAnsi="仿宋" w:eastAsia="仿宋" w:cs="仿宋"/>
              <w:b/>
              <w:color w:val="auto"/>
              <w:sz w:val="48"/>
              <w:szCs w:val="48"/>
              <w:highlight w:val="none"/>
            </w:rPr>
          </w:pPr>
        </w:p>
        <w:p>
          <w:pPr>
            <w:pageBreakBefore w:val="0"/>
            <w:kinsoku/>
            <w:overflowPunct/>
            <w:topLinePunct w:val="0"/>
            <w:bidi w:val="0"/>
            <w:snapToGrid w:val="0"/>
            <w:spacing w:beforeAutospacing="0" w:afterAutospacing="0" w:line="360" w:lineRule="auto"/>
            <w:ind w:left="0" w:leftChars="0" w:right="0"/>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pPr>
            <w:pageBreakBefore w:val="0"/>
            <w:kinsoku/>
            <w:overflowPunct/>
            <w:topLinePunct w:val="0"/>
            <w:bidi w:val="0"/>
            <w:snapToGrid w:val="0"/>
            <w:spacing w:beforeAutospacing="0" w:afterAutospacing="0" w:line="360" w:lineRule="auto"/>
            <w:ind w:left="0" w:leftChars="0" w:right="0"/>
            <w:jc w:val="center"/>
            <w:rPr>
              <w:rFonts w:hint="eastAsia" w:ascii="仿宋" w:hAnsi="仿宋" w:eastAsia="仿宋" w:cs="仿宋"/>
              <w:color w:val="auto"/>
              <w:sz w:val="30"/>
              <w:szCs w:val="72"/>
              <w:highlight w:val="none"/>
            </w:rPr>
          </w:pPr>
          <w:r>
            <w:rPr>
              <w:rFonts w:hint="eastAsia" w:ascii="仿宋" w:hAnsi="仿宋" w:eastAsia="仿宋" w:cs="仿宋"/>
              <w:color w:val="auto"/>
              <w:sz w:val="30"/>
              <w:szCs w:val="72"/>
              <w:highlight w:val="none"/>
            </w:rPr>
            <w:t>（全流程电子化评标）</w:t>
          </w:r>
        </w:p>
        <w:p>
          <w:pPr>
            <w:pageBreakBefore w:val="0"/>
            <w:kinsoku/>
            <w:overflowPunct/>
            <w:topLinePunct w:val="0"/>
            <w:bidi w:val="0"/>
            <w:snapToGrid w:val="0"/>
            <w:spacing w:beforeAutospacing="0" w:afterAutospacing="0" w:line="360" w:lineRule="auto"/>
            <w:ind w:left="0" w:leftChars="0" w:right="0"/>
            <w:rPr>
              <w:rFonts w:hint="eastAsia" w:ascii="仿宋" w:hAnsi="仿宋" w:eastAsia="仿宋" w:cs="仿宋"/>
              <w:color w:val="auto"/>
              <w:sz w:val="30"/>
              <w:szCs w:val="72"/>
              <w:highlight w:val="none"/>
            </w:rPr>
          </w:pPr>
        </w:p>
        <w:p>
          <w:pPr>
            <w:pStyle w:val="21"/>
            <w:pageBreakBefore w:val="0"/>
            <w:kinsoku/>
            <w:overflowPunct/>
            <w:topLinePunct w:val="0"/>
            <w:bidi w:val="0"/>
            <w:snapToGrid w:val="0"/>
            <w:spacing w:beforeAutospacing="0" w:afterAutospacing="0" w:line="360" w:lineRule="auto"/>
            <w:ind w:left="0" w:leftChars="0" w:right="0" w:firstLine="1063" w:firstLineChars="353"/>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浦北大红柑智业示范带项目</w:t>
          </w:r>
        </w:p>
        <w:p>
          <w:pPr>
            <w:pStyle w:val="21"/>
            <w:pageBreakBefore w:val="0"/>
            <w:kinsoku/>
            <w:overflowPunct/>
            <w:topLinePunct w:val="0"/>
            <w:bidi w:val="0"/>
            <w:snapToGrid w:val="0"/>
            <w:spacing w:beforeAutospacing="0" w:afterAutospacing="0" w:line="360" w:lineRule="auto"/>
            <w:ind w:left="0" w:leftChars="0" w:right="0" w:firstLine="1063" w:firstLineChars="353"/>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0"/>
              <w:szCs w:val="30"/>
              <w:highlight w:val="none"/>
            </w:rPr>
            <w:t>项目编号：</w:t>
          </w:r>
          <w:bookmarkStart w:id="0" w:name="OLE_LINK3"/>
          <w:r>
            <w:rPr>
              <w:rFonts w:hint="eastAsia" w:ascii="仿宋" w:hAnsi="仿宋" w:eastAsia="仿宋" w:cs="仿宋"/>
              <w:b/>
              <w:bCs/>
              <w:color w:val="auto"/>
              <w:sz w:val="32"/>
              <w:szCs w:val="32"/>
              <w:highlight w:val="none"/>
              <w:lang w:eastAsia="zh-CN"/>
            </w:rPr>
            <w:t>QZZC2025-G1-220209-WQGC</w:t>
          </w:r>
        </w:p>
        <w:bookmarkEnd w:id="0"/>
        <w:p>
          <w:pPr>
            <w:pStyle w:val="21"/>
            <w:pageBreakBefore w:val="0"/>
            <w:kinsoku/>
            <w:overflowPunct/>
            <w:topLinePunct w:val="0"/>
            <w:bidi w:val="0"/>
            <w:snapToGrid w:val="0"/>
            <w:spacing w:beforeAutospacing="0" w:afterAutospacing="0" w:line="360" w:lineRule="auto"/>
            <w:ind w:left="0" w:leftChars="0" w:right="0" w:firstLine="1063" w:firstLineChars="353"/>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 xml:space="preserve">采 购 人： </w:t>
          </w:r>
          <w:r>
            <w:rPr>
              <w:rFonts w:hint="eastAsia" w:ascii="仿宋" w:hAnsi="仿宋" w:eastAsia="仿宋" w:cs="仿宋"/>
              <w:b/>
              <w:bCs/>
              <w:color w:val="auto"/>
              <w:sz w:val="30"/>
              <w:szCs w:val="30"/>
              <w:highlight w:val="none"/>
              <w:lang w:val="en-US" w:eastAsia="zh-CN"/>
            </w:rPr>
            <w:t>浦北县龙门</w:t>
          </w:r>
          <w:r>
            <w:rPr>
              <w:rFonts w:hint="eastAsia" w:ascii="仿宋" w:hAnsi="仿宋" w:eastAsia="仿宋" w:cs="仿宋"/>
              <w:b/>
              <w:bCs/>
              <w:color w:val="auto"/>
              <w:sz w:val="30"/>
              <w:szCs w:val="30"/>
              <w:highlight w:val="none"/>
              <w:lang w:eastAsia="zh-CN"/>
            </w:rPr>
            <w:t>镇人民政府</w:t>
          </w:r>
        </w:p>
        <w:p>
          <w:pPr>
            <w:pStyle w:val="21"/>
            <w:pageBreakBefore w:val="0"/>
            <w:kinsoku/>
            <w:overflowPunct/>
            <w:topLinePunct w:val="0"/>
            <w:bidi w:val="0"/>
            <w:snapToGrid w:val="0"/>
            <w:spacing w:beforeAutospacing="0" w:afterAutospacing="0" w:line="360" w:lineRule="auto"/>
            <w:ind w:left="0" w:leftChars="0" w:right="0" w:firstLine="1063" w:firstLineChars="353"/>
            <w:jc w:val="both"/>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w:t>
          </w:r>
          <w:bookmarkStart w:id="1" w:name="PO_3000001867_PM031"/>
          <w:r>
            <w:rPr>
              <w:rFonts w:hint="eastAsia" w:ascii="仿宋" w:hAnsi="仿宋" w:eastAsia="仿宋" w:cs="仿宋"/>
              <w:b/>
              <w:bCs/>
              <w:color w:val="auto"/>
              <w:sz w:val="30"/>
              <w:szCs w:val="30"/>
              <w:highlight w:val="none"/>
            </w:rPr>
            <w:t>广西</w:t>
          </w:r>
          <w:r>
            <w:rPr>
              <w:rFonts w:hint="eastAsia" w:ascii="仿宋" w:hAnsi="仿宋" w:eastAsia="仿宋" w:cs="仿宋"/>
              <w:b/>
              <w:bCs/>
              <w:color w:val="auto"/>
              <w:sz w:val="30"/>
              <w:szCs w:val="30"/>
              <w:highlight w:val="none"/>
              <w:lang w:val="en-US" w:eastAsia="zh-CN"/>
            </w:rPr>
            <w:t>唯琪工程项目管理</w:t>
          </w:r>
          <w:r>
            <w:rPr>
              <w:rFonts w:hint="eastAsia" w:ascii="仿宋" w:hAnsi="仿宋" w:eastAsia="仿宋" w:cs="仿宋"/>
              <w:b/>
              <w:bCs/>
              <w:color w:val="auto"/>
              <w:sz w:val="30"/>
              <w:szCs w:val="30"/>
              <w:highlight w:val="none"/>
            </w:rPr>
            <w:t>有限公司</w:t>
          </w:r>
          <w:bookmarkEnd w:id="1"/>
        </w:p>
        <w:p>
          <w:pPr>
            <w:pStyle w:val="21"/>
            <w:pageBreakBefore w:val="0"/>
            <w:kinsoku/>
            <w:overflowPunct/>
            <w:topLinePunct w:val="0"/>
            <w:bidi w:val="0"/>
            <w:snapToGrid w:val="0"/>
            <w:spacing w:beforeAutospacing="0" w:afterAutospacing="0" w:line="360" w:lineRule="auto"/>
            <w:ind w:left="0" w:leftChars="0" w:right="0" w:firstLine="841" w:firstLineChars="294"/>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lang w:val="en-US" w:eastAsia="en-US" w:bidi="ar-SA"/>
            </w:rPr>
          </w:pPr>
          <w:r>
            <w:rPr>
              <w:rFonts w:hint="eastAsia" w:ascii="仿宋" w:hAnsi="仿宋" w:eastAsia="仿宋" w:cs="仿宋"/>
              <w:b/>
              <w:bCs/>
              <w:color w:val="auto"/>
              <w:w w:val="95"/>
              <w:sz w:val="30"/>
              <w:szCs w:val="30"/>
              <w:highlight w:val="none"/>
              <w:lang w:eastAsia="zh-CN"/>
            </w:rPr>
            <w:t>2025年</w:t>
          </w:r>
          <w:r>
            <w:rPr>
              <w:rFonts w:hint="eastAsia" w:ascii="仿宋" w:hAnsi="仿宋" w:eastAsia="仿宋" w:cs="仿宋"/>
              <w:b/>
              <w:bCs/>
              <w:color w:val="auto"/>
              <w:w w:val="95"/>
              <w:sz w:val="30"/>
              <w:szCs w:val="30"/>
              <w:highlight w:val="none"/>
              <w:lang w:val="en-US" w:eastAsia="zh-CN"/>
            </w:rPr>
            <w:t xml:space="preserve">  09 </w:t>
          </w:r>
          <w:r>
            <w:rPr>
              <w:rFonts w:hint="eastAsia" w:ascii="仿宋" w:hAnsi="仿宋" w:eastAsia="仿宋" w:cs="仿宋"/>
              <w:b/>
              <w:bCs/>
              <w:color w:val="auto"/>
              <w:w w:val="95"/>
              <w:sz w:val="30"/>
              <w:szCs w:val="30"/>
              <w:highlight w:val="none"/>
              <w:lang w:eastAsia="zh-CN"/>
            </w:rPr>
            <w:t>月</w:t>
          </w:r>
          <w:r>
            <w:rPr>
              <w:rFonts w:hint="eastAsia" w:ascii="仿宋" w:hAnsi="仿宋" w:eastAsia="仿宋" w:cs="仿宋"/>
              <w:b/>
              <w:bCs/>
              <w:color w:val="auto"/>
              <w:w w:val="95"/>
              <w:sz w:val="30"/>
              <w:szCs w:val="30"/>
              <w:highlight w:val="none"/>
              <w:lang w:val="en-US" w:eastAsia="zh-CN"/>
            </w:rPr>
            <w:t xml:space="preserve"> 30 </w:t>
          </w:r>
          <w:r>
            <w:rPr>
              <w:rFonts w:hint="eastAsia" w:ascii="仿宋" w:hAnsi="仿宋" w:eastAsia="仿宋" w:cs="仿宋"/>
              <w:b/>
              <w:bCs/>
              <w:color w:val="auto"/>
              <w:w w:val="95"/>
              <w:sz w:val="30"/>
              <w:szCs w:val="30"/>
              <w:highlight w:val="none"/>
              <w:lang w:eastAsia="zh-CN"/>
            </w:rPr>
            <w:t>日</w:t>
          </w:r>
        </w:p>
        <w:p>
          <w:pPr>
            <w:pStyle w:val="12"/>
            <w:rPr>
              <w:rFonts w:hint="eastAsia" w:asciiTheme="minorEastAsia" w:hAnsiTheme="minorEastAsia" w:eastAsiaTheme="minorEastAsia" w:cstheme="minorEastAsia"/>
              <w:b/>
              <w:bCs/>
              <w:color w:val="auto"/>
              <w:sz w:val="36"/>
              <w:szCs w:val="36"/>
              <w:highlight w:val="none"/>
              <w:lang w:val="en-US" w:eastAsia="en-US" w:bidi="ar-SA"/>
            </w:rPr>
          </w:pPr>
        </w:p>
        <w:p>
          <w:pPr>
            <w:pStyle w:val="13"/>
            <w:rPr>
              <w:rFonts w:hint="eastAsia" w:asciiTheme="minorEastAsia" w:hAnsiTheme="minorEastAsia" w:eastAsiaTheme="minorEastAsia" w:cstheme="minorEastAsia"/>
              <w:b/>
              <w:bCs/>
              <w:color w:val="auto"/>
              <w:sz w:val="36"/>
              <w:szCs w:val="36"/>
              <w:highlight w:val="none"/>
              <w:lang w:val="en-US" w:eastAsia="en-US" w:bidi="ar-SA"/>
            </w:rPr>
          </w:pPr>
        </w:p>
        <w:p>
          <w:pPr>
            <w:rPr>
              <w:rFonts w:hint="eastAsia" w:asciiTheme="minorEastAsia" w:hAnsiTheme="minorEastAsia" w:eastAsiaTheme="minorEastAsia" w:cstheme="minorEastAsia"/>
              <w:b/>
              <w:bCs/>
              <w:color w:val="auto"/>
              <w:sz w:val="36"/>
              <w:szCs w:val="36"/>
              <w:highlight w:val="none"/>
              <w:lang w:val="en-US" w:eastAsia="en-US" w:bidi="ar-SA"/>
            </w:rPr>
          </w:pPr>
        </w:p>
        <w:p>
          <w:pPr>
            <w:rPr>
              <w:rFonts w:hint="eastAsia" w:asciiTheme="minorEastAsia" w:hAnsiTheme="minorEastAsia" w:eastAsiaTheme="minorEastAsia" w:cstheme="minorEastAsia"/>
              <w:b/>
              <w:bCs/>
              <w:color w:val="auto"/>
              <w:sz w:val="36"/>
              <w:szCs w:val="36"/>
              <w:highlight w:val="none"/>
              <w:lang w:val="en-US" w:eastAsia="en-US" w:bidi="ar-SA"/>
            </w:rPr>
          </w:pPr>
          <w:r>
            <w:rPr>
              <w:rFonts w:hint="eastAsia" w:asciiTheme="minorEastAsia" w:hAnsiTheme="minorEastAsia" w:eastAsiaTheme="minorEastAsia" w:cstheme="minorEastAsia"/>
              <w:b/>
              <w:bCs/>
              <w:color w:val="auto"/>
              <w:sz w:val="36"/>
              <w:szCs w:val="36"/>
              <w:highlight w:val="none"/>
              <w:lang w:val="en-US" w:eastAsia="en-US" w:bidi="ar-SA"/>
            </w:rPr>
            <w:br w:type="page"/>
          </w:r>
        </w:p>
        <w:p>
          <w:pPr>
            <w:pStyle w:val="13"/>
            <w:rPr>
              <w:rFonts w:hint="eastAsia"/>
              <w:color w:val="auto"/>
              <w:highlight w:val="none"/>
              <w:lang w:val="en-US" w:eastAsia="en-US"/>
            </w:rPr>
          </w:pPr>
        </w:p>
        <w:p>
          <w:pPr>
            <w:pStyle w:val="13"/>
            <w:rPr>
              <w:rFonts w:hint="eastAsia"/>
              <w:color w:val="auto"/>
              <w:highlight w:val="none"/>
              <w:lang w:val="en-US" w:eastAsia="en-US"/>
            </w:rPr>
          </w:pPr>
        </w:p>
        <w:p>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TOC \o "1-1" \h \u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_Toc30051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第一章 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_Toc30051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rPr>
            <w:fldChar w:fldCharType="end"/>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_Toc29284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_Toc29284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rPr>
            <w:fldChar w:fldCharType="end"/>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_Toc13082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第三章 货物需求一览表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_Toc13082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rPr>
            <w:fldChar w:fldCharType="end"/>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_Toc9790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第四章 合同</w:t>
          </w:r>
          <w:r>
            <w:rPr>
              <w:rFonts w:hint="eastAsia" w:asciiTheme="minorEastAsia" w:hAnsiTheme="minorEastAsia" w:eastAsiaTheme="minorEastAsia" w:cstheme="minorEastAsia"/>
              <w:bCs/>
              <w:color w:val="auto"/>
              <w:sz w:val="28"/>
              <w:szCs w:val="28"/>
              <w:highlight w:val="none"/>
              <w:lang w:eastAsia="zh-CN"/>
            </w:rPr>
            <w:t>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bCs/>
              <w:color w:val="auto"/>
              <w:spacing w:val="-2"/>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lang w:val="en-US" w:eastAsia="zh-CN"/>
            </w:rPr>
            <w:t>4</w:t>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_Toc4141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评标办法（综合评分法）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bCs/>
              <w:color w:val="auto"/>
              <w:spacing w:val="-2"/>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lang w:val="en-US" w:eastAsia="zh-CN"/>
            </w:rPr>
            <w:t>1</w:t>
          </w:r>
        </w:p>
        <w:p>
          <w:pPr>
            <w:pStyle w:val="27"/>
            <w:tabs>
              <w:tab w:val="right" w:leader="dot" w:pos="8504"/>
              <w:tab w:val="clear" w:pos="9072"/>
            </w:tabs>
            <w:spacing w:line="48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pacing w:val="-2"/>
              <w:sz w:val="28"/>
              <w:szCs w:val="28"/>
              <w:highlight w:val="none"/>
            </w:rPr>
            <w:fldChar w:fldCharType="begin"/>
          </w:r>
          <w:r>
            <w:rPr>
              <w:rFonts w:hint="eastAsia" w:asciiTheme="minorEastAsia" w:hAnsiTheme="minorEastAsia" w:eastAsiaTheme="minorEastAsia" w:cstheme="minorEastAsia"/>
              <w:bCs/>
              <w:color w:val="auto"/>
              <w:spacing w:val="-2"/>
              <w:sz w:val="28"/>
              <w:szCs w:val="28"/>
              <w:highlight w:val="none"/>
            </w:rPr>
            <w:instrText xml:space="preserve"> HYPERLINK \l _Toc20931 </w:instrText>
          </w:r>
          <w:r>
            <w:rPr>
              <w:rFonts w:hint="eastAsia" w:asciiTheme="minorEastAsia" w:hAnsiTheme="minorEastAsia" w:eastAsiaTheme="minorEastAsia" w:cstheme="minorEastAsia"/>
              <w:bCs/>
              <w:color w:val="auto"/>
              <w:spacing w:val="-2"/>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第六章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bCs/>
              <w:color w:val="auto"/>
              <w:spacing w:val="-2"/>
              <w:sz w:val="28"/>
              <w:szCs w:val="28"/>
              <w:highlight w:val="none"/>
            </w:rPr>
            <w:fldChar w:fldCharType="end"/>
          </w:r>
          <w:r>
            <w:rPr>
              <w:rFonts w:hint="eastAsia" w:asciiTheme="minorEastAsia" w:hAnsiTheme="minorEastAsia" w:eastAsiaTheme="minorEastAsia" w:cstheme="minorEastAsia"/>
              <w:bCs/>
              <w:color w:val="auto"/>
              <w:spacing w:val="-2"/>
              <w:sz w:val="28"/>
              <w:szCs w:val="28"/>
              <w:highlight w:val="none"/>
              <w:lang w:val="en-US" w:eastAsia="zh-CN"/>
            </w:rPr>
            <w:t>6</w:t>
          </w:r>
        </w:p>
        <w:p>
          <w:pPr>
            <w:pStyle w:val="21"/>
            <w:spacing w:line="480" w:lineRule="auto"/>
            <w:jc w:val="left"/>
            <w:rPr>
              <w:rFonts w:hint="eastAsia" w:asciiTheme="minorEastAsia" w:hAnsiTheme="minorEastAsia" w:eastAsiaTheme="minorEastAsia" w:cstheme="minorEastAsia"/>
              <w:bCs/>
              <w:color w:val="auto"/>
              <w:spacing w:val="-2"/>
              <w:sz w:val="28"/>
              <w:szCs w:val="28"/>
              <w:highlight w:val="none"/>
            </w:rPr>
          </w:pPr>
          <w:r>
            <w:rPr>
              <w:rFonts w:hint="eastAsia" w:asciiTheme="minorEastAsia" w:hAnsiTheme="minorEastAsia" w:eastAsiaTheme="minorEastAsia" w:cstheme="minorEastAsia"/>
              <w:bCs/>
              <w:color w:val="auto"/>
              <w:spacing w:val="-2"/>
              <w:sz w:val="28"/>
              <w:szCs w:val="28"/>
              <w:highlight w:val="none"/>
            </w:rPr>
            <w:fldChar w:fldCharType="end"/>
          </w:r>
        </w:p>
      </w:sdtContent>
    </w:sdt>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left"/>
        <w:rPr>
          <w:rFonts w:hint="eastAsia" w:asciiTheme="minorEastAsia" w:hAnsiTheme="minorEastAsia" w:eastAsiaTheme="minorEastAsia" w:cstheme="minorEastAsia"/>
          <w:bCs/>
          <w:color w:val="auto"/>
          <w:spacing w:val="-2"/>
          <w:szCs w:val="32"/>
          <w:highlight w:val="none"/>
        </w:rPr>
      </w:pPr>
    </w:p>
    <w:p>
      <w:pPr>
        <w:pStyle w:val="21"/>
        <w:spacing w:line="360" w:lineRule="auto"/>
        <w:jc w:val="center"/>
        <w:rPr>
          <w:rStyle w:val="63"/>
          <w:rFonts w:hint="eastAsia" w:asciiTheme="minorEastAsia" w:hAnsiTheme="minorEastAsia" w:eastAsiaTheme="minorEastAsia" w:cstheme="minorEastAsia"/>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680" w:footer="680" w:gutter="0"/>
          <w:pgNumType w:fmt="decimal" w:start="1"/>
          <w:cols w:space="720" w:num="1"/>
          <w:titlePg/>
          <w:docGrid w:linePitch="331" w:charSpace="0"/>
        </w:sectPr>
      </w:pPr>
      <w:bookmarkStart w:id="2" w:name="OLE_LINK2"/>
      <w:bookmarkStart w:id="3" w:name="OLE_LINK31"/>
    </w:p>
    <w:bookmarkEnd w:id="2"/>
    <w:bookmarkEnd w:id="3"/>
    <w:p>
      <w:pPr>
        <w:pStyle w:val="21"/>
        <w:spacing w:line="360" w:lineRule="auto"/>
        <w:jc w:val="center"/>
        <w:outlineLvl w:val="0"/>
        <w:rPr>
          <w:rStyle w:val="63"/>
          <w:rFonts w:hint="eastAsia" w:asciiTheme="minorEastAsia" w:hAnsiTheme="minorEastAsia" w:eastAsiaTheme="minorEastAsia" w:cstheme="minorEastAsia"/>
          <w:color w:val="auto"/>
          <w:sz w:val="32"/>
          <w:szCs w:val="32"/>
          <w:highlight w:val="none"/>
        </w:rPr>
      </w:pPr>
      <w:bookmarkStart w:id="4" w:name="OLE_LINK12"/>
      <w:bookmarkStart w:id="5" w:name="_Toc1018"/>
      <w:bookmarkStart w:id="6" w:name="_Toc32211"/>
      <w:r>
        <w:rPr>
          <w:rStyle w:val="63"/>
          <w:rFonts w:hint="eastAsia" w:asciiTheme="minorEastAsia" w:hAnsiTheme="minorEastAsia" w:eastAsiaTheme="minorEastAsia" w:cstheme="minorEastAsia"/>
          <w:color w:val="auto"/>
          <w:sz w:val="32"/>
          <w:szCs w:val="32"/>
          <w:highlight w:val="none"/>
        </w:rPr>
        <w:t xml:space="preserve"> </w:t>
      </w:r>
      <w:bookmarkStart w:id="7" w:name="_Toc10877"/>
      <w:bookmarkStart w:id="8" w:name="_Toc30051"/>
      <w:bookmarkStart w:id="9" w:name="_Toc14722"/>
      <w:r>
        <w:rPr>
          <w:rStyle w:val="63"/>
          <w:rFonts w:hint="eastAsia" w:asciiTheme="minorEastAsia" w:hAnsiTheme="minorEastAsia" w:eastAsiaTheme="minorEastAsia" w:cstheme="minorEastAsia"/>
          <w:color w:val="auto"/>
          <w:sz w:val="32"/>
          <w:szCs w:val="32"/>
          <w:highlight w:val="none"/>
        </w:rPr>
        <w:t>第一章 招标公告</w:t>
      </w:r>
      <w:bookmarkEnd w:id="7"/>
      <w:bookmarkEnd w:id="8"/>
      <w:bookmarkEnd w:id="9"/>
    </w:p>
    <w:p>
      <w:pPr>
        <w:bidi w:val="0"/>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广西唯琪工程项目管理有限公司关于浦北大红柑智业示范带项目（QZZC2025-G1-220209-WQGC）公开招标公告</w:t>
      </w:r>
    </w:p>
    <w:p>
      <w:pPr>
        <w:rPr>
          <w:rFonts w:hint="eastAsia" w:asciiTheme="minorEastAsia" w:hAnsiTheme="minorEastAsia" w:eastAsiaTheme="minorEastAsia" w:cstheme="minorEastAsia"/>
          <w:color w:val="auto"/>
          <w:sz w:val="28"/>
          <w:szCs w:val="28"/>
          <w:highlight w:val="none"/>
          <w:lang w:eastAsia="zh-CN"/>
        </w:rPr>
      </w:pPr>
      <w:bookmarkStart w:id="10" w:name="OLE_LINK1"/>
    </w:p>
    <w:p>
      <w:pPr>
        <w:pBdr>
          <w:top w:val="single" w:color="auto" w:sz="4" w:space="1"/>
          <w:left w:val="single" w:color="auto" w:sz="4" w:space="4"/>
          <w:bottom w:val="single" w:color="auto" w:sz="4" w:space="1"/>
          <w:right w:val="single" w:color="auto" w:sz="4" w:space="4"/>
        </w:pBdr>
        <w:spacing w:line="32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项目概况</w:t>
      </w:r>
    </w:p>
    <w:p>
      <w:pPr>
        <w:pBdr>
          <w:top w:val="single" w:color="auto" w:sz="4" w:space="1"/>
          <w:left w:val="single" w:color="auto" w:sz="4" w:space="4"/>
          <w:bottom w:val="single" w:color="auto" w:sz="4" w:space="1"/>
          <w:right w:val="single" w:color="auto" w:sz="4" w:space="4"/>
        </w:pBdr>
        <w:spacing w:line="32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u w:val="single"/>
          <w:lang w:eastAsia="zh-CN"/>
        </w:rPr>
        <w:t>浦北大红柑智业示范带项目</w:t>
      </w:r>
      <w:r>
        <w:rPr>
          <w:rFonts w:hint="eastAsia" w:asciiTheme="minorEastAsia" w:hAnsiTheme="minorEastAsia" w:eastAsiaTheme="minorEastAsia" w:cstheme="minorEastAsia"/>
          <w:color w:val="auto"/>
          <w:sz w:val="21"/>
          <w:szCs w:val="21"/>
          <w:highlight w:val="none"/>
          <w:lang w:eastAsia="zh-CN"/>
        </w:rPr>
        <w:t>招标项目的潜在投标人应在</w:t>
      </w:r>
      <w:r>
        <w:rPr>
          <w:rFonts w:hint="eastAsia" w:asciiTheme="minorEastAsia" w:hAnsiTheme="minorEastAsia" w:eastAsiaTheme="minorEastAsia" w:cstheme="minorEastAsia"/>
          <w:color w:val="auto"/>
          <w:sz w:val="21"/>
          <w:szCs w:val="21"/>
          <w:highlight w:val="none"/>
          <w:u w:val="single"/>
          <w:lang w:eastAsia="zh-CN"/>
        </w:rPr>
        <w:t>广西政府采购云平台（https://www.gcy.zfcg.gxzf.gov.cn/）</w:t>
      </w:r>
      <w:r>
        <w:rPr>
          <w:rFonts w:hint="eastAsia" w:asciiTheme="minorEastAsia" w:hAnsiTheme="minorEastAsia" w:eastAsiaTheme="minorEastAsia" w:cstheme="minorEastAsia"/>
          <w:color w:val="auto"/>
          <w:sz w:val="21"/>
          <w:szCs w:val="21"/>
          <w:highlight w:val="none"/>
          <w:lang w:eastAsia="zh-CN"/>
        </w:rPr>
        <w:t>获取招标文件，并于</w:t>
      </w:r>
      <w:r>
        <w:rPr>
          <w:rFonts w:hint="eastAsia" w:asciiTheme="minorEastAsia" w:hAnsiTheme="minorEastAsia" w:eastAsiaTheme="minorEastAsia" w:cstheme="minorEastAsia"/>
          <w:color w:val="auto"/>
          <w:sz w:val="21"/>
          <w:szCs w:val="21"/>
          <w:highlight w:val="none"/>
          <w:u w:val="single"/>
          <w:lang w:eastAsia="zh-CN"/>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lang w:eastAsia="zh-CN"/>
        </w:rPr>
        <w:t>年</w:t>
      </w:r>
      <w:r>
        <w:rPr>
          <w:rFonts w:hint="eastAsia" w:asciiTheme="minorEastAsia" w:hAnsiTheme="minorEastAsia" w:eastAsiaTheme="minorEastAsia" w:cstheme="minorEastAsia"/>
          <w:bCs/>
          <w:color w:val="auto"/>
          <w:sz w:val="21"/>
          <w:szCs w:val="21"/>
          <w:highlight w:val="none"/>
          <w:u w:val="single"/>
          <w:lang w:val="en-US" w:eastAsia="zh-CN"/>
        </w:rPr>
        <w:t xml:space="preserve"> 10 </w:t>
      </w:r>
      <w:r>
        <w:rPr>
          <w:rFonts w:hint="eastAsia" w:asciiTheme="minorEastAsia" w:hAnsiTheme="minorEastAsia" w:eastAsiaTheme="minorEastAsia" w:cstheme="minorEastAsia"/>
          <w:bCs/>
          <w:color w:val="auto"/>
          <w:sz w:val="21"/>
          <w:szCs w:val="21"/>
          <w:highlight w:val="none"/>
          <w:u w:val="single"/>
          <w:lang w:eastAsia="zh-CN"/>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22 </w:t>
      </w:r>
      <w:r>
        <w:rPr>
          <w:rFonts w:hint="eastAsia" w:asciiTheme="minorEastAsia" w:hAnsiTheme="minorEastAsia" w:eastAsiaTheme="minorEastAsia" w:cstheme="minorEastAsia"/>
          <w:bCs/>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u w:val="single"/>
          <w:lang w:val="en-US" w:eastAsia="zh-CN"/>
        </w:rPr>
        <w:t>09时30分</w:t>
      </w:r>
      <w:r>
        <w:rPr>
          <w:rFonts w:hint="eastAsia" w:asciiTheme="minorEastAsia" w:hAnsiTheme="minorEastAsia" w:eastAsiaTheme="minorEastAsia" w:cstheme="minorEastAsia"/>
          <w:bCs/>
          <w:color w:val="auto"/>
          <w:sz w:val="21"/>
          <w:szCs w:val="21"/>
          <w:highlight w:val="none"/>
          <w:u w:val="single"/>
          <w:lang w:eastAsia="zh-CN"/>
        </w:rPr>
        <w:t>（</w:t>
      </w:r>
      <w:r>
        <w:rPr>
          <w:rFonts w:hint="eastAsia" w:asciiTheme="minorEastAsia" w:hAnsiTheme="minorEastAsia" w:eastAsiaTheme="minorEastAsia" w:cstheme="minorEastAsia"/>
          <w:bCs/>
          <w:color w:val="auto"/>
          <w:sz w:val="21"/>
          <w:szCs w:val="21"/>
          <w:highlight w:val="none"/>
          <w:lang w:eastAsia="zh-CN"/>
        </w:rPr>
        <w:t>北京时间）前递交投标文件</w:t>
      </w:r>
      <w:r>
        <w:rPr>
          <w:rFonts w:hint="eastAsia" w:asciiTheme="minorEastAsia" w:hAnsiTheme="minorEastAsia" w:eastAsiaTheme="minorEastAsia" w:cstheme="minorEastAsia"/>
          <w:color w:val="auto"/>
          <w:sz w:val="21"/>
          <w:szCs w:val="21"/>
          <w:highlight w:val="none"/>
          <w:lang w:eastAsia="zh-CN"/>
        </w:rPr>
        <w:t>。</w:t>
      </w:r>
    </w:p>
    <w:tbl>
      <w:tblPr>
        <w:tblStyle w:val="38"/>
        <w:tblW w:w="9953" w:type="dxa"/>
        <w:jc w:val="center"/>
        <w:tblLayout w:type="fixed"/>
        <w:tblCellMar>
          <w:top w:w="15" w:type="dxa"/>
          <w:left w:w="15" w:type="dxa"/>
          <w:bottom w:w="15" w:type="dxa"/>
          <w:right w:w="15" w:type="dxa"/>
        </w:tblCellMar>
      </w:tblPr>
      <w:tblGrid>
        <w:gridCol w:w="9953"/>
      </w:tblGrid>
      <w:tr>
        <w:tblPrEx>
          <w:tblCellMar>
            <w:top w:w="15" w:type="dxa"/>
            <w:left w:w="15" w:type="dxa"/>
            <w:bottom w:w="15" w:type="dxa"/>
            <w:right w:w="15" w:type="dxa"/>
          </w:tblCellMar>
        </w:tblPrEx>
        <w:trPr>
          <w:trHeight w:val="90" w:hRule="atLeast"/>
          <w:jc w:val="center"/>
        </w:trPr>
        <w:tc>
          <w:tcPr>
            <w:tcW w:w="9953" w:type="dxa"/>
            <w:tcBorders>
              <w:top w:val="nil"/>
              <w:left w:val="nil"/>
              <w:bottom w:val="nil"/>
              <w:right w:val="nil"/>
            </w:tcBorders>
            <w:shd w:val="clear" w:color="auto" w:fill="auto"/>
          </w:tcPr>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一、项目基本情况</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项目编号：QZZC2025-G1-220209-WQGC</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bookmarkStart w:id="11" w:name="OLE_LINK6"/>
            <w:r>
              <w:rPr>
                <w:rFonts w:hint="eastAsia" w:asciiTheme="minorEastAsia" w:hAnsiTheme="minorEastAsia" w:eastAsiaTheme="minorEastAsia" w:cstheme="minorEastAsia"/>
                <w:color w:val="auto"/>
                <w:sz w:val="21"/>
                <w:szCs w:val="21"/>
                <w:highlight w:val="none"/>
                <w:lang w:eastAsia="zh-CN"/>
              </w:rPr>
              <w:t>浦北大红柑智业示范带项目</w:t>
            </w:r>
          </w:p>
          <w:bookmarkEnd w:id="11"/>
          <w:p>
            <w:pPr>
              <w:pStyle w:val="33"/>
              <w:spacing w:before="0" w:beforeAutospacing="0" w:after="0" w:afterAutospacing="0"/>
              <w:ind w:firstLine="42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预算总金额（元）：</w:t>
            </w:r>
            <w:r>
              <w:rPr>
                <w:rFonts w:hint="eastAsia" w:asciiTheme="minorEastAsia" w:hAnsiTheme="minorEastAsia" w:eastAsiaTheme="minorEastAsia" w:cstheme="minorEastAsia"/>
                <w:color w:val="auto"/>
                <w:sz w:val="21"/>
                <w:szCs w:val="21"/>
                <w:highlight w:val="none"/>
                <w:lang w:val="en-US" w:eastAsia="zh-CN"/>
              </w:rPr>
              <w:t>6000000.00</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采购需求：</w:t>
            </w:r>
          </w:p>
          <w:p>
            <w:pPr>
              <w:pStyle w:val="33"/>
              <w:spacing w:before="0" w:beforeAutospacing="0" w:after="0" w:afterAutospacing="0"/>
              <w:ind w:left="416" w:leftChars="208" w:firstLine="18" w:firstLineChars="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w:t>
            </w:r>
            <w:r>
              <w:rPr>
                <w:rFonts w:hint="eastAsia" w:asciiTheme="minorEastAsia" w:hAnsiTheme="minorEastAsia" w:eastAsiaTheme="minorEastAsia" w:cstheme="minorEastAsia"/>
                <w:color w:val="auto"/>
                <w:sz w:val="21"/>
                <w:szCs w:val="21"/>
                <w:highlight w:val="none"/>
                <w:lang w:eastAsia="zh-CN"/>
              </w:rPr>
              <w:t>名称:浦北大红柑智业示范带项目</w:t>
            </w:r>
          </w:p>
          <w:p>
            <w:pPr>
              <w:pStyle w:val="33"/>
              <w:spacing w:before="0" w:beforeAutospacing="0" w:after="0" w:afterAutospacing="0"/>
              <w:ind w:left="416" w:leftChars="208" w:firstLine="18" w:firstLineChars="9"/>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数量:</w:t>
            </w:r>
            <w:r>
              <w:rPr>
                <w:rFonts w:hint="eastAsia" w:asciiTheme="minorEastAsia" w:hAnsiTheme="minorEastAsia" w:eastAsiaTheme="minorEastAsia" w:cstheme="minorEastAsia"/>
                <w:color w:val="auto"/>
                <w:sz w:val="21"/>
                <w:szCs w:val="21"/>
                <w:highlight w:val="none"/>
                <w:lang w:val="en-US" w:eastAsia="zh-CN"/>
              </w:rPr>
              <w:t>一批</w:t>
            </w:r>
          </w:p>
          <w:p>
            <w:pPr>
              <w:pStyle w:val="33"/>
              <w:spacing w:before="0" w:beforeAutospacing="0" w:after="0" w:afterAutospacing="0"/>
              <w:ind w:left="416" w:leftChars="208" w:firstLine="18" w:firstLineChars="9"/>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预算金额（元）：</w:t>
            </w:r>
            <w:r>
              <w:rPr>
                <w:rFonts w:hint="eastAsia" w:asciiTheme="minorEastAsia" w:hAnsiTheme="minorEastAsia" w:eastAsiaTheme="minorEastAsia" w:cstheme="minorEastAsia"/>
                <w:color w:val="auto"/>
                <w:sz w:val="21"/>
                <w:szCs w:val="21"/>
                <w:highlight w:val="none"/>
                <w:lang w:val="en-US" w:eastAsia="zh-CN"/>
              </w:rPr>
              <w:t>6000000.00</w:t>
            </w:r>
          </w:p>
          <w:p>
            <w:pPr>
              <w:pStyle w:val="33"/>
              <w:spacing w:before="0" w:beforeAutospacing="0" w:after="0" w:afterAutospacing="0"/>
              <w:ind w:firstLine="42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简要规格描述或项目基本概况介绍、用途：对省道S326、S207沿线的3个大红柑种植基地进行现代化提升，重点建设：①智能水肥一体化系统</w:t>
            </w:r>
            <w:r>
              <w:rPr>
                <w:rFonts w:hint="eastAsia" w:asciiTheme="minorEastAsia" w:hAnsiTheme="minorEastAsia" w:eastAsiaTheme="minorEastAsia" w:cstheme="minorEastAsia"/>
                <w:color w:val="auto"/>
                <w:sz w:val="21"/>
                <w:szCs w:val="21"/>
                <w:highlight w:val="none"/>
                <w:lang w:val="en-US" w:eastAsia="zh-CN"/>
              </w:rPr>
              <w:t>及弥雾打药系</w:t>
            </w:r>
            <w:r>
              <w:rPr>
                <w:rFonts w:hint="eastAsia" w:asciiTheme="minorEastAsia" w:hAnsiTheme="minorEastAsia" w:eastAsiaTheme="minorEastAsia" w:cstheme="minorEastAsia"/>
                <w:color w:val="auto"/>
                <w:sz w:val="21"/>
                <w:szCs w:val="21"/>
                <w:highlight w:val="none"/>
                <w:lang w:val="en-US" w:eastAsia="zh-CN"/>
              </w:rPr>
              <w:t>统</w:t>
            </w:r>
            <w:r>
              <w:rPr>
                <w:rFonts w:hint="eastAsia" w:asciiTheme="minorEastAsia" w:hAnsiTheme="minorEastAsia" w:eastAsiaTheme="minorEastAsia" w:cstheme="minorEastAsia"/>
                <w:color w:val="auto"/>
                <w:sz w:val="21"/>
                <w:szCs w:val="21"/>
                <w:highlight w:val="none"/>
                <w:lang w:eastAsia="zh-CN"/>
              </w:rPr>
              <w:t>：铺设PE管网及滴灌设施；②轨道运输系统：安装山地运输轨道，配置自动驾驶运输车及安全设施；③智慧生态管理体系：运用传感器监测环境，结合智能植保设备实施绿色防控，促进产业可持续发展。 其中，中央专</w:t>
            </w:r>
            <w:r>
              <w:rPr>
                <w:rFonts w:hint="eastAsia" w:asciiTheme="minorEastAsia" w:hAnsiTheme="minorEastAsia" w:eastAsiaTheme="minorEastAsia" w:cstheme="minorEastAsia"/>
                <w:color w:val="auto"/>
                <w:sz w:val="21"/>
                <w:szCs w:val="21"/>
                <w:highlight w:val="none"/>
                <w:lang w:val="en-US" w:eastAsia="zh-CN"/>
              </w:rPr>
              <w:t>项</w:t>
            </w:r>
            <w:r>
              <w:rPr>
                <w:rFonts w:hint="eastAsia" w:asciiTheme="minorEastAsia" w:hAnsiTheme="minorEastAsia" w:eastAsiaTheme="minorEastAsia" w:cstheme="minorEastAsia"/>
                <w:color w:val="auto"/>
                <w:sz w:val="21"/>
                <w:szCs w:val="21"/>
                <w:highlight w:val="none"/>
                <w:lang w:eastAsia="zh-CN"/>
              </w:rPr>
              <w:t>彩票公益金支持：大红柑基地智能水肥一体化设备、果园轨道运输车与钢轨购置、智慧生态果园AI赋能监测设备</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lang w:eastAsia="zh-CN"/>
              </w:rPr>
              <w:t>，如需进一步了解采购内容，详见</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lang w:eastAsia="zh-CN"/>
              </w:rPr>
              <w:t>文件。</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合同履约期限：</w:t>
            </w:r>
            <w:r>
              <w:rPr>
                <w:rFonts w:hint="eastAsia" w:asciiTheme="minorEastAsia" w:hAnsiTheme="minorEastAsia" w:eastAsiaTheme="minorEastAsia" w:cstheme="minorEastAsia"/>
                <w:color w:val="auto"/>
                <w:sz w:val="21"/>
                <w:szCs w:val="21"/>
                <w:highlight w:val="none"/>
              </w:rPr>
              <w:t>自签订合同之日起</w:t>
            </w:r>
            <w:r>
              <w:rPr>
                <w:rFonts w:hint="eastAsia" w:asciiTheme="minorEastAsia" w:hAnsiTheme="minorEastAsia" w:eastAsiaTheme="minorEastAsia" w:cstheme="minorEastAsia"/>
                <w:color w:val="auto"/>
                <w:sz w:val="21"/>
                <w:szCs w:val="21"/>
                <w:highlight w:val="none"/>
                <w:lang w:eastAsia="zh-CN"/>
              </w:rPr>
              <w:t>30个日历天内</w:t>
            </w:r>
            <w:r>
              <w:rPr>
                <w:rFonts w:hint="eastAsia" w:asciiTheme="minorEastAsia" w:hAnsiTheme="minorEastAsia" w:eastAsiaTheme="minorEastAsia" w:cstheme="minorEastAsia"/>
                <w:color w:val="auto"/>
                <w:sz w:val="21"/>
                <w:szCs w:val="21"/>
                <w:highlight w:val="none"/>
              </w:rPr>
              <w:t>必须到货并安装调试合格</w:t>
            </w:r>
            <w:r>
              <w:rPr>
                <w:rFonts w:hint="eastAsia" w:asciiTheme="minorEastAsia" w:hAnsiTheme="minorEastAsia" w:eastAsiaTheme="minorEastAsia" w:cstheme="minorEastAsia"/>
                <w:color w:val="auto"/>
                <w:sz w:val="21"/>
                <w:szCs w:val="21"/>
                <w:highlight w:val="none"/>
                <w:lang w:eastAsia="zh-CN"/>
              </w:rPr>
              <w:t>。</w:t>
            </w:r>
          </w:p>
          <w:p>
            <w:pPr>
              <w:pStyle w:val="33"/>
              <w:spacing w:before="0" w:beforeAutospacing="0" w:after="0" w:afterAutospacing="0"/>
              <w:ind w:left="416" w:leftChars="208" w:firstLine="18" w:firstLineChars="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本标项（否）接受联合体投标</w:t>
            </w:r>
          </w:p>
          <w:p>
            <w:pPr>
              <w:pStyle w:val="33"/>
              <w:spacing w:before="0" w:beforeAutospacing="0" w:after="0" w:afterAutospacing="0"/>
              <w:ind w:left="416" w:leftChars="208" w:firstLine="18" w:firstLineChars="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备注：无</w:t>
            </w:r>
          </w:p>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二、申请人的资格要求：</w:t>
            </w:r>
          </w:p>
          <w:p>
            <w:pPr>
              <w:ind w:left="416" w:leftChars="208"/>
              <w:rPr>
                <w:rFonts w:hint="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1.满足《中华人民共和国政府采购法》第二十二条规定；</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2.落实政府采购政策需满足的资格要求：</w:t>
            </w:r>
            <w:bookmarkStart w:id="12" w:name="OLE_LINK8"/>
            <w:r>
              <w:rPr>
                <w:rFonts w:hint="eastAsia" w:asciiTheme="minorEastAsia" w:hAnsiTheme="minorEastAsia" w:eastAsiaTheme="minorEastAsia" w:cstheme="minorEastAsia"/>
                <w:color w:val="auto"/>
                <w:sz w:val="21"/>
                <w:szCs w:val="21"/>
                <w:highlight w:val="none"/>
                <w:lang w:eastAsia="zh-CN"/>
              </w:rPr>
              <w:t>本项目专门面向中小企业采购（供应商应为中小微企业或监狱企业或残疾人福利性单位）；</w:t>
            </w:r>
          </w:p>
          <w:bookmarkEnd w:id="12"/>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3.本项目的特定资格要求：</w:t>
            </w:r>
            <w:r>
              <w:rPr>
                <w:rFonts w:hint="eastAsia" w:asciiTheme="minorEastAsia" w:hAnsiTheme="minorEastAsia" w:eastAsiaTheme="minorEastAsia" w:cstheme="minorEastAsia"/>
                <w:color w:val="auto"/>
                <w:sz w:val="21"/>
                <w:szCs w:val="21"/>
                <w:highlight w:val="none"/>
                <w:lang w:val="en-US" w:eastAsia="zh-CN"/>
              </w:rPr>
              <w:t>无</w:t>
            </w:r>
            <w:r>
              <w:rPr>
                <w:rFonts w:hint="eastAsia" w:asciiTheme="minorEastAsia" w:hAnsiTheme="minorEastAsia" w:eastAsiaTheme="minorEastAsia" w:cstheme="minorEastAsia"/>
                <w:color w:val="auto"/>
                <w:sz w:val="21"/>
                <w:szCs w:val="21"/>
                <w:highlight w:val="none"/>
                <w:lang w:eastAsia="zh-CN"/>
              </w:rPr>
              <w:t>。</w:t>
            </w:r>
          </w:p>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三、获取招标文件</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时</w:t>
            </w:r>
            <w:r>
              <w:rPr>
                <w:rFonts w:hint="eastAsia" w:asciiTheme="minorEastAsia" w:hAnsiTheme="minorEastAsia" w:eastAsiaTheme="minorEastAsia" w:cstheme="minorEastAsia"/>
                <w:color w:val="auto"/>
                <w:sz w:val="21"/>
                <w:szCs w:val="21"/>
                <w:highlight w:val="none"/>
                <w:shd w:val="clear" w:color="auto" w:fill="FFFFFF"/>
                <w:lang w:eastAsia="zh-CN"/>
              </w:rPr>
              <w:t>间：202</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eastAsia="zh-CN"/>
              </w:rPr>
              <w:t>年</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09 </w:t>
            </w:r>
            <w:r>
              <w:rPr>
                <w:rFonts w:hint="eastAsia" w:asciiTheme="minorEastAsia" w:hAnsiTheme="minorEastAsia" w:eastAsiaTheme="minorEastAsia" w:cstheme="minorEastAsia"/>
                <w:color w:val="auto"/>
                <w:sz w:val="21"/>
                <w:szCs w:val="21"/>
                <w:highlight w:val="none"/>
                <w:shd w:val="clear" w:color="auto" w:fill="FFFFFF"/>
                <w:lang w:eastAsia="zh-CN"/>
              </w:rPr>
              <w:t>月</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30 </w:t>
            </w:r>
            <w:r>
              <w:rPr>
                <w:rFonts w:hint="eastAsia" w:asciiTheme="minorEastAsia" w:hAnsiTheme="minorEastAsia" w:eastAsiaTheme="minorEastAsia" w:cstheme="minorEastAsia"/>
                <w:color w:val="auto"/>
                <w:sz w:val="21"/>
                <w:szCs w:val="21"/>
                <w:highlight w:val="none"/>
                <w:shd w:val="clear" w:color="auto" w:fill="FFFFFF"/>
                <w:lang w:eastAsia="zh-CN"/>
              </w:rPr>
              <w:t>日至202</w:t>
            </w:r>
            <w:r>
              <w:rPr>
                <w:rFonts w:hint="eastAsia" w:asciiTheme="minorEastAsia" w:hAnsiTheme="minorEastAsia" w:eastAsiaTheme="minorEastAsia" w:cstheme="minorEastAsia"/>
                <w:color w:val="auto"/>
                <w:sz w:val="21"/>
                <w:szCs w:val="21"/>
                <w:highlight w:val="none"/>
                <w:shd w:val="clear" w:color="auto" w:fill="FFFFFF"/>
                <w:lang w:val="en-US" w:eastAsia="zh-CN"/>
              </w:rPr>
              <w:t>5</w:t>
            </w:r>
            <w:r>
              <w:rPr>
                <w:rFonts w:hint="eastAsia" w:asciiTheme="minorEastAsia" w:hAnsiTheme="minorEastAsia" w:eastAsiaTheme="minorEastAsia" w:cstheme="minorEastAsia"/>
                <w:color w:val="auto"/>
                <w:sz w:val="21"/>
                <w:szCs w:val="21"/>
                <w:highlight w:val="none"/>
                <w:shd w:val="clear" w:color="auto" w:fill="FFFFFF"/>
                <w:lang w:eastAsia="zh-CN"/>
              </w:rPr>
              <w:t>年</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10 </w:t>
            </w:r>
            <w:r>
              <w:rPr>
                <w:rFonts w:hint="eastAsia" w:asciiTheme="minorEastAsia" w:hAnsiTheme="minorEastAsia" w:eastAsiaTheme="minorEastAsia" w:cstheme="minorEastAsia"/>
                <w:color w:val="auto"/>
                <w:sz w:val="21"/>
                <w:szCs w:val="21"/>
                <w:highlight w:val="none"/>
                <w:shd w:val="clear" w:color="auto" w:fill="FFFFFF"/>
                <w:lang w:eastAsia="zh-CN"/>
              </w:rPr>
              <w:t>月</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14 </w:t>
            </w:r>
            <w:r>
              <w:rPr>
                <w:rFonts w:hint="eastAsia" w:asciiTheme="minorEastAsia" w:hAnsiTheme="minorEastAsia" w:eastAsiaTheme="minorEastAsia" w:cstheme="minorEastAsia"/>
                <w:color w:val="auto"/>
                <w:sz w:val="21"/>
                <w:szCs w:val="21"/>
                <w:highlight w:val="none"/>
                <w:shd w:val="clear" w:color="auto" w:fill="FFFFFF"/>
                <w:lang w:eastAsia="zh-CN"/>
              </w:rPr>
              <w:t>日，每天上午08:00至12:00，下午15:00至18:00（北京时间，法定节假日除外）</w:t>
            </w:r>
          </w:p>
          <w:p>
            <w:pPr>
              <w:ind w:firstLine="420" w:firstLineChars="200"/>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地点（网址）：</w:t>
            </w:r>
            <w:r>
              <w:rPr>
                <w:rFonts w:hint="eastAsia" w:asciiTheme="minorEastAsia" w:hAnsiTheme="minorEastAsia" w:eastAsiaTheme="minorEastAsia" w:cstheme="minorEastAsia"/>
                <w:color w:val="auto"/>
                <w:sz w:val="21"/>
                <w:szCs w:val="21"/>
                <w:highlight w:val="none"/>
                <w:shd w:val="clear" w:color="auto" w:fill="FFFFFF"/>
                <w:lang w:eastAsia="zh-CN"/>
              </w:rPr>
              <w:t>广西政府采购云平台（https://www.gcy.zfcg.gxzf.gov.cn/）。 </w:t>
            </w:r>
          </w:p>
          <w:p>
            <w:pPr>
              <w:ind w:firstLine="420" w:firstLineChars="200"/>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方式：本项目不发放纸质招标文件，由潜在供应商自行注册账号密码或企业CA锁登录广西政府采购云平台免费下载，通过其他方式获取招标文件的，将有可能导致供应商无法在广西政府采购云平台编制及上传投标文件。 </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售价（元）：0</w:t>
            </w:r>
          </w:p>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四、提交投标文件截止时间、开标时间和地点</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提交投标文件截止时间：</w:t>
            </w:r>
            <w:r>
              <w:rPr>
                <w:rFonts w:hint="eastAsia" w:asciiTheme="minorEastAsia" w:hAnsiTheme="minorEastAsia" w:eastAsiaTheme="minorEastAsia" w:cstheme="minorEastAsia"/>
                <w:color w:val="auto"/>
                <w:sz w:val="21"/>
                <w:szCs w:val="21"/>
                <w:highlight w:val="none"/>
                <w:u w:val="single"/>
                <w:lang w:eastAsia="zh-CN"/>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lang w:eastAsia="zh-CN"/>
              </w:rPr>
              <w:t>年</w:t>
            </w:r>
            <w:r>
              <w:rPr>
                <w:rFonts w:hint="eastAsia" w:asciiTheme="minorEastAsia" w:hAnsiTheme="minorEastAsia" w:eastAsiaTheme="minorEastAsia" w:cstheme="minorEastAsia"/>
                <w:bCs/>
                <w:color w:val="auto"/>
                <w:sz w:val="21"/>
                <w:szCs w:val="21"/>
                <w:highlight w:val="none"/>
                <w:u w:val="single"/>
                <w:lang w:val="en-US" w:eastAsia="zh-CN"/>
              </w:rPr>
              <w:t xml:space="preserve">10 </w:t>
            </w:r>
            <w:r>
              <w:rPr>
                <w:rFonts w:hint="eastAsia" w:asciiTheme="minorEastAsia" w:hAnsiTheme="minorEastAsia" w:eastAsiaTheme="minorEastAsia" w:cstheme="minorEastAsia"/>
                <w:bCs/>
                <w:color w:val="auto"/>
                <w:sz w:val="21"/>
                <w:szCs w:val="21"/>
                <w:highlight w:val="none"/>
                <w:u w:val="single"/>
                <w:lang w:eastAsia="zh-CN"/>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22 </w:t>
            </w:r>
            <w:r>
              <w:rPr>
                <w:rFonts w:hint="eastAsia" w:asciiTheme="minorEastAsia" w:hAnsiTheme="minorEastAsia" w:eastAsiaTheme="minorEastAsia" w:cstheme="minorEastAsia"/>
                <w:bCs/>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u w:val="single"/>
                <w:lang w:val="en-US" w:eastAsia="zh-CN"/>
              </w:rPr>
              <w:t>09时30分</w:t>
            </w:r>
            <w:r>
              <w:rPr>
                <w:rFonts w:hint="eastAsia" w:asciiTheme="minorEastAsia" w:hAnsiTheme="minorEastAsia" w:eastAsiaTheme="minorEastAsia" w:cstheme="minorEastAsia"/>
                <w:color w:val="auto"/>
                <w:sz w:val="21"/>
                <w:szCs w:val="21"/>
                <w:highlight w:val="none"/>
                <w:lang w:eastAsia="zh-CN"/>
              </w:rPr>
              <w:t>（北京时间）</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地点（网址）：通过广西政府采购云平台（https://www.gcy.zfcg.gxzf.gov.cn/）上传加密投标文件。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开标时间：</w:t>
            </w:r>
            <w:r>
              <w:rPr>
                <w:rFonts w:hint="eastAsia" w:asciiTheme="minorEastAsia" w:hAnsiTheme="minorEastAsia" w:eastAsiaTheme="minorEastAsia" w:cstheme="minorEastAsia"/>
                <w:color w:val="auto"/>
                <w:sz w:val="21"/>
                <w:szCs w:val="21"/>
                <w:highlight w:val="none"/>
                <w:u w:val="single"/>
                <w:lang w:eastAsia="zh-CN"/>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lang w:eastAsia="zh-CN"/>
              </w:rPr>
              <w:t>年</w:t>
            </w:r>
            <w:r>
              <w:rPr>
                <w:rFonts w:hint="eastAsia" w:asciiTheme="minorEastAsia" w:hAnsiTheme="minorEastAsia" w:eastAsiaTheme="minorEastAsia" w:cstheme="minorEastAsia"/>
                <w:bCs/>
                <w:color w:val="auto"/>
                <w:sz w:val="21"/>
                <w:szCs w:val="21"/>
                <w:highlight w:val="none"/>
                <w:u w:val="single"/>
                <w:lang w:val="en-US" w:eastAsia="zh-CN"/>
              </w:rPr>
              <w:t xml:space="preserve"> 10 </w:t>
            </w:r>
            <w:r>
              <w:rPr>
                <w:rFonts w:hint="eastAsia" w:asciiTheme="minorEastAsia" w:hAnsiTheme="minorEastAsia" w:eastAsiaTheme="minorEastAsia" w:cstheme="minorEastAsia"/>
                <w:bCs/>
                <w:color w:val="auto"/>
                <w:sz w:val="21"/>
                <w:szCs w:val="21"/>
                <w:highlight w:val="none"/>
                <w:u w:val="single"/>
                <w:lang w:eastAsia="zh-CN"/>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22 </w:t>
            </w:r>
            <w:r>
              <w:rPr>
                <w:rFonts w:hint="eastAsia" w:asciiTheme="minorEastAsia" w:hAnsiTheme="minorEastAsia" w:eastAsiaTheme="minorEastAsia" w:cstheme="minorEastAsia"/>
                <w:bCs/>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u w:val="single"/>
                <w:lang w:val="en-US" w:eastAsia="zh-CN"/>
              </w:rPr>
              <w:t>09时30分</w:t>
            </w:r>
            <w:r>
              <w:rPr>
                <w:rFonts w:hint="eastAsia" w:asciiTheme="minorEastAsia" w:hAnsiTheme="minorEastAsia" w:eastAsiaTheme="minorEastAsia" w:cstheme="minorEastAsia"/>
                <w:color w:val="auto"/>
                <w:sz w:val="21"/>
                <w:szCs w:val="21"/>
                <w:highlight w:val="none"/>
                <w:lang w:eastAsia="zh-CN"/>
              </w:rPr>
              <w:t>（北京时间） </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开标地点：广西政府采购云平台（https://www.gcy.zfcg.gxzf.gov.cn/）。</w:t>
            </w:r>
          </w:p>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五、公告期限</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自本公告发布之日起5个工作日。</w:t>
            </w:r>
          </w:p>
          <w:p>
            <w:pPr>
              <w:pStyle w:val="2"/>
              <w:spacing w:before="0" w:after="0" w:line="240" w:lineRule="auto"/>
              <w:rPr>
                <w:rFonts w:hint="eastAsia" w:asciiTheme="minorEastAsia" w:hAnsiTheme="minorEastAsia" w:eastAsiaTheme="minorEastAsia" w:cstheme="minorEastAsia"/>
                <w:bCs w:val="0"/>
                <w:color w:val="auto"/>
                <w:sz w:val="21"/>
                <w:szCs w:val="21"/>
                <w:highlight w:val="none"/>
                <w:lang w:eastAsia="zh-CN"/>
              </w:rPr>
            </w:pPr>
            <w:bookmarkStart w:id="13" w:name="_Toc35393795"/>
            <w:bookmarkStart w:id="14" w:name="_Toc35393626"/>
            <w:r>
              <w:rPr>
                <w:rFonts w:hint="eastAsia" w:asciiTheme="minorEastAsia" w:hAnsiTheme="minorEastAsia" w:eastAsiaTheme="minorEastAsia" w:cstheme="minorEastAsia"/>
                <w:bCs w:val="0"/>
                <w:color w:val="auto"/>
                <w:sz w:val="21"/>
                <w:szCs w:val="21"/>
                <w:highlight w:val="none"/>
                <w:lang w:eastAsia="zh-CN"/>
              </w:rPr>
              <w:t>六、其他补充事宜</w:t>
            </w:r>
            <w:bookmarkEnd w:id="13"/>
            <w:bookmarkEnd w:id="14"/>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1.1、投标保证金：人民币陆万元整（￥60000.00）。</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保证金的交纳方式：银行转账、电汇或网上支付、支票、汇票、本票或者银行、保险机构出具的保函等非现金交纳方式。采用银行转账、电汇或网上支付方式的，在投标文件提交截止时间前交到采购代理机构指定账户并到账。</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采用转账方式时，请转到以下指定账户</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开户名称：</w:t>
            </w:r>
            <w:r>
              <w:rPr>
                <w:rFonts w:hint="eastAsia" w:asciiTheme="minorEastAsia" w:hAnsiTheme="minorEastAsia" w:eastAsiaTheme="minorEastAsia" w:cstheme="minorEastAsia"/>
                <w:color w:val="auto"/>
                <w:sz w:val="21"/>
                <w:szCs w:val="21"/>
                <w:highlight w:val="none"/>
                <w:lang w:val="en-US" w:eastAsia="zh-CN"/>
              </w:rPr>
              <w:t>浦北县公</w:t>
            </w:r>
            <w:r>
              <w:rPr>
                <w:rFonts w:hint="eastAsia" w:asciiTheme="minorEastAsia" w:hAnsiTheme="minorEastAsia" w:eastAsiaTheme="minorEastAsia" w:cstheme="minorEastAsia"/>
                <w:color w:val="auto"/>
                <w:sz w:val="21"/>
                <w:szCs w:val="21"/>
                <w:highlight w:val="none"/>
                <w:lang w:eastAsia="zh-CN"/>
              </w:rPr>
              <w:t>共资源交易中心</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开户银行：广西浦北农村商业银行股份有限公司江城支行</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银行账号：20332220839000539</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bookmarkStart w:id="15" w:name="OLE_LINK5"/>
            <w:r>
              <w:rPr>
                <w:rFonts w:hint="eastAsia" w:asciiTheme="minorEastAsia" w:hAnsiTheme="minorEastAsia" w:eastAsiaTheme="minorEastAsia" w:cstheme="minorEastAsia"/>
                <w:color w:val="auto"/>
                <w:sz w:val="21"/>
                <w:szCs w:val="21"/>
                <w:highlight w:val="none"/>
                <w:lang w:eastAsia="zh-CN"/>
              </w:rPr>
              <w:t>注：办理投标保证金手续时，请务必在银行进账单或电汇单的用途或空白栏上注明 “项目名称或项目编号以及分标名称（</w:t>
            </w:r>
            <w:r>
              <w:rPr>
                <w:rFonts w:hint="eastAsia" w:asciiTheme="minorEastAsia" w:hAnsiTheme="minorEastAsia" w:eastAsiaTheme="minorEastAsia" w:cstheme="minorEastAsia"/>
                <w:color w:val="auto"/>
                <w:sz w:val="21"/>
                <w:szCs w:val="21"/>
                <w:highlight w:val="none"/>
                <w:lang w:val="en-US" w:eastAsia="zh-CN"/>
              </w:rPr>
              <w:t>项目名称可简写</w:t>
            </w:r>
            <w:r>
              <w:rPr>
                <w:rFonts w:hint="eastAsia" w:asciiTheme="minorEastAsia" w:hAnsiTheme="minorEastAsia" w:eastAsiaTheme="minorEastAsia" w:cstheme="minorEastAsia"/>
                <w:color w:val="auto"/>
                <w:sz w:val="21"/>
                <w:szCs w:val="21"/>
                <w:highlight w:val="none"/>
                <w:lang w:eastAsia="zh-CN"/>
              </w:rPr>
              <w:t>）”；本项目不接受以现金形式或从个人账户转出的投标保证金。</w:t>
            </w:r>
          </w:p>
          <w:bookmarkEnd w:id="15"/>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本项目为全流程电子化政府采购项目，供应商应</w:t>
            </w:r>
            <w:r>
              <w:rPr>
                <w:rFonts w:hint="eastAsia" w:asciiTheme="minorEastAsia" w:hAnsiTheme="minorEastAsia" w:eastAsiaTheme="minorEastAsia" w:cstheme="minorEastAsia"/>
                <w:color w:val="auto"/>
                <w:sz w:val="21"/>
                <w:szCs w:val="21"/>
                <w:highlight w:val="none"/>
                <w:lang w:val="en-US" w:eastAsia="zh-CN"/>
              </w:rPr>
              <w:t>须</w:t>
            </w:r>
            <w:r>
              <w:rPr>
                <w:rFonts w:hint="eastAsia" w:asciiTheme="minorEastAsia" w:hAnsiTheme="minorEastAsia" w:eastAsiaTheme="minorEastAsia" w:cstheme="minorEastAsia"/>
                <w:color w:val="auto"/>
                <w:sz w:val="21"/>
                <w:szCs w:val="21"/>
                <w:highlight w:val="none"/>
                <w:lang w:eastAsia="zh-CN"/>
              </w:rPr>
              <w:t>按照本项目招标文件和</w:t>
            </w:r>
            <w:r>
              <w:rPr>
                <w:rFonts w:hint="eastAsia" w:asciiTheme="minorEastAsia" w:hAnsiTheme="minorEastAsia" w:eastAsiaTheme="minorEastAsia" w:cstheme="minorEastAsia"/>
                <w:color w:val="auto"/>
                <w:kern w:val="0"/>
                <w:sz w:val="21"/>
                <w:szCs w:val="21"/>
                <w:highlight w:val="none"/>
                <w:lang w:eastAsia="zh-CN"/>
              </w:rPr>
              <w:t>“广西政府采购云平台新版客户端”</w:t>
            </w:r>
            <w:r>
              <w:rPr>
                <w:rFonts w:hint="eastAsia" w:asciiTheme="minorEastAsia" w:hAnsiTheme="minorEastAsia" w:eastAsiaTheme="minorEastAsia" w:cstheme="minorEastAsia"/>
                <w:color w:val="auto"/>
                <w:sz w:val="21"/>
                <w:szCs w:val="21"/>
                <w:highlight w:val="none"/>
                <w:lang w:eastAsia="zh-CN"/>
              </w:rPr>
              <w:t>的要求编制、加密并提交电子投标文件。未完成</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lang w:eastAsia="zh-CN"/>
              </w:rPr>
              <w:t>供应商注册入驻并办理数字证书（CA认证）的供应商将无法参与本项目政府采购活动。供应商在使用</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lang w:eastAsia="zh-CN"/>
              </w:rPr>
              <w:t>参与投标过程中遇到涉及平台使用的任何问题，可致电平台技术支持热线咨询：95763。</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kern w:val="0"/>
                <w:sz w:val="21"/>
                <w:szCs w:val="21"/>
                <w:highlight w:val="none"/>
                <w:lang w:eastAsia="zh-CN"/>
              </w:rPr>
              <w:t>供应商应及时熟悉掌握电子</w:t>
            </w:r>
            <w:r>
              <w:rPr>
                <w:rFonts w:hint="eastAsia" w:asciiTheme="minorEastAsia" w:hAnsiTheme="minorEastAsia" w:eastAsiaTheme="minorEastAsia" w:cstheme="minorEastAsia"/>
                <w:color w:val="auto"/>
                <w:kern w:val="0"/>
                <w:sz w:val="21"/>
                <w:szCs w:val="21"/>
                <w:highlight w:val="none"/>
                <w:lang w:val="en-US" w:eastAsia="zh-CN"/>
              </w:rPr>
              <w:t>招</w:t>
            </w:r>
            <w:r>
              <w:rPr>
                <w:rFonts w:hint="eastAsia" w:asciiTheme="minorEastAsia" w:hAnsiTheme="minorEastAsia" w:eastAsiaTheme="minorEastAsia" w:cstheme="minorEastAsia"/>
                <w:color w:val="auto"/>
                <w:kern w:val="0"/>
                <w:sz w:val="21"/>
                <w:szCs w:val="21"/>
                <w:highlight w:val="none"/>
                <w:lang w:eastAsia="zh-CN"/>
              </w:rPr>
              <w:t>标系统操作指南（见广西政府采购云平台电子卖场首页右上角—服务中心—帮助文档—项目采购）；并及时完成CA申领和绑定（见广西壮族自治区政府采购网—办事服务—下载专区-政采云CA证书办理操作指南）</w:t>
            </w:r>
            <w:r>
              <w:rPr>
                <w:rFonts w:hint="eastAsia" w:asciiTheme="minorEastAsia" w:hAnsiTheme="minorEastAsia" w:eastAsiaTheme="minorEastAsia" w:cstheme="minorEastAsia"/>
                <w:color w:val="auto"/>
                <w:sz w:val="21"/>
                <w:szCs w:val="21"/>
                <w:highlight w:val="none"/>
                <w:lang w:eastAsia="zh-CN"/>
              </w:rPr>
              <w:t>。</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（2）供应商须通过</w:t>
            </w:r>
            <w:r>
              <w:rPr>
                <w:rFonts w:hint="eastAsia" w:asciiTheme="minorEastAsia" w:hAnsiTheme="minorEastAsia" w:eastAsiaTheme="minorEastAsia" w:cstheme="minorEastAsia"/>
                <w:color w:val="auto"/>
                <w:kern w:val="0"/>
                <w:sz w:val="21"/>
                <w:szCs w:val="21"/>
                <w:highlight w:val="none"/>
                <w:lang w:eastAsia="zh-CN"/>
              </w:rPr>
              <w:t>“广西政府采购云平台新版客户端”</w:t>
            </w:r>
            <w:r>
              <w:rPr>
                <w:rFonts w:hint="eastAsia" w:asciiTheme="minorEastAsia" w:hAnsiTheme="minorEastAsia" w:eastAsiaTheme="minorEastAsia" w:cstheme="minorEastAsia"/>
                <w:color w:val="auto"/>
                <w:sz w:val="21"/>
                <w:szCs w:val="21"/>
                <w:highlight w:val="none"/>
                <w:lang w:eastAsia="zh-CN"/>
              </w:rPr>
              <w:t>制作电子投标文件，请供应商自行前往下载并安装（</w:t>
            </w:r>
            <w:r>
              <w:rPr>
                <w:rFonts w:hint="eastAsia" w:asciiTheme="minorEastAsia" w:hAnsiTheme="minorEastAsia" w:eastAsiaTheme="minorEastAsia" w:cstheme="minorEastAsia"/>
                <w:color w:val="auto"/>
                <w:sz w:val="21"/>
                <w:szCs w:val="21"/>
                <w:highlight w:val="none"/>
                <w:lang w:val="en-US" w:eastAsia="zh-CN"/>
              </w:rPr>
              <w:t>详</w:t>
            </w:r>
            <w:r>
              <w:rPr>
                <w:rFonts w:hint="eastAsia" w:asciiTheme="minorEastAsia" w:hAnsiTheme="minorEastAsia" w:eastAsiaTheme="minorEastAsia" w:cstheme="minorEastAsia"/>
                <w:color w:val="auto"/>
                <w:sz w:val="21"/>
                <w:szCs w:val="21"/>
                <w:highlight w:val="none"/>
                <w:lang w:eastAsia="zh-CN"/>
              </w:rPr>
              <w:t>见广西壮族自治区政府采购网—办事服务—下载专区-广西政府采购云平台新版客户端）。</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（3）因未通过“广西政府采购云平台”获取招标文件、未注册入库、未办理CA数字证书、CA证书故障、操作不当等原因造成无法投标或投标失败等后果由供应商自行承担。</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.本项目需要落实的政府采购政策</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（1）政府采购促进中小企业发展。</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（2）政府采购支持采用本国产品的政策。</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（3）强制采购节能产品；优先采购节能产品、环境标志产品。</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（4）政府采购促进残疾人就业政策。</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（5）政府采购支持监狱企业发展。</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val="0"/>
                <w:color w:val="auto"/>
                <w:sz w:val="21"/>
                <w:szCs w:val="21"/>
                <w:highlight w:val="none"/>
                <w:lang w:val="en-US" w:eastAsia="zh-CN"/>
              </w:rPr>
              <w:t>6</w:t>
            </w:r>
            <w:r>
              <w:rPr>
                <w:rFonts w:hint="eastAsia" w:asciiTheme="minorEastAsia" w:hAnsiTheme="minorEastAsia" w:eastAsiaTheme="minorEastAsia" w:cstheme="minorEastAsia"/>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网上公告媒体查询：、广西政府采购网（</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HYPERLINK "https://zfcg.gxzf.gov.cn/"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lang w:eastAsia="zh-CN"/>
              </w:rPr>
              <w:t>https://zfcg.gxzf.gov.cn/</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）、中国政府采购网（</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HYPERLINK "http:"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lang w:eastAsia="zh-CN"/>
              </w:rPr>
              <w:t>http:</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HYPERLINK "https://www.ccgp.gov.cn/"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lang w:eastAsia="zh-CN"/>
              </w:rPr>
              <w:t>www.ccgp.gov.cn/</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）全国公共资源交易平台（广西•浦北）（</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HYPERLINK "http://ggzy.jgswj.gxzf.gov.cn/pbggzy/"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lang w:eastAsia="zh-CN"/>
              </w:rPr>
              <w:t>http://ggzy.jgswj.gxzf.gov.cn/pbggzy/</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.交易服务单位：</w:t>
            </w:r>
            <w:r>
              <w:rPr>
                <w:rFonts w:hint="eastAsia" w:asciiTheme="minorEastAsia" w:hAnsiTheme="minorEastAsia" w:eastAsiaTheme="minorEastAsia" w:cstheme="minorEastAsia"/>
                <w:color w:val="auto"/>
                <w:sz w:val="21"/>
                <w:szCs w:val="21"/>
                <w:highlight w:val="none"/>
                <w:lang w:val="en-US" w:eastAsia="zh-CN"/>
              </w:rPr>
              <w:t>浦北县</w:t>
            </w:r>
            <w:r>
              <w:rPr>
                <w:rFonts w:hint="eastAsia" w:asciiTheme="minorEastAsia" w:hAnsiTheme="minorEastAsia" w:eastAsiaTheme="minorEastAsia" w:cstheme="minorEastAsia"/>
                <w:color w:val="auto"/>
                <w:sz w:val="21"/>
                <w:szCs w:val="21"/>
                <w:highlight w:val="none"/>
                <w:lang w:eastAsia="zh-CN"/>
              </w:rPr>
              <w:t>公共资源交易中心</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联系电话：0777-2</w:t>
            </w:r>
            <w:r>
              <w:rPr>
                <w:rFonts w:hint="eastAsia" w:asciiTheme="minorEastAsia" w:hAnsiTheme="minorEastAsia" w:eastAsiaTheme="minorEastAsia" w:cstheme="minorEastAsia"/>
                <w:color w:val="auto"/>
                <w:sz w:val="21"/>
                <w:szCs w:val="21"/>
                <w:highlight w:val="none"/>
                <w:lang w:val="en-US" w:eastAsia="zh-CN"/>
              </w:rPr>
              <w:t>578686</w:t>
            </w:r>
            <w:r>
              <w:rPr>
                <w:rFonts w:hint="eastAsia" w:asciiTheme="minorEastAsia" w:hAnsiTheme="minorEastAsia" w:eastAsiaTheme="minorEastAsia" w:cstheme="minorEastAsia"/>
                <w:color w:val="auto"/>
                <w:sz w:val="21"/>
                <w:szCs w:val="21"/>
                <w:highlight w:val="none"/>
                <w:lang w:eastAsia="zh-CN"/>
              </w:rPr>
              <w:t>。</w:t>
            </w:r>
          </w:p>
          <w:p>
            <w:pPr>
              <w:pStyle w:val="33"/>
              <w:spacing w:before="0" w:beforeAutospacing="0" w:after="0" w:afterAutospacing="0"/>
              <w:ind w:firstLine="42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.监督部门：</w:t>
            </w:r>
            <w:bookmarkStart w:id="16" w:name="OLE_LINK11"/>
            <w:r>
              <w:rPr>
                <w:rFonts w:hint="eastAsia" w:asciiTheme="minorEastAsia" w:hAnsiTheme="minorEastAsia" w:eastAsiaTheme="minorEastAsia" w:cstheme="minorEastAsia"/>
                <w:color w:val="auto"/>
                <w:sz w:val="21"/>
                <w:szCs w:val="21"/>
                <w:highlight w:val="none"/>
                <w:lang w:eastAsia="zh-CN"/>
              </w:rPr>
              <w:t>浦北县政府采购监督管理办公室</w:t>
            </w:r>
            <w:r>
              <w:rPr>
                <w:rFonts w:hint="eastAsia" w:asciiTheme="minorEastAsia" w:hAnsiTheme="minorEastAsia" w:eastAsiaTheme="minorEastAsia" w:cstheme="minorEastAsia"/>
                <w:color w:val="auto"/>
                <w:sz w:val="21"/>
                <w:szCs w:val="21"/>
                <w:highlight w:val="none"/>
                <w:lang w:val="en-US" w:eastAsia="zh-CN"/>
              </w:rPr>
              <w:t xml:space="preserve">  </w:t>
            </w:r>
            <w:bookmarkEnd w:id="16"/>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联系电话：0777-8314622。</w:t>
            </w:r>
          </w:p>
          <w:p>
            <w:pPr>
              <w:pStyle w:val="2"/>
              <w:spacing w:before="0" w:after="0" w:line="240" w:lineRule="auto"/>
              <w:rPr>
                <w:rFonts w:hint="eastAsia" w:asciiTheme="minorEastAsia" w:hAnsiTheme="minorEastAsia" w:eastAsiaTheme="minorEastAsia" w:cstheme="minorEastAsia"/>
                <w:bCs w:val="0"/>
                <w:color w:val="auto"/>
                <w:sz w:val="21"/>
                <w:szCs w:val="21"/>
                <w:highlight w:val="none"/>
                <w:lang w:eastAsia="zh-CN"/>
              </w:rPr>
            </w:pPr>
            <w:r>
              <w:rPr>
                <w:rFonts w:hint="eastAsia" w:asciiTheme="minorEastAsia" w:hAnsiTheme="minorEastAsia" w:eastAsiaTheme="minorEastAsia" w:cstheme="minorEastAsia"/>
                <w:bCs w:val="0"/>
                <w:color w:val="auto"/>
                <w:sz w:val="21"/>
                <w:szCs w:val="21"/>
                <w:highlight w:val="none"/>
                <w:lang w:eastAsia="zh-CN"/>
              </w:rPr>
              <w:t>七、对本次招标提出询问，请按以下方式联系。</w:t>
            </w:r>
          </w:p>
          <w:p>
            <w:pPr>
              <w:widowControl/>
              <w:ind w:firstLine="630" w:firstLineChars="3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1.采购人信息</w:t>
            </w:r>
          </w:p>
          <w:p>
            <w:pPr>
              <w:ind w:left="1004" w:leftChars="371" w:hanging="262" w:hangingChars="125"/>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w:t>
            </w:r>
            <w:bookmarkStart w:id="17" w:name="OLE_LINK10"/>
            <w:r>
              <w:rPr>
                <w:rFonts w:hint="eastAsia" w:asciiTheme="minorEastAsia" w:hAnsiTheme="minorEastAsia" w:eastAsiaTheme="minorEastAsia" w:cstheme="minorEastAsia"/>
                <w:color w:val="auto"/>
                <w:sz w:val="21"/>
                <w:szCs w:val="21"/>
                <w:highlight w:val="none"/>
                <w:lang w:eastAsia="zh-CN"/>
              </w:rPr>
              <w:t>浦北县龙门镇人民政府</w:t>
            </w:r>
            <w:bookmarkEnd w:id="17"/>
          </w:p>
          <w:p>
            <w:pPr>
              <w:ind w:left="1004" w:leftChars="371" w:hanging="262" w:hangingChars="125"/>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地址：浦北县龙门镇马路街5号</w:t>
            </w:r>
          </w:p>
          <w:p>
            <w:pPr>
              <w:ind w:left="1004" w:leftChars="371" w:hanging="262" w:hangingChars="125"/>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项目联系人：</w:t>
            </w:r>
            <w:r>
              <w:rPr>
                <w:rFonts w:hint="eastAsia" w:asciiTheme="minorEastAsia" w:hAnsiTheme="minorEastAsia" w:eastAsiaTheme="minorEastAsia" w:cstheme="minorEastAsia"/>
                <w:color w:val="auto"/>
                <w:sz w:val="21"/>
                <w:szCs w:val="21"/>
                <w:highlight w:val="none"/>
                <w:lang w:val="en-US" w:eastAsia="zh-CN"/>
              </w:rPr>
              <w:t>颜工</w:t>
            </w:r>
          </w:p>
          <w:p>
            <w:pPr>
              <w:ind w:left="1004" w:leftChars="371" w:hanging="262" w:hangingChars="125"/>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项目联系方式：</w:t>
            </w:r>
            <w:bookmarkStart w:id="18" w:name="_Toc28359086"/>
            <w:bookmarkStart w:id="19" w:name="_Toc28359009"/>
            <w:r>
              <w:rPr>
                <w:rFonts w:hint="eastAsia" w:asciiTheme="minorEastAsia" w:hAnsiTheme="minorEastAsia" w:eastAsiaTheme="minorEastAsia" w:cstheme="minorEastAsia"/>
                <w:color w:val="auto"/>
                <w:sz w:val="21"/>
                <w:szCs w:val="21"/>
                <w:highlight w:val="none"/>
                <w:lang w:eastAsia="zh-CN"/>
              </w:rPr>
              <w:t>0777</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8538001</w:t>
            </w:r>
          </w:p>
          <w:p>
            <w:pPr>
              <w:ind w:left="1004" w:leftChars="371" w:hanging="262" w:hangingChars="125"/>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2.采购代理机构信息</w:t>
            </w:r>
            <w:bookmarkEnd w:id="18"/>
            <w:bookmarkEnd w:id="19"/>
          </w:p>
          <w:p>
            <w:pPr>
              <w:ind w:firstLine="630" w:firstLineChars="300"/>
              <w:rPr>
                <w:rFonts w:hint="eastAsia" w:asciiTheme="minorEastAsia" w:hAnsiTheme="minorEastAsia" w:eastAsiaTheme="minorEastAsia" w:cstheme="minorEastAsia"/>
                <w:color w:val="auto"/>
                <w:sz w:val="21"/>
                <w:szCs w:val="21"/>
                <w:highlight w:val="none"/>
                <w:lang w:eastAsia="zh-CN"/>
              </w:rPr>
            </w:pPr>
            <w:bookmarkStart w:id="20" w:name="_Toc28359087"/>
            <w:bookmarkStart w:id="21" w:name="_Toc28359010"/>
            <w:r>
              <w:rPr>
                <w:rFonts w:hint="eastAsia" w:asciiTheme="minorEastAsia" w:hAnsiTheme="minorEastAsia" w:eastAsiaTheme="minorEastAsia" w:cstheme="minorEastAsia"/>
                <w:color w:val="auto"/>
                <w:sz w:val="21"/>
                <w:szCs w:val="21"/>
                <w:highlight w:val="none"/>
                <w:lang w:eastAsia="zh-CN"/>
              </w:rPr>
              <w:t>名称：广西唯琪工程项目管理有限公司</w:t>
            </w:r>
          </w:p>
          <w:p>
            <w:pPr>
              <w:ind w:firstLine="630" w:firstLineChars="3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w:t>
            </w:r>
            <w:bookmarkStart w:id="22" w:name="OLE_LINK7"/>
            <w:r>
              <w:rPr>
                <w:rFonts w:hint="eastAsia" w:asciiTheme="minorEastAsia" w:hAnsiTheme="minorEastAsia" w:eastAsiaTheme="minorEastAsia" w:cstheme="minorEastAsia"/>
                <w:color w:val="auto"/>
                <w:sz w:val="21"/>
                <w:szCs w:val="21"/>
                <w:highlight w:val="none"/>
                <w:lang w:eastAsia="zh-CN"/>
              </w:rPr>
              <w:t>钦州市浦北县县城物流中心深澳建材南向(容桂新城.文华园) 10幢11号</w:t>
            </w:r>
            <w:bookmarkEnd w:id="22"/>
          </w:p>
          <w:bookmarkEnd w:id="20"/>
          <w:bookmarkEnd w:id="21"/>
          <w:p>
            <w:pPr>
              <w:pStyle w:val="21"/>
              <w:ind w:firstLine="630" w:firstLineChars="3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项目联系人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罗诗乐</w:t>
            </w:r>
          </w:p>
          <w:p>
            <w:pPr>
              <w:pStyle w:val="18"/>
              <w:ind w:firstLine="630" w:firstLineChars="30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color w:val="auto"/>
                <w:spacing w:val="0"/>
                <w:kern w:val="2"/>
                <w:sz w:val="21"/>
                <w:szCs w:val="21"/>
                <w:highlight w:val="none"/>
                <w:lang w:eastAsia="zh-CN"/>
              </w:rPr>
              <w:t>项目联系方式</w:t>
            </w:r>
            <w:r>
              <w:rPr>
                <w:rFonts w:hint="eastAsia" w:asciiTheme="minorEastAsia" w:hAnsiTheme="minorEastAsia" w:eastAsiaTheme="minorEastAsia" w:cstheme="minorEastAsia"/>
                <w:b w:val="0"/>
                <w:bCs w:val="0"/>
                <w:color w:val="auto"/>
                <w:spacing w:val="0"/>
                <w:kern w:val="2"/>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0777-8685113</w:t>
            </w:r>
          </w:p>
          <w:p>
            <w:pPr>
              <w:pStyle w:val="18"/>
              <w:ind w:firstLine="582" w:firstLineChars="300"/>
              <w:rPr>
                <w:rFonts w:hint="eastAsia" w:asciiTheme="minorEastAsia" w:hAnsiTheme="minorEastAsia" w:eastAsiaTheme="minorEastAsia" w:cstheme="minorEastAsia"/>
                <w:b w:val="0"/>
                <w:bCs/>
                <w:color w:val="auto"/>
                <w:sz w:val="21"/>
                <w:szCs w:val="21"/>
                <w:highlight w:val="none"/>
                <w:lang w:eastAsia="zh-CN"/>
              </w:rPr>
            </w:pPr>
          </w:p>
          <w:p>
            <w:pPr>
              <w:pStyle w:val="33"/>
              <w:snapToGrid w:val="0"/>
              <w:spacing w:before="0" w:beforeAutospacing="0" w:after="0" w:afterAutospacing="0"/>
              <w:ind w:left="238"/>
              <w:jc w:val="righ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广西唯琪工程项目管理有限公司</w:t>
            </w:r>
          </w:p>
          <w:p>
            <w:pPr>
              <w:pStyle w:val="33"/>
              <w:spacing w:before="0" w:beforeAutospacing="0" w:after="0" w:afterAutospacing="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09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30 </w:t>
            </w:r>
            <w:r>
              <w:rPr>
                <w:rFonts w:hint="eastAsia" w:asciiTheme="minorEastAsia" w:hAnsiTheme="minorEastAsia" w:eastAsiaTheme="minorEastAsia" w:cstheme="minorEastAsia"/>
                <w:color w:val="auto"/>
                <w:sz w:val="21"/>
                <w:szCs w:val="21"/>
                <w:highlight w:val="none"/>
              </w:rPr>
              <w:t>日</w:t>
            </w:r>
          </w:p>
        </w:tc>
      </w:tr>
      <w:bookmarkEnd w:id="4"/>
      <w:bookmarkEnd w:id="10"/>
    </w:tbl>
    <w:p>
      <w:pPr>
        <w:rPr>
          <w:rFonts w:hint="eastAsia" w:asciiTheme="minorEastAsia" w:hAnsiTheme="minorEastAsia" w:eastAsiaTheme="minorEastAsia" w:cstheme="minorEastAsia"/>
          <w:color w:val="auto"/>
          <w:highlight w:val="none"/>
        </w:rPr>
      </w:pPr>
    </w:p>
    <w:p>
      <w:pPr>
        <w:pStyle w:val="56"/>
        <w:rPr>
          <w:rFonts w:hint="eastAsia" w:asciiTheme="minorEastAsia" w:hAnsiTheme="minorEastAsia" w:eastAsiaTheme="minorEastAsia" w:cstheme="minorEastAsia"/>
          <w:color w:val="auto"/>
          <w:highlight w:val="none"/>
        </w:rPr>
      </w:pPr>
    </w:p>
    <w:p>
      <w:pPr>
        <w:pStyle w:val="56"/>
        <w:rPr>
          <w:rFonts w:hint="eastAsia" w:asciiTheme="minorEastAsia" w:hAnsiTheme="minorEastAsia" w:eastAsiaTheme="minorEastAsia" w:cstheme="minorEastAsia"/>
          <w:color w:val="auto"/>
          <w:highlight w:val="none"/>
        </w:rPr>
      </w:pPr>
    </w:p>
    <w:p>
      <w:pPr>
        <w:pStyle w:val="56"/>
        <w:rPr>
          <w:rFonts w:hint="eastAsia" w:asciiTheme="minorEastAsia" w:hAnsiTheme="minorEastAsia" w:eastAsiaTheme="minorEastAsia" w:cstheme="minorEastAsia"/>
          <w:color w:val="auto"/>
          <w:highlight w:val="none"/>
        </w:rPr>
      </w:pPr>
    </w:p>
    <w:p>
      <w:pPr>
        <w:pStyle w:val="56"/>
        <w:rPr>
          <w:rFonts w:hint="eastAsia" w:asciiTheme="minorEastAsia" w:hAnsiTheme="minorEastAsia" w:eastAsiaTheme="minorEastAsia" w:cstheme="minorEastAsia"/>
          <w:color w:val="auto"/>
          <w:highlight w:val="none"/>
        </w:rPr>
      </w:pPr>
    </w:p>
    <w:p>
      <w:pPr>
        <w:pStyle w:val="56"/>
        <w:rPr>
          <w:rFonts w:hint="eastAsia" w:asciiTheme="minorEastAsia" w:hAnsiTheme="minorEastAsia" w:eastAsiaTheme="minorEastAsia" w:cstheme="minorEastAsia"/>
          <w:color w:val="auto"/>
          <w:highlight w:val="none"/>
        </w:rPr>
      </w:pPr>
    </w:p>
    <w:p>
      <w:pPr>
        <w:rPr>
          <w:rStyle w:val="63"/>
          <w:rFonts w:hint="eastAsia" w:asciiTheme="minorEastAsia" w:hAnsiTheme="minorEastAsia" w:eastAsiaTheme="minorEastAsia" w:cstheme="minorEastAsia"/>
          <w:color w:val="auto"/>
          <w:sz w:val="32"/>
          <w:szCs w:val="32"/>
          <w:highlight w:val="none"/>
        </w:rPr>
      </w:pPr>
      <w:r>
        <w:rPr>
          <w:rStyle w:val="63"/>
          <w:rFonts w:hint="eastAsia" w:asciiTheme="minorEastAsia" w:hAnsiTheme="minorEastAsia" w:eastAsiaTheme="minorEastAsia" w:cstheme="minorEastAsia"/>
          <w:color w:val="auto"/>
          <w:sz w:val="32"/>
          <w:szCs w:val="32"/>
          <w:highlight w:val="none"/>
        </w:rPr>
        <w:br w:type="page"/>
      </w:r>
    </w:p>
    <w:p>
      <w:pPr>
        <w:pStyle w:val="21"/>
        <w:spacing w:line="360" w:lineRule="auto"/>
        <w:jc w:val="center"/>
        <w:outlineLvl w:val="0"/>
        <w:rPr>
          <w:rStyle w:val="63"/>
          <w:rFonts w:hint="eastAsia" w:asciiTheme="minorEastAsia" w:hAnsiTheme="minorEastAsia" w:eastAsiaTheme="minorEastAsia" w:cstheme="minorEastAsia"/>
          <w:color w:val="auto"/>
          <w:sz w:val="32"/>
          <w:szCs w:val="32"/>
          <w:highlight w:val="none"/>
        </w:rPr>
      </w:pPr>
      <w:bookmarkStart w:id="23" w:name="_Toc29284"/>
      <w:r>
        <w:rPr>
          <w:rStyle w:val="63"/>
          <w:rFonts w:hint="eastAsia" w:asciiTheme="minorEastAsia" w:hAnsiTheme="minorEastAsia" w:eastAsiaTheme="minorEastAsia" w:cstheme="minorEastAsia"/>
          <w:color w:val="auto"/>
          <w:sz w:val="32"/>
          <w:szCs w:val="32"/>
          <w:highlight w:val="none"/>
        </w:rPr>
        <w:t>第二章 投标人须知</w:t>
      </w:r>
      <w:bookmarkEnd w:id="23"/>
      <w:bookmarkStart w:id="24" w:name="_Toc147250356"/>
      <w:bookmarkStart w:id="25" w:name="_Toc147250551"/>
      <w:bookmarkStart w:id="26" w:name="_Toc147250395"/>
      <w:bookmarkStart w:id="27" w:name="_Toc147250349"/>
    </w:p>
    <w:bookmarkEnd w:id="5"/>
    <w:bookmarkEnd w:id="6"/>
    <w:p>
      <w:pPr>
        <w:pStyle w:val="21"/>
        <w:spacing w:line="360" w:lineRule="auto"/>
        <w:jc w:val="center"/>
        <w:rPr>
          <w:rStyle w:val="63"/>
          <w:rFonts w:hint="eastAsia" w:asciiTheme="minorEastAsia" w:hAnsiTheme="minorEastAsia" w:eastAsiaTheme="minorEastAsia" w:cstheme="minorEastAsia"/>
          <w:color w:val="auto"/>
          <w:sz w:val="28"/>
          <w:szCs w:val="28"/>
          <w:highlight w:val="none"/>
        </w:rPr>
      </w:pPr>
      <w:bookmarkStart w:id="28" w:name="_Toc2673"/>
      <w:bookmarkStart w:id="29" w:name="_Toc23882"/>
      <w:bookmarkStart w:id="30" w:name="_Toc10263"/>
      <w:r>
        <w:rPr>
          <w:rStyle w:val="63"/>
          <w:rFonts w:hint="eastAsia" w:asciiTheme="minorEastAsia" w:hAnsiTheme="minorEastAsia" w:eastAsiaTheme="minorEastAsia" w:cstheme="minorEastAsia"/>
          <w:color w:val="auto"/>
          <w:sz w:val="28"/>
          <w:szCs w:val="28"/>
          <w:highlight w:val="none"/>
        </w:rPr>
        <w:t>投标人须知前附表</w:t>
      </w:r>
      <w:bookmarkEnd w:id="24"/>
    </w:p>
    <w:bookmarkEnd w:id="28"/>
    <w:bookmarkEnd w:id="29"/>
    <w:bookmarkEnd w:id="30"/>
    <w:tbl>
      <w:tblPr>
        <w:tblStyle w:val="3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9"/>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序号</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条款号</w:t>
            </w:r>
          </w:p>
        </w:tc>
        <w:tc>
          <w:tcPr>
            <w:tcW w:w="8660"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660" w:type="dxa"/>
            <w:vAlign w:val="center"/>
          </w:tcPr>
          <w:p>
            <w:pPr>
              <w:pStyle w:val="21"/>
              <w:spacing w:line="340" w:lineRule="exact"/>
              <w:rPr>
                <w:rFonts w:hint="eastAsia" w:asciiTheme="minorEastAsia" w:hAnsiTheme="minorEastAsia" w:eastAsiaTheme="minorEastAsia" w:cstheme="minorEastAsia"/>
                <w:color w:val="auto"/>
                <w:kern w:val="0"/>
                <w:szCs w:val="21"/>
                <w:highlight w:val="none"/>
                <w:u w:val="single"/>
                <w:lang w:eastAsia="zh-CN"/>
              </w:rPr>
            </w:pP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color w:val="auto"/>
                <w:szCs w:val="21"/>
                <w:highlight w:val="none"/>
                <w:lang w:eastAsia="zh-CN"/>
              </w:rPr>
              <w:t>浦北大红柑智业示范带项目</w:t>
            </w:r>
          </w:p>
          <w:p>
            <w:pPr>
              <w:pStyle w:val="21"/>
              <w:spacing w:line="340" w:lineRule="exact"/>
              <w:rPr>
                <w:rFonts w:hint="eastAsia" w:asciiTheme="minorEastAsia" w:hAnsiTheme="minorEastAsia" w:eastAsiaTheme="minorEastAsia" w:cstheme="minorEastAsia"/>
                <w:color w:val="auto"/>
                <w:kern w:val="0"/>
                <w:szCs w:val="21"/>
                <w:highlight w:val="none"/>
                <w:u w:val="single"/>
                <w:lang w:eastAsia="zh-CN"/>
              </w:rPr>
            </w:pPr>
            <w:r>
              <w:rPr>
                <w:rFonts w:hint="eastAsia" w:asciiTheme="minorEastAsia" w:hAnsiTheme="minorEastAsia" w:eastAsiaTheme="minorEastAsia" w:cstheme="minorEastAsia"/>
                <w:color w:val="auto"/>
                <w:kern w:val="0"/>
                <w:szCs w:val="21"/>
                <w:highlight w:val="none"/>
              </w:rPr>
              <w:t>项目编号：</w:t>
            </w:r>
            <w:r>
              <w:rPr>
                <w:rFonts w:hint="eastAsia" w:asciiTheme="minorEastAsia" w:hAnsiTheme="minorEastAsia" w:eastAsiaTheme="minorEastAsia" w:cstheme="minorEastAsia"/>
                <w:color w:val="auto"/>
                <w:szCs w:val="21"/>
                <w:highlight w:val="none"/>
                <w:lang w:eastAsia="zh-CN"/>
              </w:rPr>
              <w:t>QZZC2025-G1-220209-WQGC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8660" w:type="dxa"/>
            <w:vAlign w:val="center"/>
          </w:tcPr>
          <w:p>
            <w:pPr>
              <w:rPr>
                <w:rFonts w:hint="eastAsia" w:asciiTheme="minorEastAsia" w:hAnsiTheme="minorEastAsia" w:eastAsiaTheme="minorEastAsia" w:cstheme="minorEastAsia"/>
                <w:b w:val="0"/>
                <w:color w:val="auto"/>
                <w:kern w:val="0"/>
                <w:sz w:val="21"/>
                <w:szCs w:val="21"/>
                <w:highlight w:val="none"/>
                <w:lang w:eastAsia="zh-CN"/>
              </w:rPr>
            </w:pPr>
            <w:r>
              <w:rPr>
                <w:rFonts w:hint="eastAsia" w:asciiTheme="minorEastAsia" w:hAnsiTheme="minorEastAsia" w:eastAsiaTheme="minorEastAsia" w:cstheme="minorEastAsia"/>
                <w:b w:val="0"/>
                <w:color w:val="auto"/>
                <w:kern w:val="0"/>
                <w:sz w:val="21"/>
                <w:szCs w:val="21"/>
                <w:highlight w:val="none"/>
                <w:lang w:eastAsia="zh-CN"/>
              </w:rPr>
              <w:t>申请人的资格要求：</w:t>
            </w: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color w:val="auto"/>
                <w:kern w:val="0"/>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满足《中华人民共和国政府采购法》第二十二条规定；</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（一）具有独立承担民事责任的能力； </w:t>
            </w:r>
          </w:p>
          <w:p>
            <w:pPr>
              <w:keepNext w:val="0"/>
              <w:keepLines w:val="0"/>
              <w:widowControl/>
              <w:suppressLineNumbers w:val="0"/>
              <w:jc w:val="left"/>
              <w:rPr>
                <w:rFonts w:hint="eastAsia" w:asciiTheme="minorEastAsia" w:hAnsiTheme="minorEastAsia" w:eastAsiaTheme="minorEastAsia" w:cstheme="minorEastAsia"/>
                <w:color w:val="00B0F0"/>
                <w:sz w:val="21"/>
                <w:szCs w:val="21"/>
                <w:highlight w:val="none"/>
              </w:rPr>
            </w:pPr>
            <w:r>
              <w:rPr>
                <w:rFonts w:hint="eastAsia" w:asciiTheme="minorEastAsia" w:hAnsiTheme="minorEastAsia" w:eastAsiaTheme="minorEastAsia" w:cstheme="minorEastAsia"/>
                <w:color w:val="0000FF"/>
                <w:kern w:val="2"/>
                <w:sz w:val="21"/>
                <w:szCs w:val="21"/>
                <w:highlight w:val="none"/>
                <w:u w:val="none"/>
                <w:lang w:val="en-US" w:eastAsia="zh-CN"/>
              </w:rPr>
              <w:t>具体要求: 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color w:val="00B0F0"/>
                <w:kern w:val="0"/>
                <w:sz w:val="21"/>
                <w:szCs w:val="21"/>
                <w:highlight w:val="none"/>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（二）具有良好的商业信誉和健全的财务会计制度； </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FF"/>
                <w:kern w:val="2"/>
                <w:sz w:val="21"/>
                <w:szCs w:val="21"/>
                <w:highlight w:val="none"/>
                <w:u w:val="none"/>
                <w:lang w:val="en-US" w:eastAsia="zh-CN"/>
              </w:rPr>
              <w:t>具体要求: 提供开户许可证或财务制度或 经审计的2023 年度财务审计报告或 2024 年度财务审计报告；</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（三）具有履行合同所必需的设备和专业技术能力； </w:t>
            </w:r>
          </w:p>
          <w:p>
            <w:pPr>
              <w:keepNext w:val="0"/>
              <w:keepLines w:val="0"/>
              <w:widowControl/>
              <w:suppressLineNumbers w:val="0"/>
              <w:jc w:val="left"/>
              <w:rPr>
                <w:rFonts w:hint="eastAsia" w:asciiTheme="minorEastAsia" w:hAnsiTheme="minorEastAsia" w:eastAsiaTheme="minorEastAsia" w:cstheme="minorEastAsia"/>
                <w:color w:val="0000FF"/>
                <w:kern w:val="2"/>
                <w:sz w:val="21"/>
                <w:szCs w:val="21"/>
                <w:highlight w:val="none"/>
                <w:u w:val="none"/>
                <w:lang w:val="en-US" w:eastAsia="zh-CN"/>
              </w:rPr>
            </w:pPr>
            <w:r>
              <w:rPr>
                <w:rFonts w:hint="eastAsia" w:asciiTheme="minorEastAsia" w:hAnsiTheme="minorEastAsia" w:eastAsiaTheme="minorEastAsia" w:cstheme="minorEastAsia"/>
                <w:color w:val="0000FF"/>
                <w:kern w:val="2"/>
                <w:sz w:val="21"/>
                <w:szCs w:val="21"/>
                <w:highlight w:val="none"/>
                <w:u w:val="none"/>
                <w:lang w:val="en-US" w:eastAsia="zh-CN"/>
              </w:rPr>
              <w:t xml:space="preserve">具体要求: 提供具备履行合同所必需的设备和专业技术能力的证明材料或书面承诺函（提供投标资格声明函（格式后附））； </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（四）具有依法缴纳税收和社会保障资金的良好记录； </w:t>
            </w:r>
          </w:p>
          <w:p>
            <w:pPr>
              <w:keepNext w:val="0"/>
              <w:keepLines w:val="0"/>
              <w:widowControl/>
              <w:suppressLineNumbers w:val="0"/>
              <w:jc w:val="left"/>
              <w:rPr>
                <w:rFonts w:hint="eastAsia" w:asciiTheme="minorEastAsia" w:hAnsiTheme="minorEastAsia" w:eastAsiaTheme="minorEastAsia" w:cstheme="minorEastAsia"/>
                <w:color w:val="0000FF"/>
                <w:kern w:val="2"/>
                <w:sz w:val="21"/>
                <w:szCs w:val="21"/>
                <w:highlight w:val="none"/>
                <w:u w:val="none"/>
                <w:lang w:val="en-US" w:eastAsia="zh-CN"/>
              </w:rPr>
            </w:pPr>
            <w:r>
              <w:rPr>
                <w:rFonts w:hint="eastAsia" w:asciiTheme="minorEastAsia" w:hAnsiTheme="minorEastAsia" w:eastAsiaTheme="minorEastAsia" w:cstheme="minorEastAsia"/>
                <w:color w:val="0000FF"/>
                <w:kern w:val="2"/>
                <w:sz w:val="21"/>
                <w:szCs w:val="21"/>
                <w:highlight w:val="none"/>
                <w:u w:val="none"/>
                <w:lang w:val="en-US" w:eastAsia="zh-CN"/>
              </w:rPr>
              <w:t xml:space="preserve">具体要求:提供 </w:t>
            </w:r>
            <w:bookmarkStart w:id="251" w:name="_GoBack"/>
            <w:r>
              <w:rPr>
                <w:rFonts w:hint="eastAsia" w:asciiTheme="minorEastAsia" w:hAnsiTheme="minorEastAsia" w:eastAsiaTheme="minorEastAsia" w:cstheme="minorEastAsia"/>
                <w:color w:val="0000FF"/>
                <w:kern w:val="2"/>
                <w:sz w:val="21"/>
                <w:szCs w:val="21"/>
                <w:highlight w:val="none"/>
                <w:u w:val="none"/>
                <w:lang w:val="en-US" w:eastAsia="zh-CN"/>
              </w:rPr>
              <w:t>2025年3月至开标截止时间任意 1 个月依</w:t>
            </w:r>
            <w:bookmarkEnd w:id="251"/>
            <w:r>
              <w:rPr>
                <w:rFonts w:hint="eastAsia" w:asciiTheme="minorEastAsia" w:hAnsiTheme="minorEastAsia" w:eastAsiaTheme="minorEastAsia" w:cstheme="minorEastAsia"/>
                <w:color w:val="0000FF"/>
                <w:kern w:val="2"/>
                <w:sz w:val="21"/>
                <w:szCs w:val="21"/>
                <w:highlight w:val="none"/>
                <w:u w:val="none"/>
                <w:lang w:val="en-US" w:eastAsia="zh-CN"/>
              </w:rPr>
              <w:t>法缴纳税收和社会保障资金的缴纳凭证（专用收据或者社会保险缴纳清单）复印件并加盖公章；依法不需要缴纳社会保障资金的，必须提供相应文件证明不需要缴纳社会保障资金。从成立之日起到响应文件提交截止时间止不足要求月数的只需提供从成立之日起的依法缴纳社会保障资金的相应证明文件]；</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（五）参加本次政府采购活动前三年内，在经营活动中没有重大违法记录； </w:t>
            </w:r>
          </w:p>
          <w:p>
            <w:pPr>
              <w:keepNext w:val="0"/>
              <w:keepLines w:val="0"/>
              <w:widowControl/>
              <w:suppressLineNumbers w:val="0"/>
              <w:jc w:val="left"/>
              <w:rPr>
                <w:rFonts w:hint="eastAsia" w:asciiTheme="minorEastAsia" w:hAnsiTheme="minorEastAsia" w:eastAsiaTheme="minorEastAsia" w:cstheme="minorEastAsia"/>
                <w:color w:val="0000FF"/>
                <w:kern w:val="2"/>
                <w:sz w:val="21"/>
                <w:szCs w:val="21"/>
                <w:highlight w:val="none"/>
                <w:u w:val="none"/>
                <w:lang w:val="en-US" w:eastAsia="zh-CN"/>
              </w:rPr>
            </w:pPr>
            <w:r>
              <w:rPr>
                <w:rFonts w:hint="eastAsia" w:asciiTheme="minorEastAsia" w:hAnsiTheme="minorEastAsia" w:eastAsiaTheme="minorEastAsia" w:cstheme="minorEastAsia"/>
                <w:color w:val="0000FF"/>
                <w:kern w:val="2"/>
                <w:sz w:val="21"/>
                <w:szCs w:val="21"/>
                <w:highlight w:val="none"/>
                <w:u w:val="none"/>
                <w:lang w:val="en-US" w:eastAsia="zh-CN"/>
              </w:rPr>
              <w:t xml:space="preserve">具体要求: 在“信用中国”网站（www.creditchina.gov.cn）、“中国政府采购网”（www.ccgp.gov.cn）等渠道查询失信被执行人名单、重大税收违法失信主体、政府采购严重违法失信行为记录等查询结果截图并加盖公章； </w:t>
            </w:r>
          </w:p>
          <w:p>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（六）法律、行政法规规定的其他条件。 </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FF"/>
                <w:kern w:val="2"/>
                <w:sz w:val="21"/>
                <w:szCs w:val="21"/>
                <w:highlight w:val="none"/>
                <w:u w:val="none"/>
                <w:lang w:val="en-US" w:eastAsia="zh-CN"/>
              </w:rPr>
              <w:t>具体要求:提供投标声明函（格式后附）；</w:t>
            </w: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2.落实政府采购政策需满足的资格要求：本项目专门面向中小企业采购（供应商应为中小微企业或监狱企业或残疾人福利性单位）。</w:t>
            </w:r>
          </w:p>
          <w:p>
            <w:pPr>
              <w:pStyle w:val="33"/>
              <w:spacing w:before="0" w:beforeAutospacing="0" w:after="0" w:afterAutospacing="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3.本项目的特定资格要求：</w:t>
            </w:r>
            <w:r>
              <w:rPr>
                <w:rFonts w:hint="eastAsia" w:asciiTheme="minorEastAsia" w:hAnsiTheme="minorEastAsia" w:eastAsiaTheme="minorEastAsia" w:cstheme="minorEastAsia"/>
                <w:color w:val="auto"/>
                <w:sz w:val="21"/>
                <w:szCs w:val="21"/>
                <w:highlight w:val="none"/>
                <w:lang w:val="en-US" w:eastAsia="zh-CN"/>
              </w:rPr>
              <w:t>无</w:t>
            </w:r>
            <w:r>
              <w:rPr>
                <w:rFonts w:hint="eastAsia" w:asciiTheme="minorEastAsia" w:hAnsiTheme="minorEastAsia" w:eastAsiaTheme="minorEastAsia" w:cstheme="minorEastAsia"/>
                <w:color w:val="auto"/>
                <w:sz w:val="21"/>
                <w:szCs w:val="21"/>
                <w:highlight w:val="none"/>
                <w:lang w:eastAsia="zh-CN"/>
              </w:rPr>
              <w:t>。</w:t>
            </w:r>
          </w:p>
          <w:p>
            <w:pPr>
              <w:pStyle w:val="21"/>
              <w:spacing w:line="340" w:lineRule="exac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投标人出现下列情形之一的，不得参加政府采购活动：</w:t>
            </w:r>
          </w:p>
          <w:p>
            <w:pPr>
              <w:pStyle w:val="21"/>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8.1</w:t>
            </w:r>
          </w:p>
        </w:tc>
        <w:tc>
          <w:tcPr>
            <w:tcW w:w="8660" w:type="dxa"/>
            <w:vAlign w:val="center"/>
          </w:tcPr>
          <w:p>
            <w:pPr>
              <w:pStyle w:val="21"/>
              <w:spacing w:line="340" w:lineRule="exact"/>
              <w:ind w:left="1078" w:leftChars="-11" w:hanging="1100" w:hangingChars="524"/>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投标报价：投标人须就《货物需求一览表》中的全部货物内容作完整唯一报价。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w:t>
            </w:r>
          </w:p>
        </w:tc>
        <w:tc>
          <w:tcPr>
            <w:tcW w:w="8660" w:type="dxa"/>
            <w:vAlign w:val="center"/>
          </w:tcPr>
          <w:p>
            <w:pPr>
              <w:pStyle w:val="21"/>
              <w:spacing w:line="3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投标有效期：投标截止日期后60天。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5</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w:t>
            </w:r>
          </w:p>
        </w:tc>
        <w:tc>
          <w:tcPr>
            <w:tcW w:w="8660" w:type="dxa"/>
            <w:vAlign w:val="center"/>
          </w:tcPr>
          <w:p>
            <w:pPr>
              <w:pStyle w:val="21"/>
              <w:spacing w:line="340" w:lineRule="exac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投标文件组成：由资格文件、报价文件、商务技术文件三部分组成，</w:t>
            </w:r>
            <w:r>
              <w:rPr>
                <w:rFonts w:hint="eastAsia" w:asciiTheme="minorEastAsia" w:hAnsiTheme="minorEastAsia" w:eastAsiaTheme="minorEastAsia" w:cstheme="minorEastAsia"/>
                <w:b/>
                <w:bCs/>
                <w:color w:val="auto"/>
                <w:highlight w:val="none"/>
              </w:rPr>
              <w:t>投标人应根据各部分要求独立编制。</w:t>
            </w:r>
          </w:p>
          <w:p>
            <w:pPr>
              <w:pStyle w:val="21"/>
              <w:spacing w:line="3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投标文件递交份数：</w:t>
            </w:r>
          </w:p>
          <w:p>
            <w:pPr>
              <w:pStyle w:val="21"/>
              <w:spacing w:line="3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1.电子加密投标文件：1份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6</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8660" w:type="dxa"/>
            <w:vAlign w:val="center"/>
          </w:tcPr>
          <w:p>
            <w:pPr>
              <w:pStyle w:val="21"/>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bookmarkStart w:id="31" w:name="OLE_LINK18"/>
            <w:r>
              <w:rPr>
                <w:rFonts w:hint="eastAsia" w:asciiTheme="minorEastAsia" w:hAnsiTheme="minorEastAsia" w:eastAsiaTheme="minorEastAsia" w:cstheme="minorEastAsia"/>
                <w:color w:val="auto"/>
                <w:kern w:val="0"/>
                <w:szCs w:val="21"/>
                <w:highlight w:val="none"/>
              </w:rPr>
              <w:t>：</w:t>
            </w:r>
            <w:bookmarkEnd w:id="31"/>
            <w:r>
              <w:rPr>
                <w:rFonts w:hint="eastAsia" w:asciiTheme="minorEastAsia" w:hAnsiTheme="minorEastAsia" w:eastAsiaTheme="minorEastAsia" w:cstheme="minorEastAsia"/>
                <w:color w:val="auto"/>
                <w:szCs w:val="21"/>
                <w:highlight w:val="none"/>
                <w:lang w:eastAsia="zh-CN"/>
              </w:rPr>
              <w:t>陆万元整</w:t>
            </w:r>
            <w:r>
              <w:rPr>
                <w:rFonts w:hint="eastAsia" w:asciiTheme="minorEastAsia" w:hAnsiTheme="minorEastAsia" w:eastAsiaTheme="minorEastAsia" w:cstheme="minorEastAsia"/>
                <w:color w:val="auto"/>
                <w:kern w:val="0"/>
                <w:szCs w:val="21"/>
                <w:highlight w:val="none"/>
              </w:rPr>
              <w:t>。</w:t>
            </w:r>
          </w:p>
          <w:p>
            <w:pPr>
              <w:pStyle w:val="21"/>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投标保证金缴纳形式：银行转账、支票、汇票、本票或者银行、保险机构出具的保函，禁止采用现钞方式。</w:t>
            </w:r>
          </w:p>
          <w:p>
            <w:pPr>
              <w:pStyle w:val="21"/>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采用银行转账方式的，投标人将投标保证金从投标人基本账户转出交至以下指定的投标保证金专用账户，且提交到指定账户时间不得迟于投标截止时间（以到账为准）：</w:t>
            </w:r>
          </w:p>
          <w:p>
            <w:pPr>
              <w:pStyle w:val="21"/>
              <w:spacing w:line="288" w:lineRule="auto"/>
              <w:rPr>
                <w:rFonts w:hint="eastAsia" w:asciiTheme="minorEastAsia" w:hAnsiTheme="minorEastAsia" w:eastAsiaTheme="minorEastAsia" w:cstheme="minorEastAsia"/>
                <w:color w:val="auto"/>
                <w:kern w:val="2"/>
                <w:szCs w:val="20"/>
                <w:highlight w:val="none"/>
              </w:rPr>
            </w:pPr>
            <w:r>
              <w:rPr>
                <w:rFonts w:hint="eastAsia" w:asciiTheme="minorEastAsia" w:hAnsiTheme="minorEastAsia" w:eastAsiaTheme="minorEastAsia" w:cstheme="minorEastAsia"/>
                <w:color w:val="auto"/>
                <w:kern w:val="2"/>
                <w:szCs w:val="20"/>
                <w:highlight w:val="none"/>
              </w:rPr>
              <w:t>开户名称：浦北县公共资源交易中心</w:t>
            </w:r>
          </w:p>
          <w:p>
            <w:pPr>
              <w:pStyle w:val="21"/>
              <w:spacing w:line="288" w:lineRule="auto"/>
              <w:rPr>
                <w:rFonts w:hint="eastAsia" w:asciiTheme="minorEastAsia" w:hAnsiTheme="minorEastAsia" w:eastAsiaTheme="minorEastAsia" w:cstheme="minorEastAsia"/>
                <w:color w:val="auto"/>
                <w:kern w:val="2"/>
                <w:szCs w:val="20"/>
                <w:highlight w:val="none"/>
              </w:rPr>
            </w:pPr>
            <w:r>
              <w:rPr>
                <w:rFonts w:hint="eastAsia" w:asciiTheme="minorEastAsia" w:hAnsiTheme="minorEastAsia" w:eastAsiaTheme="minorEastAsia" w:cstheme="minorEastAsia"/>
                <w:color w:val="auto"/>
                <w:kern w:val="2"/>
                <w:szCs w:val="20"/>
                <w:highlight w:val="none"/>
              </w:rPr>
              <w:t>开户行：广西浦北农村商业银行股份有限公司江城支行</w:t>
            </w:r>
          </w:p>
          <w:p>
            <w:pPr>
              <w:pStyle w:val="21"/>
              <w:spacing w:line="288" w:lineRule="auto"/>
              <w:rPr>
                <w:rFonts w:hint="eastAsia" w:asciiTheme="minorEastAsia" w:hAnsiTheme="minorEastAsia" w:eastAsiaTheme="minorEastAsia" w:cstheme="minorEastAsia"/>
                <w:color w:val="auto"/>
                <w:kern w:val="2"/>
                <w:szCs w:val="20"/>
                <w:highlight w:val="none"/>
                <w:lang w:eastAsia="zh-CN"/>
              </w:rPr>
            </w:pPr>
            <w:r>
              <w:rPr>
                <w:rFonts w:hint="eastAsia" w:asciiTheme="minorEastAsia" w:hAnsiTheme="minorEastAsia" w:eastAsiaTheme="minorEastAsia" w:cstheme="minorEastAsia"/>
                <w:color w:val="auto"/>
                <w:kern w:val="2"/>
                <w:szCs w:val="20"/>
                <w:highlight w:val="none"/>
              </w:rPr>
              <w:t>账号：20332220839000539</w:t>
            </w:r>
          </w:p>
          <w:p>
            <w:pPr>
              <w:pStyle w:val="21"/>
              <w:spacing w:line="288" w:lineRule="auto"/>
              <w:rPr>
                <w:rFonts w:hint="eastAsia" w:asciiTheme="minorEastAsia" w:hAnsiTheme="minorEastAsia" w:eastAsiaTheme="minorEastAsia" w:cstheme="minorEastAsia"/>
                <w:color w:val="auto"/>
                <w:kern w:val="2"/>
                <w:szCs w:val="20"/>
                <w:highlight w:val="none"/>
              </w:rPr>
            </w:pPr>
            <w:r>
              <w:rPr>
                <w:rFonts w:hint="eastAsia" w:asciiTheme="minorEastAsia" w:hAnsiTheme="minorEastAsia" w:eastAsiaTheme="minorEastAsia" w:cstheme="minorEastAsia"/>
                <w:color w:val="auto"/>
                <w:kern w:val="2"/>
                <w:szCs w:val="20"/>
                <w:highlight w:val="none"/>
              </w:rPr>
              <w:t>电话：0777-</w:t>
            </w:r>
            <w:r>
              <w:rPr>
                <w:rFonts w:hint="eastAsia" w:asciiTheme="minorEastAsia" w:hAnsiTheme="minorEastAsia" w:eastAsiaTheme="minorEastAsia" w:cstheme="minorEastAsia"/>
                <w:color w:val="auto"/>
                <w:kern w:val="2"/>
                <w:szCs w:val="20"/>
                <w:highlight w:val="none"/>
                <w:lang w:val="en-US" w:eastAsia="zh-CN"/>
              </w:rPr>
              <w:t>2578698</w:t>
            </w:r>
            <w:r>
              <w:rPr>
                <w:rFonts w:hint="eastAsia" w:asciiTheme="minorEastAsia" w:hAnsiTheme="minorEastAsia" w:eastAsiaTheme="minorEastAsia" w:cstheme="minorEastAsia"/>
                <w:color w:val="auto"/>
                <w:kern w:val="2"/>
                <w:szCs w:val="20"/>
                <w:highlight w:val="none"/>
              </w:rPr>
              <w:t>（财务部）</w:t>
            </w:r>
          </w:p>
          <w:p>
            <w:pPr>
              <w:spacing w:line="240" w:lineRule="auto"/>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备注：</w:t>
            </w:r>
          </w:p>
          <w:p>
            <w:pPr>
              <w:spacing w:line="360" w:lineRule="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办理投标保证金手续时，请务必在银行进账单或电汇单的用途或空白栏上注明 “项目名称或项目编号以及分标名称（</w:t>
            </w:r>
            <w:r>
              <w:rPr>
                <w:rFonts w:hint="eastAsia" w:asciiTheme="minorEastAsia" w:hAnsiTheme="minorEastAsia" w:eastAsiaTheme="minorEastAsia" w:cstheme="minorEastAsia"/>
                <w:b/>
                <w:bCs/>
                <w:color w:val="auto"/>
                <w:sz w:val="21"/>
                <w:szCs w:val="21"/>
                <w:highlight w:val="none"/>
                <w:lang w:val="en-US" w:eastAsia="zh-CN"/>
              </w:rPr>
              <w:t>项目名称可简写</w:t>
            </w:r>
            <w:r>
              <w:rPr>
                <w:rFonts w:hint="eastAsia" w:asciiTheme="minorEastAsia" w:hAnsiTheme="minorEastAsia" w:eastAsiaTheme="minorEastAsia" w:cstheme="minorEastAsia"/>
                <w:b/>
                <w:bCs/>
                <w:color w:val="auto"/>
                <w:sz w:val="21"/>
                <w:szCs w:val="21"/>
                <w:highlight w:val="none"/>
                <w:lang w:eastAsia="zh-CN"/>
              </w:rPr>
              <w:t>）”。</w:t>
            </w:r>
          </w:p>
          <w:p>
            <w:pPr>
              <w:snapToGrid w:val="0"/>
              <w:spacing w:line="360" w:lineRule="auto"/>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eastAsia="zh-CN"/>
              </w:rPr>
              <w:t>. 投标保证金在投标截止时间后提交的，或者不按规定交纳方式交纳的，或者未足额交纳的（包含保函额度不足的），视为无效投标保证金。</w:t>
            </w:r>
          </w:p>
          <w:p>
            <w:pPr>
              <w:snapToGrid w:val="0"/>
              <w:spacing w:line="360" w:lineRule="auto"/>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eastAsia="zh-CN"/>
              </w:rPr>
              <w:t>.投标人采用现钞方式或者从个人账户（自然人投标除外）转出的投标保证金，视为无效投标保证金。</w:t>
            </w:r>
          </w:p>
          <w:p>
            <w:pPr>
              <w:snapToGrid w:val="0"/>
              <w:spacing w:line="360" w:lineRule="auto"/>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eastAsia="zh-CN"/>
              </w:rPr>
              <w:t>.支票、汇票或者本票出现无效或者背书情形的，视为无效投标保证金。</w:t>
            </w:r>
          </w:p>
          <w:p>
            <w:pPr>
              <w:snapToGrid w:val="0"/>
              <w:spacing w:line="360" w:lineRule="auto"/>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eastAsia="zh-CN"/>
              </w:rPr>
              <w:t>.保函有效期低于投标有效期的，视为无效投标保证金。</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lang w:eastAsia="zh-CN"/>
              </w:rPr>
              <w:t>.采用金融、担保机构出具保函的，必须为无条件保函，否则视为无效投标保证金。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7</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p>
        </w:tc>
        <w:tc>
          <w:tcPr>
            <w:tcW w:w="8660" w:type="dxa"/>
            <w:vAlign w:val="center"/>
          </w:tcPr>
          <w:p>
            <w:pPr>
              <w:pStyle w:val="21"/>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投标文件递交形式：</w:t>
            </w:r>
          </w:p>
          <w:p>
            <w:pPr>
              <w:pStyle w:val="21"/>
              <w:spacing w:line="288"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1.电子加密投标文件：供应商须通过</w:t>
            </w:r>
            <w:r>
              <w:rPr>
                <w:rFonts w:hint="eastAsia" w:asciiTheme="minorEastAsia" w:hAnsiTheme="minorEastAsia" w:eastAsiaTheme="minorEastAsia" w:cstheme="minorEastAsia"/>
                <w:color w:val="auto"/>
                <w:kern w:val="0"/>
                <w:sz w:val="21"/>
                <w:szCs w:val="21"/>
                <w:highlight w:val="none"/>
                <w:lang w:eastAsia="zh-CN"/>
              </w:rPr>
              <w:t>广西政府采购云平台新版客户端</w:t>
            </w:r>
            <w:r>
              <w:rPr>
                <w:rFonts w:hint="eastAsia" w:asciiTheme="minorEastAsia" w:hAnsiTheme="minorEastAsia" w:eastAsiaTheme="minorEastAsia" w:cstheme="minorEastAsia"/>
                <w:color w:val="auto"/>
                <w:kern w:val="0"/>
                <w:sz w:val="21"/>
                <w:szCs w:val="21"/>
                <w:highlight w:val="none"/>
              </w:rPr>
              <w:t>软件制作并加密生成电子投标文件，于投标文件提交截止时间前经</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kern w:val="0"/>
                <w:sz w:val="21"/>
                <w:szCs w:val="21"/>
                <w:highlight w:val="none"/>
              </w:rPr>
              <w:t>上传提交。</w:t>
            </w:r>
          </w:p>
          <w:p>
            <w:pPr>
              <w:pStyle w:val="16"/>
              <w:keepNext w:val="0"/>
              <w:keepLines w:val="0"/>
              <w:pageBreakBefore w:val="0"/>
              <w:widowControl w:val="0"/>
              <w:kinsoku/>
              <w:wordWrap/>
              <w:overflowPunct/>
              <w:topLinePunct w:val="0"/>
              <w:autoSpaceDE/>
              <w:autoSpaceDN/>
              <w:bidi w:val="0"/>
              <w:adjustRightInd/>
              <w:spacing w:line="312" w:lineRule="auto"/>
              <w:ind w:left="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2.电子备份投标文件：</w:t>
            </w:r>
          </w:p>
          <w:p>
            <w:pPr>
              <w:pStyle w:val="16"/>
              <w:keepNext w:val="0"/>
              <w:keepLines w:val="0"/>
              <w:pageBreakBefore w:val="0"/>
              <w:widowControl w:val="0"/>
              <w:kinsoku/>
              <w:wordWrap/>
              <w:overflowPunct/>
              <w:topLinePunct w:val="0"/>
              <w:autoSpaceDE/>
              <w:autoSpaceDN/>
              <w:bidi w:val="0"/>
              <w:adjustRightInd/>
              <w:spacing w:line="312" w:lineRule="auto"/>
              <w:ind w:left="0"/>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本项目不接受</w:t>
            </w:r>
            <w:r>
              <w:rPr>
                <w:rFonts w:hint="eastAsia" w:asciiTheme="minorEastAsia" w:hAnsiTheme="minorEastAsia" w:eastAsiaTheme="minorEastAsia" w:cstheme="minorEastAsia"/>
                <w:color w:val="auto"/>
                <w:spacing w:val="-3"/>
                <w:sz w:val="21"/>
                <w:szCs w:val="21"/>
                <w:highlight w:val="none"/>
              </w:rPr>
              <w:t>电子备份响应文件</w:t>
            </w:r>
            <w:r>
              <w:rPr>
                <w:rFonts w:hint="eastAsia" w:asciiTheme="minorEastAsia" w:hAnsiTheme="minorEastAsia" w:eastAsiaTheme="minorEastAsia" w:cstheme="minorEastAsia"/>
                <w:color w:val="auto"/>
                <w:spacing w:val="-3"/>
                <w:sz w:val="21"/>
                <w:szCs w:val="21"/>
                <w:highlight w:val="none"/>
                <w:lang w:eastAsia="zh-CN"/>
              </w:rPr>
              <w:t>。</w:t>
            </w:r>
          </w:p>
          <w:p>
            <w:pPr>
              <w:pStyle w:val="16"/>
              <w:keepNext w:val="0"/>
              <w:keepLines w:val="0"/>
              <w:pageBreakBefore w:val="0"/>
              <w:widowControl w:val="0"/>
              <w:kinsoku/>
              <w:wordWrap/>
              <w:overflowPunct/>
              <w:topLinePunct w:val="0"/>
              <w:autoSpaceDE/>
              <w:autoSpaceDN/>
              <w:bidi w:val="0"/>
              <w:adjustRightInd/>
              <w:spacing w:line="312" w:lineRule="auto"/>
              <w:ind w:lef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本项目接受</w:t>
            </w:r>
            <w:r>
              <w:rPr>
                <w:rFonts w:hint="eastAsia" w:asciiTheme="minorEastAsia" w:hAnsiTheme="minorEastAsia" w:eastAsiaTheme="minorEastAsia" w:cstheme="minorEastAsia"/>
                <w:color w:val="auto"/>
                <w:spacing w:val="-3"/>
                <w:sz w:val="21"/>
                <w:szCs w:val="21"/>
                <w:highlight w:val="none"/>
              </w:rPr>
              <w:t>电子备份响应文件</w:t>
            </w:r>
            <w:r>
              <w:rPr>
                <w:rFonts w:hint="eastAsia" w:asciiTheme="minorEastAsia" w:hAnsiTheme="minorEastAsia" w:eastAsiaTheme="minorEastAsia" w:cstheme="minorEastAsia"/>
                <w:color w:val="auto"/>
                <w:sz w:val="21"/>
                <w:szCs w:val="21"/>
                <w:highlight w:val="none"/>
                <w:lang w:eastAsia="zh-CN"/>
              </w:rPr>
              <w:t>。</w:t>
            </w:r>
          </w:p>
          <w:p>
            <w:pPr>
              <w:pStyle w:val="21"/>
              <w:spacing w:line="288"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以U盘或光盘存储，电子备份投标文件应当在投标文件提交截止时间前按要求密封（开标当天）直接送达</w:t>
            </w:r>
            <w:r>
              <w:rPr>
                <w:rFonts w:hint="eastAsia" w:asciiTheme="minorEastAsia" w:hAnsiTheme="minorEastAsia" w:eastAsiaTheme="minorEastAsia" w:cstheme="minorEastAsia"/>
                <w:color w:val="auto"/>
                <w:kern w:val="0"/>
                <w:sz w:val="21"/>
                <w:szCs w:val="21"/>
                <w:highlight w:val="none"/>
                <w:lang w:val="en-US" w:eastAsia="zh-CN"/>
              </w:rPr>
              <w:t>浦北县</w:t>
            </w:r>
            <w:r>
              <w:rPr>
                <w:rFonts w:hint="eastAsia" w:asciiTheme="minorEastAsia" w:hAnsiTheme="minorEastAsia" w:eastAsiaTheme="minorEastAsia" w:cstheme="minorEastAsia"/>
                <w:color w:val="auto"/>
                <w:kern w:val="0"/>
                <w:sz w:val="21"/>
                <w:szCs w:val="21"/>
                <w:highlight w:val="none"/>
              </w:rPr>
              <w:t>公共资源交易中心开标厅或提前邮寄到</w:t>
            </w:r>
            <w:r>
              <w:rPr>
                <w:rFonts w:hint="eastAsia" w:asciiTheme="minorEastAsia" w:hAnsiTheme="minorEastAsia" w:eastAsiaTheme="minorEastAsia" w:cstheme="minorEastAsia"/>
                <w:color w:val="auto"/>
                <w:kern w:val="0"/>
                <w:sz w:val="21"/>
                <w:szCs w:val="21"/>
                <w:highlight w:val="none"/>
                <w:lang w:eastAsia="zh-CN"/>
              </w:rPr>
              <w:t>广西唯琪工程项目管理有限公司</w:t>
            </w:r>
            <w:r>
              <w:rPr>
                <w:rFonts w:hint="eastAsia" w:asciiTheme="minorEastAsia" w:hAnsiTheme="minorEastAsia" w:eastAsiaTheme="minorEastAsia" w:cstheme="minorEastAsia"/>
                <w:color w:val="auto"/>
                <w:kern w:val="0"/>
                <w:sz w:val="21"/>
                <w:szCs w:val="21"/>
                <w:highlight w:val="none"/>
              </w:rPr>
              <w:t>（地址：</w:t>
            </w:r>
            <w:r>
              <w:rPr>
                <w:rFonts w:hint="eastAsia" w:asciiTheme="minorEastAsia" w:hAnsiTheme="minorEastAsia" w:eastAsiaTheme="minorEastAsia" w:cstheme="minorEastAsia"/>
                <w:color w:val="auto"/>
                <w:kern w:val="0"/>
                <w:sz w:val="21"/>
                <w:szCs w:val="21"/>
                <w:highlight w:val="none"/>
                <w:lang w:eastAsia="zh-CN"/>
              </w:rPr>
              <w:t>钦州市浦北县县城物流中心深澳建材南向(容桂新城.文华园) 10幢11号</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联系人：罗诗乐，电话：0777-8685113</w:t>
            </w:r>
            <w:r>
              <w:rPr>
                <w:rFonts w:hint="eastAsia" w:asciiTheme="minorEastAsia" w:hAnsiTheme="minorEastAsia" w:eastAsiaTheme="minorEastAsia" w:cstheme="minorEastAsia"/>
                <w:color w:val="auto"/>
                <w:kern w:val="0"/>
                <w:sz w:val="21"/>
                <w:szCs w:val="21"/>
                <w:highlight w:val="none"/>
              </w:rPr>
              <w:t>），我公司拒收到付邮件，通过邮寄方式送达的，请合理安排邮寄时间，逾期送达或未按要求密封将被拒收。</w:t>
            </w:r>
          </w:p>
          <w:p>
            <w:pPr>
              <w:pStyle w:val="21"/>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3.投标文件递交截止时间：</w:t>
            </w:r>
            <w:r>
              <w:rPr>
                <w:rFonts w:hint="eastAsia" w:asciiTheme="minorEastAsia" w:hAnsiTheme="minorEastAsia" w:eastAsiaTheme="minorEastAsia" w:cstheme="minorEastAsia"/>
                <w:color w:val="auto"/>
                <w:sz w:val="21"/>
                <w:szCs w:val="21"/>
                <w:highlight w:val="none"/>
                <w:u w:val="single"/>
                <w:lang w:eastAsia="zh-CN"/>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lang w:eastAsia="zh-CN"/>
              </w:rPr>
              <w:t>年</w:t>
            </w:r>
            <w:r>
              <w:rPr>
                <w:rFonts w:hint="eastAsia" w:asciiTheme="minorEastAsia" w:hAnsiTheme="minorEastAsia" w:eastAsiaTheme="minorEastAsia" w:cstheme="minorEastAsia"/>
                <w:bCs/>
                <w:color w:val="auto"/>
                <w:sz w:val="21"/>
                <w:szCs w:val="21"/>
                <w:highlight w:val="none"/>
                <w:u w:val="single"/>
                <w:lang w:val="en-US" w:eastAsia="zh-CN"/>
              </w:rPr>
              <w:t xml:space="preserve"> 10 </w:t>
            </w:r>
            <w:r>
              <w:rPr>
                <w:rFonts w:hint="eastAsia" w:asciiTheme="minorEastAsia" w:hAnsiTheme="minorEastAsia" w:eastAsiaTheme="minorEastAsia" w:cstheme="minorEastAsia"/>
                <w:bCs/>
                <w:color w:val="auto"/>
                <w:sz w:val="21"/>
                <w:szCs w:val="21"/>
                <w:highlight w:val="none"/>
                <w:u w:val="single"/>
                <w:lang w:eastAsia="zh-CN"/>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22 </w:t>
            </w:r>
            <w:r>
              <w:rPr>
                <w:rFonts w:hint="eastAsia" w:asciiTheme="minorEastAsia" w:hAnsiTheme="minorEastAsia" w:eastAsiaTheme="minorEastAsia" w:cstheme="minorEastAsia"/>
                <w:bCs/>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u w:val="single"/>
                <w:lang w:val="en-US" w:eastAsia="zh-CN"/>
              </w:rPr>
              <w:t>09时30分</w:t>
            </w:r>
            <w:r>
              <w:rPr>
                <w:rFonts w:hint="eastAsia" w:asciiTheme="minorEastAsia" w:hAnsiTheme="minorEastAsia" w:eastAsiaTheme="minorEastAsia" w:cstheme="minorEastAsia"/>
                <w:color w:val="auto"/>
                <w:kern w:val="0"/>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8</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p>
        </w:tc>
        <w:tc>
          <w:tcPr>
            <w:tcW w:w="8660" w:type="dxa"/>
            <w:vAlign w:val="center"/>
          </w:tcPr>
          <w:p>
            <w:pPr>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评标时间：</w:t>
            </w:r>
            <w:r>
              <w:rPr>
                <w:rFonts w:hint="eastAsia" w:asciiTheme="minorEastAsia" w:hAnsiTheme="minorEastAsia" w:eastAsiaTheme="minorEastAsia" w:cstheme="minorEastAsia"/>
                <w:color w:val="auto"/>
                <w:sz w:val="21"/>
                <w:szCs w:val="21"/>
                <w:highlight w:val="none"/>
                <w:u w:val="single"/>
                <w:lang w:eastAsia="zh-CN"/>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lang w:eastAsia="zh-CN"/>
              </w:rPr>
              <w:t>年</w:t>
            </w:r>
            <w:r>
              <w:rPr>
                <w:rFonts w:hint="eastAsia" w:asciiTheme="minorEastAsia" w:hAnsiTheme="minorEastAsia" w:eastAsiaTheme="minorEastAsia" w:cstheme="minorEastAsia"/>
                <w:bCs/>
                <w:color w:val="auto"/>
                <w:sz w:val="21"/>
                <w:szCs w:val="21"/>
                <w:highlight w:val="none"/>
                <w:u w:val="single"/>
                <w:lang w:val="en-US" w:eastAsia="zh-CN"/>
              </w:rPr>
              <w:t xml:space="preserve"> 10 </w:t>
            </w:r>
            <w:r>
              <w:rPr>
                <w:rFonts w:hint="eastAsia" w:asciiTheme="minorEastAsia" w:hAnsiTheme="minorEastAsia" w:eastAsiaTheme="minorEastAsia" w:cstheme="minorEastAsia"/>
                <w:bCs/>
                <w:color w:val="auto"/>
                <w:sz w:val="21"/>
                <w:szCs w:val="21"/>
                <w:highlight w:val="none"/>
                <w:u w:val="single"/>
                <w:lang w:eastAsia="zh-CN"/>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22 </w:t>
            </w:r>
            <w:r>
              <w:rPr>
                <w:rFonts w:hint="eastAsia" w:asciiTheme="minorEastAsia" w:hAnsiTheme="minorEastAsia" w:eastAsiaTheme="minorEastAsia" w:cstheme="minorEastAsia"/>
                <w:bCs/>
                <w:color w:val="auto"/>
                <w:sz w:val="21"/>
                <w:szCs w:val="21"/>
                <w:highlight w:val="none"/>
                <w:u w:val="single"/>
                <w:lang w:eastAsia="zh-CN"/>
              </w:rPr>
              <w:t>日</w:t>
            </w:r>
            <w:r>
              <w:rPr>
                <w:rFonts w:hint="eastAsia" w:asciiTheme="minorEastAsia" w:hAnsiTheme="minorEastAsia" w:eastAsiaTheme="minorEastAsia" w:cstheme="minorEastAsia"/>
                <w:color w:val="auto"/>
                <w:sz w:val="21"/>
                <w:szCs w:val="21"/>
                <w:highlight w:val="none"/>
                <w:u w:val="single"/>
                <w:lang w:val="en-US" w:eastAsia="zh-CN"/>
              </w:rPr>
              <w:t>09时30分</w:t>
            </w:r>
            <w:r>
              <w:rPr>
                <w:rFonts w:hint="eastAsia" w:asciiTheme="minorEastAsia" w:hAnsiTheme="minorEastAsia" w:eastAsiaTheme="minorEastAsia" w:cstheme="minorEastAsia"/>
                <w:color w:val="auto"/>
                <w:sz w:val="21"/>
                <w:szCs w:val="21"/>
                <w:highlight w:val="none"/>
                <w:lang w:eastAsia="zh-CN"/>
              </w:rPr>
              <w:t>截标后</w:t>
            </w:r>
          </w:p>
          <w:p>
            <w:pPr>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评标地点：浦北县公共资源交易中心</w:t>
            </w:r>
            <w:r>
              <w:rPr>
                <w:rFonts w:hint="eastAsia" w:asciiTheme="minorEastAsia" w:hAnsiTheme="minorEastAsia" w:eastAsiaTheme="minorEastAsia" w:cstheme="minorEastAsia"/>
                <w:color w:val="auto"/>
                <w:sz w:val="21"/>
                <w:szCs w:val="21"/>
                <w:highlight w:val="none"/>
                <w:lang w:val="en-US" w:eastAsia="zh-CN"/>
              </w:rPr>
              <w:t>四楼评标室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9</w:t>
            </w:r>
          </w:p>
        </w:tc>
        <w:tc>
          <w:tcPr>
            <w:tcW w:w="1049" w:type="dxa"/>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lang w:eastAsia="en-US"/>
              </w:rPr>
            </w:pPr>
          </w:p>
        </w:tc>
        <w:tc>
          <w:tcPr>
            <w:tcW w:w="8660" w:type="dxa"/>
            <w:vAlign w:val="center"/>
          </w:tcPr>
          <w:p>
            <w:pPr>
              <w:pStyle w:val="21"/>
              <w:spacing w:line="3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评标方法：综合评标法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24" w:type="dxa"/>
            <w:gridSpan w:val="2"/>
            <w:vAlign w:val="center"/>
          </w:tcPr>
          <w:p>
            <w:pPr>
              <w:pStyle w:val="21"/>
              <w:spacing w:line="3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highlight w:val="none"/>
              </w:rPr>
              <w:t>注意事项</w:t>
            </w:r>
          </w:p>
        </w:tc>
        <w:tc>
          <w:tcPr>
            <w:tcW w:w="8660" w:type="dxa"/>
            <w:vAlign w:val="center"/>
          </w:tcPr>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（1）本项目为全流程电子化政府采购项目，供应商应按照本项目招标文件和</w:t>
            </w:r>
            <w:r>
              <w:rPr>
                <w:rFonts w:hint="eastAsia" w:asciiTheme="minorEastAsia" w:hAnsiTheme="minorEastAsia" w:eastAsiaTheme="minorEastAsia" w:cstheme="minorEastAsia"/>
                <w:color w:val="auto"/>
                <w:kern w:val="0"/>
                <w:sz w:val="21"/>
                <w:szCs w:val="21"/>
                <w:highlight w:val="none"/>
                <w:lang w:eastAsia="zh-CN"/>
              </w:rPr>
              <w:t>“广西政府采购云平台新版客户端”</w:t>
            </w:r>
            <w:r>
              <w:rPr>
                <w:rFonts w:hint="eastAsia" w:asciiTheme="minorEastAsia" w:hAnsiTheme="minorEastAsia" w:eastAsiaTheme="minorEastAsia" w:cstheme="minorEastAsia"/>
                <w:color w:val="auto"/>
                <w:sz w:val="21"/>
                <w:szCs w:val="21"/>
                <w:highlight w:val="none"/>
                <w:lang w:eastAsia="zh-CN"/>
              </w:rPr>
              <w:t>的要求编制、加密并提交电子投标文件。未完成</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lang w:eastAsia="zh-CN"/>
              </w:rPr>
              <w:t>供应商注册入驻并办理数字证书（CA认证）的供应商将无法参与本项目政府采购活动。供应商在使用</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lang w:eastAsia="zh-CN"/>
              </w:rPr>
              <w:t>参与投标过程中遇到涉及平台使用的任何问题，可致电平台技术支持热线咨询：95763。</w:t>
            </w:r>
          </w:p>
          <w:p>
            <w:pPr>
              <w:spacing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kern w:val="0"/>
                <w:sz w:val="21"/>
                <w:szCs w:val="21"/>
                <w:highlight w:val="none"/>
                <w:lang w:eastAsia="zh-CN"/>
              </w:rPr>
              <w:t>供应商应及时熟悉掌握电子标系统操作指南（见广西政府采购云平台电子卖场首页右上角—服务中心—帮助文档—项目采购）；并及时完成CA申领和绑定（见广西壮族自治区政府采购网—办事服务—下载专区-政采云CA证书办理操作指南）</w:t>
            </w:r>
            <w:r>
              <w:rPr>
                <w:rFonts w:hint="eastAsia" w:asciiTheme="minorEastAsia" w:hAnsiTheme="minorEastAsia" w:eastAsiaTheme="minorEastAsia" w:cstheme="minorEastAsia"/>
                <w:color w:val="auto"/>
                <w:sz w:val="21"/>
                <w:szCs w:val="21"/>
                <w:highlight w:val="none"/>
                <w:lang w:eastAsia="zh-CN"/>
              </w:rPr>
              <w:t>。</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（2）供应商须通过</w:t>
            </w:r>
            <w:r>
              <w:rPr>
                <w:rFonts w:hint="eastAsia" w:asciiTheme="minorEastAsia" w:hAnsiTheme="minorEastAsia" w:eastAsiaTheme="minorEastAsia" w:cstheme="minorEastAsia"/>
                <w:color w:val="auto"/>
                <w:kern w:val="0"/>
                <w:sz w:val="21"/>
                <w:szCs w:val="21"/>
                <w:highlight w:val="none"/>
                <w:lang w:eastAsia="zh-CN"/>
              </w:rPr>
              <w:t>“广西政府采购云平台新版客户端”</w:t>
            </w:r>
            <w:r>
              <w:rPr>
                <w:rFonts w:hint="eastAsia" w:asciiTheme="minorEastAsia" w:hAnsiTheme="minorEastAsia" w:eastAsiaTheme="minorEastAsia" w:cstheme="minorEastAsia"/>
                <w:color w:val="auto"/>
                <w:sz w:val="21"/>
                <w:szCs w:val="21"/>
                <w:highlight w:val="none"/>
                <w:lang w:eastAsia="zh-CN"/>
              </w:rPr>
              <w:t>制作电子投标文件，请供应商自行前往下载并安装（见广西壮族自治区政府采购网—办事服务—下载专区-广西政府采购云平台新版客户端）。</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供应商应在投标文件提交截止时间前，通过广西政府采购云平台上完成电子投标文件的提交。投标文件需要补充或修改的应及时撤回投标文件，补充、修改后重新提交，提交投标文件截止时间前未完成提交（上传）的，视为撤回投标文件。</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pPr>
              <w:pStyle w:val="21"/>
              <w:spacing w:line="28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 w:val="21"/>
                <w:szCs w:val="21"/>
                <w:highlight w:val="none"/>
                <w:lang w:eastAsia="zh-CN"/>
              </w:rPr>
              <w:t>（6）投标供应商可以提交经供应商客户端软件制作生成的电子备份投标文件（U盘或光盘存储），</w:t>
            </w:r>
            <w:r>
              <w:rPr>
                <w:rFonts w:hint="eastAsia" w:asciiTheme="minorEastAsia" w:hAnsiTheme="minorEastAsia" w:eastAsiaTheme="minorEastAsia" w:cstheme="minorEastAsia"/>
                <w:color w:val="auto"/>
                <w:sz w:val="21"/>
                <w:szCs w:val="21"/>
                <w:highlight w:val="none"/>
                <w:lang w:val="en-US" w:eastAsia="zh-CN"/>
              </w:rPr>
              <w:t>如同时提供</w:t>
            </w:r>
            <w:r>
              <w:rPr>
                <w:rFonts w:hint="eastAsia" w:asciiTheme="minorEastAsia" w:hAnsiTheme="minorEastAsia" w:eastAsiaTheme="minorEastAsia" w:cstheme="minorEastAsia"/>
                <w:b/>
                <w:bCs/>
                <w:color w:val="auto"/>
                <w:sz w:val="21"/>
                <w:szCs w:val="21"/>
                <w:highlight w:val="none"/>
                <w:lang w:eastAsia="zh-CN"/>
              </w:rPr>
              <w:t>电子备份投标文件的，应当在投标文件提交截止时间前按要求密封（开标当天）</w:t>
            </w:r>
            <w:r>
              <w:rPr>
                <w:rFonts w:hint="eastAsia" w:asciiTheme="minorEastAsia" w:hAnsiTheme="minorEastAsia" w:eastAsiaTheme="minorEastAsia" w:cstheme="minorEastAsia"/>
                <w:color w:val="auto"/>
                <w:kern w:val="0"/>
                <w:szCs w:val="21"/>
                <w:highlight w:val="none"/>
              </w:rPr>
              <w:t>直接送达</w:t>
            </w:r>
            <w:r>
              <w:rPr>
                <w:rFonts w:hint="eastAsia" w:asciiTheme="minorEastAsia" w:hAnsiTheme="minorEastAsia" w:eastAsiaTheme="minorEastAsia" w:cstheme="minorEastAsia"/>
                <w:color w:val="auto"/>
                <w:kern w:val="0"/>
                <w:szCs w:val="21"/>
                <w:highlight w:val="none"/>
                <w:lang w:val="en-US" w:eastAsia="zh-CN"/>
              </w:rPr>
              <w:t>浦北县</w:t>
            </w:r>
            <w:r>
              <w:rPr>
                <w:rFonts w:hint="eastAsia" w:asciiTheme="minorEastAsia" w:hAnsiTheme="minorEastAsia" w:eastAsiaTheme="minorEastAsia" w:cstheme="minorEastAsia"/>
                <w:color w:val="auto"/>
                <w:kern w:val="0"/>
                <w:szCs w:val="21"/>
                <w:highlight w:val="none"/>
              </w:rPr>
              <w:t>公共资源交易中心开标厅或提前邮寄到</w:t>
            </w:r>
            <w:r>
              <w:rPr>
                <w:rFonts w:hint="eastAsia" w:asciiTheme="minorEastAsia" w:hAnsiTheme="minorEastAsia" w:eastAsiaTheme="minorEastAsia" w:cstheme="minorEastAsia"/>
                <w:color w:val="auto"/>
                <w:kern w:val="0"/>
                <w:szCs w:val="21"/>
                <w:highlight w:val="none"/>
                <w:lang w:eastAsia="zh-CN"/>
              </w:rPr>
              <w:t>广西唯琪工程项目管理有限公司</w:t>
            </w:r>
            <w:r>
              <w:rPr>
                <w:rFonts w:hint="eastAsia" w:asciiTheme="minorEastAsia" w:hAnsiTheme="minorEastAsia" w:eastAsiaTheme="minorEastAsia" w:cstheme="minorEastAsia"/>
                <w:color w:val="auto"/>
                <w:kern w:val="0"/>
                <w:szCs w:val="21"/>
                <w:highlight w:val="none"/>
              </w:rPr>
              <w:t>（地址：</w:t>
            </w:r>
            <w:r>
              <w:rPr>
                <w:rFonts w:hint="eastAsia" w:asciiTheme="minorEastAsia" w:hAnsiTheme="minorEastAsia" w:eastAsiaTheme="minorEastAsia" w:cstheme="minorEastAsia"/>
                <w:color w:val="auto"/>
                <w:kern w:val="0"/>
                <w:szCs w:val="21"/>
                <w:highlight w:val="none"/>
                <w:lang w:eastAsia="zh-CN"/>
              </w:rPr>
              <w:t>钦州市浦北县县城物流中心深澳建材南向(容桂新城.文华园) 10幢11号</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联系人：罗诗乐，电话：0777-8685113</w:t>
            </w:r>
            <w:r>
              <w:rPr>
                <w:rFonts w:hint="eastAsia" w:asciiTheme="minorEastAsia" w:hAnsiTheme="minorEastAsia" w:eastAsiaTheme="minorEastAsia" w:cstheme="minorEastAsia"/>
                <w:color w:val="auto"/>
                <w:kern w:val="0"/>
                <w:szCs w:val="21"/>
                <w:highlight w:val="none"/>
              </w:rPr>
              <w:t>），我公司拒收到付邮件，通过邮寄方式送达的，请合理安排邮寄时间，逾期送达或未按要求密封将被拒收。</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投标文件启用顺序和效力：投标文件的启用，按先后顺位分别为电子加密投标文件、电子备份投标文件。通过广西政府采购云平台上传递交的电子加密投标文件无法按时解密，供应商递交了电子备份投标文件的，以电子备份投标文件为依据，否则视为投标文件撤回。通过广西政府采购云平台上传递交的电子加密投标文件已按时解密的，电子备份投标文件自动失效。供应商仅递交电子备份投标文件的，其投标无效。</w:t>
            </w:r>
          </w:p>
          <w:p>
            <w:pPr>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（8）因未通过广西政府采购云平台获取招标文件、未注册入库、未办理CA数字证书、CA证书故障、操作不当等原因造成无法投标或投标失败等后果由供应商自行承担。</w:t>
            </w:r>
          </w:p>
          <w:p>
            <w:pPr>
              <w:pStyle w:val="56"/>
              <w:spacing w:before="0" w:after="0"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val="0"/>
                <w:color w:val="auto"/>
                <w:spacing w:val="0"/>
                <w:kern w:val="2"/>
                <w:sz w:val="21"/>
                <w:szCs w:val="21"/>
                <w:highlight w:val="none"/>
                <w:lang w:eastAsia="zh-CN"/>
              </w:rPr>
              <w:t>（9）供应商需要在互联网网络状况良好的电脑登录使用“广西政府采购云平台”，为保证供应商在开标时进行投标文件解密的稳定性，建议供应商使用同一台电脑进行投标文件的编制、加密上传及开标解密。</w:t>
            </w:r>
          </w:p>
        </w:tc>
      </w:tr>
    </w:tbl>
    <w:p>
      <w:pPr>
        <w:bidi w:val="0"/>
        <w:jc w:val="center"/>
        <w:rPr>
          <w:rStyle w:val="63"/>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page"/>
      </w:r>
      <w:bookmarkStart w:id="32" w:name="_Toc14385"/>
      <w:bookmarkStart w:id="33" w:name="_Toc26516"/>
      <w:bookmarkStart w:id="34" w:name="_Toc5710"/>
      <w:bookmarkStart w:id="35" w:name="_Toc147250513"/>
      <w:bookmarkStart w:id="36" w:name="_Toc147250357"/>
      <w:bookmarkStart w:id="37" w:name="_Toc147250311"/>
      <w:r>
        <w:rPr>
          <w:rStyle w:val="63"/>
          <w:rFonts w:hint="eastAsia" w:asciiTheme="minorEastAsia" w:hAnsiTheme="minorEastAsia" w:eastAsiaTheme="minorEastAsia" w:cstheme="minorEastAsia"/>
          <w:color w:val="auto"/>
          <w:sz w:val="32"/>
          <w:szCs w:val="32"/>
          <w:highlight w:val="none"/>
        </w:rPr>
        <w:t>投标须知正文部分</w:t>
      </w:r>
      <w:bookmarkEnd w:id="32"/>
      <w:bookmarkEnd w:id="33"/>
    </w:p>
    <w:bookmarkEnd w:id="34"/>
    <w:p>
      <w:pPr>
        <w:bidi w:val="0"/>
        <w:jc w:val="center"/>
        <w:rPr>
          <w:rFonts w:hint="eastAsia" w:asciiTheme="minorEastAsia" w:hAnsiTheme="minorEastAsia" w:eastAsiaTheme="minorEastAsia" w:cstheme="minorEastAsia"/>
          <w:color w:val="auto"/>
          <w:sz w:val="21"/>
          <w:szCs w:val="21"/>
          <w:highlight w:val="none"/>
        </w:rPr>
      </w:pPr>
      <w:bookmarkStart w:id="38" w:name="_Toc17015"/>
      <w:bookmarkStart w:id="39" w:name="_Toc27240"/>
      <w:r>
        <w:rPr>
          <w:rFonts w:hint="eastAsia"/>
          <w:color w:val="auto"/>
          <w:highlight w:val="none"/>
        </w:rPr>
        <w:t xml:space="preserve">一  </w:t>
      </w:r>
      <w:r>
        <w:rPr>
          <w:rFonts w:hint="eastAsia" w:asciiTheme="minorEastAsia" w:hAnsiTheme="minorEastAsia" w:eastAsiaTheme="minorEastAsia" w:cstheme="minorEastAsia"/>
          <w:color w:val="auto"/>
          <w:sz w:val="21"/>
          <w:szCs w:val="21"/>
          <w:highlight w:val="none"/>
        </w:rPr>
        <w:t xml:space="preserve"> 总  则</w:t>
      </w:r>
      <w:bookmarkEnd w:id="35"/>
      <w:bookmarkEnd w:id="36"/>
      <w:bookmarkEnd w:id="37"/>
      <w:bookmarkEnd w:id="38"/>
      <w:bookmarkEnd w:id="39"/>
    </w:p>
    <w:p>
      <w:pPr>
        <w:numPr>
          <w:ilvl w:val="0"/>
          <w:numId w:val="0"/>
        </w:numPr>
        <w:bidi w:val="0"/>
        <w:rPr>
          <w:rFonts w:hint="eastAsia" w:asciiTheme="minorEastAsia" w:hAnsiTheme="minorEastAsia" w:eastAsiaTheme="minorEastAsia" w:cstheme="minorEastAsia"/>
          <w:color w:val="auto"/>
          <w:sz w:val="21"/>
          <w:szCs w:val="21"/>
          <w:highlight w:val="none"/>
        </w:rPr>
      </w:pPr>
      <w:bookmarkStart w:id="40" w:name="_Toc147250514"/>
      <w:bookmarkStart w:id="41" w:name="_Toc147250358"/>
      <w:bookmarkStart w:id="42" w:name="_Toc147250312"/>
      <w:r>
        <w:rPr>
          <w:rFonts w:hint="eastAsia" w:asciiTheme="minorEastAsia" w:hAnsiTheme="minorEastAsia" w:eastAsiaTheme="minorEastAsia" w:cstheme="minorEastAsia"/>
          <w:b/>
          <w:bCs w:val="0"/>
          <w:color w:val="auto"/>
          <w:sz w:val="21"/>
          <w:szCs w:val="21"/>
          <w:highlight w:val="none"/>
          <w:lang w:val="en-US" w:eastAsia="zh-CN"/>
        </w:rPr>
        <w:t xml:space="preserve">    1.</w:t>
      </w:r>
      <w:r>
        <w:rPr>
          <w:rFonts w:hint="eastAsia" w:asciiTheme="minorEastAsia" w:hAnsiTheme="minorEastAsia" w:eastAsiaTheme="minorEastAsia" w:cstheme="minorEastAsia"/>
          <w:b/>
          <w:bCs w:val="0"/>
          <w:color w:val="auto"/>
          <w:sz w:val="21"/>
          <w:szCs w:val="21"/>
          <w:highlight w:val="none"/>
        </w:rPr>
        <w:t>项目名称</w:t>
      </w:r>
      <w:bookmarkEnd w:id="40"/>
      <w:bookmarkEnd w:id="41"/>
      <w:bookmarkEnd w:id="42"/>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浦北大红柑智业示范带项目</w:t>
      </w:r>
      <w:r>
        <w:rPr>
          <w:rFonts w:hint="eastAsia" w:asciiTheme="minorEastAsia" w:hAnsiTheme="minorEastAsia" w:eastAsiaTheme="minorEastAsia" w:cstheme="minorEastAsia"/>
          <w:color w:val="auto"/>
          <w:sz w:val="21"/>
          <w:szCs w:val="21"/>
          <w:highlight w:val="none"/>
        </w:rPr>
        <w:t>【项目编号：</w:t>
      </w:r>
      <w:bookmarkStart w:id="43" w:name="_Toc147250515"/>
      <w:bookmarkStart w:id="44" w:name="_Toc147250359"/>
      <w:bookmarkStart w:id="45" w:name="_Toc147250313"/>
      <w:r>
        <w:rPr>
          <w:rFonts w:hint="eastAsia" w:asciiTheme="minorEastAsia" w:hAnsiTheme="minorEastAsia" w:eastAsiaTheme="minorEastAsia" w:cstheme="minorEastAsia"/>
          <w:color w:val="auto"/>
          <w:sz w:val="21"/>
          <w:szCs w:val="21"/>
          <w:highlight w:val="none"/>
          <w:lang w:eastAsia="zh-CN"/>
        </w:rPr>
        <w:t>QZZC2025-G1-220209-WQGC</w:t>
      </w:r>
      <w:r>
        <w:rPr>
          <w:rFonts w:hint="eastAsia" w:asciiTheme="minorEastAsia" w:hAnsiTheme="minorEastAsia" w:eastAsiaTheme="minorEastAsia" w:cstheme="minorEastAsia"/>
          <w:color w:val="auto"/>
          <w:sz w:val="21"/>
          <w:szCs w:val="21"/>
          <w:highlight w:val="none"/>
        </w:rPr>
        <w:t>】</w:t>
      </w:r>
    </w:p>
    <w:p>
      <w:pPr>
        <w:bidi w:val="0"/>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2. </w:t>
      </w:r>
      <w:bookmarkEnd w:id="43"/>
      <w:bookmarkEnd w:id="44"/>
      <w:bookmarkEnd w:id="45"/>
      <w:bookmarkStart w:id="46" w:name="_Toc147250516"/>
      <w:bookmarkStart w:id="47" w:name="_Toc147250360"/>
      <w:bookmarkStart w:id="48" w:name="_Toc147250314"/>
      <w:r>
        <w:rPr>
          <w:rFonts w:hint="eastAsia" w:asciiTheme="minorEastAsia" w:hAnsiTheme="minorEastAsia" w:eastAsiaTheme="minorEastAsia" w:cstheme="minorEastAsia"/>
          <w:b/>
          <w:bCs/>
          <w:color w:val="auto"/>
          <w:sz w:val="21"/>
          <w:szCs w:val="21"/>
          <w:highlight w:val="none"/>
        </w:rPr>
        <w:t>申请人的资格要求：</w:t>
      </w:r>
    </w:p>
    <w:p>
      <w:pPr>
        <w:spacing w:line="340" w:lineRule="exact"/>
        <w:ind w:left="416" w:leftChars="20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2.1投标人的资格要求详见“投标人须知前附表”。</w:t>
      </w:r>
    </w:p>
    <w:p>
      <w:pPr>
        <w:pStyle w:val="21"/>
        <w:spacing w:line="340" w:lineRule="exact"/>
        <w:ind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2.2</w:t>
      </w:r>
      <w:r>
        <w:rPr>
          <w:rFonts w:hint="eastAsia" w:asciiTheme="minorEastAsia" w:hAnsiTheme="minorEastAsia" w:eastAsiaTheme="minorEastAsia" w:cstheme="minorEastAsia"/>
          <w:color w:val="auto"/>
          <w:kern w:val="0"/>
          <w:sz w:val="21"/>
          <w:szCs w:val="21"/>
          <w:highlight w:val="none"/>
        </w:rPr>
        <w:t>投标人出现下列情形之一的，不得参加政府采购活动：</w:t>
      </w:r>
    </w:p>
    <w:p>
      <w:pPr>
        <w:pStyle w:val="21"/>
        <w:spacing w:line="340" w:lineRule="exact"/>
        <w:ind w:firstLineChars="20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33"/>
        <w:spacing w:before="0" w:beforeAutospacing="0" w:after="0" w:afterAutospacing="0" w:line="380" w:lineRule="atLeast"/>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bidi w:val="0"/>
        <w:ind w:firstLine="542" w:firstLineChars="30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3. 投标费用</w:t>
      </w:r>
      <w:bookmarkEnd w:id="46"/>
      <w:bookmarkEnd w:id="47"/>
      <w:bookmarkEnd w:id="48"/>
    </w:p>
    <w:p>
      <w:pPr>
        <w:pStyle w:val="21"/>
        <w:spacing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3.1投标人应自行承担所有与本次投标有关的全部费用。</w:t>
      </w:r>
    </w:p>
    <w:p>
      <w:pPr>
        <w:pStyle w:val="21"/>
        <w:tabs>
          <w:tab w:val="left" w:pos="6817"/>
        </w:tabs>
        <w:spacing w:line="288" w:lineRule="auto"/>
        <w:ind w:firstLine="3162" w:firstLineChars="1500"/>
        <w:jc w:val="left"/>
        <w:rPr>
          <w:rFonts w:hint="eastAsia" w:asciiTheme="minorEastAsia" w:hAnsiTheme="minorEastAsia" w:eastAsiaTheme="minorEastAsia" w:cstheme="minorEastAsia"/>
          <w:b/>
          <w:color w:val="auto"/>
          <w:highlight w:val="none"/>
        </w:rPr>
      </w:pPr>
      <w:bookmarkStart w:id="49" w:name="_Toc147250315"/>
      <w:bookmarkStart w:id="50" w:name="_Toc147250517"/>
      <w:bookmarkStart w:id="51" w:name="_Toc147250361"/>
    </w:p>
    <w:p>
      <w:pPr>
        <w:pStyle w:val="21"/>
        <w:tabs>
          <w:tab w:val="left" w:pos="6817"/>
        </w:tabs>
        <w:spacing w:line="288" w:lineRule="auto"/>
        <w:ind w:firstLine="3795" w:firstLineChars="18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    招标文件</w:t>
      </w:r>
      <w:bookmarkEnd w:id="49"/>
      <w:bookmarkEnd w:id="50"/>
      <w:bookmarkEnd w:id="51"/>
    </w:p>
    <w:p>
      <w:pPr>
        <w:bidi w:val="0"/>
        <w:ind w:firstLine="422" w:firstLineChars="200"/>
        <w:rPr>
          <w:rFonts w:hint="eastAsia" w:asciiTheme="minorEastAsia" w:hAnsiTheme="minorEastAsia" w:eastAsiaTheme="minorEastAsia" w:cstheme="minorEastAsia"/>
          <w:b/>
          <w:bCs/>
          <w:color w:val="auto"/>
          <w:sz w:val="21"/>
          <w:szCs w:val="21"/>
          <w:highlight w:val="none"/>
        </w:rPr>
      </w:pPr>
      <w:bookmarkStart w:id="52" w:name="_Toc147250362"/>
      <w:bookmarkStart w:id="53" w:name="_Toc147250316"/>
      <w:bookmarkStart w:id="54" w:name="_Toc147250518"/>
      <w:r>
        <w:rPr>
          <w:rFonts w:hint="eastAsia" w:asciiTheme="minorEastAsia" w:hAnsiTheme="minorEastAsia" w:eastAsiaTheme="minorEastAsia" w:cstheme="minorEastAsia"/>
          <w:b/>
          <w:bCs/>
          <w:color w:val="auto"/>
          <w:sz w:val="21"/>
          <w:szCs w:val="21"/>
          <w:highlight w:val="none"/>
        </w:rPr>
        <w:t>4.招标文件构成</w:t>
      </w:r>
      <w:bookmarkEnd w:id="52"/>
      <w:bookmarkEnd w:id="53"/>
      <w:bookmarkEnd w:id="54"/>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4.1招标文件包括：</w:t>
      </w:r>
    </w:p>
    <w:p>
      <w:pPr>
        <w:pStyle w:val="21"/>
        <w:wordWrap w:val="0"/>
        <w:topLinePunct/>
        <w:spacing w:line="360" w:lineRule="exact"/>
        <w:ind w:firstLine="420" w:firstLineChars="200"/>
        <w:jc w:val="left"/>
        <w:rPr>
          <w:rFonts w:hint="eastAsia"/>
          <w:highlight w:val="none"/>
        </w:rPr>
      </w:pPr>
      <w:r>
        <w:rPr>
          <w:rFonts w:hint="eastAsia" w:asciiTheme="minorEastAsia" w:hAnsiTheme="minorEastAsia" w:eastAsiaTheme="minorEastAsia" w:cstheme="minorEastAsia"/>
          <w:color w:val="auto"/>
          <w:highlight w:val="none"/>
        </w:rPr>
        <w:t>⑴招标公告</w:t>
      </w:r>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⑵投标须知及前附表；</w:t>
      </w:r>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⑶货物需求一览表；</w:t>
      </w:r>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⑷合同基本条款及合同书(格式)；</w:t>
      </w:r>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⑸评标办法；</w:t>
      </w:r>
    </w:p>
    <w:p>
      <w:pPr>
        <w:pStyle w:val="21"/>
        <w:wordWrap w:val="0"/>
        <w:topLinePunct/>
        <w:spacing w:line="36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⑹投标文件(格式)。</w:t>
      </w:r>
    </w:p>
    <w:p>
      <w:pPr>
        <w:pStyle w:val="21"/>
        <w:wordWrap w:val="0"/>
        <w:topLinePunct/>
        <w:spacing w:line="360" w:lineRule="exact"/>
        <w:ind w:firstLine="42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5.招标文件的澄清和修改</w:t>
      </w:r>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5.1投标人要认真审核《货物需求一览表》中的技术参数、配置及要求，如发现表中技术参数、配置有误或要求不合理的，投标人必须在投标前要求澄清，否则，由此产生的后果由投标人负责</w:t>
      </w:r>
      <w:r>
        <w:rPr>
          <w:rFonts w:hint="eastAsia" w:asciiTheme="minorEastAsia" w:hAnsiTheme="minorEastAsia" w:eastAsiaTheme="minorEastAsia" w:cstheme="minorEastAsia"/>
          <w:b/>
          <w:bCs/>
          <w:color w:val="auto"/>
          <w:highlight w:val="none"/>
        </w:rPr>
        <w:t>。</w:t>
      </w:r>
    </w:p>
    <w:p>
      <w:pPr>
        <w:pStyle w:val="21"/>
        <w:wordWrap w:val="0"/>
        <w:topLinePunct/>
        <w:spacing w:line="360" w:lineRule="exact"/>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5.2任何要求澄清招标文件的投标人，均应在</w:t>
      </w:r>
      <w:r>
        <w:rPr>
          <w:rFonts w:hint="eastAsia" w:asciiTheme="minorEastAsia" w:hAnsiTheme="minorEastAsia" w:eastAsiaTheme="minorEastAsia" w:cstheme="minorEastAsia"/>
          <w:color w:val="auto"/>
          <w:szCs w:val="21"/>
          <w:highlight w:val="none"/>
        </w:rPr>
        <w:t>投标截止时间15天前</w:t>
      </w:r>
      <w:r>
        <w:rPr>
          <w:rFonts w:hint="eastAsia" w:asciiTheme="minorEastAsia" w:hAnsiTheme="minorEastAsia" w:eastAsiaTheme="minorEastAsia" w:cstheme="minorEastAsia"/>
          <w:color w:val="auto"/>
          <w:highlight w:val="none"/>
        </w:rPr>
        <w:t>以传真等书面形式通知采购代理机构，同时认定其他澄清方式为无效。采购代理机构将以书面形式予以答复。</w:t>
      </w:r>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5.3采购代理机构对已发出的招标文件进行修改的，在招标文件要求提交投标文件截止时间</w:t>
      </w:r>
      <w:r>
        <w:rPr>
          <w:rFonts w:hint="eastAsia" w:asciiTheme="minorEastAsia" w:hAnsiTheme="minorEastAsia" w:eastAsiaTheme="minorEastAsia" w:cstheme="minorEastAsia"/>
          <w:color w:val="auto"/>
          <w:highlight w:val="none"/>
          <w:u w:val="single"/>
        </w:rPr>
        <w:t>15日</w:t>
      </w:r>
      <w:r>
        <w:rPr>
          <w:rFonts w:hint="eastAsia" w:asciiTheme="minorEastAsia" w:hAnsiTheme="minorEastAsia" w:eastAsiaTheme="minorEastAsia" w:cstheme="minorEastAsia"/>
          <w:color w:val="auto"/>
          <w:highlight w:val="none"/>
        </w:rPr>
        <w:t>前，在</w:t>
      </w:r>
      <w:bookmarkStart w:id="55" w:name="OLE_LINK4"/>
      <w:r>
        <w:rPr>
          <w:rFonts w:hint="eastAsia" w:asciiTheme="minorEastAsia" w:hAnsiTheme="minorEastAsia" w:eastAsiaTheme="minorEastAsia" w:cstheme="minorEastAsia"/>
          <w:color w:val="auto"/>
          <w:highlight w:val="none"/>
          <w:lang w:eastAsia="zh-CN"/>
        </w:rPr>
        <w:t>广西政府采购网（</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"https://zfcg.gxzf.gov.cn/"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https://zfcg.gxzf.gov.cn/</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）、中国政府采购网（</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"https://www.ccgp.gov.cn/"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www.ccgp.gov.cn/</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）、全国公共资源交易 平台（广西•浦北）（</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"http://ggzy.jgswj.gxzf.gov.cn/pbggzy/"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http://ggzy.jgswj.gxzf.gov.cn/pbggzy/</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）、全国公共资源交 易平台（广西•钦州）（</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"http://ggzy.jgswj.gxzf.gov.cn/qzggzy/"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http://ggzy.jgswj.gxzf.gov.cn/qzggzy/</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w:t>
      </w:r>
      <w:bookmarkEnd w:id="55"/>
      <w:r>
        <w:rPr>
          <w:rFonts w:hint="eastAsia" w:asciiTheme="minorEastAsia" w:hAnsiTheme="minorEastAsia" w:eastAsiaTheme="minorEastAsia" w:cstheme="minorEastAsia"/>
          <w:color w:val="auto"/>
          <w:highlight w:val="none"/>
          <w:lang w:eastAsia="zh-CN"/>
        </w:rPr>
        <w:t>网</w:t>
      </w:r>
      <w:r>
        <w:rPr>
          <w:rFonts w:hint="eastAsia" w:asciiTheme="minorEastAsia" w:hAnsiTheme="minorEastAsia" w:eastAsiaTheme="minorEastAsia" w:cstheme="minorEastAsia"/>
          <w:color w:val="auto"/>
          <w:highlight w:val="none"/>
        </w:rPr>
        <w:t>上发布更正公告，并以书面形式通知所有招标文件收受人。该澄清或修改的内容为招标文件的组成部分。</w:t>
      </w:r>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5.4采购代理机构可视具体情况，延长投标截止时间和开标时间，采购代理机构至少在招标文件要求提交投标文件截止时间</w:t>
      </w:r>
      <w:r>
        <w:rPr>
          <w:rFonts w:hint="eastAsia" w:asciiTheme="minorEastAsia" w:hAnsiTheme="minorEastAsia" w:eastAsiaTheme="minorEastAsia" w:cstheme="minorEastAsia"/>
          <w:color w:val="auto"/>
          <w:highlight w:val="none"/>
          <w:u w:val="single"/>
        </w:rPr>
        <w:t>3日</w:t>
      </w:r>
      <w:r>
        <w:rPr>
          <w:rFonts w:hint="eastAsia" w:asciiTheme="minorEastAsia" w:hAnsiTheme="minorEastAsia" w:eastAsiaTheme="minorEastAsia" w:cstheme="minorEastAsia"/>
          <w:color w:val="auto"/>
          <w:highlight w:val="none"/>
        </w:rPr>
        <w:t>前，将变更时间书面通知所有招标文件收受人，并在</w:t>
      </w:r>
      <w:r>
        <w:rPr>
          <w:rFonts w:hint="eastAsia" w:asciiTheme="minorEastAsia" w:hAnsiTheme="minorEastAsia" w:eastAsiaTheme="minorEastAsia" w:cstheme="minorEastAsia"/>
          <w:color w:val="auto"/>
          <w:highlight w:val="none"/>
          <w:lang w:eastAsia="zh-CN"/>
        </w:rPr>
        <w:t>广西政府采购网（</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"https://zfcg.gxzf.gov.cn/"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https://zfcg.gxzf.gov.cn/</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）、中国政府采购网（</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"https://www.ccgp.gov.cn/"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www.ccgp.gov.cn/</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）、全国公共资源交易 平台（广西•浦北）（</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"http://ggzy.jgswj.gxzf.gov.cn/pbggzy/"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http://ggzy.jgswj.gxzf.gov.cn/pbggzy/</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）、全国公共资源交易平台（广西•钦州）（</w:t>
      </w: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HYPERLINK "http://ggzy.jgswj.gxzf.gov.cn/qzggzy/"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http://ggzy.jgswj.gxzf.gov.cn/qzggzy/</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）网</w:t>
      </w:r>
      <w:r>
        <w:rPr>
          <w:rFonts w:hint="eastAsia" w:asciiTheme="minorEastAsia" w:hAnsiTheme="minorEastAsia" w:eastAsiaTheme="minorEastAsia" w:cstheme="minorEastAsia"/>
          <w:color w:val="auto"/>
          <w:highlight w:val="none"/>
        </w:rPr>
        <w:t>上发布更正公告并以书面形式通知所有招标文件收受人。该澄清或者修改的内容为招标文件的组成部分。</w:t>
      </w:r>
    </w:p>
    <w:p>
      <w:pPr>
        <w:pStyle w:val="21"/>
        <w:tabs>
          <w:tab w:val="left" w:pos="455"/>
        </w:tabs>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5.5请投标人接到电话通知后到采购代理机构处领取以上澄清答复（或补充通知），或在网上查询，不用传真方式发出，如在电话通知后24小时内不上门领取的，则视为已在网上查询收到。该澄清或修改的内容为招标文件的组成部分。投标人在每一次收到澄清答复或补充通知后应立即以书面形式通知采购代理机构，确认已收到该澄清答复或补充通知。否则，由此造成的一切后果由投标人承担。</w:t>
      </w:r>
    </w:p>
    <w:p>
      <w:pPr>
        <w:pStyle w:val="21"/>
        <w:spacing w:line="288" w:lineRule="auto"/>
        <w:rPr>
          <w:rFonts w:hint="eastAsia" w:asciiTheme="minorEastAsia" w:hAnsiTheme="minorEastAsia" w:eastAsiaTheme="minorEastAsia" w:cstheme="minorEastAsia"/>
          <w:color w:val="auto"/>
          <w:highlight w:val="none"/>
        </w:rPr>
      </w:pPr>
    </w:p>
    <w:p>
      <w:pPr>
        <w:bidi w:val="0"/>
        <w:jc w:val="center"/>
        <w:rPr>
          <w:rFonts w:hint="eastAsia"/>
          <w:b/>
          <w:bCs/>
          <w:color w:val="auto"/>
          <w:highlight w:val="none"/>
        </w:rPr>
      </w:pPr>
      <w:bookmarkStart w:id="56" w:name="_Toc25778"/>
      <w:bookmarkStart w:id="57" w:name="_Toc147250363"/>
      <w:bookmarkStart w:id="58" w:name="_Toc147250519"/>
      <w:bookmarkStart w:id="59" w:name="_Toc10543"/>
      <w:bookmarkStart w:id="60" w:name="_Toc147250317"/>
      <w:r>
        <w:rPr>
          <w:rFonts w:hint="eastAsia"/>
          <w:b/>
          <w:bCs/>
          <w:color w:val="auto"/>
          <w:highlight w:val="none"/>
        </w:rPr>
        <w:t>三  投标文件的编制</w:t>
      </w:r>
      <w:bookmarkEnd w:id="56"/>
      <w:bookmarkEnd w:id="57"/>
      <w:bookmarkEnd w:id="58"/>
      <w:bookmarkEnd w:id="59"/>
      <w:bookmarkEnd w:id="60"/>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lang w:eastAsia="zh-CN"/>
        </w:rPr>
      </w:pPr>
      <w:bookmarkStart w:id="61" w:name="_Toc254970536"/>
      <w:bookmarkStart w:id="62" w:name="_Toc254970677"/>
      <w:bookmarkStart w:id="63" w:name="_Toc147250329"/>
      <w:bookmarkStart w:id="64" w:name="_Toc147250375"/>
      <w:bookmarkStart w:id="65" w:name="_Toc147250531"/>
      <w:r>
        <w:rPr>
          <w:rFonts w:hint="eastAsia" w:asciiTheme="minorEastAsia" w:hAnsiTheme="minorEastAsia" w:eastAsiaTheme="minorEastAsia" w:cstheme="minorEastAsia"/>
          <w:b/>
          <w:color w:val="auto"/>
          <w:sz w:val="21"/>
          <w:szCs w:val="21"/>
          <w:highlight w:val="none"/>
          <w:lang w:eastAsia="zh-CN"/>
        </w:rPr>
        <w:t>6.投标文件的组成</w:t>
      </w:r>
      <w:bookmarkEnd w:id="61"/>
      <w:bookmarkEnd w:id="62"/>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6.1</w:t>
      </w:r>
      <w:r>
        <w:rPr>
          <w:rFonts w:hint="eastAsia" w:asciiTheme="minorEastAsia" w:hAnsiTheme="minorEastAsia" w:eastAsiaTheme="minorEastAsia" w:cstheme="minorEastAsia"/>
          <w:color w:val="auto"/>
          <w:sz w:val="21"/>
          <w:szCs w:val="21"/>
          <w:highlight w:val="none"/>
          <w:lang w:eastAsia="zh-CN"/>
        </w:rPr>
        <w:t>投标文件由资格文件、报价文件、商务技术文</w:t>
      </w:r>
      <w:r>
        <w:rPr>
          <w:rFonts w:hint="eastAsia" w:asciiTheme="minorEastAsia" w:hAnsiTheme="minorEastAsia" w:eastAsiaTheme="minorEastAsia" w:cstheme="minorEastAsia"/>
          <w:b w:val="0"/>
          <w:bCs w:val="0"/>
          <w:color w:val="auto"/>
          <w:sz w:val="21"/>
          <w:szCs w:val="21"/>
          <w:highlight w:val="none"/>
          <w:lang w:eastAsia="zh-CN"/>
        </w:rPr>
        <w:t>件三部分组</w:t>
      </w:r>
      <w:r>
        <w:rPr>
          <w:rFonts w:hint="eastAsia" w:asciiTheme="minorEastAsia" w:hAnsiTheme="minorEastAsia" w:eastAsiaTheme="minorEastAsia" w:cstheme="minorEastAsia"/>
          <w:color w:val="auto"/>
          <w:sz w:val="21"/>
          <w:szCs w:val="21"/>
          <w:highlight w:val="none"/>
          <w:lang w:eastAsia="zh-CN"/>
        </w:rPr>
        <w:t>成，投标人应根据各部分要求独立编制。并按下列顺序自编目录及页码（注明“必须提供”部分为必须提供的材料，否则投标无效）：</w:t>
      </w: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6.2资格文件：</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 xml:space="preserve">具有独立承担民事责任的能力； </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具体要求: 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 xml:space="preserve">具有良好的商业信誉和健全的财务会计制度； </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具体要求: 提供开户许可证或财务制度或 经审计的2023 年度财务审计报告或 2024 年度财务审计报告；</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adjustRightInd w:val="0"/>
        <w:snapToGrid w:val="0"/>
        <w:spacing w:line="360" w:lineRule="exact"/>
        <w:ind w:firstLine="42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 xml:space="preserve">具有履行合同所必需的设备和专业技术能力； </w:t>
      </w:r>
    </w:p>
    <w:p>
      <w:pPr>
        <w:adjustRightInd w:val="0"/>
        <w:snapToGrid w:val="0"/>
        <w:spacing w:line="360" w:lineRule="exact"/>
        <w:ind w:firstLine="422"/>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具体要求: 提供具备履行合同所必需的设备和专业技术能力的证明材料或书面承诺函（提供投标资格声明函（格式后附））</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 xml:space="preserve">（必须提供，否则作无效投标处理）   </w:t>
      </w:r>
    </w:p>
    <w:p>
      <w:pPr>
        <w:adjustRightInd w:val="0"/>
        <w:snapToGrid w:val="0"/>
        <w:spacing w:line="360" w:lineRule="exact"/>
        <w:ind w:firstLine="42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 xml:space="preserve">具有依法缴纳税收和社会保障资金的良好记录； </w:t>
      </w:r>
    </w:p>
    <w:p>
      <w:pPr>
        <w:adjustRightInd w:val="0"/>
        <w:snapToGrid w:val="0"/>
        <w:spacing w:line="360" w:lineRule="exact"/>
        <w:ind w:firstLine="422"/>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具体要求:提供 2025 年3月至开标截止时间任意 1 个月依法缴纳税收和社会保障资金的缴纳凭证（专用收据或者社会保险缴纳清单）复印件并加盖公章；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adjustRightInd w:val="0"/>
        <w:snapToGrid w:val="0"/>
        <w:spacing w:line="360" w:lineRule="exact"/>
        <w:ind w:firstLine="422"/>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val="en-US" w:eastAsia="zh-CN"/>
        </w:rPr>
        <w:t xml:space="preserve">参加本次政府采购活动前三年内，在经营活动中没有重大违法记录； </w:t>
      </w:r>
    </w:p>
    <w:p>
      <w:pPr>
        <w:adjustRightInd w:val="0"/>
        <w:snapToGrid w:val="0"/>
        <w:spacing w:line="360" w:lineRule="exact"/>
        <w:ind w:firstLine="422"/>
        <w:rPr>
          <w:rFonts w:hint="eastAsia" w:asciiTheme="minorEastAsia" w:hAnsiTheme="minorEastAsia" w:eastAsiaTheme="minorEastAsia" w:cstheme="minorEastAsia"/>
          <w:color w:val="0000FF"/>
          <w:kern w:val="2"/>
          <w:sz w:val="21"/>
          <w:szCs w:val="21"/>
          <w:highlight w:val="none"/>
          <w:u w:val="none"/>
          <w:lang w:val="en-US" w:eastAsia="zh-CN"/>
        </w:rPr>
      </w:pPr>
      <w:r>
        <w:rPr>
          <w:rFonts w:hint="eastAsia" w:asciiTheme="minorEastAsia" w:hAnsiTheme="minorEastAsia" w:eastAsiaTheme="minorEastAsia" w:cstheme="minorEastAsia"/>
          <w:color w:val="0000FF"/>
          <w:kern w:val="2"/>
          <w:sz w:val="21"/>
          <w:szCs w:val="21"/>
          <w:highlight w:val="none"/>
          <w:u w:val="none"/>
          <w:lang w:val="en-US" w:eastAsia="zh-CN"/>
        </w:rPr>
        <w:t>具体要求: 在“信用中国”网站（www.creditchina.gov.cn）、“中国政府采购网”（www.ccgp.gov.cn）等渠道查询失信被执行人名单、重大税收违法失信主体、政府采购严重违法失信行为记录等查询结果截图并加盖公章；</w:t>
      </w:r>
      <w:r>
        <w:rPr>
          <w:rFonts w:hint="eastAsia" w:asciiTheme="minorEastAsia" w:hAnsiTheme="minorEastAsia" w:eastAsiaTheme="minorEastAsia" w:cstheme="minorEastAsia"/>
          <w:b/>
          <w:bCs/>
          <w:color w:val="auto"/>
          <w:sz w:val="21"/>
          <w:szCs w:val="21"/>
          <w:highlight w:val="none"/>
          <w:lang w:val="en-US" w:eastAsia="zh-CN"/>
        </w:rPr>
        <w:t>（必须提供，否则作无效投标处理）</w:t>
      </w:r>
    </w:p>
    <w:p>
      <w:pPr>
        <w:adjustRightInd w:val="0"/>
        <w:snapToGrid w:val="0"/>
        <w:spacing w:line="360" w:lineRule="exact"/>
        <w:ind w:firstLine="422"/>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lang w:val="en-US" w:eastAsia="zh-CN"/>
        </w:rPr>
        <w:t xml:space="preserve">法律、行政法规规定的其他条件。 </w:t>
      </w:r>
    </w:p>
    <w:p>
      <w:pPr>
        <w:adjustRightInd w:val="0"/>
        <w:snapToGrid w:val="0"/>
        <w:spacing w:line="360" w:lineRule="exact"/>
        <w:ind w:firstLine="422"/>
        <w:jc w:val="left"/>
        <w:rPr>
          <w:rFonts w:hint="default" w:ascii="Times New Roman" w:hAnsi="Times New Roman" w:eastAsia="宋体" w:cs="Times New Roman"/>
          <w:color w:val="auto"/>
          <w:kern w:val="0"/>
          <w:sz w:val="24"/>
          <w:szCs w:val="24"/>
          <w:highlight w:val="none"/>
          <w:lang w:val="en-US" w:eastAsia="zh-CN" w:bidi="ar"/>
        </w:rPr>
      </w:pPr>
      <w:r>
        <w:rPr>
          <w:rFonts w:hint="eastAsia" w:asciiTheme="minorEastAsia" w:hAnsiTheme="minorEastAsia" w:eastAsiaTheme="minorEastAsia" w:cstheme="minorEastAsia"/>
          <w:color w:val="0000FF"/>
          <w:kern w:val="2"/>
          <w:sz w:val="21"/>
          <w:szCs w:val="21"/>
          <w:highlight w:val="none"/>
          <w:u w:val="none"/>
          <w:lang w:val="en-US" w:eastAsia="zh-CN"/>
        </w:rPr>
        <w:t>具体要求</w:t>
      </w:r>
      <w:r>
        <w:rPr>
          <w:rFonts w:hint="default" w:asciiTheme="minorEastAsia" w:hAnsiTheme="minorEastAsia" w:eastAsiaTheme="minorEastAsia" w:cstheme="minorEastAsia"/>
          <w:color w:val="0000FF"/>
          <w:kern w:val="2"/>
          <w:sz w:val="21"/>
          <w:szCs w:val="21"/>
          <w:highlight w:val="none"/>
          <w:u w:val="none"/>
          <w:lang w:val="en-US" w:eastAsia="zh-CN"/>
        </w:rPr>
        <w:t>:</w:t>
      </w:r>
      <w:r>
        <w:rPr>
          <w:rFonts w:hint="eastAsia" w:asciiTheme="minorEastAsia" w:hAnsiTheme="minorEastAsia" w:eastAsiaTheme="minorEastAsia" w:cstheme="minorEastAsia"/>
          <w:color w:val="0000FF"/>
          <w:kern w:val="2"/>
          <w:sz w:val="21"/>
          <w:szCs w:val="21"/>
          <w:highlight w:val="none"/>
          <w:u w:val="none"/>
          <w:lang w:val="en-US" w:eastAsia="zh-CN"/>
        </w:rPr>
        <w:t>提供</w:t>
      </w:r>
      <w:r>
        <w:rPr>
          <w:rFonts w:hint="default" w:asciiTheme="minorEastAsia" w:hAnsiTheme="minorEastAsia" w:eastAsiaTheme="minorEastAsia" w:cstheme="minorEastAsia"/>
          <w:color w:val="0000FF"/>
          <w:kern w:val="2"/>
          <w:sz w:val="21"/>
          <w:szCs w:val="21"/>
          <w:highlight w:val="none"/>
          <w:u w:val="none"/>
          <w:lang w:val="en-US" w:eastAsia="zh-CN"/>
        </w:rPr>
        <w:t>投标声明函（格式后附）；</w:t>
      </w:r>
      <w:r>
        <w:rPr>
          <w:rFonts w:hint="default" w:asciiTheme="minorEastAsia" w:hAnsiTheme="minorEastAsia" w:eastAsiaTheme="minorEastAsia" w:cstheme="minorEastAsia"/>
          <w:b/>
          <w:bCs/>
          <w:color w:val="auto"/>
          <w:sz w:val="21"/>
          <w:szCs w:val="21"/>
          <w:highlight w:val="none"/>
          <w:lang w:val="en-US" w:eastAsia="zh-CN"/>
        </w:rPr>
        <w:t>（必须提供，否则作无效投标处理）</w:t>
      </w:r>
    </w:p>
    <w:p>
      <w:pPr>
        <w:adjustRightInd w:val="0"/>
        <w:snapToGrid w:val="0"/>
        <w:spacing w:line="360" w:lineRule="exact"/>
        <w:ind w:firstLine="422"/>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FF"/>
          <w:kern w:val="2"/>
          <w:sz w:val="21"/>
          <w:szCs w:val="21"/>
          <w:highlight w:val="none"/>
          <w:u w:val="none"/>
          <w:lang w:val="en-US" w:eastAsia="zh-CN"/>
        </w:rPr>
        <w:t>（7）提供中小企业声明函</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b/>
          <w:bCs/>
          <w:color w:val="auto"/>
          <w:sz w:val="21"/>
          <w:szCs w:val="21"/>
          <w:highlight w:val="none"/>
          <w:lang w:val="en-US" w:eastAsia="zh-CN"/>
        </w:rPr>
        <w:t>（必须提供，否则作无效投标处理）</w:t>
      </w:r>
    </w:p>
    <w:p>
      <w:pPr>
        <w:adjustRightInd w:val="0"/>
        <w:snapToGrid w:val="0"/>
        <w:spacing w:line="360" w:lineRule="exact"/>
        <w:ind w:firstLine="422"/>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（8）投标人股东及出资信息表、管理关系信息表（格式后附）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（9）投标保证金缴纳证明材料；</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（10）除招标文件规定必须提供以外，投标人认为需要提供的其他证明材料。</w:t>
      </w:r>
    </w:p>
    <w:p>
      <w:pPr>
        <w:wordWrap w:val="0"/>
        <w:overflowPunct w:val="0"/>
        <w:topLinePunct/>
        <w:spacing w:line="360" w:lineRule="exact"/>
        <w:ind w:firstLine="422"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6.3报价文件：</w:t>
      </w:r>
    </w:p>
    <w:p>
      <w:pPr>
        <w:tabs>
          <w:tab w:val="left" w:pos="1276"/>
          <w:tab w:val="left" w:pos="3870"/>
          <w:tab w:val="left" w:pos="4085"/>
        </w:tabs>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（1）投标函</w:t>
      </w:r>
      <w:r>
        <w:rPr>
          <w:rFonts w:hint="eastAsia" w:asciiTheme="minorEastAsia" w:hAnsiTheme="minorEastAsia" w:eastAsiaTheme="minorEastAsia" w:cstheme="minorEastAsia"/>
          <w:b/>
          <w:color w:val="auto"/>
          <w:sz w:val="21"/>
          <w:szCs w:val="21"/>
          <w:highlight w:val="none"/>
          <w:lang w:eastAsia="zh-CN"/>
        </w:rPr>
        <w:t>(格式见第六章，必须提供)</w:t>
      </w:r>
      <w:r>
        <w:rPr>
          <w:rFonts w:hint="eastAsia" w:asciiTheme="minorEastAsia" w:hAnsiTheme="minorEastAsia" w:eastAsiaTheme="minorEastAsia" w:cstheme="minorEastAsia"/>
          <w:color w:val="auto"/>
          <w:sz w:val="21"/>
          <w:szCs w:val="21"/>
          <w:highlight w:val="none"/>
          <w:lang w:eastAsia="zh-CN"/>
        </w:rPr>
        <w:t xml:space="preserve">； </w:t>
      </w:r>
    </w:p>
    <w:p>
      <w:pPr>
        <w:tabs>
          <w:tab w:val="left" w:pos="3870"/>
          <w:tab w:val="left" w:pos="4085"/>
        </w:tabs>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FF"/>
          <w:kern w:val="2"/>
          <w:sz w:val="21"/>
          <w:szCs w:val="21"/>
          <w:highlight w:val="none"/>
          <w:u w:val="none"/>
          <w:lang w:val="en-US" w:eastAsia="zh-CN"/>
        </w:rPr>
        <w:t>（2）开标一览</w:t>
      </w:r>
      <w:r>
        <w:rPr>
          <w:rFonts w:hint="eastAsia" w:asciiTheme="minorEastAsia" w:hAnsiTheme="minorEastAsia" w:eastAsiaTheme="minorEastAsia" w:cstheme="minorEastAsia"/>
          <w:color w:val="auto"/>
          <w:sz w:val="21"/>
          <w:szCs w:val="21"/>
          <w:highlight w:val="none"/>
          <w:lang w:eastAsia="zh-CN"/>
        </w:rPr>
        <w:t>表</w:t>
      </w:r>
      <w:r>
        <w:rPr>
          <w:rFonts w:hint="eastAsia" w:asciiTheme="minorEastAsia" w:hAnsiTheme="minorEastAsia" w:eastAsiaTheme="minorEastAsia" w:cstheme="minorEastAsia"/>
          <w:b/>
          <w:color w:val="auto"/>
          <w:sz w:val="21"/>
          <w:szCs w:val="21"/>
          <w:highlight w:val="none"/>
          <w:lang w:eastAsia="zh-CN"/>
        </w:rPr>
        <w:t>(格式见第六章，必须提供）；</w:t>
      </w:r>
    </w:p>
    <w:p>
      <w:pPr>
        <w:pStyle w:val="56"/>
        <w:wordWrap w:val="0"/>
        <w:overflowPunct w:val="0"/>
        <w:topLinePun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（3）投标人针对报价需要说明的其他文件和说明</w:t>
      </w:r>
      <w:r>
        <w:rPr>
          <w:rFonts w:hint="eastAsia" w:asciiTheme="minorEastAsia" w:hAnsiTheme="minorEastAsia" w:eastAsiaTheme="minorEastAsia" w:cstheme="minorEastAsia"/>
          <w:b/>
          <w:bCs w:val="0"/>
          <w:color w:val="auto"/>
          <w:sz w:val="21"/>
          <w:szCs w:val="21"/>
          <w:highlight w:val="none"/>
          <w:lang w:eastAsia="zh-CN"/>
        </w:rPr>
        <w:t>（格式自拟）</w:t>
      </w:r>
      <w:r>
        <w:rPr>
          <w:rFonts w:hint="eastAsia" w:asciiTheme="minorEastAsia" w:hAnsiTheme="minorEastAsia" w:eastAsiaTheme="minorEastAsia" w:cstheme="minorEastAsia"/>
          <w:color w:val="auto"/>
          <w:sz w:val="21"/>
          <w:szCs w:val="21"/>
          <w:highlight w:val="none"/>
          <w:lang w:eastAsia="zh-CN"/>
        </w:rPr>
        <w:t>；</w:t>
      </w: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6.4商务技术文件</w:t>
      </w: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6.4.1商务文件</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（1）无串通投标行为的承诺函</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b/>
          <w:color w:val="auto"/>
          <w:sz w:val="21"/>
          <w:szCs w:val="21"/>
          <w:highlight w:val="none"/>
          <w:lang w:eastAsia="zh-CN"/>
        </w:rPr>
        <w:t>(格式见第六章，必须提供)；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（2）法定代表人资格证明书及身份证复印件</w:t>
      </w:r>
      <w:r>
        <w:rPr>
          <w:rFonts w:hint="eastAsia" w:asciiTheme="minorEastAsia" w:hAnsiTheme="minorEastAsia" w:eastAsiaTheme="minorEastAsia" w:cstheme="minorEastAsia"/>
          <w:b/>
          <w:bCs/>
          <w:color w:val="auto"/>
          <w:sz w:val="21"/>
          <w:szCs w:val="21"/>
          <w:highlight w:val="none"/>
          <w:lang w:eastAsia="zh-CN"/>
        </w:rPr>
        <w:t>（必须提供）；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（3）法定代表人授权委托书和委托代理人身份证复印件</w:t>
      </w:r>
      <w:r>
        <w:rPr>
          <w:rFonts w:hint="eastAsia" w:asciiTheme="minorEastAsia" w:hAnsiTheme="minorEastAsia" w:eastAsiaTheme="minorEastAsia" w:cstheme="minorEastAsia"/>
          <w:b/>
          <w:bCs/>
          <w:color w:val="auto"/>
          <w:sz w:val="21"/>
          <w:szCs w:val="21"/>
          <w:highlight w:val="none"/>
          <w:lang w:eastAsia="zh-CN"/>
        </w:rPr>
        <w:t>（格式见第六章，委托代理时必须提供）；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（4）商务响应表</w:t>
      </w:r>
      <w:r>
        <w:rPr>
          <w:rFonts w:hint="eastAsia" w:asciiTheme="minorEastAsia" w:hAnsiTheme="minorEastAsia" w:eastAsiaTheme="minorEastAsia" w:cstheme="minorEastAsia"/>
          <w:b/>
          <w:color w:val="auto"/>
          <w:sz w:val="21"/>
          <w:szCs w:val="21"/>
          <w:highlight w:val="none"/>
          <w:lang w:eastAsia="zh-CN"/>
        </w:rPr>
        <w:t>(格式见第六章，必须提供)；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（5）投标人认为针对本项目需要提供的其他材料等</w:t>
      </w:r>
      <w:r>
        <w:rPr>
          <w:rFonts w:hint="eastAsia" w:asciiTheme="minorEastAsia" w:hAnsiTheme="minorEastAsia" w:eastAsiaTheme="minorEastAsia" w:cstheme="minorEastAsia"/>
          <w:b/>
          <w:bCs/>
          <w:color w:val="auto"/>
          <w:sz w:val="21"/>
          <w:szCs w:val="21"/>
          <w:highlight w:val="none"/>
          <w:lang w:eastAsia="zh-CN"/>
        </w:rPr>
        <w:t>；</w:t>
      </w: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6.4.2技术文件</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（1）技术响应表</w:t>
      </w:r>
      <w:r>
        <w:rPr>
          <w:rFonts w:hint="eastAsia" w:asciiTheme="minorEastAsia" w:hAnsiTheme="minorEastAsia" w:eastAsiaTheme="minorEastAsia" w:cstheme="minorEastAsia"/>
          <w:b/>
          <w:color w:val="auto"/>
          <w:sz w:val="21"/>
          <w:szCs w:val="21"/>
          <w:highlight w:val="none"/>
          <w:lang w:eastAsia="zh-CN"/>
        </w:rPr>
        <w:t>(格式见第六章，必须提供)；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val="0"/>
          <w:color w:val="0000FF"/>
          <w:spacing w:val="0"/>
          <w:kern w:val="2"/>
          <w:sz w:val="21"/>
          <w:szCs w:val="21"/>
          <w:highlight w:val="none"/>
          <w:u w:val="none"/>
          <w:lang w:val="en-US" w:eastAsia="zh-CN" w:bidi="ar-SA"/>
        </w:rPr>
        <w:t>（2）项目实施方案</w:t>
      </w:r>
      <w:r>
        <w:rPr>
          <w:rFonts w:hint="eastAsia" w:asciiTheme="minorEastAsia" w:hAnsiTheme="minorEastAsia" w:eastAsiaTheme="minorEastAsia" w:cstheme="minorEastAsia"/>
          <w:b/>
          <w:bCs/>
          <w:color w:val="auto"/>
          <w:sz w:val="21"/>
          <w:szCs w:val="21"/>
          <w:highlight w:val="none"/>
          <w:lang w:eastAsia="zh-CN"/>
        </w:rPr>
        <w:t>（供应商应根据评标办法及评分标准提供，格式自拟，必须提供</w:t>
      </w:r>
      <w:r>
        <w:rPr>
          <w:rFonts w:hint="eastAsia" w:asciiTheme="minorEastAsia" w:hAnsiTheme="minorEastAsia" w:eastAsiaTheme="minorEastAsia" w:cstheme="minorEastAsia"/>
          <w:color w:val="auto"/>
          <w:sz w:val="21"/>
          <w:szCs w:val="21"/>
          <w:highlight w:val="none"/>
          <w:lang w:eastAsia="zh-CN"/>
        </w:rPr>
        <w:t>）；</w:t>
      </w:r>
    </w:p>
    <w:p>
      <w:pPr>
        <w:pStyle w:val="55"/>
        <w:rPr>
          <w:rFonts w:hint="default"/>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0000FF"/>
          <w:spacing w:val="0"/>
          <w:kern w:val="2"/>
          <w:sz w:val="21"/>
          <w:szCs w:val="21"/>
          <w:highlight w:val="none"/>
          <w:u w:val="none"/>
          <w:lang w:val="en-US" w:eastAsia="zh-CN" w:bidi="ar-SA"/>
        </w:rPr>
        <w:t>（3）培训方案</w:t>
      </w:r>
      <w:r>
        <w:rPr>
          <w:rFonts w:hint="eastAsia" w:asciiTheme="minorEastAsia" w:hAnsiTheme="minorEastAsia" w:eastAsiaTheme="minorEastAsia" w:cstheme="minorEastAsia"/>
          <w:b/>
          <w:bCs/>
          <w:color w:val="auto"/>
          <w:sz w:val="21"/>
          <w:szCs w:val="21"/>
          <w:highlight w:val="none"/>
          <w:lang w:val="en-US" w:eastAsia="zh-CN" w:bidi="ar-SA"/>
        </w:rPr>
        <w:t>（供应商应根据评标办法及评分标准提供，格式自拟，必</w:t>
      </w:r>
      <w:r>
        <w:rPr>
          <w:rFonts w:hint="eastAsia" w:asciiTheme="minorEastAsia" w:hAnsiTheme="minorEastAsia" w:eastAsiaTheme="minorEastAsia" w:cstheme="minorEastAsia"/>
          <w:b/>
          <w:bCs/>
          <w:color w:val="auto"/>
          <w:sz w:val="21"/>
          <w:szCs w:val="21"/>
          <w:highlight w:val="none"/>
          <w:lang w:eastAsia="zh-CN"/>
        </w:rPr>
        <w:t>须提供</w:t>
      </w:r>
      <w:r>
        <w:rPr>
          <w:rFonts w:hint="eastAsia" w:asciiTheme="minorEastAsia" w:hAnsiTheme="minorEastAsia" w:eastAsiaTheme="minorEastAsia" w:cstheme="minorEastAsia"/>
          <w:color w:val="auto"/>
          <w:sz w:val="21"/>
          <w:szCs w:val="21"/>
          <w:highlight w:val="none"/>
          <w:lang w:val="en-US"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val="0"/>
          <w:bCs w:val="0"/>
          <w:color w:val="0000FF"/>
          <w:spacing w:val="0"/>
          <w:kern w:val="2"/>
          <w:sz w:val="21"/>
          <w:szCs w:val="21"/>
          <w:highlight w:val="none"/>
          <w:u w:val="none"/>
          <w:lang w:val="en-US" w:eastAsia="zh-CN" w:bidi="ar-SA"/>
        </w:rPr>
        <w:t>（4）售后服务承诺书</w:t>
      </w:r>
      <w:r>
        <w:rPr>
          <w:rFonts w:hint="eastAsia" w:asciiTheme="minorEastAsia" w:hAnsiTheme="minorEastAsia" w:eastAsiaTheme="minorEastAsia" w:cstheme="minorEastAsia"/>
          <w:b/>
          <w:bCs/>
          <w:color w:val="auto"/>
          <w:sz w:val="21"/>
          <w:szCs w:val="21"/>
          <w:highlight w:val="none"/>
          <w:lang w:val="en-US" w:eastAsia="zh-CN" w:bidi="ar-SA"/>
        </w:rPr>
        <w:t>（供应商应根据评标办法及评分标准提供，格式自拟，必</w:t>
      </w:r>
      <w:r>
        <w:rPr>
          <w:rFonts w:hint="eastAsia" w:asciiTheme="minorEastAsia" w:hAnsiTheme="minorEastAsia" w:eastAsiaTheme="minorEastAsia" w:cstheme="minorEastAsia"/>
          <w:b/>
          <w:bCs/>
          <w:color w:val="auto"/>
          <w:sz w:val="21"/>
          <w:szCs w:val="21"/>
          <w:highlight w:val="none"/>
          <w:lang w:eastAsia="zh-CN"/>
        </w:rPr>
        <w:t>须提供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0000FF"/>
          <w:spacing w:val="0"/>
          <w:kern w:val="2"/>
          <w:sz w:val="21"/>
          <w:szCs w:val="21"/>
          <w:highlight w:val="none"/>
          <w:u w:val="none"/>
          <w:lang w:val="en-US" w:eastAsia="zh-CN" w:bidi="ar-SA"/>
        </w:rPr>
        <w:t>（5）产品质量保证书</w:t>
      </w:r>
      <w:r>
        <w:rPr>
          <w:rFonts w:hint="eastAsia" w:asciiTheme="minorEastAsia" w:hAnsiTheme="minorEastAsia" w:eastAsiaTheme="minorEastAsia" w:cstheme="minorEastAsia"/>
          <w:b/>
          <w:color w:val="auto"/>
          <w:sz w:val="21"/>
          <w:szCs w:val="21"/>
          <w:highlight w:val="none"/>
          <w:lang w:eastAsia="zh-CN"/>
        </w:rPr>
        <w:t>(格式见第六章，必须提供)；</w:t>
      </w:r>
      <w:r>
        <w:rPr>
          <w:rFonts w:hint="eastAsia" w:asciiTheme="minorEastAsia" w:hAnsiTheme="minorEastAsia" w:eastAsiaTheme="minorEastAsia" w:cstheme="minorEastAsia"/>
          <w:b/>
          <w:bCs/>
          <w:color w:val="auto"/>
          <w:sz w:val="21"/>
          <w:szCs w:val="21"/>
          <w:highlight w:val="none"/>
          <w:lang w:eastAsia="zh-CN"/>
        </w:rPr>
        <w:t xml:space="preserve"> </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val="0"/>
          <w:bCs w:val="0"/>
          <w:color w:val="0000FF"/>
          <w:spacing w:val="0"/>
          <w:kern w:val="2"/>
          <w:sz w:val="21"/>
          <w:szCs w:val="21"/>
          <w:highlight w:val="none"/>
          <w:u w:val="none"/>
          <w:lang w:val="en-US" w:eastAsia="zh-CN" w:bidi="ar-SA"/>
        </w:rPr>
      </w:pPr>
      <w:r>
        <w:rPr>
          <w:rFonts w:hint="eastAsia" w:asciiTheme="minorEastAsia" w:hAnsiTheme="minorEastAsia" w:eastAsiaTheme="minorEastAsia" w:cstheme="minorEastAsia"/>
          <w:b w:val="0"/>
          <w:bCs w:val="0"/>
          <w:color w:val="0000FF"/>
          <w:spacing w:val="0"/>
          <w:kern w:val="2"/>
          <w:sz w:val="21"/>
          <w:szCs w:val="21"/>
          <w:highlight w:val="none"/>
          <w:u w:val="none"/>
          <w:lang w:val="en-US" w:eastAsia="zh-CN" w:bidi="ar-SA"/>
        </w:rPr>
        <w:t>（6）投标人认为针对本项目需要提供的其他材料等。</w:t>
      </w:r>
    </w:p>
    <w:p>
      <w:pPr>
        <w:pStyle w:val="21"/>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特别说明：</w:t>
      </w:r>
    </w:p>
    <w:p>
      <w:pPr>
        <w:spacing w:line="36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投标文件中所需加盖公章部分均采用CA签章。若招标文件中有专门标注的某关联点，并要求供应商在电子投标系统中作出投标响应的，如供应商未对关联点进行响应或者在投标文件其他内容进行描述，造成电子评审不能查询的责任由供应商自行承担。</w:t>
      </w:r>
    </w:p>
    <w:p>
      <w:pPr>
        <w:spacing w:line="36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（2）招标文件要求提供的各种复印件（扫描件），必须加盖投标供应商CA签章，否则其投标无效。</w:t>
      </w:r>
    </w:p>
    <w:p>
      <w:pPr>
        <w:spacing w:line="36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（3）招标文件要求“必须提供”的证明等材料，投标供应商必须全部提供，缺一不可，否则投标无效。</w:t>
      </w:r>
    </w:p>
    <w:p>
      <w:pPr>
        <w:spacing w:line="36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（4）招标文件要求法定代表人（负责人）或委托代理人签字的部分必须打印签字后扫描或拍照做成PDF格式上传，如供应商有政采云法人私章CA证书或签字章的也可直接使用，否则视为投标无效。</w:t>
      </w:r>
    </w:p>
    <w:p>
      <w:pPr>
        <w:bidi w:val="0"/>
        <w:ind w:firstLine="400" w:firstLineChars="200"/>
        <w:rPr>
          <w:rFonts w:hint="eastAsia"/>
          <w:b/>
          <w:bCs/>
          <w:color w:val="auto"/>
          <w:highlight w:val="none"/>
          <w:lang w:eastAsia="zh-CN"/>
        </w:rPr>
      </w:pPr>
      <w:bookmarkStart w:id="66" w:name="_Toc1170"/>
      <w:bookmarkStart w:id="67" w:name="_Toc254970678"/>
      <w:bookmarkStart w:id="68" w:name="_Toc254970537"/>
      <w:bookmarkStart w:id="69" w:name="_Toc30195"/>
      <w:r>
        <w:rPr>
          <w:rFonts w:hint="eastAsia"/>
          <w:b/>
          <w:bCs/>
          <w:color w:val="auto"/>
          <w:highlight w:val="none"/>
          <w:lang w:eastAsia="zh-CN"/>
        </w:rPr>
        <w:t>7.投标文件的语言及计量</w:t>
      </w:r>
      <w:bookmarkEnd w:id="66"/>
      <w:bookmarkEnd w:id="67"/>
      <w:bookmarkEnd w:id="68"/>
      <w:bookmarkEnd w:id="69"/>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▲7.1投标文件以及投标方与招标方就有关投标事宜的所有来往函电，均应以中文汉语书写。除签名、盖章、专用名称等特殊情形外，以中文汉语以外的文字表述的投标文件视同未提供。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▲7.2投标计量单位，招标文件已有明确规定的，使用招标文件规定的计量单位；招标文件没有规定的，应采用中华人民共和国法定计量单位（货币单位：人民币元），否则视同未响应。</w:t>
      </w:r>
    </w:p>
    <w:p>
      <w:pPr>
        <w:bidi w:val="0"/>
        <w:ind w:firstLine="400" w:firstLineChars="200"/>
        <w:rPr>
          <w:rFonts w:hint="eastAsia"/>
          <w:b/>
          <w:bCs/>
          <w:color w:val="auto"/>
          <w:highlight w:val="none"/>
          <w:lang w:eastAsia="zh-CN"/>
        </w:rPr>
      </w:pPr>
      <w:bookmarkStart w:id="70" w:name="_Toc254970679"/>
      <w:bookmarkStart w:id="71" w:name="_Toc26882"/>
      <w:bookmarkStart w:id="72" w:name="_Toc254970538"/>
      <w:bookmarkStart w:id="73" w:name="_Toc8888"/>
      <w:r>
        <w:rPr>
          <w:rFonts w:hint="eastAsia"/>
          <w:b/>
          <w:bCs/>
          <w:color w:val="auto"/>
          <w:highlight w:val="none"/>
          <w:lang w:eastAsia="zh-CN"/>
        </w:rPr>
        <w:t>8.投标报价</w:t>
      </w:r>
      <w:bookmarkEnd w:id="70"/>
      <w:bookmarkEnd w:id="71"/>
      <w:bookmarkEnd w:id="72"/>
      <w:bookmarkEnd w:id="73"/>
    </w:p>
    <w:p>
      <w:pPr>
        <w:pStyle w:val="21"/>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8.1 投标人可就《货物需求一览表》中的全部货物内容作完整唯一报价。对不同文字文本投标文件的解释发生异议的，以中文文本为准。如果投标人不接受对其错误的更正，其投标报价无效。</w:t>
      </w:r>
    </w:p>
    <w:p>
      <w:pPr>
        <w:pStyle w:val="21"/>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8.2投标报价是履行合同的最终价格，应包括项目实施所需的人工费、货款、标准附件、备品备件、专用工具、包装、运输、装卸、保险、税金、货到就位以及安装、调试、培训、保修、售后服务等一切税金和费用。</w:t>
      </w:r>
    </w:p>
    <w:p>
      <w:pPr>
        <w:tabs>
          <w:tab w:val="left" w:pos="525"/>
        </w:tabs>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8.3投标文件只允许有一个报价，有选择的或有条件的报价将不予接受。</w:t>
      </w:r>
    </w:p>
    <w:p>
      <w:pPr>
        <w:tabs>
          <w:tab w:val="left" w:pos="525"/>
        </w:tabs>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8.4如投标人的投标报价或某些分项报价明显不合理或低于成本，有可能影响商品质量或不能诚信履约的，应当在评标委员会规定的期限内提供书面文件予以说明，并提交相关证明材料。否则，评标委员会可以拒绝，评定其报价无效。</w:t>
      </w:r>
    </w:p>
    <w:p>
      <w:pPr>
        <w:pStyle w:val="11"/>
        <w:numPr>
          <w:ilvl w:val="0"/>
          <w:numId w:val="0"/>
        </w:numPr>
        <w:tabs>
          <w:tab w:val="left" w:pos="720"/>
          <w:tab w:val="left" w:pos="840"/>
        </w:tabs>
        <w:wordWrap w:val="0"/>
        <w:topLinePunct/>
        <w:adjustRightInd w:val="0"/>
        <w:snapToGrid w:val="0"/>
        <w:spacing w:line="36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9.投标文件的有效期</w:t>
      </w:r>
    </w:p>
    <w:p>
      <w:pPr>
        <w:pStyle w:val="11"/>
        <w:numPr>
          <w:ilvl w:val="0"/>
          <w:numId w:val="0"/>
        </w:numPr>
        <w:tabs>
          <w:tab w:val="left" w:pos="720"/>
          <w:tab w:val="left" w:pos="840"/>
        </w:tabs>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9.1自投标文件递交截止之日起</w:t>
      </w:r>
      <w:r>
        <w:rPr>
          <w:rFonts w:hint="eastAsia" w:asciiTheme="minorEastAsia" w:hAnsiTheme="minorEastAsia" w:eastAsiaTheme="minorEastAsia" w:cstheme="minorEastAsia"/>
          <w:color w:val="auto"/>
          <w:sz w:val="21"/>
          <w:szCs w:val="21"/>
          <w:highlight w:val="none"/>
          <w:u w:val="single"/>
          <w:lang w:eastAsia="zh-CN"/>
        </w:rPr>
        <w:t>六十</w:t>
      </w:r>
      <w:r>
        <w:rPr>
          <w:rFonts w:hint="eastAsia" w:asciiTheme="minorEastAsia" w:hAnsiTheme="minorEastAsia" w:eastAsiaTheme="minorEastAsia" w:cstheme="minorEastAsia"/>
          <w:color w:val="auto"/>
          <w:sz w:val="21"/>
          <w:szCs w:val="21"/>
          <w:highlight w:val="none"/>
          <w:lang w:eastAsia="zh-CN"/>
        </w:rPr>
        <w:t>日内投标文件应保持有效，有效期不足的投标文件将被拒绝。</w:t>
      </w:r>
    </w:p>
    <w:p>
      <w:pPr>
        <w:pStyle w:val="11"/>
        <w:numPr>
          <w:ilvl w:val="0"/>
          <w:numId w:val="0"/>
        </w:numPr>
        <w:tabs>
          <w:tab w:val="left" w:pos="720"/>
          <w:tab w:val="left" w:pos="840"/>
        </w:tabs>
        <w:wordWrap w:val="0"/>
        <w:topLinePunct/>
        <w:adjustRightInd w:val="0"/>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9.2在特殊情况下，招标人可与投标人协商延长投标文件的有效期，这种要求和答复均以书面形式进行。</w:t>
      </w:r>
    </w:p>
    <w:p>
      <w:pPr>
        <w:bidi w:val="0"/>
        <w:rPr>
          <w:rFonts w:hint="eastAsia" w:asciiTheme="minorEastAsia" w:hAnsiTheme="minorEastAsia" w:eastAsiaTheme="minorEastAsia" w:cstheme="minorEastAsia"/>
          <w:b/>
          <w:color w:val="auto"/>
          <w:sz w:val="21"/>
          <w:szCs w:val="21"/>
          <w:highlight w:val="none"/>
          <w:lang w:eastAsia="zh-CN"/>
        </w:rPr>
      </w:pPr>
      <w:bookmarkStart w:id="74" w:name="_Toc26070"/>
      <w:bookmarkStart w:id="75" w:name="_Toc254970539"/>
      <w:bookmarkStart w:id="76" w:name="_Toc23175"/>
      <w:bookmarkStart w:id="77" w:name="_Toc254970680"/>
      <w:r>
        <w:rPr>
          <w:rFonts w:hint="eastAsia" w:asciiTheme="minorEastAsia" w:hAnsiTheme="minorEastAsia" w:eastAsiaTheme="minorEastAsia" w:cstheme="minorEastAsia"/>
          <w:color w:val="auto"/>
          <w:sz w:val="21"/>
          <w:szCs w:val="21"/>
          <w:highlight w:val="none"/>
          <w:lang w:eastAsia="zh-CN"/>
        </w:rPr>
        <w:t>9.3投标人可拒绝接受延期要求而不会导致投标保证金被没收。同意延长有效期的投标人需要相应延长投标保证金的有效期，但不能修改投标文件。</w:t>
      </w:r>
      <w:bookmarkEnd w:id="74"/>
      <w:bookmarkEnd w:id="75"/>
      <w:bookmarkEnd w:id="76"/>
      <w:bookmarkEnd w:id="77"/>
      <w:r>
        <w:rPr>
          <w:rFonts w:hint="eastAsia" w:asciiTheme="minorEastAsia" w:hAnsiTheme="minorEastAsia" w:eastAsiaTheme="minorEastAsia" w:cstheme="minorEastAsia"/>
          <w:b/>
          <w:color w:val="auto"/>
          <w:sz w:val="21"/>
          <w:szCs w:val="21"/>
          <w:highlight w:val="none"/>
          <w:lang w:eastAsia="zh-CN"/>
        </w:rPr>
        <w:t xml:space="preserve"> </w:t>
      </w:r>
    </w:p>
    <w:p>
      <w:pPr>
        <w:bidi w:val="0"/>
        <w:rPr>
          <w:rFonts w:hint="eastAsia"/>
          <w:color w:val="auto"/>
          <w:highlight w:val="none"/>
          <w:lang w:eastAsia="zh-CN"/>
        </w:rPr>
      </w:pPr>
      <w:bookmarkStart w:id="78" w:name="_Toc21186"/>
      <w:bookmarkStart w:id="79" w:name="_Toc254970540"/>
      <w:bookmarkStart w:id="80" w:name="_Toc254970681"/>
      <w:bookmarkStart w:id="81" w:name="_Toc19976"/>
      <w:r>
        <w:rPr>
          <w:rFonts w:hint="eastAsia"/>
          <w:color w:val="auto"/>
          <w:highlight w:val="none"/>
          <w:lang w:eastAsia="zh-CN"/>
        </w:rPr>
        <w:t>9.4中标人的投标文件自开标之日起至合同履行完毕止均应保持有效。</w:t>
      </w:r>
      <w:bookmarkEnd w:id="78"/>
      <w:bookmarkEnd w:id="79"/>
      <w:bookmarkEnd w:id="80"/>
      <w:bookmarkEnd w:id="81"/>
    </w:p>
    <w:p>
      <w:pPr>
        <w:bidi w:val="0"/>
        <w:ind w:firstLine="400" w:firstLineChars="200"/>
        <w:rPr>
          <w:rFonts w:hint="eastAsia"/>
          <w:b/>
          <w:bCs/>
          <w:color w:val="auto"/>
          <w:highlight w:val="none"/>
          <w:lang w:eastAsia="zh-CN"/>
        </w:rPr>
      </w:pPr>
      <w:bookmarkStart w:id="82" w:name="_Toc18380"/>
      <w:bookmarkStart w:id="83" w:name="_Toc5972"/>
      <w:bookmarkStart w:id="84" w:name="_Toc254970682"/>
      <w:bookmarkStart w:id="85" w:name="_Toc254970541"/>
      <w:r>
        <w:rPr>
          <w:rFonts w:hint="eastAsia"/>
          <w:b/>
          <w:bCs/>
          <w:color w:val="auto"/>
          <w:highlight w:val="none"/>
          <w:lang w:eastAsia="zh-CN"/>
        </w:rPr>
        <w:t>10.投标保证金</w:t>
      </w:r>
      <w:bookmarkEnd w:id="82"/>
      <w:bookmarkEnd w:id="83"/>
      <w:bookmarkEnd w:id="84"/>
      <w:bookmarkEnd w:id="85"/>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10.1投标保证金金额按本须知前附表第5项要求交纳，且提交到指定账户的时间不得迟于本须知前附表第5项所规定的时间。投标人须按规定提交投标保证金，否则，其投标将被拒绝。</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10.2保证金交纳形式</w:t>
      </w:r>
      <w:r>
        <w:rPr>
          <w:rFonts w:hint="eastAsia" w:asciiTheme="minorEastAsia" w:hAnsiTheme="minorEastAsia" w:eastAsiaTheme="minorEastAsia" w:cstheme="minorEastAsia"/>
          <w:color w:val="auto"/>
          <w:kern w:val="2"/>
          <w:sz w:val="21"/>
          <w:szCs w:val="21"/>
          <w:highlight w:val="none"/>
          <w:lang w:eastAsia="zh-CN"/>
        </w:rPr>
        <w:t>：银行转账、支票、汇票、本票或者银行、保险机构出具的保函，禁止采用现钞方式。</w:t>
      </w:r>
    </w:p>
    <w:p>
      <w:pPr>
        <w:pStyle w:val="21"/>
        <w:spacing w:line="3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注：①投标人应按本须知中所明确的开户名称、开户银行、账号，于规定时间前将投标保证金从投标人银行账户转出并到达浦北县公共资源交易中心账户，否则视为无效保证金。</w:t>
      </w:r>
      <w:r>
        <w:rPr>
          <w:rFonts w:hint="eastAsia" w:asciiTheme="minorEastAsia" w:hAnsiTheme="minorEastAsia" w:eastAsiaTheme="minorEastAsia" w:cstheme="minorEastAsia"/>
          <w:b/>
          <w:color w:val="auto"/>
          <w:szCs w:val="21"/>
          <w:highlight w:val="none"/>
          <w:u w:val="single"/>
        </w:rPr>
        <w:t>本项目不接受现金形式或从个人账户转出的投标保证金。</w:t>
      </w:r>
    </w:p>
    <w:p>
      <w:pPr>
        <w:pStyle w:val="21"/>
        <w:spacing w:line="3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②办理投标保证金手续时，请务必在银行进账单的用途或空白栏上注明项目名称（或项目编号）以及分标号，以免耽误投标。</w:t>
      </w:r>
    </w:p>
    <w:p>
      <w:pPr>
        <w:wordWrap w:val="0"/>
        <w:topLinePunct/>
        <w:autoSpaceDE w:val="0"/>
        <w:autoSpaceDN w:val="0"/>
        <w:adjustRightInd w:val="0"/>
        <w:snapToGrid w:val="0"/>
        <w:spacing w:line="360" w:lineRule="exact"/>
        <w:ind w:left="400" w:left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10.3对未按招标文件要求交纳投标保证金的投标文件，采购代理机构将拒绝接收。</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10.4未中标人的投标保证金在中标通知书发出之日起五个工作日内退还，中标人的投标保证金自政府采购合同签订之日起五个工作日内退还，不计利息。</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bookmarkStart w:id="86" w:name="_Toc254970542"/>
      <w:bookmarkStart w:id="87" w:name="_Toc254970683"/>
      <w:r>
        <w:rPr>
          <w:rFonts w:hint="eastAsia" w:asciiTheme="minorEastAsia" w:hAnsiTheme="minorEastAsia" w:eastAsiaTheme="minorEastAsia" w:cstheme="minorEastAsia"/>
          <w:color w:val="auto"/>
          <w:sz w:val="21"/>
          <w:szCs w:val="21"/>
          <w:highlight w:val="none"/>
          <w:lang w:eastAsia="zh-CN"/>
        </w:rPr>
        <w:t>10.5投标人有下列情形之一的，投标保证金将不予退还：</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10.5.1投标人在投标有效期内撤回投标文件的；</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10.5.2投标人在投标过程中弄虚作假，提供虚假材料的；</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10.5.3中标人无正当理由不与招标单位签订合同的；</w:t>
      </w:r>
    </w:p>
    <w:p>
      <w:pPr>
        <w:wordWrap w:val="0"/>
        <w:topLinePunct/>
        <w:adjustRightInd w:val="0"/>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10.5.4将中标项目转让给他人或者在投标文件中未说明且未经招标单位同意，将中标项目分包给他人的；</w:t>
      </w:r>
    </w:p>
    <w:p>
      <w:pPr>
        <w:wordWrap w:val="0"/>
        <w:topLinePunct/>
        <w:adjustRightInd w:val="0"/>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10.5.5拒绝履行合同义务的；</w:t>
      </w:r>
    </w:p>
    <w:p>
      <w:pPr>
        <w:wordWrap w:val="0"/>
        <w:topLinePunct/>
        <w:adjustRightInd w:val="0"/>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10.5.6投标人与招标单位、其他供应商或者采购代理机构恶意串通的；</w:t>
      </w:r>
    </w:p>
    <w:p>
      <w:pPr>
        <w:wordWrap w:val="0"/>
        <w:topLinePunct/>
        <w:adjustRightInd w:val="0"/>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10.5.7其他严重扰乱招投标程序的。</w:t>
      </w:r>
    </w:p>
    <w:p>
      <w:pPr>
        <w:bidi w:val="0"/>
        <w:ind w:firstLine="400" w:firstLineChars="200"/>
        <w:rPr>
          <w:rFonts w:hint="eastAsia"/>
          <w:b/>
          <w:bCs/>
          <w:color w:val="auto"/>
          <w:highlight w:val="none"/>
          <w:lang w:eastAsia="zh-CN"/>
        </w:rPr>
      </w:pPr>
      <w:bookmarkStart w:id="88" w:name="_Toc22895"/>
      <w:bookmarkStart w:id="89" w:name="_Toc7157"/>
      <w:r>
        <w:rPr>
          <w:rFonts w:hint="eastAsia"/>
          <w:b/>
          <w:bCs/>
          <w:color w:val="auto"/>
          <w:highlight w:val="none"/>
          <w:lang w:eastAsia="zh-CN"/>
        </w:rPr>
        <w:t>11.投标文件的签署和份数</w:t>
      </w:r>
      <w:bookmarkEnd w:id="86"/>
      <w:bookmarkEnd w:id="87"/>
      <w:bookmarkEnd w:id="88"/>
      <w:bookmarkEnd w:id="89"/>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11.1投标人应按本招标文件规定的格式和顺序编制、装订投标文件，并编制目录、标注页码，投标文件内容不完整、编排混乱导致投标文件被误读、漏读或者查找不到相关内容的，是投标人的责任。</w:t>
      </w:r>
    </w:p>
    <w:p>
      <w:pPr>
        <w:pStyle w:val="21"/>
        <w:spacing w:line="34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11.2</w:t>
      </w:r>
      <w:r>
        <w:rPr>
          <w:rFonts w:hint="eastAsia" w:asciiTheme="minorEastAsia" w:hAnsiTheme="minorEastAsia" w:eastAsiaTheme="minorEastAsia" w:cstheme="minorEastAsia"/>
          <w:color w:val="auto"/>
          <w:highlight w:val="none"/>
        </w:rPr>
        <w:t>投标文件递交份数：（1）电子加密投标文件：1份；（2）电子备份投标文件：1份（以U盘或光盘存储并按要求密封）</w:t>
      </w:r>
      <w:r>
        <w:rPr>
          <w:rFonts w:hint="eastAsia" w:asciiTheme="minorEastAsia" w:hAnsiTheme="minorEastAsia" w:eastAsiaTheme="minorEastAsia" w:cstheme="minorEastAsia"/>
          <w:color w:val="auto"/>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11.3投标文件须由投标人在规定位置盖章并由法定代表人或法定代表人的授权委托人签署，投标人应写全称。</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11.4投标文件不得涂改，若有修改错漏处，须加盖单位公章或者法定代表人或授权委托人签字或盖章。投标文件因字迹潦草或表达不清所引起的后果由投标人负责。</w:t>
      </w: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12.投标文件的修改和撤回</w:t>
      </w:r>
    </w:p>
    <w:p>
      <w:pPr>
        <w:bidi w:val="0"/>
        <w:ind w:firstLine="400" w:firstLineChars="200"/>
        <w:rPr>
          <w:rFonts w:hint="eastAsia"/>
          <w:color w:val="auto"/>
          <w:highlight w:val="none"/>
          <w:lang w:eastAsia="zh-CN"/>
        </w:rPr>
      </w:pPr>
      <w:bookmarkStart w:id="90" w:name="_Toc254970543"/>
      <w:bookmarkStart w:id="91" w:name="_Toc254970684"/>
      <w:r>
        <w:rPr>
          <w:rFonts w:hint="eastAsia"/>
          <w:color w:val="auto"/>
          <w:highlight w:val="none"/>
          <w:lang w:eastAsia="zh-CN"/>
        </w:rPr>
        <w:t>12.1投标人在投标截止时间之前，可以对已提交的投标文件进行修改或撤回。投标文件需要补充或修改的应及时撤回投标文件，补充、修改后重新提交，提交投标文件截止时间前未完成提交（上传）的，视为撤回投标文件。</w:t>
      </w:r>
    </w:p>
    <w:p>
      <w:pPr>
        <w:bidi w:val="0"/>
        <w:ind w:firstLine="400" w:firstLineChars="200"/>
        <w:rPr>
          <w:rFonts w:hint="eastAsia"/>
          <w:b/>
          <w:bCs/>
          <w:color w:val="auto"/>
          <w:highlight w:val="none"/>
          <w:lang w:eastAsia="zh-CN"/>
        </w:rPr>
      </w:pPr>
      <w:r>
        <w:rPr>
          <w:rFonts w:hint="eastAsia"/>
          <w:b/>
          <w:bCs/>
          <w:color w:val="auto"/>
          <w:highlight w:val="none"/>
          <w:lang w:eastAsia="zh-CN"/>
        </w:rPr>
        <w:t>13.投标无效的情形</w:t>
      </w:r>
      <w:bookmarkEnd w:id="90"/>
      <w:bookmarkEnd w:id="91"/>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13.1实质上没有响应招标文件要求的投标将被视为无效投标。投标人不得通过修正或撤销不合要求的偏离或保留从而使其投标成为实质上响应的投标，但经评标委员会认定属于投标人疏忽、笔误所造成的差错，应当允许其在规定时间内进行澄清或者补正（投标人应随时关注开评标进度，如</w:t>
      </w:r>
      <w:r>
        <w:rPr>
          <w:rFonts w:hint="eastAsia" w:asciiTheme="minorEastAsia" w:hAnsiTheme="minorEastAsia" w:eastAsiaTheme="minorEastAsia" w:cstheme="minorEastAsia"/>
          <w:color w:val="auto"/>
          <w:sz w:val="21"/>
          <w:szCs w:val="21"/>
          <w:highlight w:val="none"/>
          <w:lang w:eastAsia="zh-CN"/>
        </w:rPr>
        <w:t>开评标过程中有电子询标，应在规定的时间内对电子询标函进行澄清回复</w:t>
      </w:r>
      <w:r>
        <w:rPr>
          <w:rFonts w:hint="eastAsia" w:asciiTheme="minorEastAsia" w:hAnsiTheme="minorEastAsia" w:eastAsiaTheme="minorEastAsia" w:cstheme="minorEastAsia"/>
          <w:bCs/>
          <w:color w:val="auto"/>
          <w:sz w:val="21"/>
          <w:szCs w:val="21"/>
          <w:highlight w:val="none"/>
          <w:lang w:eastAsia="zh-CN"/>
        </w:rPr>
        <w:t>）。限期内不补正或经补正后仍不符合招标文件要求的，应认定其投标无效。投标人修改、补正投标文件后，不影响评标委员会对其投标文件所作的评价和评分结果。</w:t>
      </w:r>
    </w:p>
    <w:p>
      <w:pPr>
        <w:wordWrap w:val="0"/>
        <w:topLinePunct/>
        <w:adjustRightInd w:val="0"/>
        <w:snapToGrid w:val="0"/>
        <w:spacing w:line="34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13.2在商务评审时，如发现下列情形之一的，投标文件将被视为无效：</w:t>
      </w:r>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⑴未按照招标文件要求密封、签字和盖章的，或未</w:t>
      </w:r>
      <w:r>
        <w:rPr>
          <w:rFonts w:hint="eastAsia" w:asciiTheme="minorEastAsia" w:hAnsiTheme="minorEastAsia" w:eastAsiaTheme="minorEastAsia" w:cstheme="minorEastAsia"/>
          <w:bCs/>
          <w:color w:val="auto"/>
          <w:sz w:val="21"/>
          <w:szCs w:val="21"/>
          <w:highlight w:val="none"/>
          <w:lang w:eastAsia="zh-CN"/>
        </w:rPr>
        <w:t>提供法定代表人授权委托书、投标声明书或者填写项目不齐全的；</w:t>
      </w:r>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⑵投标代表人未能出具身份证明或与法定代表人授权委托人身份不符的；</w:t>
      </w:r>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⑶</w:t>
      </w:r>
      <w:r>
        <w:rPr>
          <w:rFonts w:hint="eastAsia" w:asciiTheme="minorEastAsia" w:hAnsiTheme="minorEastAsia" w:eastAsiaTheme="minorEastAsia" w:cstheme="minorEastAsia"/>
          <w:bCs/>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eastAsia="zh-CN"/>
        </w:rPr>
        <w:t>投标文件未提供“投标人须知”第6.4.1条规定“必须提供”的文件资料的；</w:t>
      </w:r>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⑷投标文件的实质性内容未使用中文表述、意思表述不明确、前后矛盾或者使用计量单位不符合招标文件要求的（经评标委员会认定并允许其当场更正的笔误除外）；</w:t>
      </w:r>
    </w:p>
    <w:p>
      <w:pPr>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⑸</w:t>
      </w:r>
      <w:r>
        <w:rPr>
          <w:rFonts w:hint="eastAsia" w:asciiTheme="minorEastAsia" w:hAnsiTheme="minorEastAsia" w:eastAsiaTheme="minorEastAsia" w:cstheme="minorEastAsia"/>
          <w:snapToGrid w:val="0"/>
          <w:color w:val="auto"/>
          <w:sz w:val="21"/>
          <w:szCs w:val="21"/>
          <w:highlight w:val="none"/>
          <w:lang w:eastAsia="zh-CN"/>
        </w:rPr>
        <w:t>投标有效期、交货时间、质保期等商务条款不能满足招标文件要求的；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snapToGrid w:val="0"/>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⑹未实质性响应招标文件要求或者投标文件有招标方不能接受的附加条件的；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snapToGrid w:val="0"/>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⑺</w:t>
      </w:r>
      <w:r>
        <w:rPr>
          <w:rFonts w:hint="eastAsia" w:asciiTheme="minorEastAsia" w:hAnsiTheme="minorEastAsia" w:eastAsiaTheme="minorEastAsia" w:cstheme="minorEastAsia"/>
          <w:color w:val="auto"/>
          <w:sz w:val="21"/>
          <w:szCs w:val="21"/>
          <w:highlight w:val="none"/>
          <w:lang w:eastAsia="zh-CN"/>
        </w:rPr>
        <w:t>不符合法律、法规和招标文件中规定的其他实质性要求的。</w:t>
      </w:r>
    </w:p>
    <w:p>
      <w:pPr>
        <w:pStyle w:val="19"/>
        <w:wordWrap w:val="0"/>
        <w:topLinePunct/>
        <w:adjustRightInd w:val="0"/>
        <w:snapToGrid w:val="0"/>
        <w:spacing w:line="340" w:lineRule="exact"/>
        <w:ind w:firstLine="422" w:firstLineChars="200"/>
        <w:rPr>
          <w:rFonts w:hint="eastAsia" w:asciiTheme="minorEastAsia" w:hAnsiTheme="minorEastAsia" w:eastAsiaTheme="minorEastAsia" w:cstheme="minorEastAsia"/>
          <w:b/>
          <w:color w:val="auto"/>
          <w:spacing w:val="0"/>
          <w:sz w:val="21"/>
          <w:szCs w:val="21"/>
          <w:highlight w:val="none"/>
          <w:lang w:eastAsia="zh-CN"/>
        </w:rPr>
      </w:pPr>
      <w:r>
        <w:rPr>
          <w:rFonts w:hint="eastAsia" w:asciiTheme="minorEastAsia" w:hAnsiTheme="minorEastAsia" w:eastAsiaTheme="minorEastAsia" w:cstheme="minorEastAsia"/>
          <w:b/>
          <w:color w:val="auto"/>
          <w:spacing w:val="0"/>
          <w:sz w:val="21"/>
          <w:szCs w:val="21"/>
          <w:highlight w:val="none"/>
          <w:lang w:eastAsia="zh-CN"/>
        </w:rPr>
        <w:t>13.3在技术评审时，如发现下列情形之一的，投标文件将被视为无效：</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⑴未提供或未如实提供投标货物的技术参数，或者投标文件标明的响应或偏离与事实不符或虚假投标的；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⑵</w:t>
      </w:r>
      <w:r>
        <w:rPr>
          <w:rFonts w:hint="eastAsia" w:asciiTheme="minorEastAsia" w:hAnsiTheme="minorEastAsia" w:eastAsiaTheme="minorEastAsia" w:cstheme="minorEastAsia"/>
          <w:snapToGrid w:val="0"/>
          <w:color w:val="auto"/>
          <w:spacing w:val="0"/>
          <w:sz w:val="21"/>
          <w:szCs w:val="21"/>
          <w:highlight w:val="none"/>
          <w:lang w:eastAsia="zh-CN"/>
        </w:rPr>
        <w:t>明显不符合招标文件要求的规格型号、质量标准，或者与</w:t>
      </w:r>
      <w:r>
        <w:rPr>
          <w:rFonts w:hint="eastAsia" w:asciiTheme="minorEastAsia" w:hAnsiTheme="minorEastAsia" w:eastAsiaTheme="minorEastAsia" w:cstheme="minorEastAsia"/>
          <w:color w:val="auto"/>
          <w:spacing w:val="0"/>
          <w:sz w:val="21"/>
          <w:szCs w:val="21"/>
          <w:highlight w:val="none"/>
          <w:lang w:eastAsia="zh-CN"/>
        </w:rPr>
        <w:t>招标文件中的技术指标、主要功能项目发生实质性偏离的；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⑶投标文件未提供“投标人须知”第6.4.2条规定中“必须提供”的文件资料的；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⑷投标技术方案不明确，存在一个或一个以上备选（替代）投标方案的。</w:t>
      </w:r>
    </w:p>
    <w:p>
      <w:pPr>
        <w:pStyle w:val="19"/>
        <w:wordWrap w:val="0"/>
        <w:topLinePunct/>
        <w:adjustRightInd w:val="0"/>
        <w:snapToGrid w:val="0"/>
        <w:spacing w:line="340" w:lineRule="exact"/>
        <w:ind w:firstLine="422" w:firstLineChars="200"/>
        <w:rPr>
          <w:rFonts w:hint="eastAsia" w:asciiTheme="minorEastAsia" w:hAnsiTheme="minorEastAsia" w:eastAsiaTheme="minorEastAsia" w:cstheme="minorEastAsia"/>
          <w:b/>
          <w:color w:val="auto"/>
          <w:spacing w:val="0"/>
          <w:sz w:val="21"/>
          <w:szCs w:val="21"/>
          <w:highlight w:val="none"/>
          <w:lang w:eastAsia="zh-CN"/>
        </w:rPr>
      </w:pPr>
      <w:r>
        <w:rPr>
          <w:rFonts w:hint="eastAsia" w:asciiTheme="minorEastAsia" w:hAnsiTheme="minorEastAsia" w:eastAsiaTheme="minorEastAsia" w:cstheme="minorEastAsia"/>
          <w:b/>
          <w:color w:val="auto"/>
          <w:spacing w:val="0"/>
          <w:sz w:val="21"/>
          <w:szCs w:val="21"/>
          <w:highlight w:val="none"/>
          <w:lang w:eastAsia="zh-CN"/>
        </w:rPr>
        <w:t>13.4在报价评审时，如发现下列情形之一的，投标文件将被视为无效：</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⑴未采用人民币报价或者未按照招标文件标明的币种报价的；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⑵报价超出最高限价，或者超出采购预算金额，招标单位不能支付的；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⑶投标报价具有选择性，或者开标价格与投标文件承诺的优惠（折扣）价格不一致的。</w:t>
      </w:r>
    </w:p>
    <w:p>
      <w:pPr>
        <w:pStyle w:val="19"/>
        <w:wordWrap w:val="0"/>
        <w:topLinePunct/>
        <w:adjustRightInd w:val="0"/>
        <w:snapToGrid w:val="0"/>
        <w:spacing w:line="340" w:lineRule="exact"/>
        <w:ind w:firstLine="420" w:firstLineChars="200"/>
        <w:rPr>
          <w:rFonts w:hint="eastAsia" w:asciiTheme="minorEastAsia" w:hAnsiTheme="minorEastAsia" w:eastAsiaTheme="minorEastAsia" w:cstheme="minorEastAsia"/>
          <w:b/>
          <w:color w:val="auto"/>
          <w:spacing w:val="0"/>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⑷被拒绝的投标文件为无效。</w:t>
      </w:r>
    </w:p>
    <w:p>
      <w:pPr>
        <w:pStyle w:val="21"/>
        <w:wordWrap w:val="0"/>
        <w:topLinePunct/>
        <w:adjustRightInd w:val="0"/>
        <w:snapToGrid w:val="0"/>
        <w:spacing w:line="34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13.5招标采购项目出现下列情形之一的，将予废标：</w:t>
      </w:r>
    </w:p>
    <w:p>
      <w:pPr>
        <w:widowControl/>
        <w:wordWrap w:val="0"/>
        <w:topLinePunct/>
        <w:adjustRightInd w:val="0"/>
        <w:snapToGrid w:val="0"/>
        <w:spacing w:line="34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⑴截标后整个招标项目的投标人不足三家的或实质性响应不足法定三家的；</w:t>
      </w:r>
    </w:p>
    <w:p>
      <w:pPr>
        <w:widowControl/>
        <w:wordWrap w:val="0"/>
        <w:topLinePunct/>
        <w:adjustRightInd w:val="0"/>
        <w:snapToGrid w:val="0"/>
        <w:spacing w:line="340" w:lineRule="exact"/>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⑵出现影响采购公正的违法、违规行为的；</w:t>
      </w:r>
    </w:p>
    <w:p>
      <w:pPr>
        <w:widowControl/>
        <w:wordWrap w:val="0"/>
        <w:topLinePunct/>
        <w:adjustRightInd w:val="0"/>
        <w:snapToGrid w:val="0"/>
        <w:spacing w:line="34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⑶投标人的报价均超过了采购预算，招标单位不能支付的；</w:t>
      </w:r>
    </w:p>
    <w:p>
      <w:pPr>
        <w:widowControl/>
        <w:wordWrap w:val="0"/>
        <w:topLinePunct/>
        <w:adjustRightInd w:val="0"/>
        <w:snapToGrid w:val="0"/>
        <w:spacing w:line="34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⑷因重大变故，采购任务取消的。</w:t>
      </w:r>
    </w:p>
    <w:p>
      <w:pPr>
        <w:pStyle w:val="19"/>
        <w:wordWrap w:val="0"/>
        <w:topLinePunct/>
        <w:adjustRightInd w:val="0"/>
        <w:snapToGrid w:val="0"/>
        <w:spacing w:line="360" w:lineRule="exact"/>
        <w:ind w:firstLine="422" w:firstLineChars="200"/>
        <w:rPr>
          <w:rFonts w:hint="eastAsia" w:asciiTheme="minorEastAsia" w:hAnsiTheme="minorEastAsia" w:eastAsiaTheme="minorEastAsia" w:cstheme="minorEastAsia"/>
          <w:b/>
          <w:bCs/>
          <w:color w:val="auto"/>
          <w:spacing w:val="0"/>
          <w:sz w:val="21"/>
          <w:szCs w:val="21"/>
          <w:highlight w:val="none"/>
          <w:lang w:eastAsia="zh-CN"/>
        </w:rPr>
      </w:pPr>
      <w:r>
        <w:rPr>
          <w:rFonts w:hint="eastAsia" w:asciiTheme="minorEastAsia" w:hAnsiTheme="minorEastAsia" w:eastAsiaTheme="minorEastAsia" w:cstheme="minorEastAsia"/>
          <w:b/>
          <w:bCs/>
          <w:color w:val="auto"/>
          <w:spacing w:val="0"/>
          <w:sz w:val="21"/>
          <w:szCs w:val="21"/>
          <w:highlight w:val="none"/>
          <w:lang w:eastAsia="zh-CN"/>
        </w:rPr>
        <w:t>13.6废标后，采购代理机构将把废标理由通知所有投标人。</w:t>
      </w:r>
    </w:p>
    <w:p>
      <w:pPr>
        <w:spacing w:line="40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14. 关于相同品牌产品投标、串通投标的特别说明：</w:t>
      </w:r>
    </w:p>
    <w:p>
      <w:pPr>
        <w:spacing w:line="400" w:lineRule="exact"/>
        <w:ind w:firstLine="422"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b/>
          <w:bCs/>
          <w:color w:val="auto"/>
          <w:kern w:val="2"/>
          <w:sz w:val="21"/>
          <w:szCs w:val="24"/>
          <w:highlight w:val="none"/>
          <w:lang w:eastAsia="zh-CN"/>
        </w:rPr>
        <w:t>14.1</w:t>
      </w:r>
      <w:r>
        <w:rPr>
          <w:rFonts w:hint="eastAsia" w:asciiTheme="minorEastAsia" w:hAnsiTheme="minorEastAsia" w:eastAsiaTheme="minorEastAsia" w:cstheme="minorEastAsia"/>
          <w:color w:val="auto"/>
          <w:kern w:val="2"/>
          <w:sz w:val="21"/>
          <w:szCs w:val="24"/>
          <w:highlight w:val="none"/>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非单一产品采购项目，采购人应当根据采购项目技术构成、产品价格比重等合理确定核心产品，并在招标文件中载明。</w:t>
      </w:r>
    </w:p>
    <w:p>
      <w:pPr>
        <w:spacing w:line="400" w:lineRule="exact"/>
        <w:ind w:firstLine="422" w:firstLineChars="200"/>
        <w:rPr>
          <w:rFonts w:hint="eastAsia" w:asciiTheme="minorEastAsia" w:hAnsiTheme="minorEastAsia" w:eastAsiaTheme="minorEastAsia" w:cstheme="minorEastAsia"/>
          <w:b/>
          <w:bCs/>
          <w:color w:val="auto"/>
          <w:kern w:val="2"/>
          <w:sz w:val="21"/>
          <w:szCs w:val="24"/>
          <w:highlight w:val="none"/>
          <w:lang w:eastAsia="zh-CN"/>
        </w:rPr>
      </w:pPr>
      <w:r>
        <w:rPr>
          <w:rFonts w:hint="eastAsia" w:asciiTheme="minorEastAsia" w:hAnsiTheme="minorEastAsia" w:eastAsiaTheme="minorEastAsia" w:cstheme="minorEastAsia"/>
          <w:b/>
          <w:bCs/>
          <w:color w:val="auto"/>
          <w:kern w:val="2"/>
          <w:sz w:val="21"/>
          <w:szCs w:val="24"/>
          <w:highlight w:val="none"/>
          <w:lang w:eastAsia="zh-CN"/>
        </w:rPr>
        <w:t>14.2有下列情形之一的视为供应商相互串通投标，投标文件将被视为无效：</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（(1)不同供应商的响应文件由同一单位或者个人编制;或者不同投标人报名的IP地址一致的;或者</w:t>
      </w:r>
    </w:p>
    <w:p>
      <w:pPr>
        <w:spacing w:line="400" w:lineRule="exact"/>
        <w:ind w:firstLine="420" w:firstLineChars="200"/>
        <w:rPr>
          <w:rFonts w:hint="eastAsia" w:asciiTheme="minorEastAsia" w:hAnsiTheme="minorEastAsia" w:eastAsiaTheme="minorEastAsia" w:cstheme="minorEastAsia"/>
          <w:b/>
          <w:bCs/>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不同投标人报名的IP地址一致的，或者编制标书硬件设备CPU编号、硬盘编号、网卡地址一致的情况</w:t>
      </w:r>
      <w:r>
        <w:rPr>
          <w:rFonts w:hint="eastAsia" w:asciiTheme="minorEastAsia" w:hAnsiTheme="minorEastAsia" w:eastAsiaTheme="minorEastAsia" w:cstheme="minorEastAsia"/>
          <w:b/>
          <w:bCs/>
          <w:color w:val="auto"/>
          <w:kern w:val="2"/>
          <w:sz w:val="21"/>
          <w:szCs w:val="24"/>
          <w:highlight w:val="none"/>
          <w:lang w:eastAsia="zh-CN"/>
        </w:rPr>
        <w:t>；</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（2）不同供应商委托同一单位或者个人办理投标事宜；</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（3）不同的供应商的投标文件载明的项目管理人员为同一个人；</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（4）不同供应商的投标文件异常一致或报价呈规律性差异；</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（5）不同供应商的投标文件相互混装；</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（6）不同供应商的保证金从同一单位或者个人账户转出。</w:t>
      </w:r>
    </w:p>
    <w:p>
      <w:pPr>
        <w:spacing w:line="400" w:lineRule="exact"/>
        <w:ind w:firstLine="422" w:firstLineChars="200"/>
        <w:rPr>
          <w:rFonts w:hint="eastAsia" w:asciiTheme="minorEastAsia" w:hAnsiTheme="minorEastAsia" w:eastAsiaTheme="minorEastAsia" w:cstheme="minorEastAsia"/>
          <w:b/>
          <w:bCs/>
          <w:color w:val="auto"/>
          <w:kern w:val="2"/>
          <w:sz w:val="21"/>
          <w:szCs w:val="24"/>
          <w:highlight w:val="none"/>
          <w:lang w:eastAsia="zh-CN"/>
        </w:rPr>
      </w:pPr>
      <w:r>
        <w:rPr>
          <w:rFonts w:hint="eastAsia" w:asciiTheme="minorEastAsia" w:hAnsiTheme="minorEastAsia" w:eastAsiaTheme="minorEastAsia" w:cstheme="minorEastAsia"/>
          <w:b/>
          <w:bCs/>
          <w:color w:val="auto"/>
          <w:kern w:val="2"/>
          <w:sz w:val="21"/>
          <w:szCs w:val="24"/>
          <w:highlight w:val="none"/>
          <w:lang w:eastAsia="zh-CN"/>
        </w:rPr>
        <w:t>14.3供应商有下列情形之一的，属于恶意串通行为：</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（1）供应商直接或者间接从采购人或者采购代理机构处获得其他供应商的相关信息并修改其投标文件：</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（2）供应商按照采购人或者采购代理机构的授意撤换、修改投标文件；</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（3）供应商之间协商报价、技术方案等投标文件的实质性内容；</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（4）属于同一集团、协会、商会等组织成员的供应商按照该组织要求协同参加政府采购活动；</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（5）供应商之间事先约定一致抬高或者压低报价，或者在采购项目中事先约定轮流以高价位或者低价位中标，或者事先约定由某一特定供应商中标，然后再参加投标；</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（6）供应商之间商定部分供应商放弃参加政府采购活动或者放弃中标；</w:t>
      </w:r>
    </w:p>
    <w:p>
      <w:pPr>
        <w:spacing w:line="40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（7）供应商与采购人或者采购代理机构之间、供应商相互之间，为谋求特定供应商中标或者排斥其他供应商的其他串通行为。</w:t>
      </w:r>
    </w:p>
    <w:p>
      <w:pPr>
        <w:spacing w:line="400" w:lineRule="exact"/>
        <w:ind w:firstLine="422" w:firstLineChars="200"/>
        <w:rPr>
          <w:rFonts w:hint="eastAsia" w:asciiTheme="minorEastAsia" w:hAnsiTheme="minorEastAsia" w:eastAsiaTheme="minorEastAsia" w:cstheme="minorEastAsia"/>
          <w:b/>
          <w:bCs/>
          <w:color w:val="auto"/>
          <w:kern w:val="2"/>
          <w:sz w:val="21"/>
          <w:szCs w:val="24"/>
          <w:highlight w:val="none"/>
          <w:lang w:eastAsia="zh-CN"/>
        </w:rPr>
      </w:pPr>
      <w:r>
        <w:rPr>
          <w:rFonts w:hint="eastAsia" w:asciiTheme="minorEastAsia" w:hAnsiTheme="minorEastAsia" w:eastAsiaTheme="minorEastAsia" w:cstheme="minorEastAsia"/>
          <w:b/>
          <w:bCs/>
          <w:color w:val="auto"/>
          <w:kern w:val="2"/>
          <w:sz w:val="21"/>
          <w:szCs w:val="24"/>
          <w:highlight w:val="none"/>
          <w:lang w:eastAsia="zh-CN"/>
        </w:rPr>
        <w:t>14.4单位负责人为同一人或者存在直接控股、管理关系的不同的供应商，不得参加同一合同项下的政府采购活动，否则投标文件将被视为无效。</w:t>
      </w:r>
    </w:p>
    <w:p>
      <w:pPr>
        <w:spacing w:line="400" w:lineRule="exact"/>
        <w:ind w:firstLine="422" w:firstLineChars="200"/>
        <w:rPr>
          <w:rFonts w:hint="eastAsia" w:asciiTheme="minorEastAsia" w:hAnsiTheme="minorEastAsia" w:eastAsiaTheme="minorEastAsia" w:cstheme="minorEastAsia"/>
          <w:b/>
          <w:color w:val="auto"/>
          <w:sz w:val="21"/>
          <w:szCs w:val="21"/>
          <w:highlight w:val="none"/>
          <w:lang w:eastAsia="zh-CN"/>
        </w:rPr>
      </w:pPr>
    </w:p>
    <w:p>
      <w:pPr>
        <w:spacing w:line="40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15.废标</w:t>
      </w:r>
    </w:p>
    <w:p>
      <w:pPr>
        <w:spacing w:line="40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采购投标过程中出现下列情形之一的，将予以废标：</w:t>
      </w:r>
    </w:p>
    <w:p>
      <w:pPr>
        <w:spacing w:line="40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(1)出现影响采购公正的违法、违规行为的；</w:t>
      </w:r>
    </w:p>
    <w:p>
      <w:pPr>
        <w:spacing w:line="40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(2)投标人的最终报价均超过了采购预算，采购人不能支付的；</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(3)因重大变故，采购任务取消的。</w:t>
      </w:r>
    </w:p>
    <w:p>
      <w:pPr>
        <w:spacing w:line="40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16.其他</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16.1供应商投标所使用的资格、信誉、荣誉、业绩与企业认证必须为其组织所拥有。供应商投标所使用的采购项目实施人员必须为组织员工（或必须为本法人或控股公司正式员工）。</w:t>
      </w:r>
    </w:p>
    <w:p>
      <w:pPr>
        <w:spacing w:line="400" w:lineRule="exact"/>
        <w:ind w:firstLine="420" w:firstLineChars="200"/>
        <w:rPr>
          <w:rFonts w:hint="eastAsia" w:asciiTheme="minorEastAsia" w:hAnsiTheme="minorEastAsia" w:eastAsiaTheme="minorEastAsia" w:cstheme="minorEastAsia"/>
          <w:color w:val="auto"/>
          <w:kern w:val="2"/>
          <w:sz w:val="21"/>
          <w:szCs w:val="24"/>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16.2供应商应仔细阅读采购的所有内容，按照采购文件的要求提交投标文件，并对所提供的全部资料的真实性承担法律责任。</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4"/>
          <w:highlight w:val="none"/>
          <w:lang w:eastAsia="zh-CN"/>
        </w:rPr>
        <w:t>16.3供应商在投标活动中提供任何虚假材料，其投标无效，并报监管部门查处。</w:t>
      </w:r>
    </w:p>
    <w:p>
      <w:pPr>
        <w:pStyle w:val="19"/>
        <w:wordWrap w:val="0"/>
        <w:topLinePunct/>
        <w:adjustRightInd w:val="0"/>
        <w:snapToGrid w:val="0"/>
        <w:spacing w:line="360" w:lineRule="exact"/>
        <w:ind w:firstLine="404" w:firstLineChars="200"/>
        <w:rPr>
          <w:rFonts w:hint="eastAsia" w:asciiTheme="minorEastAsia" w:hAnsiTheme="minorEastAsia" w:eastAsiaTheme="minorEastAsia" w:cstheme="minorEastAsia"/>
          <w:color w:val="auto"/>
          <w:sz w:val="21"/>
          <w:szCs w:val="21"/>
          <w:highlight w:val="none"/>
          <w:lang w:eastAsia="zh-CN"/>
        </w:rPr>
      </w:pPr>
    </w:p>
    <w:p>
      <w:pPr>
        <w:numPr>
          <w:ilvl w:val="0"/>
          <w:numId w:val="2"/>
        </w:numPr>
        <w:bidi w:val="0"/>
        <w:jc w:val="center"/>
        <w:rPr>
          <w:rFonts w:hint="eastAsia" w:asciiTheme="minorEastAsia" w:hAnsiTheme="minorEastAsia" w:eastAsiaTheme="minorEastAsia" w:cstheme="minorEastAsia"/>
          <w:b/>
          <w:bCs/>
          <w:color w:val="auto"/>
          <w:sz w:val="21"/>
          <w:szCs w:val="21"/>
          <w:highlight w:val="none"/>
        </w:rPr>
      </w:pPr>
      <w:bookmarkStart w:id="92" w:name="_Toc29808"/>
      <w:bookmarkStart w:id="93" w:name="_Toc31219"/>
      <w:r>
        <w:rPr>
          <w:rFonts w:hint="eastAsia" w:asciiTheme="minorEastAsia" w:hAnsiTheme="minorEastAsia" w:eastAsiaTheme="minorEastAsia" w:cstheme="minorEastAsia"/>
          <w:b/>
          <w:bCs/>
          <w:color w:val="auto"/>
          <w:sz w:val="21"/>
          <w:szCs w:val="21"/>
          <w:highlight w:val="none"/>
        </w:rPr>
        <w:t>投标文件的递交</w:t>
      </w:r>
      <w:bookmarkEnd w:id="63"/>
      <w:bookmarkEnd w:id="64"/>
      <w:bookmarkEnd w:id="65"/>
      <w:bookmarkEnd w:id="92"/>
      <w:bookmarkEnd w:id="93"/>
    </w:p>
    <w:p>
      <w:pPr>
        <w:pStyle w:val="21"/>
        <w:wordWrap w:val="0"/>
        <w:topLinePunct/>
        <w:spacing w:line="360" w:lineRule="exact"/>
        <w:jc w:val="center"/>
        <w:outlineLvl w:val="9"/>
        <w:rPr>
          <w:rFonts w:hint="eastAsia" w:asciiTheme="minorEastAsia" w:hAnsiTheme="minorEastAsia" w:eastAsiaTheme="minorEastAsia" w:cstheme="minorEastAsia"/>
          <w:b/>
          <w:color w:val="auto"/>
          <w:highlight w:val="none"/>
        </w:rPr>
      </w:pPr>
    </w:p>
    <w:p>
      <w:pPr>
        <w:pStyle w:val="21"/>
        <w:bidi w:val="0"/>
        <w:ind w:firstLine="422" w:firstLineChars="200"/>
        <w:rPr>
          <w:rFonts w:hint="eastAsia"/>
          <w:color w:val="auto"/>
          <w:highlight w:val="none"/>
        </w:rPr>
      </w:pPr>
      <w:bookmarkStart w:id="94" w:name="_Toc147250330"/>
      <w:bookmarkStart w:id="95" w:name="_Toc147250376"/>
      <w:bookmarkStart w:id="96" w:name="_Toc147250532"/>
      <w:r>
        <w:rPr>
          <w:rFonts w:hint="eastAsia"/>
          <w:b/>
          <w:bCs/>
          <w:color w:val="auto"/>
          <w:highlight w:val="none"/>
        </w:rPr>
        <w:t>17.投标文件的密封与标记</w:t>
      </w:r>
      <w:bookmarkEnd w:id="94"/>
      <w:bookmarkEnd w:id="95"/>
      <w:bookmarkEnd w:id="96"/>
    </w:p>
    <w:p>
      <w:pPr>
        <w:bidi w:val="0"/>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17.1电子投标文件按投标人须知前附表第7项规定由投标人自行编制、加密并通过广西政府采购云平台上传提交。</w:t>
      </w:r>
    </w:p>
    <w:p>
      <w:pPr>
        <w:bidi w:val="0"/>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17.2投标人应将电子备份投标文件（以U盘或光盘存储）加以密封提交，电子备份投标文件袋上都应写明：</w:t>
      </w:r>
    </w:p>
    <w:p>
      <w:pPr>
        <w:pStyle w:val="21"/>
        <w:spacing w:line="380" w:lineRule="atLeas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(1)代理单位：</w:t>
      </w:r>
      <w:r>
        <w:rPr>
          <w:rFonts w:hint="eastAsia" w:asciiTheme="minorEastAsia" w:hAnsiTheme="minorEastAsia" w:eastAsiaTheme="minorEastAsia" w:cstheme="minorEastAsia"/>
          <w:i/>
          <w:iCs/>
          <w:color w:val="auto"/>
          <w:highlight w:val="none"/>
        </w:rPr>
        <w:t xml:space="preserve">                  </w:t>
      </w:r>
    </w:p>
    <w:p>
      <w:pPr>
        <w:pStyle w:val="21"/>
        <w:spacing w:line="380" w:lineRule="atLeas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(2)项目名称：</w:t>
      </w:r>
    </w:p>
    <w:p>
      <w:pPr>
        <w:pStyle w:val="21"/>
        <w:spacing w:line="380" w:lineRule="atLeas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(3)项目编号：    </w:t>
      </w:r>
    </w:p>
    <w:p>
      <w:pPr>
        <w:pStyle w:val="21"/>
        <w:spacing w:line="380" w:lineRule="atLeas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(4)投标人名称（加盖公章）：   </w:t>
      </w:r>
    </w:p>
    <w:p>
      <w:pPr>
        <w:pStyle w:val="21"/>
        <w:spacing w:line="380" w:lineRule="atLeas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(5)投标人地址：                  </w:t>
      </w:r>
    </w:p>
    <w:p>
      <w:pPr>
        <w:pStyle w:val="21"/>
        <w:spacing w:line="380" w:lineRule="atLeas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(6)注明“截标前不得启封”</w:t>
      </w:r>
    </w:p>
    <w:p>
      <w:pPr>
        <w:pStyle w:val="21"/>
        <w:spacing w:line="380" w:lineRule="atLeas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17.3电子备份投标文件</w:t>
      </w:r>
      <w:r>
        <w:rPr>
          <w:rFonts w:hint="eastAsia" w:asciiTheme="minorEastAsia" w:hAnsiTheme="minorEastAsia" w:eastAsiaTheme="minorEastAsia" w:cstheme="minorEastAsia"/>
          <w:bCs/>
          <w:color w:val="auto"/>
          <w:highlight w:val="none"/>
        </w:rPr>
        <w:t>的密封以投标文件袋无明显缝隙暴露袋内文件且封口处有密封签章为合格。</w:t>
      </w:r>
    </w:p>
    <w:p>
      <w:pPr>
        <w:bidi w:val="0"/>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17.4逾期送达或者未按照招标文件要求密封的投标文件将被拒绝，由此造成投标文件被误投或提前拆封的风险由投标人承担。</w:t>
      </w:r>
    </w:p>
    <w:p>
      <w:pPr>
        <w:pStyle w:val="21"/>
        <w:bidi w:val="0"/>
        <w:ind w:firstLine="422" w:firstLineChars="200"/>
        <w:rPr>
          <w:rFonts w:hint="eastAsia"/>
          <w:b/>
          <w:bCs/>
          <w:color w:val="auto"/>
          <w:highlight w:val="none"/>
        </w:rPr>
      </w:pPr>
      <w:bookmarkStart w:id="97" w:name="_Toc147250377"/>
      <w:bookmarkStart w:id="98" w:name="_Toc147250331"/>
      <w:bookmarkStart w:id="99" w:name="_Toc147250533"/>
      <w:r>
        <w:rPr>
          <w:rFonts w:hint="eastAsia"/>
          <w:b/>
          <w:bCs/>
          <w:color w:val="auto"/>
          <w:highlight w:val="none"/>
        </w:rPr>
        <w:t>18.投标截止时间</w:t>
      </w:r>
      <w:bookmarkEnd w:id="97"/>
      <w:bookmarkEnd w:id="98"/>
      <w:bookmarkEnd w:id="99"/>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18.1投标文件的递交不得迟于本须知前附表第7项规定的截止时间。</w:t>
      </w:r>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18.2投标人必须在规定时间内将投标文件送到本须知前附表第7项规定地点，超过投标截止时间送达的投标文件为无效文件，采购代理机构将不予受理。</w:t>
      </w:r>
    </w:p>
    <w:p>
      <w:pPr>
        <w:pStyle w:val="21"/>
        <w:bidi w:val="0"/>
        <w:ind w:firstLine="422" w:firstLineChars="200"/>
        <w:rPr>
          <w:rFonts w:hint="eastAsia"/>
          <w:b/>
          <w:bCs/>
          <w:color w:val="auto"/>
          <w:highlight w:val="none"/>
        </w:rPr>
      </w:pPr>
      <w:bookmarkStart w:id="100" w:name="_Toc147250332"/>
      <w:bookmarkStart w:id="101" w:name="_Toc147250378"/>
      <w:bookmarkStart w:id="102" w:name="_Toc147250534"/>
      <w:r>
        <w:rPr>
          <w:rFonts w:hint="eastAsia"/>
          <w:b/>
          <w:bCs/>
          <w:color w:val="auto"/>
          <w:highlight w:val="none"/>
        </w:rPr>
        <w:t>19.投标文件的修改及撤回</w:t>
      </w:r>
      <w:bookmarkEnd w:id="100"/>
      <w:bookmarkEnd w:id="101"/>
      <w:bookmarkEnd w:id="102"/>
    </w:p>
    <w:p>
      <w:pPr>
        <w:pStyle w:val="21"/>
        <w:wordWrap w:val="0"/>
        <w:topLinePunct/>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19.1在投标截止时间后，投标人不得对其投标作任何修改。</w:t>
      </w:r>
    </w:p>
    <w:p>
      <w:pPr>
        <w:pStyle w:val="21"/>
        <w:wordWrap w:val="0"/>
        <w:topLinePunct/>
        <w:spacing w:line="360" w:lineRule="exact"/>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19.2在投标截止后的投标有效期内，投标人不得撤回其投标，否则其全部投标保证金将不予退还。</w:t>
      </w:r>
      <w:bookmarkStart w:id="103" w:name="_Toc147250333"/>
      <w:bookmarkStart w:id="104" w:name="_Toc13315"/>
      <w:bookmarkStart w:id="105" w:name="_Toc147250379"/>
      <w:bookmarkStart w:id="106" w:name="_Toc147250535"/>
      <w:bookmarkStart w:id="107" w:name="_Toc3366"/>
    </w:p>
    <w:p>
      <w:pPr>
        <w:pStyle w:val="21"/>
        <w:spacing w:line="288" w:lineRule="auto"/>
        <w:ind w:firstLine="32" w:firstLineChars="15"/>
        <w:jc w:val="center"/>
        <w:outlineLvl w:val="9"/>
        <w:rPr>
          <w:rFonts w:hint="eastAsia" w:asciiTheme="minorEastAsia" w:hAnsiTheme="minorEastAsia" w:eastAsiaTheme="minorEastAsia" w:cstheme="minorEastAsia"/>
          <w:b/>
          <w:color w:val="auto"/>
          <w:highlight w:val="none"/>
        </w:rPr>
      </w:pPr>
    </w:p>
    <w:p>
      <w:pPr>
        <w:pStyle w:val="21"/>
        <w:bidi w:val="0"/>
        <w:jc w:val="center"/>
        <w:rPr>
          <w:rFonts w:hint="eastAsia"/>
          <w:b/>
          <w:bCs/>
          <w:color w:val="auto"/>
          <w:highlight w:val="none"/>
        </w:rPr>
      </w:pPr>
      <w:r>
        <w:rPr>
          <w:rFonts w:hint="eastAsia"/>
          <w:b/>
          <w:bCs/>
          <w:color w:val="auto"/>
          <w:highlight w:val="none"/>
        </w:rPr>
        <w:t>五  开标</w:t>
      </w:r>
      <w:bookmarkEnd w:id="103"/>
      <w:bookmarkEnd w:id="104"/>
      <w:bookmarkEnd w:id="105"/>
      <w:bookmarkEnd w:id="106"/>
      <w:bookmarkEnd w:id="107"/>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08" w:name="_Toc353785300"/>
      <w:bookmarkStart w:id="109" w:name="_Toc352700430"/>
      <w:bookmarkStart w:id="110" w:name="_Toc147250339"/>
      <w:bookmarkStart w:id="111" w:name="_Toc14727"/>
      <w:bookmarkStart w:id="112" w:name="_Toc147250385"/>
      <w:bookmarkStart w:id="113" w:name="_Toc681"/>
      <w:bookmarkStart w:id="114" w:name="_Toc147250541"/>
      <w:r>
        <w:rPr>
          <w:rFonts w:hint="eastAsia" w:asciiTheme="minorEastAsia" w:hAnsiTheme="minorEastAsia" w:eastAsiaTheme="minorEastAsia" w:cstheme="minorEastAsia"/>
          <w:b/>
          <w:bCs/>
          <w:color w:val="auto"/>
          <w:sz w:val="21"/>
          <w:szCs w:val="21"/>
          <w:highlight w:val="none"/>
          <w:lang w:eastAsia="zh-CN"/>
        </w:rPr>
        <w:t>20.开标准备</w:t>
      </w:r>
      <w:bookmarkEnd w:id="108"/>
      <w:bookmarkEnd w:id="109"/>
    </w:p>
    <w:p>
      <w:pPr>
        <w:pStyle w:val="21"/>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20.1本公司将按招标文件规定的时间、地点通过“政府采购云平台”组织开标、开启投标文件，所有供应商均应当准时在线参加。投标供应商因未在线参加开标而导致投标文件无法按时解密等一切后果由供应商自行承担。</w:t>
      </w:r>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15" w:name="_Toc353785301"/>
      <w:bookmarkStart w:id="116" w:name="_Toc352700431"/>
      <w:r>
        <w:rPr>
          <w:rFonts w:hint="eastAsia" w:asciiTheme="minorEastAsia" w:hAnsiTheme="minorEastAsia" w:eastAsiaTheme="minorEastAsia" w:cstheme="minorEastAsia"/>
          <w:b/>
          <w:bCs/>
          <w:color w:val="auto"/>
          <w:sz w:val="21"/>
          <w:szCs w:val="21"/>
          <w:highlight w:val="none"/>
          <w:lang w:eastAsia="zh-CN"/>
        </w:rPr>
        <w:t>21.开标程序</w:t>
      </w:r>
      <w:bookmarkEnd w:id="115"/>
      <w:bookmarkEnd w:id="116"/>
    </w:p>
    <w:p>
      <w:pPr>
        <w:pStyle w:val="21"/>
        <w:adjustRightInd w:val="0"/>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21.1电子开标会由采购代理机构主持。</w:t>
      </w:r>
    </w:p>
    <w:p>
      <w:pPr>
        <w:pStyle w:val="21"/>
        <w:adjustRightInd w:val="0"/>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21.2采购代理机构工作人员</w:t>
      </w:r>
      <w:r>
        <w:rPr>
          <w:rFonts w:hint="eastAsia" w:asciiTheme="minorEastAsia" w:hAnsiTheme="minorEastAsia" w:eastAsiaTheme="minorEastAsia" w:cstheme="minorEastAsia"/>
          <w:color w:val="auto"/>
          <w:highlight w:val="none"/>
          <w:lang w:eastAsia="zh-CN"/>
        </w:rPr>
        <w:t>通过广西政府采购云平台</w:t>
      </w:r>
      <w:r>
        <w:rPr>
          <w:rFonts w:hint="eastAsia" w:asciiTheme="minorEastAsia" w:hAnsiTheme="minorEastAsia" w:eastAsiaTheme="minorEastAsia" w:cstheme="minorEastAsia"/>
          <w:color w:val="auto"/>
          <w:highlight w:val="none"/>
        </w:rPr>
        <w:t>向各投标供应商发出电子加密投标文件【开始解密】通知，由供应商按招标文件规定的时间内自行进行投标文件解密。</w:t>
      </w:r>
    </w:p>
    <w:p>
      <w:pPr>
        <w:pStyle w:val="21"/>
        <w:adjustRightInd w:val="0"/>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21"/>
        <w:adjustRightInd w:val="0"/>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21.4进入资格文件审查环节，本公司或者招标采购单位依法对投标供应商的资格进行审查。</w:t>
      </w:r>
    </w:p>
    <w:p>
      <w:pPr>
        <w:pStyle w:val="21"/>
        <w:adjustRightInd w:val="0"/>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21.5开启资格审查通过的投标供应商的商务技术文件进入符合性审查及商务技术评审。</w:t>
      </w:r>
    </w:p>
    <w:p>
      <w:pPr>
        <w:pStyle w:val="21"/>
        <w:adjustRightInd w:val="0"/>
        <w:snapToGrid w:val="0"/>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注：①当整个招标项目的投标人不足3家的不开标，采购代理机构将按政府采购管理的有关规定处理。</w:t>
      </w:r>
    </w:p>
    <w:p>
      <w:pPr>
        <w:pStyle w:val="21"/>
        <w:snapToGri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②开标后，某分标投标人不足3家的，采购代理机构将按政府采购管理的有关规定处理。</w:t>
      </w:r>
    </w:p>
    <w:p>
      <w:pPr>
        <w:pStyle w:val="21"/>
        <w:snapToGrid w:val="0"/>
        <w:spacing w:line="40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特别说明：如遇“政府采购云平台”电子化开标或评审程序调整的，按调整后程序执行。</w:t>
      </w:r>
    </w:p>
    <w:p>
      <w:pPr>
        <w:pStyle w:val="21"/>
        <w:snapToGrid w:val="0"/>
        <w:spacing w:line="400" w:lineRule="exact"/>
        <w:ind w:firstLine="420" w:firstLineChars="200"/>
        <w:rPr>
          <w:rFonts w:hint="eastAsia" w:asciiTheme="minorEastAsia" w:hAnsiTheme="minorEastAsia" w:eastAsiaTheme="minorEastAsia" w:cstheme="minorEastAsia"/>
          <w:color w:val="auto"/>
          <w:highlight w:val="none"/>
        </w:rPr>
      </w:pPr>
    </w:p>
    <w:p>
      <w:pPr>
        <w:pStyle w:val="21"/>
        <w:snapToGrid w:val="0"/>
        <w:ind w:firstLine="422" w:firstLineChars="20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  资格审查</w:t>
      </w:r>
    </w:p>
    <w:p>
      <w:pPr>
        <w:pStyle w:val="21"/>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采购人或采购代理机构工作人员依法对投标人的资格进行审查。合格投标人不足3家的，不得评标。</w:t>
      </w:r>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bookmarkStart w:id="117" w:name="_Toc254970545"/>
      <w:bookmarkStart w:id="118" w:name="_Toc254970686"/>
      <w:bookmarkStart w:id="119" w:name="_Toc353785302"/>
      <w:bookmarkStart w:id="120" w:name="_Toc352700432"/>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七  评  标</w:t>
      </w:r>
      <w:bookmarkEnd w:id="117"/>
      <w:bookmarkEnd w:id="118"/>
      <w:bookmarkEnd w:id="119"/>
      <w:bookmarkEnd w:id="120"/>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21" w:name="_Toc352700433"/>
      <w:bookmarkStart w:id="122" w:name="_Toc353785303"/>
      <w:r>
        <w:rPr>
          <w:rFonts w:hint="eastAsia" w:asciiTheme="minorEastAsia" w:hAnsiTheme="minorEastAsia" w:eastAsiaTheme="minorEastAsia" w:cstheme="minorEastAsia"/>
          <w:b/>
          <w:bCs/>
          <w:color w:val="auto"/>
          <w:sz w:val="21"/>
          <w:szCs w:val="21"/>
          <w:highlight w:val="none"/>
          <w:lang w:eastAsia="zh-CN"/>
        </w:rPr>
        <w:t>22. 组建评标委员会</w:t>
      </w:r>
      <w:bookmarkEnd w:id="121"/>
      <w:bookmarkEnd w:id="122"/>
    </w:p>
    <w:p>
      <w:pPr>
        <w:pStyle w:val="21"/>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本招标采购项目的评标委员会由采购人代表和评审专家组成，</w:t>
      </w:r>
      <w:r>
        <w:rPr>
          <w:rFonts w:hint="eastAsia" w:asciiTheme="minorEastAsia" w:hAnsiTheme="minorEastAsia" w:eastAsiaTheme="minorEastAsia" w:cstheme="minorEastAsia"/>
          <w:color w:val="auto"/>
          <w:szCs w:val="21"/>
          <w:highlight w:val="none"/>
        </w:rPr>
        <w:t>成员人数应当为5人以上单数，其中</w:t>
      </w:r>
      <w:r>
        <w:rPr>
          <w:rFonts w:hint="eastAsia" w:asciiTheme="minorEastAsia" w:hAnsiTheme="minorEastAsia" w:eastAsiaTheme="minorEastAsia" w:cstheme="minorEastAsia"/>
          <w:bCs/>
          <w:color w:val="auto"/>
          <w:szCs w:val="21"/>
          <w:highlight w:val="none"/>
        </w:rPr>
        <w:t>评审专家</w:t>
      </w:r>
      <w:r>
        <w:rPr>
          <w:rFonts w:hint="eastAsia" w:asciiTheme="minorEastAsia" w:hAnsiTheme="minorEastAsia" w:eastAsiaTheme="minorEastAsia" w:cstheme="minorEastAsia"/>
          <w:color w:val="auto"/>
          <w:szCs w:val="21"/>
          <w:highlight w:val="none"/>
        </w:rPr>
        <w:t>人数不少于成员总数的2/3</w:t>
      </w:r>
      <w:r>
        <w:rPr>
          <w:rFonts w:hint="eastAsia" w:asciiTheme="minorEastAsia" w:hAnsiTheme="minorEastAsia" w:eastAsiaTheme="minorEastAsia" w:cstheme="minorEastAsia"/>
          <w:bCs/>
          <w:color w:val="auto"/>
          <w:szCs w:val="21"/>
          <w:highlight w:val="none"/>
        </w:rPr>
        <w:t>。</w:t>
      </w:r>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23" w:name="_Toc353785304"/>
      <w:bookmarkStart w:id="124" w:name="_Toc352700434"/>
      <w:r>
        <w:rPr>
          <w:rFonts w:hint="eastAsia" w:asciiTheme="minorEastAsia" w:hAnsiTheme="minorEastAsia" w:eastAsiaTheme="minorEastAsia" w:cstheme="minorEastAsia"/>
          <w:b/>
          <w:bCs/>
          <w:color w:val="auto"/>
          <w:sz w:val="21"/>
          <w:szCs w:val="21"/>
          <w:highlight w:val="none"/>
          <w:lang w:eastAsia="zh-CN"/>
        </w:rPr>
        <w:t>23.评标的方式</w:t>
      </w:r>
      <w:bookmarkEnd w:id="123"/>
      <w:bookmarkEnd w:id="124"/>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本项目采用不公开方式评标，评标的依据为招标文件和投标文件。</w:t>
      </w:r>
    </w:p>
    <w:p>
      <w:pPr>
        <w:spacing w:line="430" w:lineRule="exact"/>
        <w:ind w:firstLine="422" w:firstLineChars="200"/>
        <w:rPr>
          <w:rFonts w:hint="eastAsia" w:asciiTheme="minorEastAsia" w:hAnsiTheme="minorEastAsia" w:eastAsiaTheme="minorEastAsia" w:cstheme="minorEastAsia"/>
          <w:b/>
          <w:color w:val="auto"/>
          <w:sz w:val="21"/>
          <w:szCs w:val="21"/>
          <w:highlight w:val="none"/>
          <w:lang w:eastAsia="zh-CN"/>
        </w:rPr>
      </w:pPr>
      <w:bookmarkStart w:id="125" w:name="_Toc352700435"/>
      <w:bookmarkStart w:id="126" w:name="_Toc353785305"/>
      <w:r>
        <w:rPr>
          <w:rFonts w:hint="eastAsia" w:asciiTheme="minorEastAsia" w:hAnsiTheme="minorEastAsia" w:eastAsiaTheme="minorEastAsia" w:cstheme="minorEastAsia"/>
          <w:b/>
          <w:bCs/>
          <w:color w:val="auto"/>
          <w:sz w:val="21"/>
          <w:szCs w:val="21"/>
          <w:highlight w:val="none"/>
          <w:lang w:eastAsia="zh-CN"/>
        </w:rPr>
        <w:t>24.评标程序</w:t>
      </w:r>
      <w:bookmarkEnd w:id="125"/>
      <w:bookmarkEnd w:id="126"/>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（1）评标委员会审查、评价投标文件是否符合招标文件的商务、技术等实质性要求。</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评标委员会对投标文件进行比较和评价，如有疑问，将以电子询标函的形式要求投标人在线对投标文件有关事项作出澄清或者说明。投标人向评标委员会澄清或者说明有关问题，并对最终盖章的电子文件进行回复。</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投标人代表超过规定时间或者拒绝澄清或者澄清的内容改变了投标文件的实质性内容的，评标委员会有权视该投标文件无效。</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（3）各投标人的技术得分为所有评委的有效评分的算术平均数，由指定专人进行计算复核。</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（4）本采购代理机构工作人员协助评标委员会根据本项目的评分标准计算各投标人的商务报价得分。</w:t>
      </w:r>
    </w:p>
    <w:p>
      <w:pPr>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（5）评标委员会完成评标后，由广西政府采购云平台系统对各部分得分汇总，计算出本项目最终得分、评标价等。评标委员会按推荐原则推荐中标候选人同时形成评标报告。</w:t>
      </w:r>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27" w:name="_Toc352700436"/>
      <w:bookmarkStart w:id="128" w:name="_Toc353785306"/>
      <w:r>
        <w:rPr>
          <w:rFonts w:hint="eastAsia" w:asciiTheme="minorEastAsia" w:hAnsiTheme="minorEastAsia" w:eastAsiaTheme="minorEastAsia" w:cstheme="minorEastAsia"/>
          <w:b/>
          <w:bCs/>
          <w:color w:val="auto"/>
          <w:sz w:val="21"/>
          <w:szCs w:val="21"/>
          <w:highlight w:val="none"/>
          <w:lang w:eastAsia="zh-CN"/>
        </w:rPr>
        <w:t>25.澄清、说明或者纠正</w:t>
      </w:r>
      <w:bookmarkEnd w:id="127"/>
      <w:bookmarkEnd w:id="128"/>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bookmarkStart w:id="129" w:name="_Toc352700437"/>
      <w:bookmarkStart w:id="130" w:name="_Toc353785307"/>
      <w:r>
        <w:rPr>
          <w:rFonts w:hint="eastAsia" w:asciiTheme="minorEastAsia" w:hAnsiTheme="minorEastAsia" w:eastAsiaTheme="minorEastAsia" w:cstheme="minorEastAsia"/>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26.错误修正</w:t>
      </w:r>
      <w:bookmarkEnd w:id="129"/>
      <w:bookmarkEnd w:id="130"/>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投标文件报价出现前后不一致的，除招标文件另有规定外，按照下列规定修正：</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(1)投标文件中</w:t>
      </w:r>
      <w:r>
        <w:rPr>
          <w:rFonts w:hint="eastAsia" w:asciiTheme="minorEastAsia" w:hAnsiTheme="minorEastAsia" w:eastAsiaTheme="minorEastAsia" w:cstheme="minorEastAsia"/>
          <w:color w:val="auto"/>
          <w:sz w:val="21"/>
          <w:szCs w:val="21"/>
          <w:highlight w:val="none"/>
          <w:lang w:eastAsia="zh-CN"/>
        </w:rPr>
        <w:t>开标一览表</w:t>
      </w:r>
      <w:r>
        <w:rPr>
          <w:rFonts w:hint="eastAsia" w:asciiTheme="minorEastAsia" w:hAnsiTheme="minorEastAsia" w:eastAsiaTheme="minorEastAsia" w:cstheme="minorEastAsia"/>
          <w:color w:val="auto"/>
          <w:szCs w:val="21"/>
          <w:highlight w:val="none"/>
        </w:rPr>
        <w:t>内容与投标文件中相应内容不一致的，以</w:t>
      </w:r>
      <w:r>
        <w:rPr>
          <w:rFonts w:hint="eastAsia" w:asciiTheme="minorEastAsia" w:hAnsiTheme="minorEastAsia" w:eastAsiaTheme="minorEastAsia" w:cstheme="minorEastAsia"/>
          <w:color w:val="auto"/>
          <w:sz w:val="21"/>
          <w:szCs w:val="21"/>
          <w:highlight w:val="none"/>
          <w:lang w:eastAsia="zh-CN"/>
        </w:rPr>
        <w:t>开标一览表</w:t>
      </w:r>
      <w:r>
        <w:rPr>
          <w:rFonts w:hint="eastAsia" w:asciiTheme="minorEastAsia" w:hAnsiTheme="minorEastAsia" w:eastAsiaTheme="minorEastAsia" w:cstheme="minorEastAsia"/>
          <w:color w:val="auto"/>
          <w:szCs w:val="21"/>
          <w:highlight w:val="none"/>
        </w:rPr>
        <w:t>为准；</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w:t>
      </w:r>
      <w:r>
        <w:rPr>
          <w:rFonts w:hint="eastAsia" w:asciiTheme="minorEastAsia" w:hAnsiTheme="minorEastAsia" w:eastAsiaTheme="minorEastAsia" w:cstheme="minorEastAsia"/>
          <w:color w:val="auto"/>
          <w:sz w:val="21"/>
          <w:szCs w:val="21"/>
          <w:highlight w:val="none"/>
          <w:lang w:eastAsia="zh-CN"/>
        </w:rPr>
        <w:t>开标一览表</w:t>
      </w:r>
      <w:r>
        <w:rPr>
          <w:rFonts w:hint="eastAsia" w:asciiTheme="minorEastAsia" w:hAnsiTheme="minorEastAsia" w:eastAsiaTheme="minorEastAsia" w:cstheme="minorEastAsia"/>
          <w:color w:val="auto"/>
          <w:szCs w:val="21"/>
          <w:highlight w:val="none"/>
        </w:rPr>
        <w:t>的总价为准，并修改单价；</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按上述修正错误的原则及方法调整或修正投标文件的投标报价，投标人同意并签字确认后，调整后的投标报价对投标人具有约束作用。如果投标人确认的，其投标无效。</w:t>
      </w:r>
    </w:p>
    <w:p>
      <w:pPr>
        <w:pStyle w:val="21"/>
        <w:snapToGrid w:val="0"/>
        <w:spacing w:line="400" w:lineRule="exact"/>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31" w:name="_Toc352700438"/>
      <w:bookmarkStart w:id="132" w:name="_Toc353785308"/>
      <w:r>
        <w:rPr>
          <w:rFonts w:hint="eastAsia" w:asciiTheme="minorEastAsia" w:hAnsiTheme="minorEastAsia" w:eastAsiaTheme="minorEastAsia" w:cstheme="minorEastAsia"/>
          <w:b/>
          <w:bCs/>
          <w:color w:val="auto"/>
          <w:sz w:val="21"/>
          <w:szCs w:val="21"/>
          <w:highlight w:val="none"/>
          <w:lang w:eastAsia="zh-CN"/>
        </w:rPr>
        <w:t>27.评标原则和评标办法</w:t>
      </w:r>
      <w:bookmarkEnd w:id="131"/>
      <w:bookmarkEnd w:id="132"/>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 评标办法。本项目评标办法是</w:t>
      </w:r>
      <w:r>
        <w:rPr>
          <w:rFonts w:hint="eastAsia" w:asciiTheme="minorEastAsia" w:hAnsiTheme="minorEastAsia" w:eastAsiaTheme="minorEastAsia" w:cstheme="minorEastAsia"/>
          <w:b/>
          <w:color w:val="auto"/>
          <w:szCs w:val="21"/>
          <w:highlight w:val="none"/>
        </w:rPr>
        <w:t>综合评分法</w:t>
      </w:r>
      <w:r>
        <w:rPr>
          <w:rFonts w:hint="eastAsia" w:asciiTheme="minorEastAsia" w:hAnsiTheme="minorEastAsia" w:eastAsiaTheme="minorEastAsia" w:cstheme="minorEastAsia"/>
          <w:color w:val="auto"/>
          <w:szCs w:val="21"/>
          <w:highlight w:val="none"/>
        </w:rPr>
        <w:t>，具体评标内容及评分标准等详见第四章：评标办法及评分标准。</w:t>
      </w:r>
      <w:bookmarkStart w:id="133" w:name="_Toc352700439"/>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34" w:name="_Toc353785309"/>
      <w:r>
        <w:rPr>
          <w:rFonts w:hint="eastAsia" w:asciiTheme="minorEastAsia" w:hAnsiTheme="minorEastAsia" w:eastAsiaTheme="minorEastAsia" w:cstheme="minorEastAsia"/>
          <w:b/>
          <w:bCs/>
          <w:color w:val="auto"/>
          <w:sz w:val="21"/>
          <w:szCs w:val="21"/>
          <w:highlight w:val="none"/>
          <w:lang w:eastAsia="zh-CN"/>
        </w:rPr>
        <w:t>28. 评标过程的监控</w:t>
      </w:r>
      <w:bookmarkEnd w:id="133"/>
      <w:bookmarkEnd w:id="134"/>
    </w:p>
    <w:p>
      <w:pPr>
        <w:pStyle w:val="21"/>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本项目评标过程实行全程录音、录像监控，投标人在评标过程中所进行的试图影响评标结果的不公正活动，可能导致其投标被拒绝。</w:t>
      </w:r>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八  评标结果</w:t>
      </w:r>
      <w:bookmarkEnd w:id="110"/>
      <w:bookmarkEnd w:id="111"/>
      <w:bookmarkEnd w:id="112"/>
      <w:bookmarkEnd w:id="113"/>
      <w:bookmarkEnd w:id="114"/>
    </w:p>
    <w:p>
      <w:pPr>
        <w:pStyle w:val="21"/>
        <w:spacing w:line="400" w:lineRule="exact"/>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29.</w:t>
      </w:r>
      <w:r>
        <w:rPr>
          <w:rFonts w:hint="eastAsia" w:asciiTheme="minorEastAsia" w:hAnsiTheme="minorEastAsia" w:eastAsiaTheme="minorEastAsia" w:cstheme="minorEastAsia"/>
          <w:color w:val="auto"/>
          <w:szCs w:val="21"/>
          <w:highlight w:val="none"/>
        </w:rPr>
        <w:t>本采购代理机构将在评标结束后两个工作日内将评标报告送采购人，采购人在五个工作日内按照评标报告中推荐的中标候选供应商顺序确定中标供应商。采购人也可以事先授权评标委员会直接确定中标供应商。</w:t>
      </w:r>
    </w:p>
    <w:p>
      <w:pPr>
        <w:snapToGrid w:val="0"/>
        <w:spacing w:line="400" w:lineRule="exact"/>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lang w:eastAsia="zh-CN"/>
        </w:rPr>
        <w:t>中标供应商确定后，本采购代理机构在中国政府采购网、广西政府采购网、钦州市公共资源交易中心网、全国公共资源交易平台（广西·浦北）、浦北县人民政府网、龙建公司网上发布中标公告。</w:t>
      </w:r>
    </w:p>
    <w:p>
      <w:pPr>
        <w:pStyle w:val="21"/>
        <w:spacing w:line="400" w:lineRule="exact"/>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31.</w:t>
      </w:r>
      <w:r>
        <w:rPr>
          <w:rFonts w:hint="eastAsia" w:asciiTheme="minorEastAsia" w:hAnsiTheme="minorEastAsia" w:eastAsiaTheme="minorEastAsia" w:cstheme="minorEastAsia"/>
          <w:color w:val="auto"/>
          <w:szCs w:val="21"/>
          <w:highlight w:val="none"/>
        </w:rPr>
        <w:t>在发布中标公告的同时，本采购代理机构向中标供应商发出中标通知书。</w:t>
      </w:r>
    </w:p>
    <w:p>
      <w:pPr>
        <w:pStyle w:val="21"/>
        <w:spacing w:line="400" w:lineRule="exact"/>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32.</w:t>
      </w:r>
      <w:r>
        <w:rPr>
          <w:rFonts w:hint="eastAsia" w:asciiTheme="minorEastAsia" w:hAnsiTheme="minorEastAsia" w:eastAsiaTheme="minorEastAsia" w:cstheme="minorEastAsia"/>
          <w:bCs/>
          <w:color w:val="auto"/>
          <w:szCs w:val="21"/>
          <w:highlight w:val="none"/>
        </w:rPr>
        <w:t>投标人认为招标文件、招标过程和中标结果使自己的权益受到损害的，可以在知道或者应知其权益受到损害之日起七个工作日内，以书面形式向本</w:t>
      </w:r>
      <w:r>
        <w:rPr>
          <w:rFonts w:hint="eastAsia" w:asciiTheme="minorEastAsia" w:hAnsiTheme="minorEastAsia" w:eastAsiaTheme="minorEastAsia" w:cstheme="minorEastAsia"/>
          <w:color w:val="auto"/>
          <w:szCs w:val="21"/>
          <w:highlight w:val="none"/>
        </w:rPr>
        <w:t>采购代理机构</w:t>
      </w:r>
      <w:r>
        <w:rPr>
          <w:rFonts w:hint="eastAsia" w:asciiTheme="minorEastAsia" w:hAnsiTheme="minorEastAsia" w:eastAsiaTheme="minorEastAsia" w:cstheme="minorEastAsia"/>
          <w:bCs/>
          <w:color w:val="auto"/>
          <w:szCs w:val="21"/>
          <w:highlight w:val="none"/>
        </w:rPr>
        <w:t>提出质疑，并及时索要书面回执。</w:t>
      </w:r>
    </w:p>
    <w:p>
      <w:pPr>
        <w:pStyle w:val="21"/>
        <w:spacing w:line="400" w:lineRule="exact"/>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33.</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szCs w:val="21"/>
          <w:highlight w:val="none"/>
        </w:rPr>
        <w:t>本</w:t>
      </w:r>
      <w:r>
        <w:rPr>
          <w:rFonts w:hint="eastAsia" w:asciiTheme="minorEastAsia" w:hAnsiTheme="minorEastAsia" w:eastAsiaTheme="minorEastAsia" w:cstheme="minorEastAsia"/>
          <w:color w:val="auto"/>
          <w:szCs w:val="21"/>
          <w:highlight w:val="none"/>
        </w:rPr>
        <w:t>采购代理机构</w:t>
      </w:r>
      <w:r>
        <w:rPr>
          <w:rFonts w:hint="eastAsia" w:asciiTheme="minorEastAsia" w:hAnsiTheme="minorEastAsia" w:eastAsiaTheme="minorEastAsia" w:cstheme="minorEastAsia"/>
          <w:bCs/>
          <w:color w:val="auto"/>
          <w:szCs w:val="21"/>
          <w:highlight w:val="none"/>
        </w:rPr>
        <w:t>应当按照有关规定就采购人委托授权范围内的事项在收到投标人的书面质疑后七个工作日内作出答复，但答复的内容不得涉及商业秘密。</w:t>
      </w:r>
      <w:bookmarkStart w:id="135" w:name="_Toc352700441"/>
      <w:bookmarkStart w:id="136" w:name="_Toc353785311"/>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九  签订合同</w:t>
      </w:r>
      <w:bookmarkEnd w:id="135"/>
      <w:bookmarkEnd w:id="136"/>
    </w:p>
    <w:p>
      <w:pPr>
        <w:bidi w:val="0"/>
        <w:ind w:firstLine="422" w:firstLineChars="200"/>
        <w:rPr>
          <w:rFonts w:hint="eastAsia" w:asciiTheme="minorEastAsia" w:hAnsiTheme="minorEastAsia" w:eastAsiaTheme="minorEastAsia" w:cstheme="minorEastAsia"/>
          <w:b/>
          <w:bCs/>
          <w:color w:val="auto"/>
          <w:sz w:val="21"/>
          <w:szCs w:val="21"/>
          <w:highlight w:val="none"/>
          <w:lang w:eastAsia="zh-CN"/>
        </w:rPr>
      </w:pPr>
      <w:bookmarkStart w:id="137" w:name="_Toc352700443"/>
      <w:bookmarkStart w:id="138" w:name="_Toc353785313"/>
      <w:r>
        <w:rPr>
          <w:rFonts w:hint="eastAsia" w:asciiTheme="minorEastAsia" w:hAnsiTheme="minorEastAsia" w:eastAsiaTheme="minorEastAsia" w:cstheme="minorEastAsia"/>
          <w:b/>
          <w:bCs/>
          <w:color w:val="auto"/>
          <w:sz w:val="21"/>
          <w:szCs w:val="21"/>
          <w:highlight w:val="none"/>
          <w:lang w:eastAsia="zh-CN"/>
        </w:rPr>
        <w:t>34.签订合同</w:t>
      </w:r>
      <w:bookmarkEnd w:id="137"/>
      <w:bookmarkEnd w:id="138"/>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签订合同时间：中标通知书发出之日起</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5个</w:t>
      </w:r>
      <w:r>
        <w:rPr>
          <w:rFonts w:hint="eastAsia" w:asciiTheme="minorEastAsia" w:hAnsiTheme="minorEastAsia" w:eastAsiaTheme="minorEastAsia" w:cstheme="minorEastAsia"/>
          <w:color w:val="auto"/>
          <w:szCs w:val="21"/>
          <w:highlight w:val="none"/>
          <w:lang w:eastAsia="zh-CN"/>
        </w:rPr>
        <w:t>日历天</w:t>
      </w:r>
      <w:r>
        <w:rPr>
          <w:rFonts w:hint="eastAsia" w:asciiTheme="minorEastAsia" w:hAnsiTheme="minorEastAsia" w:eastAsiaTheme="minorEastAsia" w:cstheme="minorEastAsia"/>
          <w:color w:val="auto"/>
          <w:szCs w:val="21"/>
          <w:highlight w:val="none"/>
        </w:rPr>
        <w:t>内。中标供应商领取中标通知书后，应按规定与采购人签订合同。</w:t>
      </w:r>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 如中标供应商不按中标通知书的规定签订合同，则按中标供应商违约处理，本采购代理机构将没收中标供应商投标的全部投标保证金。</w:t>
      </w:r>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34.3 中标供应商因不可抗力或者自身原因不能履行采购合同的，采购人可以与中标供应商之后排名第一的中标候选供应商签订采购合同，以此类推。</w:t>
      </w:r>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34.4 </w:t>
      </w:r>
      <w:r>
        <w:rPr>
          <w:rFonts w:hint="eastAsia" w:asciiTheme="minorEastAsia" w:hAnsiTheme="minorEastAsia" w:eastAsiaTheme="minorEastAsia" w:cstheme="minorEastAsia"/>
          <w:color w:val="auto"/>
          <w:spacing w:val="-4"/>
          <w:szCs w:val="21"/>
          <w:highlight w:val="none"/>
        </w:rPr>
        <w:t>投标人已经被推荐为第一中标候选供应商后撤回投标或放弃中标的，本</w:t>
      </w:r>
      <w:r>
        <w:rPr>
          <w:rFonts w:hint="eastAsia" w:asciiTheme="minorEastAsia" w:hAnsiTheme="minorEastAsia" w:eastAsiaTheme="minorEastAsia" w:cstheme="minorEastAsia"/>
          <w:color w:val="auto"/>
          <w:szCs w:val="21"/>
          <w:highlight w:val="none"/>
        </w:rPr>
        <w:t>采购代理机构</w:t>
      </w:r>
      <w:r>
        <w:rPr>
          <w:rFonts w:hint="eastAsia" w:asciiTheme="minorEastAsia" w:hAnsiTheme="minorEastAsia" w:eastAsiaTheme="minorEastAsia" w:cstheme="minorEastAsia"/>
          <w:color w:val="auto"/>
          <w:spacing w:val="-4"/>
          <w:szCs w:val="21"/>
          <w:highlight w:val="none"/>
        </w:rPr>
        <w:t>予以没收投标保证金</w:t>
      </w:r>
      <w:r>
        <w:rPr>
          <w:rFonts w:hint="eastAsia" w:asciiTheme="minorEastAsia" w:hAnsiTheme="minorEastAsia" w:eastAsiaTheme="minorEastAsia" w:cstheme="minorEastAsia"/>
          <w:color w:val="auto"/>
          <w:szCs w:val="21"/>
          <w:highlight w:val="none"/>
        </w:rPr>
        <w:t>。恶意弃标的，将报政府采购监督管理部门依法依规进行处罚。</w:t>
      </w:r>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34.5 采购人如遇中标供应商违约，有权从中标候选供应商中确定中标供应商，由采购代理机构组织中标供应商与采购人签订合同，或重新组织采购。</w:t>
      </w:r>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十  政府采购合同公告</w:t>
      </w:r>
    </w:p>
    <w:p>
      <w:pPr>
        <w:spacing w:line="34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35.政府采购合同公告</w:t>
      </w:r>
    </w:p>
    <w:p>
      <w:pPr>
        <w:pStyle w:val="2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35.1根据《中华人民共和国政府采购法实施条例》第五十条规定，采购人应当自政府采购合同签订之日起2个工作日内，将政府采购合同</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color w:val="auto"/>
          <w:szCs w:val="21"/>
          <w:highlight w:val="none"/>
        </w:rPr>
        <w:t>政府财政部门指定的媒体上公告，但政府采购合同中涉及国家秘密、商业秘密的内容除外。</w:t>
      </w:r>
    </w:p>
    <w:p>
      <w:pPr>
        <w:pStyle w:val="21"/>
        <w:snapToGrid w:val="0"/>
        <w:ind w:firstLine="422" w:firstLineChars="200"/>
        <w:jc w:val="center"/>
        <w:rPr>
          <w:rFonts w:hint="eastAsia" w:asciiTheme="minorEastAsia" w:hAnsiTheme="minorEastAsia" w:eastAsiaTheme="minorEastAsia" w:cstheme="minorEastAsia"/>
          <w:b/>
          <w:color w:val="auto"/>
          <w:szCs w:val="21"/>
          <w:highlight w:val="none"/>
          <w:lang w:eastAsia="zh-CN"/>
        </w:rPr>
      </w:pPr>
      <w:bookmarkStart w:id="139" w:name="_Toc352315998"/>
      <w:bookmarkStart w:id="140" w:name="_Toc353785315"/>
      <w:bookmarkStart w:id="141" w:name="_Toc352700445"/>
      <w:r>
        <w:rPr>
          <w:rFonts w:hint="eastAsia" w:asciiTheme="minorEastAsia" w:hAnsiTheme="minorEastAsia" w:eastAsiaTheme="minorEastAsia" w:cstheme="minorEastAsia"/>
          <w:b/>
          <w:color w:val="auto"/>
          <w:szCs w:val="21"/>
          <w:highlight w:val="none"/>
          <w:lang w:eastAsia="zh-CN"/>
        </w:rPr>
        <w:t>十一   其他事项</w:t>
      </w:r>
      <w:bookmarkEnd w:id="139"/>
      <w:bookmarkEnd w:id="140"/>
      <w:bookmarkEnd w:id="141"/>
    </w:p>
    <w:p>
      <w:pPr>
        <w:pStyle w:val="21"/>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36.招标代理服务费</w:t>
      </w:r>
    </w:p>
    <w:p>
      <w:pPr>
        <w:pStyle w:val="21"/>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36.1招标代理服务费</w:t>
      </w:r>
      <w:r>
        <w:rPr>
          <w:rFonts w:hint="eastAsia" w:asciiTheme="minorEastAsia" w:hAnsiTheme="minorEastAsia" w:eastAsiaTheme="minorEastAsia" w:cstheme="minorEastAsia"/>
          <w:color w:val="auto"/>
          <w:szCs w:val="21"/>
          <w:highlight w:val="none"/>
          <w:lang w:eastAsia="zh-CN"/>
        </w:rPr>
        <w:t>参照</w:t>
      </w:r>
      <w:r>
        <w:rPr>
          <w:rFonts w:hint="eastAsia" w:asciiTheme="minorEastAsia" w:hAnsiTheme="minorEastAsia" w:eastAsiaTheme="minorEastAsia" w:cstheme="minorEastAsia"/>
          <w:color w:val="auto"/>
          <w:szCs w:val="21"/>
          <w:highlight w:val="none"/>
        </w:rPr>
        <w:t>国家发展计划委员会文件计价格[2002]1980号“国家计委关于印发《招标代理服务收费管理暂行办法》的通知”、财库[2018]2号“财政部关于印发《政府采购代理机构管理暂行办法》的通知”规定标准（货物招标类型）计取，方式为中标人向采购代理机构支付。在中标通知书发出之日由中标人一次性向采购代理机构付清。</w:t>
      </w:r>
    </w:p>
    <w:p>
      <w:pPr>
        <w:pStyle w:val="21"/>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36.2 代理服务收费标准：</w:t>
      </w:r>
    </w:p>
    <w:tbl>
      <w:tblPr>
        <w:tblStyle w:val="3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326"/>
        <w:gridCol w:w="231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8" w:type="dxa"/>
          </w:tcPr>
          <w:p>
            <w:pPr>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21590</wp:posOffset>
                      </wp:positionV>
                      <wp:extent cx="1196975" cy="514985"/>
                      <wp:effectExtent l="1905" t="4445" r="20320" b="13970"/>
                      <wp:wrapNone/>
                      <wp:docPr id="1" name="Line 3"/>
                      <wp:cNvGraphicFramePr/>
                      <a:graphic xmlns:a="http://schemas.openxmlformats.org/drawingml/2006/main">
                        <a:graphicData uri="http://schemas.microsoft.com/office/word/2010/wordprocessingShape">
                          <wps:wsp>
                            <wps:cNvCnPr/>
                            <wps:spPr>
                              <a:xfrm>
                                <a:off x="0" y="0"/>
                                <a:ext cx="1196975" cy="514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4.45pt;margin-top:1.7pt;height:40.55pt;width:94.25pt;z-index:251660288;mso-width-relative:page;mso-height-relative:page;" filled="f" stroked="t" coordsize="21600,21600" o:gfxdata="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vw8ftYAAAAHAQAADwAAAAAAAAABACAA&#10;AAAiAAAAZHJzL2Rvd25yZXYueG1sUEsBAhQAFAAAAAgAh07iQI1Z/6LWAQAA0gMAAA4AAAAAAAAA&#10;AQAgAAAAJQEAAGRycy9lMm9Eb2MueG1sUEsFBgAAAAAGAAYAWQEAAG0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eastAsia="zh-CN"/>
              </w:rPr>
              <w:t>费率       服务类型</w:t>
            </w:r>
          </w:p>
          <w:p>
            <w:pPr>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20320</wp:posOffset>
                      </wp:positionV>
                      <wp:extent cx="1463040" cy="377825"/>
                      <wp:effectExtent l="1270" t="4445" r="2540" b="17780"/>
                      <wp:wrapNone/>
                      <wp:docPr id="2" name="Line 4"/>
                      <wp:cNvGraphicFramePr/>
                      <a:graphic xmlns:a="http://schemas.openxmlformats.org/drawingml/2006/main">
                        <a:graphicData uri="http://schemas.microsoft.com/office/word/2010/wordprocessingShape">
                          <wps:wsp>
                            <wps:cNvCnPr/>
                            <wps:spPr>
                              <a:xfrm>
                                <a:off x="0" y="0"/>
                                <a:ext cx="1463040" cy="3778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5.15pt;margin-top:1.6pt;height:29.75pt;width:115.2pt;z-index:251661312;mso-width-relative:page;mso-height-relative:page;" filled="f" stroked="t" coordsize="21600,21600" o:gfxdata="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aw3NdYAAAAIAQAADwAAAAAAAAABACAA&#10;AAAiAAAAZHJzL2Rvd25yZXYueG1sUEsBAhQAFAAAAAgAh07iQIlHz0LWAQAA0gMAAA4AAAAAAAAA&#10;AQAgAAAAJQEAAGRycy9lMm9Eb2MueG1sUEsFBgAAAAAGAAYAWQEAAG0FAAAAAA==&#10;">
                      <v:fill on="f" focussize="0,0"/>
                      <v:stroke color="#000000" joinstyle="round"/>
                      <v:imagedata o:title=""/>
                      <o:lock v:ext="edit" aspectratio="f"/>
                    </v:line>
                  </w:pict>
                </mc:Fallback>
              </mc:AlternateContent>
            </w:r>
          </w:p>
          <w:p>
            <w:pPr>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中标金额（万元）</w:t>
            </w:r>
          </w:p>
        </w:tc>
        <w:tc>
          <w:tcPr>
            <w:tcW w:w="2326" w:type="dxa"/>
            <w:vAlign w:val="center"/>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货物招标</w:t>
            </w:r>
          </w:p>
        </w:tc>
        <w:tc>
          <w:tcPr>
            <w:tcW w:w="2316" w:type="dxa"/>
            <w:vAlign w:val="center"/>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服务招标</w:t>
            </w:r>
          </w:p>
        </w:tc>
        <w:tc>
          <w:tcPr>
            <w:tcW w:w="2316" w:type="dxa"/>
            <w:vAlign w:val="center"/>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100以下</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100-500</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0.8%</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500-1000</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0.8%</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0.45%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1000-5000</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5000-10000</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0.1%</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10000-100000</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100000以上</w:t>
            </w:r>
          </w:p>
        </w:tc>
        <w:tc>
          <w:tcPr>
            <w:tcW w:w="232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c>
          <w:tcPr>
            <w:tcW w:w="2316" w:type="dxa"/>
          </w:tcPr>
          <w:p>
            <w:pPr>
              <w:spacing w:line="3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r>
    </w:tbl>
    <w:p>
      <w:pPr>
        <w:pStyle w:val="21"/>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注：招标代理服务收费按差额定率累进法计算。</w:t>
      </w:r>
    </w:p>
    <w:p>
      <w:pPr>
        <w:spacing w:line="400" w:lineRule="exact"/>
        <w:ind w:firstLine="413" w:firstLineChars="196"/>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37. 询问、质疑和投诉</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37.1供应商对政府采购活动事项有疑问的，可以向采购人、采购代理机构提出询问。</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37.2供应商认为采购文件、采购过程或中标结果使自己的合法权益受到损害的，应当在知道或者应知其权益受到损害之日起七个工作日内，以书面形式向采购人、采购代理机构提出质疑。具体计算时间如下：</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（1）对可以质疑的采购文件提出质疑的，为收到采购文件之日；</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（2）对采购过程提出质疑的，为各采购程序环节结束之日；</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（3）对中标结果提出质疑的，为中标结果公告期限届满之日。</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供应商对采购人或采购代理机构的质疑答复不满意或者采购人或采购代理机构未在规定时间内作出答复的，可以在答复期满后十五个工作日内向同级采购监管部门投诉。</w:t>
      </w:r>
    </w:p>
    <w:p>
      <w:pPr>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37.3质疑、投诉应当采用书面形式，质疑书、投诉书均应明确阐述采购文件、采购过程、中标结果中使自己合法权益受到损害的实质性内容，提供相关事实、明确的请求、必要的证明材料，便于有关单位调查、答复和处理。</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供应商提出质疑应当提交质疑函和必要的证明材料，针对同一采购程序环节的质疑必须在法定质疑期内一次性提出。质疑函应当包括下列内容：</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（1）供应商的姓名或者名称、地址、邮编、联系人及联系电话；</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（2）质疑项目的名称、编号；</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（3）具体、明确的质疑事项和与质疑事项相关的请求；</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（4）事实依据；</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（5）必要的法律依据；</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（6）提出质疑的日期。</w:t>
      </w:r>
    </w:p>
    <w:p>
      <w:pPr>
        <w:tabs>
          <w:tab w:val="left" w:pos="2835"/>
        </w:tabs>
        <w:spacing w:line="320" w:lineRule="exact"/>
        <w:ind w:firstLine="422" w:firstLineChars="20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供应商为自然人的，应当由本人签字；供应商为法人或者其他组织的，应当由法定代表人、主要负责人，或者其授权代表签字或者盖章，并加盖公章。</w:t>
      </w:r>
    </w:p>
    <w:p>
      <w:pPr>
        <w:pStyle w:val="21"/>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38.解释权</w:t>
      </w:r>
    </w:p>
    <w:p>
      <w:pPr>
        <w:pStyle w:val="21"/>
        <w:spacing w:line="400" w:lineRule="exact"/>
        <w:ind w:firstLine="404" w:firstLineChars="200"/>
        <w:rPr>
          <w:rFonts w:hint="eastAsia" w:asciiTheme="minorEastAsia" w:hAnsiTheme="minorEastAsia" w:eastAsiaTheme="minorEastAsia" w:cstheme="minorEastAsia"/>
          <w:color w:val="auto"/>
          <w:spacing w:val="-4"/>
          <w:szCs w:val="21"/>
          <w:highlight w:val="none"/>
        </w:rPr>
      </w:pPr>
      <w:r>
        <w:rPr>
          <w:rFonts w:hint="eastAsia" w:asciiTheme="minorEastAsia" w:hAnsiTheme="minorEastAsia" w:eastAsiaTheme="minorEastAsia" w:cstheme="minorEastAsia"/>
          <w:color w:val="auto"/>
          <w:spacing w:val="-4"/>
          <w:szCs w:val="21"/>
          <w:highlight w:val="none"/>
        </w:rPr>
        <w:t>本项目是根据国家有关法律、法规和参照国际惯例编制，解释权属采购代理机构。</w:t>
      </w:r>
    </w:p>
    <w:p>
      <w:pPr>
        <w:pStyle w:val="21"/>
        <w:spacing w:line="400" w:lineRule="exact"/>
        <w:ind w:firstLine="422" w:firstLineChars="200"/>
        <w:rPr>
          <w:rFonts w:hint="eastAsia" w:asciiTheme="minorEastAsia" w:hAnsiTheme="minorEastAsia" w:eastAsiaTheme="minorEastAsia" w:cstheme="minorEastAsia"/>
          <w:color w:val="auto"/>
          <w:spacing w:val="-4"/>
          <w:szCs w:val="21"/>
          <w:highlight w:val="none"/>
        </w:rPr>
      </w:pPr>
      <w:r>
        <w:rPr>
          <w:rFonts w:hint="eastAsia" w:asciiTheme="minorEastAsia" w:hAnsiTheme="minorEastAsia" w:eastAsiaTheme="minorEastAsia" w:cstheme="minorEastAsia"/>
          <w:b/>
          <w:color w:val="auto"/>
          <w:szCs w:val="21"/>
          <w:highlight w:val="none"/>
        </w:rPr>
        <w:t>39.有关事宜</w:t>
      </w:r>
    </w:p>
    <w:p>
      <w:pPr>
        <w:pStyle w:val="21"/>
        <w:spacing w:line="288"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39.1所有与本招标文件有关的函电请按下列通讯地址联系：</w:t>
      </w:r>
    </w:p>
    <w:p>
      <w:pPr>
        <w:pStyle w:val="21"/>
        <w:spacing w:line="288" w:lineRule="auto"/>
        <w:ind w:firstLine="84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广西唯琪工程项目管理有限公司</w:t>
      </w:r>
    </w:p>
    <w:p>
      <w:pPr>
        <w:pStyle w:val="21"/>
        <w:spacing w:line="288" w:lineRule="auto"/>
        <w:ind w:firstLine="8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w:t>
      </w:r>
      <w:r>
        <w:rPr>
          <w:rFonts w:hint="eastAsia" w:asciiTheme="minorEastAsia" w:hAnsiTheme="minorEastAsia" w:eastAsiaTheme="minorEastAsia" w:cstheme="minorEastAsia"/>
          <w:color w:val="auto"/>
          <w:szCs w:val="21"/>
          <w:highlight w:val="none"/>
          <w:lang w:eastAsia="zh-CN"/>
        </w:rPr>
        <w:t>钦州市浦北县县城物流中心深澳建材南向(容桂新城.文华园) 10幢11号</w:t>
      </w:r>
      <w:r>
        <w:rPr>
          <w:rFonts w:hint="eastAsia" w:asciiTheme="minorEastAsia" w:hAnsiTheme="minorEastAsia" w:eastAsiaTheme="minorEastAsia" w:cstheme="minorEastAsia"/>
          <w:color w:val="auto"/>
          <w:szCs w:val="21"/>
          <w:highlight w:val="none"/>
        </w:rPr>
        <w:t>。</w:t>
      </w:r>
    </w:p>
    <w:p>
      <w:pPr>
        <w:pStyle w:val="21"/>
        <w:spacing w:line="288" w:lineRule="auto"/>
        <w:ind w:firstLine="8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lang w:val="en-US" w:eastAsia="zh-CN"/>
        </w:rPr>
        <w:t>罗</w:t>
      </w:r>
      <w:r>
        <w:rPr>
          <w:rFonts w:hint="eastAsia" w:asciiTheme="minorEastAsia" w:hAnsiTheme="minorEastAsia" w:eastAsiaTheme="minorEastAsia" w:cstheme="minorEastAsia"/>
          <w:color w:val="auto"/>
          <w:szCs w:val="21"/>
          <w:highlight w:val="none"/>
        </w:rPr>
        <w:t>工</w:t>
      </w:r>
    </w:p>
    <w:p>
      <w:pPr>
        <w:pStyle w:val="21"/>
        <w:spacing w:line="288" w:lineRule="auto"/>
        <w:ind w:firstLine="84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电    话：0777-</w:t>
      </w:r>
      <w:r>
        <w:rPr>
          <w:rFonts w:hint="eastAsia" w:asciiTheme="minorEastAsia" w:hAnsiTheme="minorEastAsia" w:eastAsiaTheme="minorEastAsia" w:cstheme="minorEastAsia"/>
          <w:color w:val="auto"/>
          <w:szCs w:val="21"/>
          <w:highlight w:val="none"/>
          <w:lang w:eastAsia="zh-CN"/>
        </w:rPr>
        <w:t>8685113</w:t>
      </w:r>
    </w:p>
    <w:p>
      <w:pPr>
        <w:pStyle w:val="21"/>
        <w:spacing w:line="288" w:lineRule="auto"/>
        <w:ind w:firstLine="84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传    真：0777-</w:t>
      </w:r>
      <w:r>
        <w:rPr>
          <w:rFonts w:hint="eastAsia" w:asciiTheme="minorEastAsia" w:hAnsiTheme="minorEastAsia" w:eastAsiaTheme="minorEastAsia" w:cstheme="minorEastAsia"/>
          <w:color w:val="auto"/>
          <w:szCs w:val="21"/>
          <w:highlight w:val="none"/>
          <w:lang w:val="en-US" w:eastAsia="zh-CN"/>
        </w:rPr>
        <w:t>8685113</w:t>
      </w:r>
    </w:p>
    <w:p>
      <w:pPr>
        <w:pStyle w:val="21"/>
        <w:spacing w:line="264" w:lineRule="auto"/>
        <w:ind w:firstLine="527" w:firstLineChars="25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lang w:eastAsia="zh-CN"/>
        </w:rPr>
        <w:t>广西唯琪工程项目管理有限公司</w:t>
      </w:r>
      <w:r>
        <w:rPr>
          <w:rFonts w:hint="eastAsia" w:asciiTheme="minorEastAsia" w:hAnsiTheme="minorEastAsia" w:eastAsiaTheme="minorEastAsia" w:cstheme="minorEastAsia"/>
          <w:b/>
          <w:bCs/>
          <w:color w:val="auto"/>
          <w:szCs w:val="21"/>
          <w:highlight w:val="none"/>
        </w:rPr>
        <w:t>账户：</w:t>
      </w:r>
    </w:p>
    <w:p>
      <w:pPr>
        <w:pStyle w:val="21"/>
        <w:spacing w:line="360" w:lineRule="exact"/>
        <w:ind w:right="68" w:firstLine="560" w:firstLineChars="267"/>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开户名称：</w:t>
      </w:r>
      <w:r>
        <w:rPr>
          <w:rFonts w:hint="eastAsia" w:asciiTheme="minorEastAsia" w:hAnsiTheme="minorEastAsia" w:eastAsiaTheme="minorEastAsia" w:cstheme="minorEastAsia"/>
          <w:bCs/>
          <w:color w:val="auto"/>
          <w:highlight w:val="none"/>
          <w:lang w:eastAsia="zh-CN"/>
        </w:rPr>
        <w:t>广西唯琪工程项目管理有限公司</w:t>
      </w:r>
    </w:p>
    <w:p>
      <w:pPr>
        <w:pStyle w:val="21"/>
        <w:spacing w:line="360" w:lineRule="exact"/>
        <w:ind w:right="68" w:firstLine="560" w:firstLineChars="26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开户银行：</w:t>
      </w:r>
      <w:r>
        <w:rPr>
          <w:rFonts w:hint="eastAsia" w:asciiTheme="minorEastAsia" w:hAnsiTheme="minorEastAsia" w:eastAsiaTheme="minorEastAsia" w:cstheme="minorEastAsia"/>
          <w:color w:val="auto"/>
          <w:highlight w:val="none"/>
          <w:lang w:val="en-US" w:eastAsia="zh-CN"/>
        </w:rPr>
        <w:t>中国建设银行股份有限公司浦北支行</w:t>
      </w:r>
    </w:p>
    <w:p>
      <w:pPr>
        <w:pStyle w:val="21"/>
        <w:spacing w:line="360" w:lineRule="exact"/>
        <w:ind w:right="68" w:firstLine="560" w:firstLineChars="26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银行账号：</w:t>
      </w:r>
      <w:r>
        <w:rPr>
          <w:rFonts w:hint="eastAsia" w:asciiTheme="minorEastAsia" w:hAnsiTheme="minorEastAsia" w:eastAsiaTheme="minorEastAsia" w:cstheme="minorEastAsia"/>
          <w:color w:val="auto"/>
          <w:highlight w:val="none"/>
          <w:lang w:val="en-US" w:eastAsia="zh-CN"/>
        </w:rPr>
        <w:t xml:space="preserve"> 45050110120500001045</w:t>
      </w:r>
    </w:p>
    <w:p>
      <w:pPr>
        <w:pStyle w:val="21"/>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40</w:t>
      </w:r>
      <w:r>
        <w:rPr>
          <w:rFonts w:hint="eastAsia" w:asciiTheme="minorEastAsia" w:hAnsiTheme="minorEastAsia" w:eastAsiaTheme="minorEastAsia" w:cstheme="minorEastAsia"/>
          <w:b/>
          <w:color w:val="auto"/>
          <w:szCs w:val="21"/>
          <w:highlight w:val="none"/>
          <w:lang w:val="zh-CN"/>
        </w:rPr>
        <w:t>.</w:t>
      </w:r>
      <w:r>
        <w:rPr>
          <w:rFonts w:hint="eastAsia" w:asciiTheme="minorEastAsia" w:hAnsiTheme="minorEastAsia" w:eastAsiaTheme="minorEastAsia" w:cstheme="minorEastAsia"/>
          <w:b/>
          <w:color w:val="auto"/>
          <w:szCs w:val="21"/>
          <w:highlight w:val="none"/>
        </w:rPr>
        <w:t>政采贷相关说明</w:t>
      </w:r>
    </w:p>
    <w:p>
      <w:pPr>
        <w:pStyle w:val="21"/>
        <w:spacing w:line="360" w:lineRule="exact"/>
        <w:ind w:right="68" w:firstLine="560" w:firstLineChars="26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pPr>
        <w:pStyle w:val="21"/>
        <w:spacing w:line="360" w:lineRule="exact"/>
        <w:ind w:right="68"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相关金融产品和银行业金融机构联系方式，可在中征应收账款融资服务平台查询（网址：https://www.crcrfsp.com/，客服电话：400-009-0001）。</w:t>
      </w:r>
    </w:p>
    <w:p>
      <w:pPr>
        <w:pStyle w:val="21"/>
        <w:adjustRightInd w:val="0"/>
        <w:snapToGrid w:val="0"/>
        <w:spacing w:line="360" w:lineRule="exact"/>
        <w:rPr>
          <w:rFonts w:hint="eastAsia" w:asciiTheme="minorEastAsia" w:hAnsiTheme="minorEastAsia" w:eastAsiaTheme="minorEastAsia" w:cstheme="minorEastAsia"/>
          <w:b/>
          <w:bCs/>
          <w:color w:val="auto"/>
          <w:sz w:val="22"/>
          <w:szCs w:val="22"/>
          <w:highlight w:val="none"/>
        </w:rPr>
      </w:pPr>
    </w:p>
    <w:p>
      <w:pPr>
        <w:pStyle w:val="21"/>
        <w:adjustRightInd w:val="0"/>
        <w:snapToGrid w:val="0"/>
        <w:spacing w:line="36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特别说明：</w:t>
      </w:r>
    </w:p>
    <w:p>
      <w:pPr>
        <w:pStyle w:val="21"/>
        <w:adjustRightInd w:val="0"/>
        <w:snapToGrid w:val="0"/>
        <w:spacing w:line="3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1.政采云公司如对政府采购电子化流程及评审程序有调整的，按调整后的程序操作。</w:t>
      </w:r>
    </w:p>
    <w:p>
      <w:pPr>
        <w:pStyle w:val="21"/>
        <w:adjustRightInd w:val="0"/>
        <w:snapToGrid w:val="0"/>
        <w:spacing w:line="3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2.如有特殊情况，采购代理机构延长截止时间和开标时间，采购代理机构和供应商的权利和义务将受到新的截止时间和开标时间的约束。</w:t>
      </w:r>
    </w:p>
    <w:p>
      <w:pPr>
        <w:pStyle w:val="21"/>
        <w:adjustRightInd w:val="0"/>
        <w:snapToGrid w:val="0"/>
        <w:spacing w:line="3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3.采购过程中出现以下情形，导致</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无法正常运行，或者无法保证开评标活动的公平、公正和安全时，采购代理机构可中止开评标活动：</w:t>
      </w:r>
    </w:p>
    <w:p>
      <w:pPr>
        <w:pStyle w:val="21"/>
        <w:adjustRightInd w:val="0"/>
        <w:snapToGrid w:val="0"/>
        <w:spacing w:line="3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 xml:space="preserve">发生故障而无法登录访问的； </w:t>
      </w:r>
    </w:p>
    <w:p>
      <w:pPr>
        <w:pStyle w:val="21"/>
        <w:adjustRightInd w:val="0"/>
        <w:snapToGrid w:val="0"/>
        <w:spacing w:line="3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3.2</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应用或数据库出现错误，不能进行正常操作的；</w:t>
      </w:r>
    </w:p>
    <w:p>
      <w:pPr>
        <w:pStyle w:val="21"/>
        <w:adjustRightInd w:val="0"/>
        <w:snapToGrid w:val="0"/>
        <w:spacing w:line="3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3.3</w:t>
      </w:r>
      <w:r>
        <w:rPr>
          <w:rFonts w:hint="eastAsia" w:asciiTheme="minorEastAsia" w:hAnsiTheme="minorEastAsia" w:eastAsiaTheme="minorEastAsia" w:cstheme="minorEastAsia"/>
          <w:color w:val="auto"/>
          <w:sz w:val="22"/>
          <w:szCs w:val="22"/>
          <w:highlight w:val="none"/>
          <w:lang w:eastAsia="zh-CN"/>
        </w:rPr>
        <w:t>广西政府采购云平台</w:t>
      </w:r>
      <w:r>
        <w:rPr>
          <w:rFonts w:hint="eastAsia" w:asciiTheme="minorEastAsia" w:hAnsiTheme="minorEastAsia" w:eastAsiaTheme="minorEastAsia" w:cstheme="minorEastAsia"/>
          <w:color w:val="auto"/>
          <w:sz w:val="22"/>
          <w:szCs w:val="22"/>
          <w:highlight w:val="none"/>
        </w:rPr>
        <w:t>发现严重安全漏洞，有潜在泄密危险的；</w:t>
      </w:r>
    </w:p>
    <w:p>
      <w:pPr>
        <w:pStyle w:val="21"/>
        <w:adjustRightInd w:val="0"/>
        <w:snapToGrid w:val="0"/>
        <w:spacing w:line="3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3.4病毒发作导致不能进行正常操作的； </w:t>
      </w:r>
    </w:p>
    <w:p>
      <w:pPr>
        <w:pStyle w:val="21"/>
        <w:adjustRightInd w:val="0"/>
        <w:snapToGrid w:val="0"/>
        <w:spacing w:line="3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3.5其他无法保证电子交易的公平、公正和安全的情况。</w:t>
      </w:r>
    </w:p>
    <w:p>
      <w:pPr>
        <w:pStyle w:val="21"/>
        <w:adjustRightInd w:val="0"/>
        <w:snapToGrid w:val="0"/>
        <w:spacing w:line="360" w:lineRule="exact"/>
        <w:ind w:firstLine="42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2"/>
          <w:szCs w:val="22"/>
          <w:highlight w:val="none"/>
        </w:rPr>
        <w:t>出现前款规定情形，不影响采购公平、公正性的，采购代理机构可以待上述情形消除后继续组织开评标活动，也可以决定某些环节以纸质形式进行；影响或可能影响采购公平、公正性的，应当重新采购。</w:t>
      </w:r>
    </w:p>
    <w:p>
      <w:pP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highlight w:val="none"/>
          <w:lang w:eastAsia="zh-CN"/>
        </w:rPr>
        <w:br w:type="page"/>
      </w:r>
    </w:p>
    <w:p>
      <w:pPr>
        <w:pStyle w:val="3"/>
        <w:numPr>
          <w:ilvl w:val="0"/>
          <w:numId w:val="3"/>
        </w:numPr>
        <w:bidi w:val="0"/>
        <w:jc w:val="left"/>
        <w:rPr>
          <w:rFonts w:hint="eastAsia" w:asciiTheme="majorEastAsia" w:hAnsiTheme="majorEastAsia" w:eastAsiaTheme="majorEastAsia" w:cstheme="majorEastAsia"/>
          <w:color w:val="auto"/>
          <w:sz w:val="32"/>
          <w:szCs w:val="32"/>
          <w:highlight w:val="none"/>
        </w:rPr>
      </w:pPr>
      <w:bookmarkStart w:id="142" w:name="_Toc13082"/>
      <w:bookmarkStart w:id="143" w:name="_Toc19984"/>
      <w:bookmarkStart w:id="144" w:name="_Toc16754"/>
      <w:r>
        <w:rPr>
          <w:rFonts w:hint="eastAsia" w:asciiTheme="majorEastAsia" w:hAnsiTheme="majorEastAsia" w:eastAsiaTheme="majorEastAsia" w:cstheme="majorEastAsia"/>
          <w:color w:val="auto"/>
          <w:sz w:val="32"/>
          <w:szCs w:val="32"/>
          <w:highlight w:val="none"/>
        </w:rPr>
        <w:t>货物需求一览表</w:t>
      </w:r>
      <w:bookmarkEnd w:id="25"/>
      <w:bookmarkEnd w:id="26"/>
      <w:bookmarkEnd w:id="27"/>
      <w:bookmarkEnd w:id="142"/>
    </w:p>
    <w:p>
      <w:pPr>
        <w:pageBreakBefore w:val="0"/>
        <w:kinsoku/>
        <w:overflowPunct/>
        <w:topLinePunct w:val="0"/>
        <w:bidi w:val="0"/>
        <w:adjustRightInd w:val="0"/>
        <w:spacing w:beforeAutospacing="0" w:afterAutospacing="0" w:line="360" w:lineRule="auto"/>
        <w:ind w:left="0" w:leftChars="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p>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一览表中的品牌型号、技术参数及其性能（配置）仅起参考作用，投标人可选用其他品牌型号替代（有特殊要求的除外），但这些替代的品牌型号要实质上相当于或优于参考品牌型号及其技术参数性能（配置）要求。</w:t>
      </w:r>
    </w:p>
    <w:p>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2、本一览表中参考品牌型号及技术参数及配置不明确或有误的，或投标人选有其他品牌型号替代的，请以详细正确的品牌型号、技术参数及配置同时填写投标报价表和技术规格偏离表。</w:t>
      </w:r>
    </w:p>
    <w:p>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3、“实质性要求”是指招标文件中已经指明不满足则投标无效的条款，或者不能负偏离的条款。本一览表中标注“★”号的内容为实质性要求和条件，投标人必须满足，否则其投标无效。</w:t>
      </w:r>
    </w:p>
    <w:p>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①提供相同品牌产品且通过资格审查的不同投标人参加同一合同项下投标的，按一家投标人计算，评审后得分最高的同品牌投标人获得中标人推荐资格；评审得分相同的，以总投标报价低的获得中标人推荐资格；报价相同的，以技术分最高的获得中标人推荐资格，技术分相同的，采取随机抽取方式确定，其他同品牌投标人不作为中标候选人。</w:t>
      </w:r>
    </w:p>
    <w:p>
      <w:pPr>
        <w:pStyle w:val="55"/>
        <w:rPr>
          <w:rFonts w:hint="eastAsia"/>
          <w:b w:val="0"/>
          <w:bCs/>
          <w:color w:val="auto"/>
          <w:highlight w:val="none"/>
        </w:rPr>
      </w:pP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lang w:eastAsia="zh-CN"/>
        </w:rPr>
        <w:t>②非单一产品采购项目中，多家投标人提供的核心产品品牌相同的，视为提供相同品牌产品。</w:t>
      </w:r>
    </w:p>
    <w:p>
      <w:pPr>
        <w:pageBreakBefore w:val="0"/>
        <w:kinsoku/>
        <w:overflowPunct/>
        <w:topLinePunct w:val="0"/>
        <w:bidi w:val="0"/>
        <w:spacing w:beforeAutospacing="0" w:afterAutospacing="0" w:line="360" w:lineRule="auto"/>
        <w:ind w:left="0" w:leftChars="0" w:right="0" w:firstLine="424" w:firstLineChars="20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如投标人投标产品存在侵犯他人的知识产权或者专利成果行为的，应承担相应法律责任。</w:t>
      </w:r>
    </w:p>
    <w:p>
      <w:pPr>
        <w:pageBreakBefore w:val="0"/>
        <w:numPr>
          <w:ilvl w:val="0"/>
          <w:numId w:val="0"/>
        </w:numPr>
        <w:kinsoku/>
        <w:overflowPunct/>
        <w:topLinePunct w:val="0"/>
        <w:bidi w:val="0"/>
        <w:spacing w:beforeAutospacing="0" w:afterAutospacing="0" w:line="360" w:lineRule="auto"/>
        <w:ind w:leftChars="202"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投标报价超采购预算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最高限价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的作投标无效处理。</w:t>
      </w:r>
    </w:p>
    <w:p>
      <w:pPr>
        <w:pStyle w:val="55"/>
        <w:rPr>
          <w:rFonts w:hint="eastAsia"/>
          <w:color w:val="auto"/>
          <w:highlight w:val="none"/>
        </w:rPr>
      </w:pPr>
    </w:p>
    <w:p>
      <w:pPr>
        <w:pStyle w:val="21"/>
        <w:spacing w:line="312"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b/>
          <w:bCs/>
          <w:color w:val="auto"/>
          <w:sz w:val="21"/>
          <w:szCs w:val="21"/>
          <w:highlight w:val="none"/>
        </w:rPr>
        <w:t>项目名称及项目编号：</w:t>
      </w:r>
      <w:r>
        <w:rPr>
          <w:rFonts w:hint="eastAsia" w:asciiTheme="minorEastAsia" w:hAnsiTheme="minorEastAsia" w:eastAsiaTheme="minorEastAsia" w:cstheme="minorEastAsia"/>
          <w:color w:val="auto"/>
          <w:sz w:val="21"/>
          <w:szCs w:val="21"/>
          <w:highlight w:val="none"/>
          <w:u w:val="single"/>
          <w:lang w:eastAsia="zh-CN"/>
        </w:rPr>
        <w:t>浦北大红柑智业示范带项目</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kern w:val="0"/>
          <w:sz w:val="21"/>
          <w:szCs w:val="21"/>
          <w:highlight w:val="none"/>
          <w:u w:val="single"/>
        </w:rPr>
        <w:t>项目编号：</w:t>
      </w:r>
      <w:r>
        <w:rPr>
          <w:rFonts w:hint="eastAsia" w:asciiTheme="minorEastAsia" w:hAnsiTheme="minorEastAsia" w:eastAsiaTheme="minorEastAsia" w:cstheme="minorEastAsia"/>
          <w:color w:val="auto"/>
          <w:sz w:val="21"/>
          <w:szCs w:val="21"/>
          <w:highlight w:val="none"/>
          <w:u w:val="single"/>
          <w:lang w:eastAsia="zh-CN"/>
        </w:rPr>
        <w:t>QZZC2025-G1-220209-WQGC</w:t>
      </w:r>
      <w:r>
        <w:rPr>
          <w:rFonts w:hint="eastAsia" w:asciiTheme="minorEastAsia" w:hAnsiTheme="minorEastAsia" w:eastAsiaTheme="minorEastAsia" w:cstheme="minorEastAsia"/>
          <w:color w:val="auto"/>
          <w:sz w:val="21"/>
          <w:szCs w:val="21"/>
          <w:highlight w:val="none"/>
          <w:u w:val="single"/>
        </w:rPr>
        <w:t>）</w:t>
      </w:r>
    </w:p>
    <w:p>
      <w:pPr>
        <w:pStyle w:val="21"/>
        <w:wordWrap w:val="0"/>
        <w:topLinePunct/>
        <w:spacing w:line="312"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b/>
          <w:bCs/>
          <w:color w:val="auto"/>
          <w:sz w:val="21"/>
          <w:szCs w:val="21"/>
          <w:highlight w:val="none"/>
        </w:rPr>
        <w:t>项目类别：</w:t>
      </w:r>
      <w:r>
        <w:rPr>
          <w:rFonts w:hint="eastAsia" w:asciiTheme="minorEastAsia" w:hAnsiTheme="minorEastAsia" w:eastAsiaTheme="minorEastAsia" w:cstheme="minorEastAsia"/>
          <w:color w:val="auto"/>
          <w:sz w:val="21"/>
          <w:szCs w:val="21"/>
          <w:highlight w:val="none"/>
          <w:u w:val="single"/>
        </w:rPr>
        <w:t>货物类</w:t>
      </w:r>
      <w:r>
        <w:rPr>
          <w:rFonts w:hint="eastAsia" w:asciiTheme="minorEastAsia" w:hAnsiTheme="minorEastAsia" w:eastAsiaTheme="minorEastAsia" w:cstheme="minorEastAsia"/>
          <w:b/>
          <w:bCs/>
          <w:color w:val="auto"/>
          <w:sz w:val="21"/>
          <w:szCs w:val="21"/>
          <w:highlight w:val="none"/>
        </w:rPr>
        <w:t xml:space="preserve"> </w:t>
      </w:r>
    </w:p>
    <w:p>
      <w:pPr>
        <w:bidi w:val="0"/>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三、采购最高限价：</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b/>
          <w:bCs/>
          <w:color w:val="auto"/>
          <w:sz w:val="21"/>
          <w:szCs w:val="21"/>
          <w:highlight w:val="none"/>
          <w:u w:val="single"/>
          <w:lang w:eastAsia="zh-CN"/>
        </w:rPr>
        <w:t>5987836.76</w:t>
      </w:r>
      <w:r>
        <w:rPr>
          <w:rFonts w:hint="eastAsia" w:asciiTheme="minorEastAsia" w:hAnsiTheme="minorEastAsia" w:eastAsiaTheme="minorEastAsia" w:cstheme="minorEastAsia"/>
          <w:color w:val="auto"/>
          <w:sz w:val="21"/>
          <w:szCs w:val="21"/>
          <w:highlight w:val="none"/>
        </w:rPr>
        <w:t>，投标报价超过项目最高限价的，将导致投标无效。</w:t>
      </w:r>
      <w:r>
        <w:rPr>
          <w:rStyle w:val="63"/>
          <w:rFonts w:hint="eastAsia" w:asciiTheme="minorEastAsia" w:hAnsiTheme="minorEastAsia" w:eastAsiaTheme="minorEastAsia" w:cstheme="minorEastAsia"/>
          <w:b w:val="0"/>
          <w:bCs w:val="0"/>
          <w:color w:val="auto"/>
          <w:sz w:val="21"/>
          <w:szCs w:val="21"/>
          <w:highlight w:val="none"/>
        </w:rPr>
        <w:t xml:space="preserve"> </w:t>
      </w:r>
      <w:bookmarkEnd w:id="143"/>
      <w:bookmarkEnd w:id="144"/>
      <w:bookmarkStart w:id="145" w:name="_Toc147250552"/>
      <w:bookmarkStart w:id="146" w:name="_Toc147250396"/>
      <w:bookmarkStart w:id="147" w:name="_Toc147250350"/>
      <w:bookmarkStart w:id="148" w:name="_Toc314214110"/>
      <w:bookmarkStart w:id="149" w:name="_Toc307555229"/>
      <w:bookmarkStart w:id="150" w:name="_Toc314033667"/>
    </w:p>
    <w:p>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b/>
          <w:bCs/>
          <w:color w:val="auto"/>
          <w:kern w:val="2"/>
          <w:sz w:val="21"/>
          <w:szCs w:val="21"/>
          <w:highlight w:val="none"/>
          <w:lang w:val="en-US" w:eastAsia="zh-CN" w:bidi="ar-SA"/>
        </w:rPr>
        <w:t>本项目核心产品为</w:t>
      </w:r>
      <w:r>
        <w:rPr>
          <w:rFonts w:hint="eastAsia" w:asciiTheme="minorEastAsia" w:hAnsiTheme="minorEastAsia" w:eastAsiaTheme="minorEastAsia" w:cstheme="minorEastAsia"/>
          <w:b/>
          <w:bCs/>
          <w:color w:val="auto"/>
          <w:sz w:val="21"/>
          <w:szCs w:val="21"/>
          <w:highlight w:val="none"/>
          <w:lang w:eastAsia="zh-CN"/>
        </w:rPr>
        <w:t>：灌溉系统</w:t>
      </w:r>
      <w:r>
        <w:rPr>
          <w:rFonts w:hint="eastAsia" w:asciiTheme="minorEastAsia" w:hAnsiTheme="minorEastAsia" w:eastAsiaTheme="minorEastAsia" w:cstheme="minorEastAsia"/>
          <w:color w:val="auto"/>
          <w:sz w:val="21"/>
          <w:szCs w:val="21"/>
          <w:highlight w:val="none"/>
          <w:lang w:eastAsia="zh-CN"/>
        </w:rPr>
        <w:t>。</w:t>
      </w:r>
    </w:p>
    <w:p>
      <w:pPr>
        <w:pStyle w:val="21"/>
        <w:spacing w:line="340" w:lineRule="exact"/>
        <w:rPr>
          <w:rFonts w:hint="eastAsia" w:asciiTheme="minorEastAsia" w:hAnsiTheme="minorEastAsia" w:eastAsiaTheme="minorEastAsia" w:cstheme="minorEastAsia"/>
          <w:b/>
          <w:bCs/>
          <w:color w:val="auto"/>
          <w:szCs w:val="22"/>
          <w:highlight w:val="none"/>
        </w:rPr>
        <w:sectPr>
          <w:pgSz w:w="11906" w:h="16838"/>
          <w:pgMar w:top="1417" w:right="1417" w:bottom="1417" w:left="1417" w:header="720" w:footer="720" w:gutter="0"/>
          <w:pgNumType w:fmt="decimal"/>
          <w:cols w:space="720" w:num="1"/>
          <w:rtlGutter w:val="0"/>
          <w:docGrid w:type="lines" w:linePitch="331" w:charSpace="0"/>
        </w:sectPr>
      </w:pPr>
      <w:r>
        <w:rPr>
          <w:rFonts w:hint="eastAsia" w:asciiTheme="minorEastAsia" w:hAnsiTheme="minorEastAsia" w:eastAsiaTheme="minorEastAsia" w:cstheme="minorEastAsia"/>
          <w:b/>
          <w:bCs/>
          <w:color w:val="auto"/>
          <w:szCs w:val="22"/>
          <w:highlight w:val="none"/>
        </w:rPr>
        <w:t>四、采购货物需求及技术性能要求</w:t>
      </w:r>
    </w:p>
    <w:tbl>
      <w:tblPr>
        <w:tblStyle w:val="38"/>
        <w:tblW w:w="138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390"/>
        <w:gridCol w:w="1592"/>
        <w:gridCol w:w="5423"/>
        <w:gridCol w:w="1062"/>
        <w:gridCol w:w="1003"/>
        <w:gridCol w:w="877"/>
        <w:gridCol w:w="970"/>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88" w:type="dxa"/>
            <w:gridSpan w:val="9"/>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采购需求</w:t>
            </w:r>
            <w:r>
              <w:rPr>
                <w:rFonts w:hint="eastAsia" w:ascii="宋体" w:hAnsi="宋体" w:eastAsia="宋体" w:cs="宋体"/>
                <w:i w:val="0"/>
                <w:iCs w:val="0"/>
                <w:color w:val="auto"/>
                <w:kern w:val="0"/>
                <w:sz w:val="40"/>
                <w:szCs w:val="40"/>
                <w:highlight w:val="none"/>
                <w:u w:val="none"/>
                <w:lang w:val="en-US" w:eastAsia="zh-CN" w:bidi="ar"/>
              </w:rPr>
              <w:br w:type="textWrapping"/>
            </w:r>
            <w:r>
              <w:rPr>
                <w:rFonts w:hint="eastAsia" w:ascii="宋体" w:hAnsi="宋体" w:eastAsia="宋体" w:cs="宋体"/>
                <w:i w:val="0"/>
                <w:iCs w:val="0"/>
                <w:color w:val="auto"/>
                <w:kern w:val="0"/>
                <w:sz w:val="40"/>
                <w:szCs w:val="4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88" w:type="dxa"/>
            <w:gridSpan w:val="9"/>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40"/>
                <w:szCs w:val="4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3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货物名称</w:t>
            </w:r>
          </w:p>
        </w:tc>
        <w:tc>
          <w:tcPr>
            <w:tcW w:w="15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4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4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技术参数及性能配置要求</w:t>
            </w:r>
          </w:p>
        </w:tc>
        <w:tc>
          <w:tcPr>
            <w:tcW w:w="106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0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8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9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单项</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c>
          <w:tcPr>
            <w:tcW w:w="9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本项目中小企业划分标准所属行业名称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4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6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轨道运输系统</w:t>
            </w:r>
          </w:p>
        </w:tc>
        <w:tc>
          <w:tcPr>
            <w:tcW w:w="159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整体热镀锌标准轨道（米）</w:t>
            </w:r>
          </w:p>
        </w:tc>
        <w:tc>
          <w:tcPr>
            <w:tcW w:w="542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热镀锌方管50*50，3.0mm厚度。</w:t>
            </w:r>
          </w:p>
        </w:tc>
        <w:tc>
          <w:tcPr>
            <w:tcW w:w="106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15715</w:t>
            </w:r>
          </w:p>
        </w:tc>
        <w:tc>
          <w:tcPr>
            <w:tcW w:w="100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轨道车7.6Kw（一个机头配一个货箱）</w:t>
            </w:r>
          </w:p>
        </w:tc>
        <w:tc>
          <w:tcPr>
            <w:tcW w:w="5423" w:type="dxa"/>
            <w:tcBorders>
              <w:top w:val="nil"/>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配套动力类型:汽油机，最大爬坡45度，行驶速度:0.7m/s，一体式变速箱</w:t>
            </w:r>
          </w:p>
        </w:tc>
        <w:tc>
          <w:tcPr>
            <w:tcW w:w="1062"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w:t>
            </w:r>
          </w:p>
        </w:tc>
        <w:tc>
          <w:tcPr>
            <w:tcW w:w="1003"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承载450KG；功率7.6KW；载物货箱尺寸(长*宽*高):1950*550*300mm。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轨道车3.3kw（一个机头配一个货箱）</w:t>
            </w:r>
          </w:p>
        </w:tc>
        <w:tc>
          <w:tcPr>
            <w:tcW w:w="5423" w:type="dxa"/>
            <w:tcBorders>
              <w:top w:val="nil"/>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配套动力类型:汽油机，最大爬坡45度，行驶速度:0.7m/s，一体式变速箱</w:t>
            </w:r>
          </w:p>
        </w:tc>
        <w:tc>
          <w:tcPr>
            <w:tcW w:w="1062"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30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承载300KG；功率3.3KW；载物货箱尺寸(长*宽*高):1950*550*300mm。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支架系统</w:t>
            </w:r>
          </w:p>
        </w:tc>
        <w:tc>
          <w:tcPr>
            <w:tcW w:w="542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圆钢使用φ25，2.0mm厚，热镀锌。</w:t>
            </w:r>
          </w:p>
        </w:tc>
        <w:tc>
          <w:tcPr>
            <w:tcW w:w="106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15715</w:t>
            </w:r>
          </w:p>
        </w:tc>
        <w:tc>
          <w:tcPr>
            <w:tcW w:w="100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变轨及辅材</w:t>
            </w:r>
          </w:p>
        </w:tc>
        <w:tc>
          <w:tcPr>
            <w:tcW w:w="542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变轨及活接机构等</w:t>
            </w:r>
          </w:p>
        </w:tc>
        <w:tc>
          <w:tcPr>
            <w:tcW w:w="1062"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51</w:t>
            </w:r>
          </w:p>
        </w:tc>
        <w:tc>
          <w:tcPr>
            <w:tcW w:w="100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卸货平台</w:t>
            </w:r>
          </w:p>
        </w:tc>
        <w:tc>
          <w:tcPr>
            <w:tcW w:w="54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简易钢结构，长*宽*高：6*5*4.5米</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8</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个</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p>
        </w:tc>
        <w:tc>
          <w:tcPr>
            <w:tcW w:w="970" w:type="dxa"/>
            <w:vMerge w:val="restart"/>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542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6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542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62"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等线" w:hAnsi="等线" w:eastAsia="等线" w:cs="等线"/>
                <w:i w:val="0"/>
                <w:iCs w:val="0"/>
                <w:color w:val="auto"/>
                <w:sz w:val="22"/>
                <w:szCs w:val="22"/>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水源及电源工程</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遮阳网顶盖装配式蓄水池</w:t>
            </w:r>
          </w:p>
        </w:tc>
        <w:tc>
          <w:tcPr>
            <w:tcW w:w="5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配式蓄水池（212立方，直径9.36米，高度3.09米）。高度为四层，第一、二层钢板必须为四排螺栓，第三层为三排螺栓，第四层为二排螺栓，螺栓孔孔径为13mm，采用M12热镀锌8.8级螺栓；波纹钢板采用275克镀锌板，波规为76.2mm*16mm，；内胆采用防尘PVC0.9毫米高分子内胆，内胆具备防风结构；内胆和钢板、地面接触采用200克国标无纺布保护；蓄水池必须配置整体钢结构防风圈；遮阳网顶盖设计，出水口采用波纹钢板专用两半式夹紧出水口。</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bidi="ar"/>
              </w:rPr>
              <w:t>蓄水池基础：土地平整压实，压实度大于90%，浇筑10cm厚，1米宽C20素混凝土圆环，内径8.36米，外径10.36米，中间回填10cm细沙。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配式蓄水池（82立方，直径6.68米，高度2.32米）。高度为三层，第一、二层钢板必须为三排螺栓，第三为双排螺栓，螺栓孔孔径为13mm，采用M12热镀锌8.8级螺栓；波纹钢板采用275克镀锌板，波规为76.2mm*16mm，；内胆采用防尘PVC0.9毫米高分子内胆，内胆具备防风结构；内胆和钢板、地面接触采用200克国标无纺布保护；蓄水池必须配置整体钢结构防风圈；遮阳网顶盖设计，出水口采用波纹钢板专用两半式夹紧出水口。</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Unicode MS" w:hAnsi="Arial Unicode MS" w:eastAsia="Arial Unicode MS" w:cs="Arial Unicode MS"/>
                <w:i w:val="0"/>
                <w:iCs w:val="0"/>
                <w:color w:val="auto"/>
                <w:sz w:val="20"/>
                <w:szCs w:val="20"/>
                <w:highlight w:val="none"/>
                <w:u w:val="none"/>
              </w:rPr>
            </w:pPr>
            <w:r>
              <w:rPr>
                <w:rFonts w:hint="default" w:ascii="宋体" w:hAnsi="宋体" w:eastAsia="宋体" w:cs="宋体"/>
                <w:i w:val="0"/>
                <w:iCs w:val="0"/>
                <w:color w:val="auto"/>
                <w:kern w:val="0"/>
                <w:sz w:val="21"/>
                <w:szCs w:val="21"/>
                <w:highlight w:val="none"/>
                <w:u w:val="none"/>
                <w:lang w:val="en-US" w:eastAsia="zh-CN" w:bidi="ar"/>
              </w:rPr>
              <w:t>蓄水池基础：土地平整压实，压实度大于</w:t>
            </w:r>
            <w:r>
              <w:rPr>
                <w:rFonts w:hint="eastAsia" w:ascii="宋体" w:hAnsi="宋体" w:eastAsia="宋体" w:cs="宋体"/>
                <w:i w:val="0"/>
                <w:iCs w:val="0"/>
                <w:color w:val="auto"/>
                <w:kern w:val="0"/>
                <w:sz w:val="21"/>
                <w:szCs w:val="21"/>
                <w:highlight w:val="none"/>
                <w:u w:val="none"/>
                <w:lang w:val="en-US" w:eastAsia="zh-CN" w:bidi="ar"/>
              </w:rPr>
              <w:t>90%</w:t>
            </w:r>
            <w:r>
              <w:rPr>
                <w:rFonts w:hint="default" w:ascii="宋体" w:hAnsi="宋体" w:eastAsia="宋体" w:cs="宋体"/>
                <w:i w:val="0"/>
                <w:iCs w:val="0"/>
                <w:color w:val="auto"/>
                <w:kern w:val="0"/>
                <w:sz w:val="21"/>
                <w:szCs w:val="21"/>
                <w:highlight w:val="none"/>
                <w:u w:val="none"/>
                <w:lang w:val="en-US" w:eastAsia="zh-CN" w:bidi="ar"/>
              </w:rPr>
              <w:t>，浇筑</w:t>
            </w:r>
            <w:r>
              <w:rPr>
                <w:rFonts w:hint="eastAsia" w:ascii="宋体" w:hAnsi="宋体" w:eastAsia="宋体" w:cs="宋体"/>
                <w:i w:val="0"/>
                <w:iCs w:val="0"/>
                <w:color w:val="auto"/>
                <w:kern w:val="0"/>
                <w:sz w:val="21"/>
                <w:szCs w:val="21"/>
                <w:highlight w:val="none"/>
                <w:u w:val="none"/>
                <w:lang w:val="en-US" w:eastAsia="zh-CN" w:bidi="ar"/>
              </w:rPr>
              <w:t>10cm</w:t>
            </w:r>
            <w:r>
              <w:rPr>
                <w:rFonts w:hint="default" w:ascii="宋体" w:hAnsi="宋体" w:eastAsia="宋体" w:cs="宋体"/>
                <w:i w:val="0"/>
                <w:iCs w:val="0"/>
                <w:color w:val="auto"/>
                <w:kern w:val="0"/>
                <w:sz w:val="21"/>
                <w:szCs w:val="21"/>
                <w:highlight w:val="none"/>
                <w:u w:val="none"/>
                <w:lang w:val="en-US" w:eastAsia="zh-CN" w:bidi="ar"/>
              </w:rPr>
              <w:t>厚，</w:t>
            </w:r>
            <w:r>
              <w:rPr>
                <w:rFonts w:hint="eastAsia" w:ascii="宋体" w:hAnsi="宋体" w:eastAsia="宋体" w:cs="宋体"/>
                <w:i w:val="0"/>
                <w:iCs w:val="0"/>
                <w:color w:val="auto"/>
                <w:kern w:val="0"/>
                <w:sz w:val="21"/>
                <w:szCs w:val="21"/>
                <w:highlight w:val="none"/>
                <w:u w:val="none"/>
                <w:lang w:val="en-US" w:eastAsia="zh-CN" w:bidi="ar"/>
              </w:rPr>
              <w:t>1</w:t>
            </w:r>
            <w:r>
              <w:rPr>
                <w:rFonts w:hint="default" w:ascii="宋体" w:hAnsi="宋体" w:eastAsia="宋体" w:cs="宋体"/>
                <w:i w:val="0"/>
                <w:iCs w:val="0"/>
                <w:color w:val="auto"/>
                <w:kern w:val="0"/>
                <w:sz w:val="21"/>
                <w:szCs w:val="21"/>
                <w:highlight w:val="none"/>
                <w:u w:val="none"/>
                <w:lang w:val="en-US" w:eastAsia="zh-CN" w:bidi="ar"/>
              </w:rPr>
              <w:t>米宽</w:t>
            </w:r>
            <w:r>
              <w:rPr>
                <w:rFonts w:hint="eastAsia" w:ascii="宋体" w:hAnsi="宋体" w:eastAsia="宋体" w:cs="宋体"/>
                <w:i w:val="0"/>
                <w:iCs w:val="0"/>
                <w:color w:val="auto"/>
                <w:kern w:val="0"/>
                <w:sz w:val="21"/>
                <w:szCs w:val="21"/>
                <w:highlight w:val="none"/>
                <w:u w:val="none"/>
                <w:lang w:val="en-US" w:eastAsia="zh-CN" w:bidi="ar"/>
              </w:rPr>
              <w:t>C20</w:t>
            </w:r>
            <w:r>
              <w:rPr>
                <w:rFonts w:hint="default" w:ascii="宋体" w:hAnsi="宋体" w:eastAsia="宋体" w:cs="宋体"/>
                <w:i w:val="0"/>
                <w:iCs w:val="0"/>
                <w:color w:val="auto"/>
                <w:kern w:val="0"/>
                <w:sz w:val="21"/>
                <w:szCs w:val="21"/>
                <w:highlight w:val="none"/>
                <w:u w:val="none"/>
                <w:lang w:val="en-US" w:eastAsia="zh-CN" w:bidi="ar"/>
              </w:rPr>
              <w:t>素混凝土圆环，内径</w:t>
            </w:r>
            <w:r>
              <w:rPr>
                <w:rFonts w:hint="eastAsia" w:ascii="宋体" w:hAnsi="宋体" w:eastAsia="宋体" w:cs="宋体"/>
                <w:i w:val="0"/>
                <w:iCs w:val="0"/>
                <w:color w:val="auto"/>
                <w:kern w:val="0"/>
                <w:sz w:val="21"/>
                <w:szCs w:val="21"/>
                <w:highlight w:val="none"/>
                <w:u w:val="none"/>
                <w:lang w:val="en-US" w:eastAsia="zh-CN" w:bidi="ar"/>
              </w:rPr>
              <w:t>5.68</w:t>
            </w:r>
            <w:r>
              <w:rPr>
                <w:rFonts w:hint="default" w:ascii="宋体" w:hAnsi="宋体" w:eastAsia="宋体" w:cs="宋体"/>
                <w:i w:val="0"/>
                <w:iCs w:val="0"/>
                <w:color w:val="auto"/>
                <w:kern w:val="0"/>
                <w:sz w:val="21"/>
                <w:szCs w:val="21"/>
                <w:highlight w:val="none"/>
                <w:u w:val="none"/>
                <w:lang w:val="en-US" w:eastAsia="zh-CN" w:bidi="ar"/>
              </w:rPr>
              <w:t>米，外径</w:t>
            </w:r>
            <w:r>
              <w:rPr>
                <w:rFonts w:hint="eastAsia" w:ascii="宋体" w:hAnsi="宋体" w:eastAsia="宋体" w:cs="宋体"/>
                <w:i w:val="0"/>
                <w:iCs w:val="0"/>
                <w:color w:val="auto"/>
                <w:kern w:val="0"/>
                <w:sz w:val="21"/>
                <w:szCs w:val="21"/>
                <w:highlight w:val="none"/>
                <w:u w:val="none"/>
                <w:lang w:val="en-US" w:eastAsia="zh-CN" w:bidi="ar"/>
              </w:rPr>
              <w:t>7.68</w:t>
            </w:r>
            <w:r>
              <w:rPr>
                <w:rFonts w:hint="default" w:ascii="宋体" w:hAnsi="宋体" w:eastAsia="宋体" w:cs="宋体"/>
                <w:i w:val="0"/>
                <w:iCs w:val="0"/>
                <w:color w:val="auto"/>
                <w:kern w:val="0"/>
                <w:sz w:val="21"/>
                <w:szCs w:val="21"/>
                <w:highlight w:val="none"/>
                <w:u w:val="none"/>
                <w:lang w:val="en-US" w:eastAsia="zh-CN" w:bidi="ar"/>
              </w:rPr>
              <w:t>米，中间回填</w:t>
            </w:r>
            <w:r>
              <w:rPr>
                <w:rFonts w:hint="eastAsia" w:ascii="宋体" w:hAnsi="宋体" w:eastAsia="宋体" w:cs="宋体"/>
                <w:i w:val="0"/>
                <w:iCs w:val="0"/>
                <w:color w:val="auto"/>
                <w:kern w:val="0"/>
                <w:sz w:val="21"/>
                <w:szCs w:val="21"/>
                <w:highlight w:val="none"/>
                <w:u w:val="none"/>
                <w:lang w:val="en-US" w:eastAsia="zh-CN" w:bidi="ar"/>
              </w:rPr>
              <w:t>10cm</w:t>
            </w:r>
            <w:r>
              <w:rPr>
                <w:rFonts w:hint="default" w:ascii="宋体" w:hAnsi="宋体" w:eastAsia="宋体" w:cs="宋体"/>
                <w:i w:val="0"/>
                <w:iCs w:val="0"/>
                <w:color w:val="auto"/>
                <w:kern w:val="0"/>
                <w:sz w:val="21"/>
                <w:szCs w:val="21"/>
                <w:highlight w:val="none"/>
                <w:u w:val="none"/>
                <w:lang w:val="en-US" w:eastAsia="zh-CN" w:bidi="ar"/>
              </w:rPr>
              <w:t>细沙。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灌溉水泵</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1.额定功率:11kw；  </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2.额定流量:60m³/h；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3.额定扬程:45m；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4.额定电压:380V；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5.连接方式:法兰连接；</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1.额定功率:7.5kw；  </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2.额定流量:42m³/h；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3.额定扬程:41m；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4.额定电压:380V；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5.连接方式:法兰连接；</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变频控制柜</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1.恒压变频供水控制柜结构紧凑，占地面积小，安装方便、操作简单、免维护、免看管。</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2.恒压变频供水控制柜具有防止过流、欠压、超压、过载、短路、过热等多种自我保护功能，保障设备安全。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3.核心控制部件采用行业领先的变频器，功能强大、使用寿命长、控制方式灵活、抗干扰能力强 工作稳定可靠。</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4.无损耗水泵电机转速调节，实现供水量从零至最大之间的无极调节。</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5.实现水泵软起动，对电网和管网无冲击，延长水泵电机、管网以及其他控制设备的使用寿命。</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6.系统运行噪音小，压力稳定，控制精度高。</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7.本地/远程两种控制方式可切换，支持远程设定目标压力。</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8.支持PC端网页、手机APP、微信小程序远程控制，实时查看监测参数。</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9、内置无线采集控制终端，常规含100M三年流量，DC12-24V供电；TYPE-C接口； 4G全网通CAT1网络和GPS定位功能; 一路RS485接口，可接入16个节点；支持OTA升级，具备历史数据存储功能，标配8G存储卡，时间校准1小时一次，可抗干扰防过压；工作功率：入网瞬间1w；上传数据平均1W 瞬间3.6W；正常运行平均0.5W；工作温度：-25℃～85℃；存储温度：-40℃～85℃；天线接口：SMA接口，50欧匹配天线。</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4"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1.恒压变频/工频控制，一控二。</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9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泵房首部系统设备</w:t>
            </w: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2.主泵采用变频控制，采用国内优质变频器，匹配15KW水泵电机；同时控制搅拌机工频启动。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3.压力控制精度：0.01bar。</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4.其他：预留一路柜内220V插座，变频泵标配过热、缺相保护。</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全自动反冲洗叠片过滤器</w:t>
            </w:r>
          </w:p>
        </w:tc>
        <w:tc>
          <w:tcPr>
            <w:tcW w:w="5423"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最大工作压力：10bar；</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最小反冲洗压力，1.5Bar；</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目数：120目；</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最大流量：90m3/h；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进出口法兰尺寸：DN100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过滤单元：2寸3组加长款，实际流量75m³/h，进出水口口径：3寸，排污口口径：3寸</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3寸2罐全自动反冲洗砂石过滤器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过滤单元：700mm*2个，实际流量60m³/h，进出水口口径：3寸，排污口口径：3寸</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4寸2罐全自动反冲洗砂石过滤器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过滤单元：900mm*2个，实际流量95m³/h，进出水口口径：4寸，排污口口径：3寸</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塑料肥料桶</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型号：MC-1000L</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规格：直径1040mm，高度1460mm，壁厚7mm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材质：线性低密度聚乙烯LLDPE</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配置：带钢制底架</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肥料减速搅拌机</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0.75KW</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尺寸：不锈钢304与钢衬塑搅拌杆，单层，叶轮直径300mm，长1200mm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搅拌机控制柜</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工频，一控一，匹配电机</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立式不锈钢多级泵</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1.额定功率：2.2kw；  </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2.额定流量：4m³/h；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3.额定扬程：72m；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4.额定电压：380V；</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远传式流量计</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DN100，电子脉冲远传流量计；DN80，电子脉冲远传流量计</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机械式流量计</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肥料过滤器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2寸叠片过滤器，120目，T型</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消声止回阀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持压阀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软密封闸阀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DN100，国标，法兰连接</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DN80，国标，法兰连接</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法兰橡胶软接头</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DN100*65</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DN100*50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DN80*65</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铜止回阀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铜联阀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水泵控制铜芯电缆线</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BVV3*10mm2+1*4mm2</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BVV3*6mm2</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肥泵控制铜芯电缆线</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BVV3*2.5mm2</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压力传感器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最大量程：1.0MPa 1个；最大量程：1.6MPa 1个</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4"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0"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首部连接配件</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设备首部设备连接管材管件：PE管材、三通、弯头、法兰、直通、胶水，螺丝螺母等</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输水管网系统</w:t>
            </w: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PE100给水管，国标</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Calibri" w:hAnsi="Calibri" w:eastAsia="宋体" w:cs="Calibri"/>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 xml:space="preserve">110*1.25MPa </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 xml:space="preserve">63*1.25MPa </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★φ90*1.25MPa</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1284</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组合式空气阀+压力表</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1.规格：1寸，外螺纹接口                                                                                                                                              2.压力等级：PN10</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3.工作压力范围：0.1bar-10bar</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4.阀体：增强尼龙材料</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5.浮球组件：聚丙烯，玻璃纤维增强尼龙材料</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6.弹性部件：EPDM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7.配侧面镶嵌式压力表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真空破坏阀+压力表</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1.规格：1寸，外螺纹接口</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2.压力等级：10bar；</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3.压力范围：0.35~10bar；</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4.材质：阀体、阀盖和阀瓣: 增强尼龙；</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5.浮球组件：聚丙烯，玻璃纤维增强尼龙材料</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6.弹性部件：EPDM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7.配侧面镶嵌式压力表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三通鞍座</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63*1"</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末端排污阀</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φ63，PE钢芯球阀</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管道连接辅材</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φ63-110mm</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自动控制系统</w:t>
            </w: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4G灌溉控制器(2路)</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1.20W太阳能板供电，宽：34.5cm，长：39.5cm，可提供日常的用电需求。</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2.9.6AH电池，极端天气下可维持控制器10天工作的用电需求。</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3.防护等级IP68，防尘防淹没。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4.输出信号：4G-LTE（MQTT）</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5.可接1路或2路脉冲电磁阀。</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6.平均功耗：300mW。</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7.工作温度：-30℃~50℃。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8.具有两路本地开关，远程与本地开关同步。</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9.支持两个9-12V直流脉冲电磁阀。</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10.配套安装立杆，立杆高度1900mm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控制软件平台手机app端</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在移动手机终端同步实现PC端功能，终身免费升级</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脉冲电磁调压阀</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2寸螺纹接口，工作压力范围0.5Bar-10Bar，带旋钮调压导阀，设置范围0.8-6Bar，内部和外部控制回路，螺母、螺栓、弹簧均为不锈钢，一体化密封阀盘组件，阀体和阀盖为玻璃纤维增强尼龙，阀盖带标准阀杆。</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直流脉冲电磁头：防护等级IP68；三通水力控制阀：配有手动调节旋钮，分为开启、关闭、自动三挡。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其他配件</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含田间控制器连接电磁阀、传感器接线、套线管、3M防水接头等</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田间毛管及灌水器系统</w:t>
            </w:r>
          </w:p>
        </w:tc>
        <w:tc>
          <w:tcPr>
            <w:tcW w:w="159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压力补偿微喷头套装</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1.规格：地插式插杆长60cm，φ8毛管长80cm；</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14200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2.喷头流量：35L/H；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3.工作范围：喷洒直径2.8-3米（带限流条、防虫喷嘴）；</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nil"/>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4.工作压力：在1.5-4.0bar的压力下，能基本保持恒定出水量和相同的喷洒范围</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5.材质：优质工程塑料</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PE管实壁管</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φ20*1.2mm，全新优质，耐腐蚀，抗氧化</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实壁管专用锁扣阀门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适配φ20PE管，含橡胶圈</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实壁管专用锁扣直通</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适配φ20PE管</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实壁管专用承插三通</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适配φ20PE管</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实壁管专用管堵</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适配φ20PE管</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PE管专用宝塔钻头</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16-21mm，不包含电钻</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14"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喷头打孔器</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适配毛管接头</w:t>
            </w:r>
          </w:p>
        </w:tc>
        <w:tc>
          <w:tcPr>
            <w:tcW w:w="106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0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877"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水泵房</w:t>
            </w:r>
          </w:p>
        </w:tc>
        <w:tc>
          <w:tcPr>
            <w:tcW w:w="5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简易钢结构，尺寸宽6m*长8m*3m，底部硬化10cm</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打药系统</w:t>
            </w: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果树打药喷雾机</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★额定功率：30KW-200L</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77"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额定电压：380V</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最大压力：20MPa                                                                                                                                                                                             耐压:16MPa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★额定功率：15KW-100L</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77"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restart"/>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额定电压：380V</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最大压力：20MPa                                                                                                                                                                                             耐压:16MPa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77"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vMerge w:val="continue"/>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5吨锥形桶+底座</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加厚体</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3吨锥形桶+底座</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加厚体</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空压机</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功率：7.5kw</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前置过滤器</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*黄泥水过滤*1</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软化水处理</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流量：5t/h</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流量：3t/h</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增压泵+后置过滤</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1.1kw增压泵</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纤维杆</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规格：10mm</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15820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材质：玻璃纤维</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不锈钢主管</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材质：304不锈钢</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外径：32mm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内径：30mm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耐压：18MPa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不锈钢主管</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材质：304不锈钢</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外径：25mm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内径：23mm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耐压：18MPa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材质：Pe</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46600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外径：12mm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内径：7mm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耐压：6MPa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材质：Pe</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31640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外径：9.52mm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内径：4mm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耐压：6MPa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红宝石喷嘴</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材质：不锈钢/滤网</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31640</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耐压：15MPa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孔径：1.5-2mm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喷头底座</w:t>
            </w:r>
          </w:p>
        </w:tc>
        <w:tc>
          <w:tcPr>
            <w:tcW w:w="5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材质：黄铜镀铬</w:t>
            </w:r>
          </w:p>
        </w:tc>
        <w:tc>
          <w:tcPr>
            <w:tcW w:w="1062"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15820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三通12转9.52</w:t>
            </w:r>
          </w:p>
        </w:tc>
        <w:tc>
          <w:tcPr>
            <w:tcW w:w="5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规格：9.52mm</w:t>
            </w:r>
          </w:p>
        </w:tc>
        <w:tc>
          <w:tcPr>
            <w:tcW w:w="1062"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15420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正三通</w:t>
            </w:r>
          </w:p>
        </w:tc>
        <w:tc>
          <w:tcPr>
            <w:tcW w:w="5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耐压：15MPa</w:t>
            </w:r>
          </w:p>
        </w:tc>
        <w:tc>
          <w:tcPr>
            <w:tcW w:w="1062"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弯头12转9.52</w:t>
            </w:r>
          </w:p>
        </w:tc>
        <w:tc>
          <w:tcPr>
            <w:tcW w:w="54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062"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阀接12+2分对丝</w:t>
            </w:r>
          </w:p>
        </w:tc>
        <w:tc>
          <w:tcPr>
            <w:tcW w:w="542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不锈钢活接</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32不锈钢活接</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不锈钢活接</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25不锈钢活接</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分水伐+三通+弯头+堵头+直丝</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材质：不锈钢</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规格：32mm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分水伐+三通+弯头+堵头+直丝</w:t>
            </w:r>
          </w:p>
        </w:tc>
        <w:tc>
          <w:tcPr>
            <w:tcW w:w="542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材质：不锈钢</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c>
          <w:tcPr>
            <w:tcW w:w="542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规格：25mm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机组连接管件+卡扣</w:t>
            </w:r>
          </w:p>
        </w:tc>
        <w:tc>
          <w:tcPr>
            <w:tcW w:w="5423"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果园虫情监测系统</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1、环境温、湿度，加热温度，清扫等信息显示屏直观显示，便于观察机器状态</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2、生产及检验标准符合GB/T 24689.1-2009植物保护机械 远程虫情测报分析系统；</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3、采用光、电、数控、时控技术，由GPRS经由物联网平台将数据传输到终端设备</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4、电源配置：太阳能供电，太阳能功率400W，铅酸蓄电池200AH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5、功耗：待机状态≤5W，整灯功率≤300W；</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6、晚上自动开灯，白天自动关灯，在夜间工作状态下，不受瞬间强光照射改变工作状态；</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7、利用远红外快速处理虫体（不用毒瓶）；</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8、利用振动电机使虫体自动分散和平铺；</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9、通过清扫可以使拍照过的虫体掉落到接虫盒里，为下次落虫拍照留出空间</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10、雨控装置：按外界雨量变化自动控制整灯工作；</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11、排水装置：能有效将雨、虫分离；</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12、诱虫光源：18W黑光灯管（主波长365nm）；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13、灯体材料：整体结构采用GB32080-92不锈钢喷塑，符合GB/T4237，灯架材料：GB3280-80不锈钢喷塑；</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14、灯管启动性能：5S内启动；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15、远红外虫体处理仓温度控制：工作几分钟后达到客户指定温度（出厂预设温度为85℃），处理时间可调，随客户心意随时调整（出厂预设收集10分钟，加热10分钟）；</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16、7寸电容显示屏，所有状态直观显示，操作实现触屏完成</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17、摄像头：对每次收集到的虫子进行拍照</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18、远程传输：通过4G传输模块，实现数据的远程传输</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19、定位：支持GPS、北斗、GLONASS定位，精准定位设备所在位置</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20、绝缘电阻和介电强度：电源输入端对壳体、电源稳压隔离器绝缘电阻不小于 2.5MQ;能承受频率为 50HZ，电压为1500V 耐电压实验，历时1min无击穿现象。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21、远红外虫体处理致死率不小于98%，虫体完整率不小于95%；</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22、撞击屏互成120度角，单屏尺寸：长595±2mm、宽213±2mm、厚5mm；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23、设计寿命：≥5年；</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气象综合监测站（含LED显示）</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一、3.5米气象站基础组件：含2层叶子横臂、立杆、地笼、避雷针</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二、叶子气象站电控柜(太阳能供电) 组件：太阳能供电，含抱箍、遮线</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三、监测要素：</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风速传感器：测量范围:0-45m/s;分辨率0.1m/s;启动风速：≤0.5m/s；测量精度:±（0.3+0.03V）m/s;</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风向传感器：风向测量范围:0°~360°；风向测量精度:±2°；风向分辨率：0.1°；响应时间:小于2秒；波特率:9600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雨量传感器：雨量强度范围:0-4mm/min(允许通过最大雨强8mm/min)；材质:优质ABS；承雨口径:φ200mm；分辨率:0.2mm；测量精度:±2%</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雨量桶支架：桶安装托盘及横臂雨量，托盘直径260mm，厚度2mm,圆形，镀锌板再喷塑</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空气温湿度光照大气压四合一百叶箱：</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①空气温湿度：温度测量范围：-40℃-80°C；湿度测量范围：0-100%RH；温度精度：±0.5°C(0-60°C)；湿度精度：±3%RH(20-80%RH)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②光照：测量范围：0-20WLux；分辨率：1Lux；测量精度：±5%(@25"C)</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③大气压：测量范围：300-1100hpa(mbar)；分辨率：0.1hpa(mbar)；测量精度：土1.5hpa(mbar(@25°C)</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紫外辐射传感器：测量范围：0～30W/m2，0～150 W/m2；（其他量程也可定做）；单位换算：1mW/cm2＝10W/m2；分 辨 率：0.01 W/m2；整体功耗：＜0.15W；准 确 度：±2%</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七层土壤管式墒情监测仪：温度测量范围：-20℃~60℃；湿度测量范围：0~100%；温度精度：±0.5℃；湿度精度：±5%；电导率量程：0-10000us/cm；电导率精度：±3%</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150W太阳能组件（锂电池12V 100AH）：</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电池配置：12V100AH储控一体锂电池</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太阳能配置：150W单晶硅太阳能板</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安装配置：150W太阳能板安装支架</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四、4GDTU：</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1、常规含100M三年流量，DC12-24V供电；</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2、TYPE-C接口；带LED显示，尺寸为960*480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 4G全网通CAT1网络和GPS定位功能（出厂含GPS模块）</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4、一路RS485接口，可接入16个节点；</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5、支持OTA升级，</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6、具备历史数据存储功能，标配8G存储卡，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7、可显示太阳能电池电压，</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8、时间校准1小时一次，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9、可抗干扰防过压</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10、工作电压：DC 12V-24V</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11、工作电流：12V工作电压下平均电流 45mA～150mA</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13、工作功率：入网瞬间1w；上传数据平均1W 瞬间3.6W；正常运行平均0.5W；</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14、工作温度：-25℃～85℃</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15、存储温度：-40℃～85℃</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16、天线接口：SMA接口，50欧匹配天线</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17、发射功率：TDD-LTE(Band 34 (23dBm±2.7)、Band 38 (23dBm±2.7)、Band 39 (23dBm±2.7)、Band 40 (23dBm±2.7)、Band 41 (23dBm±2.7))、FDD-LTE(Band  1 (23dBm±2.7)、Band  3 (23dBm±2.7)、Band  5 (23dBm±2.7)、Band  8 (23dBm±2.7))</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射频频段：TDD-LTE:Band34(s:2010MHz-2025MHz,r:2010MHz-2025MHz)、Band38(s:2570MHz-2620MHz,r:2570MHz-2620MHz)、Band39(s:1880MHz-1920MHz,r:1880MHz-1920MHz)、Band40(s:2300MHz-2400MHz,r:2300MHz-2400MHz)、Band41(s:2555MHz-2655MHz,r:2555MHz-2655MHz)；FDD-LTE：Band1(s:1920MHz-1980MHz,r:2110MHz-2170MHz)、Band3(s:1710MHz-1785MHz,r:1805MHz-1880MHz)、Band5(s:1920MHz-1980MHz,r:2110MHz-2170MHz)、Band5(s:1920MHz-2025MHz,r:2010MHz-2025MHz)、Band8(s:1920MHz-1980MHz,r:2110MHz-2170MHz)</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19.技术规范：TDD-LTE（最大支持CAT1，支持1.4~20MHz射频带宽，最大上行速率2Mbps，最大下行速率8Mbps）；FDD-LTE（最大支持CAT1，支持1.4~20MHz射频带宽，最大上行速率5Mbps，最大下行速率10Mbps）</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土壤墒情监测站</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供电方式：直流供电9~24VDC</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平均功耗：12V@500mW</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温度测量范围：-20℃~60℃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湿度测量范围：0~100%</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温度精度：±0.5℃</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湿度精度：±5%</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温度分辨率：0.1℃</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湿度分辨率：0.1%</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输出信号：RS485(Modbus协议)</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工作温度：-20℃~60℃1.20W太阳能板，350mm*400mm,提供日常的用电需求</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2.7.8V/9.6aH电池（连续阴雨天可用7-10天）</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.平均功耗：300mW</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防护等级：IP68防尘防淹没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.工作温度：-30°C~50°C</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具有四路485采集通道</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.具有两路本地开关，远程与本地开关同步</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立杆高度：400*1250mm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输出信号：4GLTE（MQTT协议）</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植物生长记录仪</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1、在线状态下可随时抓拍照片。</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2、额定电压：12V</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3、图片像素：200万像素</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4、网络接口：4G 全网通。</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5、阴雨天待机工作时间（在线状态）大于 5 天。</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6、能设置拍照时间，能被远程唤醒拍照。</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物联网巡检摄像头</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白色立杆支架组件：</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白色喷漆支架，美观牢固，高</w:t>
            </w:r>
            <w:r>
              <w:rPr>
                <w:rStyle w:val="131"/>
                <w:rFonts w:ascii="宋体" w:hAnsi="宋体" w:eastAsia="宋体" w:cs="宋体"/>
                <w:color w:val="auto"/>
                <w:sz w:val="24"/>
                <w:szCs w:val="24"/>
                <w:highlight w:val="none"/>
                <w:lang w:val="en-US" w:eastAsia="zh-CN" w:bidi="ar"/>
              </w:rPr>
              <w:t>3.5</w:t>
            </w:r>
            <w:r>
              <w:rPr>
                <w:rFonts w:hint="eastAsia" w:ascii="宋体" w:hAnsi="宋体" w:eastAsia="宋体" w:cs="宋体"/>
                <w:i w:val="0"/>
                <w:iCs w:val="0"/>
                <w:color w:val="auto"/>
                <w:kern w:val="0"/>
                <w:sz w:val="20"/>
                <w:szCs w:val="20"/>
                <w:highlight w:val="none"/>
                <w:u w:val="none"/>
                <w:lang w:val="en-US" w:eastAsia="zh-CN" w:bidi="ar"/>
              </w:rPr>
              <w:t>米，壁厚</w:t>
            </w:r>
            <w:r>
              <w:rPr>
                <w:rStyle w:val="131"/>
                <w:rFonts w:ascii="宋体" w:hAnsi="宋体" w:eastAsia="宋体" w:cs="宋体"/>
                <w:color w:val="auto"/>
                <w:sz w:val="24"/>
                <w:szCs w:val="24"/>
                <w:highlight w:val="none"/>
                <w:lang w:val="en-US" w:eastAsia="zh-CN" w:bidi="ar"/>
              </w:rPr>
              <w:t>2.0mm</w:t>
            </w:r>
            <w:r>
              <w:rPr>
                <w:rFonts w:hint="eastAsia" w:ascii="宋体" w:hAnsi="宋体" w:eastAsia="宋体" w:cs="宋体"/>
                <w:i w:val="0"/>
                <w:iCs w:val="0"/>
                <w:color w:val="auto"/>
                <w:kern w:val="0"/>
                <w:sz w:val="20"/>
                <w:szCs w:val="20"/>
                <w:highlight w:val="none"/>
                <w:u w:val="none"/>
                <w:lang w:val="en-US" w:eastAsia="zh-CN" w:bidi="ar"/>
              </w:rPr>
              <w:t>。</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圆盘底脚，地笼安装（硬化地面可直接用膨胀螺丝安装）。</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顶端避雷针设计。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视频监控柜</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150W</w:t>
            </w:r>
            <w:r>
              <w:rPr>
                <w:rFonts w:hint="eastAsia" w:ascii="宋体" w:hAnsi="宋体" w:eastAsia="宋体" w:cs="宋体"/>
                <w:i w:val="0"/>
                <w:iCs w:val="0"/>
                <w:color w:val="auto"/>
                <w:kern w:val="0"/>
                <w:sz w:val="20"/>
                <w:szCs w:val="20"/>
                <w:highlight w:val="none"/>
                <w:u w:val="none"/>
                <w:lang w:val="en-US" w:eastAsia="zh-CN" w:bidi="ar"/>
              </w:rPr>
              <w:t>太阳能组件（铅酸蓄电池</w:t>
            </w:r>
            <w:r>
              <w:rPr>
                <w:rStyle w:val="131"/>
                <w:rFonts w:ascii="宋体" w:hAnsi="宋体" w:eastAsia="宋体" w:cs="宋体"/>
                <w:color w:val="auto"/>
                <w:sz w:val="24"/>
                <w:szCs w:val="24"/>
                <w:highlight w:val="none"/>
                <w:lang w:val="en-US" w:eastAsia="zh-CN" w:bidi="ar"/>
              </w:rPr>
              <w:t>12V100AH</w:t>
            </w:r>
            <w:r>
              <w:rPr>
                <w:rFonts w:hint="eastAsia" w:ascii="宋体" w:hAnsi="宋体" w:eastAsia="宋体" w:cs="宋体"/>
                <w:i w:val="0"/>
                <w:iCs w:val="0"/>
                <w:color w:val="auto"/>
                <w:kern w:val="0"/>
                <w:sz w:val="20"/>
                <w:szCs w:val="20"/>
                <w:highlight w:val="none"/>
                <w:u w:val="none"/>
                <w:lang w:val="en-US" w:eastAsia="zh-CN" w:bidi="ar"/>
              </w:rPr>
              <w:t>）：</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电池配置：</w:t>
            </w:r>
            <w:r>
              <w:rPr>
                <w:rStyle w:val="131"/>
                <w:rFonts w:ascii="宋体" w:hAnsi="宋体" w:eastAsia="宋体" w:cs="宋体"/>
                <w:color w:val="auto"/>
                <w:sz w:val="24"/>
                <w:szCs w:val="24"/>
                <w:highlight w:val="none"/>
                <w:lang w:val="en-US" w:eastAsia="zh-CN" w:bidi="ar"/>
              </w:rPr>
              <w:t>12V100AH</w:t>
            </w:r>
            <w:r>
              <w:rPr>
                <w:rFonts w:hint="eastAsia" w:ascii="宋体" w:hAnsi="宋体" w:eastAsia="宋体" w:cs="宋体"/>
                <w:i w:val="0"/>
                <w:iCs w:val="0"/>
                <w:color w:val="auto"/>
                <w:kern w:val="0"/>
                <w:sz w:val="20"/>
                <w:szCs w:val="20"/>
                <w:highlight w:val="none"/>
                <w:u w:val="none"/>
                <w:lang w:val="en-US" w:eastAsia="zh-CN" w:bidi="ar"/>
              </w:rPr>
              <w:t>铅酸胶体蓄电池，</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太阳能配置：</w:t>
            </w:r>
            <w:r>
              <w:rPr>
                <w:rStyle w:val="131"/>
                <w:rFonts w:ascii="宋体" w:hAnsi="宋体" w:eastAsia="宋体" w:cs="宋体"/>
                <w:color w:val="auto"/>
                <w:sz w:val="24"/>
                <w:szCs w:val="24"/>
                <w:highlight w:val="none"/>
                <w:lang w:val="en-US" w:eastAsia="zh-CN" w:bidi="ar"/>
              </w:rPr>
              <w:t>150W</w:t>
            </w:r>
            <w:r>
              <w:rPr>
                <w:rFonts w:hint="eastAsia" w:ascii="宋体" w:hAnsi="宋体" w:eastAsia="宋体" w:cs="宋体"/>
                <w:i w:val="0"/>
                <w:iCs w:val="0"/>
                <w:color w:val="auto"/>
                <w:kern w:val="0"/>
                <w:sz w:val="20"/>
                <w:szCs w:val="20"/>
                <w:highlight w:val="none"/>
                <w:u w:val="none"/>
                <w:lang w:val="en-US" w:eastAsia="zh-CN" w:bidi="ar"/>
              </w:rPr>
              <w:t>单晶硅太阳能板</w:t>
            </w:r>
            <w:r>
              <w:rPr>
                <w:rStyle w:val="131"/>
                <w:rFonts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，太阳能控制器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安装配置：电池埋地箱及防水电线，</w:t>
            </w:r>
            <w:r>
              <w:rPr>
                <w:rStyle w:val="131"/>
                <w:rFonts w:ascii="宋体" w:hAnsi="宋体" w:eastAsia="宋体" w:cs="宋体"/>
                <w:color w:val="auto"/>
                <w:sz w:val="24"/>
                <w:szCs w:val="24"/>
                <w:highlight w:val="none"/>
                <w:lang w:val="en-US" w:eastAsia="zh-CN" w:bidi="ar"/>
              </w:rPr>
              <w:t>150W</w:t>
            </w:r>
            <w:r>
              <w:rPr>
                <w:rFonts w:hint="eastAsia" w:ascii="宋体" w:hAnsi="宋体" w:eastAsia="宋体" w:cs="宋体"/>
                <w:i w:val="0"/>
                <w:iCs w:val="0"/>
                <w:color w:val="auto"/>
                <w:kern w:val="0"/>
                <w:sz w:val="20"/>
                <w:szCs w:val="20"/>
                <w:highlight w:val="none"/>
                <w:u w:val="none"/>
                <w:lang w:val="en-US" w:eastAsia="zh-CN" w:bidi="ar"/>
              </w:rPr>
              <w:t>太阳能板安装支架</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SIM</w:t>
            </w:r>
            <w:r>
              <w:rPr>
                <w:rFonts w:hint="eastAsia" w:ascii="宋体" w:hAnsi="宋体" w:eastAsia="宋体" w:cs="宋体"/>
                <w:i w:val="0"/>
                <w:iCs w:val="0"/>
                <w:color w:val="auto"/>
                <w:kern w:val="0"/>
                <w:sz w:val="20"/>
                <w:szCs w:val="20"/>
                <w:highlight w:val="none"/>
                <w:u w:val="none"/>
                <w:lang w:val="en-US" w:eastAsia="zh-CN" w:bidi="ar"/>
              </w:rPr>
              <w:t>物联网卡</w:t>
            </w:r>
            <w:r>
              <w:rPr>
                <w:rStyle w:val="131"/>
                <w:rFonts w:ascii="宋体" w:hAnsi="宋体" w:eastAsia="宋体" w:cs="宋体"/>
                <w:color w:val="auto"/>
                <w:sz w:val="24"/>
                <w:szCs w:val="24"/>
                <w:highlight w:val="none"/>
                <w:lang w:val="en-US" w:eastAsia="zh-CN" w:bidi="ar"/>
              </w:rPr>
              <w:t>ST-LLK-DX30000</w:t>
            </w:r>
            <w:r>
              <w:rPr>
                <w:rFonts w:hint="eastAsia" w:ascii="宋体" w:hAnsi="宋体" w:eastAsia="宋体" w:cs="宋体"/>
                <w:i w:val="0"/>
                <w:iCs w:val="0"/>
                <w:color w:val="auto"/>
                <w:kern w:val="0"/>
                <w:sz w:val="20"/>
                <w:szCs w:val="20"/>
                <w:highlight w:val="none"/>
                <w:u w:val="none"/>
                <w:lang w:val="en-US" w:eastAsia="zh-CN" w:bidi="ar"/>
              </w:rPr>
              <w:t>：</w:t>
            </w:r>
            <w:r>
              <w:rPr>
                <w:rStyle w:val="131"/>
                <w:rFonts w:ascii="宋体" w:hAnsi="宋体" w:eastAsia="宋体" w:cs="宋体"/>
                <w:color w:val="auto"/>
                <w:sz w:val="24"/>
                <w:szCs w:val="24"/>
                <w:highlight w:val="none"/>
                <w:lang w:val="en-US" w:eastAsia="zh-CN" w:bidi="ar"/>
              </w:rPr>
              <w:t>4G</w:t>
            </w:r>
            <w:r>
              <w:rPr>
                <w:rFonts w:hint="eastAsia" w:ascii="宋体" w:hAnsi="宋体" w:eastAsia="宋体" w:cs="宋体"/>
                <w:i w:val="0"/>
                <w:iCs w:val="0"/>
                <w:color w:val="auto"/>
                <w:kern w:val="0"/>
                <w:sz w:val="20"/>
                <w:szCs w:val="20"/>
                <w:highlight w:val="none"/>
                <w:u w:val="none"/>
                <w:lang w:val="en-US" w:eastAsia="zh-CN" w:bidi="ar"/>
              </w:rPr>
              <w:t>卡，流量</w:t>
            </w:r>
            <w:r>
              <w:rPr>
                <w:rStyle w:val="131"/>
                <w:rFonts w:ascii="宋体" w:hAnsi="宋体" w:eastAsia="宋体" w:cs="宋体"/>
                <w:color w:val="auto"/>
                <w:sz w:val="24"/>
                <w:szCs w:val="24"/>
                <w:highlight w:val="none"/>
                <w:lang w:val="en-US" w:eastAsia="zh-CN" w:bidi="ar"/>
              </w:rPr>
              <w:t>30G/</w:t>
            </w:r>
            <w:r>
              <w:rPr>
                <w:rFonts w:hint="eastAsia" w:ascii="宋体" w:hAnsi="宋体" w:eastAsia="宋体" w:cs="宋体"/>
                <w:i w:val="0"/>
                <w:iCs w:val="0"/>
                <w:color w:val="auto"/>
                <w:kern w:val="0"/>
                <w:sz w:val="20"/>
                <w:szCs w:val="20"/>
                <w:highlight w:val="none"/>
                <w:u w:val="none"/>
                <w:lang w:val="en-US" w:eastAsia="zh-CN" w:bidi="ar"/>
              </w:rPr>
              <w:t>月；移动，一年费用</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256G</w:t>
            </w:r>
            <w:r>
              <w:rPr>
                <w:rFonts w:hint="eastAsia" w:ascii="宋体" w:hAnsi="宋体" w:eastAsia="宋体" w:cs="宋体"/>
                <w:i w:val="0"/>
                <w:iCs w:val="0"/>
                <w:color w:val="auto"/>
                <w:kern w:val="0"/>
                <w:sz w:val="20"/>
                <w:szCs w:val="20"/>
                <w:highlight w:val="none"/>
                <w:u w:val="none"/>
                <w:lang w:val="en-US" w:eastAsia="zh-CN" w:bidi="ar"/>
              </w:rPr>
              <w:t>内存卡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摄像头球机：</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1.200</w:t>
            </w:r>
            <w:r>
              <w:rPr>
                <w:rFonts w:hint="eastAsia" w:ascii="宋体" w:hAnsi="宋体" w:eastAsia="宋体" w:cs="宋体"/>
                <w:i w:val="0"/>
                <w:iCs w:val="0"/>
                <w:color w:val="auto"/>
                <w:kern w:val="0"/>
                <w:sz w:val="20"/>
                <w:szCs w:val="20"/>
                <w:highlight w:val="none"/>
                <w:u w:val="none"/>
                <w:lang w:val="en-US" w:eastAsia="zh-CN" w:bidi="ar"/>
              </w:rPr>
              <w:t>万像素，焦距</w:t>
            </w:r>
            <w:r>
              <w:rPr>
                <w:rStyle w:val="131"/>
                <w:rFonts w:ascii="宋体" w:hAnsi="宋体" w:eastAsia="宋体" w:cs="宋体"/>
                <w:color w:val="auto"/>
                <w:sz w:val="24"/>
                <w:szCs w:val="24"/>
                <w:highlight w:val="none"/>
                <w:lang w:val="en-US" w:eastAsia="zh-CN" w:bidi="ar"/>
              </w:rPr>
              <w:t>4.7-94MM,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2.20</w:t>
            </w:r>
            <w:r>
              <w:rPr>
                <w:rFonts w:hint="eastAsia" w:ascii="宋体" w:hAnsi="宋体" w:eastAsia="宋体" w:cs="宋体"/>
                <w:i w:val="0"/>
                <w:iCs w:val="0"/>
                <w:color w:val="auto"/>
                <w:kern w:val="0"/>
                <w:sz w:val="20"/>
                <w:szCs w:val="20"/>
                <w:highlight w:val="none"/>
                <w:u w:val="none"/>
                <w:lang w:val="en-US" w:eastAsia="zh-CN" w:bidi="ar"/>
              </w:rPr>
              <w:t>倍光学变焦，</w:t>
            </w:r>
            <w:r>
              <w:rPr>
                <w:rStyle w:val="131"/>
                <w:rFonts w:ascii="宋体" w:hAnsi="宋体" w:eastAsia="宋体" w:cs="宋体"/>
                <w:color w:val="auto"/>
                <w:sz w:val="24"/>
                <w:szCs w:val="24"/>
                <w:highlight w:val="none"/>
                <w:lang w:val="en-US" w:eastAsia="zh-CN" w:bidi="ar"/>
              </w:rPr>
              <w:t>360</w:t>
            </w:r>
            <w:r>
              <w:rPr>
                <w:rFonts w:hint="eastAsia" w:ascii="宋体" w:hAnsi="宋体" w:eastAsia="宋体" w:cs="宋体"/>
                <w:i w:val="0"/>
                <w:iCs w:val="0"/>
                <w:color w:val="auto"/>
                <w:kern w:val="0"/>
                <w:sz w:val="20"/>
                <w:szCs w:val="20"/>
                <w:highlight w:val="none"/>
                <w:u w:val="none"/>
                <w:lang w:val="en-US" w:eastAsia="zh-CN" w:bidi="ar"/>
              </w:rPr>
              <w:t>度连续旋转。</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防雷防浪涌，支持背光补偿，</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4.100</w:t>
            </w:r>
            <w:r>
              <w:rPr>
                <w:rFonts w:hint="eastAsia" w:ascii="宋体" w:hAnsi="宋体" w:eastAsia="宋体" w:cs="宋体"/>
                <w:i w:val="0"/>
                <w:iCs w:val="0"/>
                <w:color w:val="auto"/>
                <w:kern w:val="0"/>
                <w:sz w:val="20"/>
                <w:szCs w:val="20"/>
                <w:highlight w:val="none"/>
                <w:u w:val="none"/>
                <w:lang w:val="en-US" w:eastAsia="zh-CN" w:bidi="ar"/>
              </w:rPr>
              <w:t>米红外照射距离。</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131"/>
                <w:rFonts w:ascii="宋体" w:hAnsi="宋体" w:eastAsia="宋体" w:cs="宋体"/>
                <w:color w:val="auto"/>
                <w:sz w:val="24"/>
                <w:szCs w:val="24"/>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可插</w:t>
            </w:r>
            <w:r>
              <w:rPr>
                <w:rStyle w:val="131"/>
                <w:rFonts w:ascii="宋体" w:hAnsi="宋体" w:eastAsia="宋体" w:cs="宋体"/>
                <w:color w:val="auto"/>
                <w:sz w:val="24"/>
                <w:szCs w:val="24"/>
                <w:highlight w:val="none"/>
                <w:lang w:val="en-US" w:eastAsia="zh-CN" w:bidi="ar"/>
              </w:rPr>
              <w:t>4G</w:t>
            </w:r>
            <w:r>
              <w:rPr>
                <w:rFonts w:hint="eastAsia" w:ascii="宋体" w:hAnsi="宋体" w:eastAsia="宋体" w:cs="宋体"/>
                <w:i w:val="0"/>
                <w:iCs w:val="0"/>
                <w:color w:val="auto"/>
                <w:kern w:val="0"/>
                <w:sz w:val="20"/>
                <w:szCs w:val="20"/>
                <w:highlight w:val="none"/>
                <w:u w:val="none"/>
                <w:lang w:val="en-US" w:eastAsia="zh-CN" w:bidi="ar"/>
              </w:rPr>
              <w:t>卡</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9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配置应用云服务器</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云服务器5年云服务器 ：CPU: 2核</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内存:16GB  </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系统盘:200G</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9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物联网流量费</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大流量物联网卡</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浦北县大红柑智慧农业物联网管理平台</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1、农业四情监测，包括环境气象监测，土壤墒情监测，虫情监测，苗情灾情监测（视频监控）</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2、智能控制，系统可以根据设定的规则自动控制物联网智能设备，包括定时、策略、多条件多组合的控制方式</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智能水肥一体化，通过综合分析土壤墒情数据、环境监测数据、农作物生长需求数据等，提供科学的灌溉施肥方案，同时一体化精准、均匀地输送到作物根部，并且借助远程控制技术，实现无人值守自动灌溉，节约劳动力，提升生产效率、降低成本</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4、智能农机，包括农机GPS位置、设备状态、轨迹回放以及电子围栏</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5、物联网设备告警，通过触发自定义设定的传感器阀值对相关管理人员进行语音、短信等多种方式进行告警通知</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6、物联网设备日志，包括设备控制、上下线等日志                                        种植管理系统：</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1、企业品牌、多基地信息档案记录，企业层级组织架构管理</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2、系统用户账号、子账号管理，实现多角色、不同权限管理</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3、系统公告信息管理</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4、地块、物联网设备，地图管理，基于GIS二维地图快速添加地块、绘制地块轮廓，并标记地块等区域轮廓颜色以及快速添加物联网智能设备</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手机APP开发</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手机远程控制农情检测设备查看农情检测信息</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13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大屏幕展示85寸</w:t>
            </w: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85寸、外壳及外观：铝合金面框角块设计、前置按键、前置端口、前置喇叭</w:t>
            </w:r>
          </w:p>
        </w:tc>
        <w:tc>
          <w:tcPr>
            <w:tcW w:w="106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触摸感应技术：红外感应触摸识别技术（支持10点触摸）</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书写方式：手指、触摸笔或其他不小于5mm非透明物体</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光标速度：120点/S</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定位精度：90%以上触摸区域为±2mm</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亮度：320cd/m2</w:t>
            </w:r>
          </w:p>
        </w:tc>
        <w:tc>
          <w:tcPr>
            <w:tcW w:w="106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87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13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移动终端控制器</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网络：5G+WIFI、屏幕尺寸＞10寸、屏幕分辨率≥2K、刷新率120HZ、内存16+256</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13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现场公示牌</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户外牌</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w:t>
            </w:r>
          </w:p>
        </w:tc>
        <w:tc>
          <w:tcPr>
            <w:tcW w:w="13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基础围栏及设施地面硬化等</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高度1.2米，长度20米</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7"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w:t>
            </w:r>
          </w:p>
        </w:tc>
        <w:tc>
          <w:tcPr>
            <w:tcW w:w="13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系统集成服务</w:t>
            </w:r>
          </w:p>
        </w:tc>
        <w:tc>
          <w:tcPr>
            <w:tcW w:w="701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软硬件数据对接开发</w:t>
            </w:r>
          </w:p>
        </w:tc>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16"/>
                <w:szCs w:val="16"/>
                <w:highlight w:val="none"/>
                <w:u w:val="none"/>
              </w:rPr>
            </w:pPr>
          </w:p>
        </w:tc>
        <w:tc>
          <w:tcPr>
            <w:tcW w:w="970" w:type="dxa"/>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22</w:t>
            </w:r>
          </w:p>
        </w:tc>
        <w:tc>
          <w:tcPr>
            <w:tcW w:w="139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设备巡检系统维护</w:t>
            </w:r>
          </w:p>
        </w:tc>
        <w:tc>
          <w:tcPr>
            <w:tcW w:w="7015" w:type="dxa"/>
            <w:gridSpan w:val="2"/>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3年每年巡检2次</w:t>
            </w:r>
          </w:p>
        </w:tc>
        <w:tc>
          <w:tcPr>
            <w:tcW w:w="106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003"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77" w:type="dxa"/>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16"/>
                <w:szCs w:val="16"/>
                <w:highlight w:val="none"/>
                <w:u w:val="none"/>
              </w:rPr>
            </w:pPr>
          </w:p>
        </w:tc>
        <w:tc>
          <w:tcPr>
            <w:tcW w:w="970" w:type="dxa"/>
            <w:tcBorders>
              <w:top w:val="nil"/>
              <w:left w:val="single" w:color="000000" w:sz="8" w:space="0"/>
              <w:bottom w:val="single" w:color="auto"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7"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bl>
    <w:p>
      <w:pPr>
        <w:rPr>
          <w:rFonts w:hint="eastAsia"/>
          <w:color w:val="auto"/>
          <w:highlight w:val="none"/>
        </w:rPr>
      </w:pPr>
    </w:p>
    <w:p>
      <w:pPr>
        <w:rPr>
          <w:rFonts w:hint="eastAsia"/>
          <w:color w:val="auto"/>
          <w:highlight w:val="none"/>
        </w:rPr>
        <w:sectPr>
          <w:pgSz w:w="16838" w:h="11906" w:orient="landscape"/>
          <w:pgMar w:top="1417" w:right="1417" w:bottom="1417" w:left="1417" w:header="720" w:footer="720" w:gutter="0"/>
          <w:pgNumType w:fmt="decimal"/>
          <w:cols w:space="720" w:num="1"/>
          <w:rtlGutter w:val="0"/>
          <w:docGrid w:type="lines" w:linePitch="331" w:charSpace="0"/>
        </w:sectPr>
      </w:pPr>
    </w:p>
    <w:p>
      <w:pPr>
        <w:pStyle w:val="5"/>
        <w:spacing w:before="0" w:after="0" w:line="240" w:lineRule="auto"/>
        <w:rPr>
          <w:rFonts w:hint="eastAsia"/>
          <w:color w:val="auto"/>
          <w:highlight w:val="none"/>
        </w:rPr>
      </w:pPr>
    </w:p>
    <w:p>
      <w:pPr>
        <w:pStyle w:val="56"/>
        <w:numPr>
          <w:ilvl w:val="0"/>
          <w:numId w:val="4"/>
        </w:numP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商务要求</w:t>
      </w:r>
    </w:p>
    <w:tbl>
      <w:tblPr>
        <w:tblStyle w:val="38"/>
        <w:tblpPr w:leftFromText="180" w:rightFromText="180" w:vertAnchor="text" w:tblpXSpec="center" w:tblpY="1"/>
        <w:tblOverlap w:val="never"/>
        <w:tblW w:w="9649" w:type="dxa"/>
        <w:jc w:val="center"/>
        <w:tblLayout w:type="fixed"/>
        <w:tblCellMar>
          <w:top w:w="0" w:type="dxa"/>
          <w:left w:w="108" w:type="dxa"/>
          <w:bottom w:w="0" w:type="dxa"/>
          <w:right w:w="108" w:type="dxa"/>
        </w:tblCellMar>
      </w:tblPr>
      <w:tblGrid>
        <w:gridCol w:w="2235"/>
        <w:gridCol w:w="7414"/>
      </w:tblGrid>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（一）声明</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对投标文件内容所涉及的专利、专有技术承担法律责任，并负责保护采购人的利益不受任何损害。一切由于文字、商标、技术和软件专利授权引起的法律裁决、诉讼和赔偿费用均由成交供应商负责。同时，具有产品专利、专有技术的投标人应在其投标文件中提供与其自有产品专利、专有技术相关的有效证明材料，否则，不能就其产品的专利、专有技术在本项目采购过程中被侵权问题而提出异议。</w:t>
            </w:r>
          </w:p>
        </w:tc>
      </w:tr>
      <w:tr>
        <w:tblPrEx>
          <w:tblCellMar>
            <w:top w:w="0" w:type="dxa"/>
            <w:left w:w="108" w:type="dxa"/>
            <w:bottom w:w="0" w:type="dxa"/>
            <w:right w:w="108" w:type="dxa"/>
          </w:tblCellMar>
        </w:tblPrEx>
        <w:trPr>
          <w:trHeight w:val="4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（二）合同签订期</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自中标通知书发出之日起</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个</w:t>
            </w:r>
            <w:r>
              <w:rPr>
                <w:rFonts w:hint="eastAsia" w:asciiTheme="minorEastAsia" w:hAnsiTheme="minorEastAsia" w:eastAsiaTheme="minorEastAsia" w:cstheme="minorEastAsia"/>
                <w:color w:val="auto"/>
                <w:sz w:val="21"/>
                <w:szCs w:val="21"/>
                <w:highlight w:val="none"/>
                <w:lang w:eastAsia="zh-CN"/>
              </w:rPr>
              <w:t>日历天</w:t>
            </w:r>
            <w:r>
              <w:rPr>
                <w:rFonts w:hint="eastAsia" w:asciiTheme="minorEastAsia" w:hAnsiTheme="minorEastAsia" w:eastAsiaTheme="minorEastAsia" w:cstheme="minorEastAsia"/>
                <w:color w:val="auto"/>
                <w:sz w:val="21"/>
                <w:szCs w:val="21"/>
                <w:highlight w:val="none"/>
              </w:rPr>
              <w:t>内。</w:t>
            </w:r>
          </w:p>
        </w:tc>
      </w:tr>
      <w:tr>
        <w:tblPrEx>
          <w:tblCellMar>
            <w:top w:w="0" w:type="dxa"/>
            <w:left w:w="108" w:type="dxa"/>
            <w:bottom w:w="0" w:type="dxa"/>
            <w:right w:w="108" w:type="dxa"/>
          </w:tblCellMar>
        </w:tblPrEx>
        <w:trPr>
          <w:trHeight w:val="115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产品</w:t>
            </w:r>
            <w:r>
              <w:rPr>
                <w:rFonts w:hint="eastAsia" w:asciiTheme="minorEastAsia" w:hAnsiTheme="minorEastAsia" w:eastAsiaTheme="minorEastAsia" w:cstheme="minorEastAsia"/>
                <w:color w:val="auto"/>
                <w:sz w:val="21"/>
                <w:szCs w:val="21"/>
                <w:highlight w:val="none"/>
              </w:rPr>
              <w:t>质保期</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按国家有关产品“三包”规定执行“三包”， 除非各分项有要求，否则保修期不少于</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年，终身维修，保修期内出现故障，需派出技术工程师到达现场处理故障，并承担一切费用；保修期外发生维修只收材料成本费，成本费用以定额、信息价或投标报价为准。</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）交货时间和交货地点</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交货时间及地点：自签订合同之日起</w:t>
            </w:r>
            <w:r>
              <w:rPr>
                <w:rFonts w:hint="eastAsia" w:asciiTheme="minorEastAsia" w:hAnsiTheme="minorEastAsia" w:eastAsiaTheme="minorEastAsia" w:cstheme="minorEastAsia"/>
                <w:color w:val="auto"/>
                <w:sz w:val="21"/>
                <w:szCs w:val="21"/>
                <w:highlight w:val="none"/>
                <w:lang w:eastAsia="zh-CN"/>
              </w:rPr>
              <w:t>30个日历天内</w:t>
            </w:r>
            <w:r>
              <w:rPr>
                <w:rFonts w:hint="eastAsia" w:asciiTheme="minorEastAsia" w:hAnsiTheme="minorEastAsia" w:eastAsiaTheme="minorEastAsia" w:cstheme="minorEastAsia"/>
                <w:color w:val="auto"/>
                <w:sz w:val="21"/>
                <w:szCs w:val="21"/>
                <w:highlight w:val="none"/>
              </w:rPr>
              <w:t>必须到货并安装调试合格。地点：采购人指定位置。</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五</w:t>
            </w:r>
            <w:r>
              <w:rPr>
                <w:rFonts w:hint="eastAsia" w:asciiTheme="minorEastAsia" w:hAnsiTheme="minorEastAsia" w:eastAsiaTheme="minorEastAsia" w:cstheme="minorEastAsia"/>
                <w:color w:val="auto"/>
                <w:sz w:val="21"/>
                <w:szCs w:val="21"/>
                <w:highlight w:val="none"/>
              </w:rPr>
              <w:t>）投标设备要求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投标人提供的产品必须是全新、完整、未使用过的产品，进口设备生产日期在一年内（国产的在半年内），</w:t>
            </w:r>
            <w:r>
              <w:rPr>
                <w:rFonts w:hint="eastAsia" w:asciiTheme="minorEastAsia" w:hAnsiTheme="minorEastAsia" w:eastAsiaTheme="minorEastAsia" w:cstheme="minorEastAsia"/>
                <w:color w:val="auto"/>
                <w:sz w:val="21"/>
                <w:szCs w:val="21"/>
                <w:highlight w:val="none"/>
                <w:lang w:eastAsia="zh-CN"/>
              </w:rPr>
              <w:t>以及</w:t>
            </w:r>
            <w:r>
              <w:rPr>
                <w:rFonts w:hint="eastAsia" w:asciiTheme="minorEastAsia" w:hAnsiTheme="minorEastAsia" w:eastAsiaTheme="minorEastAsia" w:cstheme="minorEastAsia"/>
                <w:color w:val="auto"/>
                <w:sz w:val="21"/>
                <w:szCs w:val="21"/>
                <w:highlight w:val="none"/>
              </w:rPr>
              <w:t>所有零部件、配件</w:t>
            </w:r>
            <w:r>
              <w:rPr>
                <w:rFonts w:hint="eastAsia" w:asciiTheme="minorEastAsia" w:hAnsiTheme="minorEastAsia" w:eastAsiaTheme="minorEastAsia" w:cstheme="minorEastAsia"/>
                <w:color w:val="auto"/>
                <w:sz w:val="21"/>
                <w:szCs w:val="21"/>
                <w:highlight w:val="none"/>
                <w:lang w:eastAsia="zh-CN"/>
              </w:rPr>
              <w:t>均</w:t>
            </w:r>
            <w:r>
              <w:rPr>
                <w:rFonts w:hint="eastAsia" w:asciiTheme="minorEastAsia" w:hAnsiTheme="minorEastAsia" w:eastAsiaTheme="minorEastAsia" w:cstheme="minorEastAsia"/>
                <w:color w:val="auto"/>
                <w:sz w:val="21"/>
                <w:szCs w:val="21"/>
                <w:highlight w:val="none"/>
              </w:rPr>
              <w:t>必须是全新</w:t>
            </w:r>
            <w:r>
              <w:rPr>
                <w:rFonts w:hint="eastAsia" w:asciiTheme="minorEastAsia" w:hAnsiTheme="minorEastAsia" w:eastAsiaTheme="minorEastAsia" w:cstheme="minorEastAsia"/>
                <w:color w:val="auto"/>
                <w:sz w:val="21"/>
                <w:szCs w:val="21"/>
                <w:highlight w:val="none"/>
                <w:lang w:eastAsia="zh-CN"/>
              </w:rPr>
              <w:t>未经使用的并符合国家有关质量安全标准的产品。</w:t>
            </w:r>
            <w:r>
              <w:rPr>
                <w:rFonts w:hint="eastAsia" w:asciiTheme="minorEastAsia" w:hAnsiTheme="minorEastAsia" w:eastAsiaTheme="minorEastAsia" w:cstheme="minorEastAsia"/>
                <w:color w:val="auto"/>
                <w:sz w:val="21"/>
                <w:szCs w:val="21"/>
                <w:highlight w:val="none"/>
              </w:rPr>
              <w:t>在装机、验收、入库期间有质量问题应提供整机更换或退货。</w:t>
            </w:r>
            <w:r>
              <w:rPr>
                <w:rFonts w:hint="eastAsia" w:asciiTheme="minorEastAsia" w:hAnsiTheme="minorEastAsia" w:eastAsiaTheme="minorEastAsia" w:cstheme="minorEastAsia"/>
                <w:color w:val="auto"/>
                <w:sz w:val="21"/>
                <w:szCs w:val="21"/>
                <w:highlight w:val="none"/>
                <w:lang w:eastAsia="zh-CN"/>
              </w:rPr>
              <w:t>且在正常安装、使用和保养条件下，其使用寿命期内各项指标均达到质量要求。所有货物都提供使用说明书和详细装箱清单及质量合格证。</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进口产品说明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本项目货物所涉及的货物不接受进口产品（即通过中国海关报关验放进入中国境内且产自关境外的产品）参与</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，如有进口产品参与</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的作无效标处理。</w:t>
            </w:r>
          </w:p>
          <w:p>
            <w:pPr>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.中标人所提供产品,如有质量监督部门要求对产品进行检测、检验时，必须派出厂方代表协助检查，发现产品</w:t>
            </w:r>
            <w:r>
              <w:rPr>
                <w:rFonts w:hint="eastAsia" w:asciiTheme="minorEastAsia" w:hAnsiTheme="minorEastAsia" w:eastAsiaTheme="minorEastAsia" w:cstheme="minorEastAsia"/>
                <w:color w:val="auto"/>
                <w:sz w:val="21"/>
                <w:szCs w:val="21"/>
                <w:highlight w:val="none"/>
                <w:lang w:val="en-US" w:eastAsia="zh-CN"/>
              </w:rPr>
              <w:t>存在</w:t>
            </w:r>
            <w:r>
              <w:rPr>
                <w:rFonts w:hint="eastAsia" w:asciiTheme="minorEastAsia" w:hAnsiTheme="minorEastAsia" w:eastAsiaTheme="minorEastAsia" w:cstheme="minorEastAsia"/>
                <w:color w:val="auto"/>
                <w:sz w:val="21"/>
                <w:szCs w:val="21"/>
                <w:highlight w:val="none"/>
              </w:rPr>
              <w:t>质量问题，中标人应承担全部费用及相应的责任。</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）售后服务要求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按国家有关产品“三包”规定执行“三包”，质保期自货物验收合格之日起1年原厂质保及售后服务（“技术参数”中有特殊要求的，按其要求执行）。质保期满后，终身维护。注：如投标文件中提供产品生产厂家对质保期的承诺，与乙方承诺不一致的，以最长期限为准。</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2、故障响应时间：中标供应商应接到故障通知后在</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小时内到采购人指定现场，按国家及行业</w:t>
            </w:r>
            <w:r>
              <w:rPr>
                <w:rFonts w:hint="eastAsia" w:asciiTheme="minorEastAsia" w:hAnsiTheme="minorEastAsia" w:eastAsiaTheme="minorEastAsia" w:cstheme="minorEastAsia"/>
                <w:color w:val="auto"/>
                <w:sz w:val="21"/>
                <w:szCs w:val="21"/>
                <w:highlight w:val="none"/>
                <w:lang w:val="en-US" w:eastAsia="zh-CN"/>
              </w:rPr>
              <w:t>现行</w:t>
            </w:r>
            <w:r>
              <w:rPr>
                <w:rFonts w:hint="eastAsia" w:asciiTheme="minorEastAsia" w:hAnsiTheme="minorEastAsia" w:eastAsiaTheme="minorEastAsia" w:cstheme="minorEastAsia"/>
                <w:color w:val="auto"/>
                <w:sz w:val="21"/>
                <w:szCs w:val="21"/>
                <w:highlight w:val="none"/>
                <w:lang w:eastAsia="zh-CN"/>
              </w:rPr>
              <w:t>标准对故障进行及时处理。</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3、负责送货上门、安装、调试，培训使用人员和维护人员。</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4、在质保期内每半年至少进行一次定期回访以及对设备保养。</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5、在质保期内无偿提供人员和技术支持配合</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lang w:eastAsia="zh-CN"/>
              </w:rPr>
              <w:t>进行技术改进，设备运行发生故障，中标供应商提供维修服务，费用包含在报价中。质保期后优惠提供产品更新、改造服务。</w:t>
            </w:r>
          </w:p>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6、中标供应商向采购人提供的产品必须是全新的原装产品。</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）培训要求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Theme="minorEastAsia" w:hAnsiTheme="minorEastAsia" w:eastAsiaTheme="minorEastAsia" w:cstheme="minorEastAsia"/>
                <w:color w:val="auto"/>
                <w:sz w:val="21"/>
                <w:szCs w:val="21"/>
                <w:highlight w:val="none"/>
                <w:lang w:eastAsia="zh-CN"/>
              </w:rPr>
              <w:t>。</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八</w:t>
            </w:r>
            <w:r>
              <w:rPr>
                <w:rFonts w:hint="eastAsia" w:asciiTheme="minorEastAsia" w:hAnsiTheme="minorEastAsia" w:eastAsiaTheme="minorEastAsia" w:cstheme="minorEastAsia"/>
                <w:color w:val="auto"/>
                <w:sz w:val="21"/>
                <w:szCs w:val="21"/>
                <w:highlight w:val="none"/>
              </w:rPr>
              <w:t>）付款</w:t>
            </w:r>
            <w:r>
              <w:rPr>
                <w:rFonts w:hint="eastAsia" w:asciiTheme="minorEastAsia" w:hAnsiTheme="minorEastAsia" w:eastAsiaTheme="minorEastAsia" w:cstheme="minorEastAsia"/>
                <w:color w:val="auto"/>
                <w:sz w:val="21"/>
                <w:szCs w:val="21"/>
                <w:highlight w:val="none"/>
                <w:lang w:eastAsia="zh-CN"/>
              </w:rPr>
              <w:t>方式</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eastAsia="仿宋_GB2312"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达到开工条件工程预付款金额为签约合同的30%，每个付款周期按实际完成工程量的90%支付工程进度款。工程完工验收达到质量要求可支付至合同价90%，结算经浦北县有资质审计机构审定后，发包人按工程价款结算总额的 3%预留工程质量保证金，工程款支付至结算总价的97%(不得低于97%)。质量保证金待工程质量保修期满且无质量问题后按规定无息返还。</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九</w:t>
            </w:r>
            <w:r>
              <w:rPr>
                <w:rFonts w:hint="eastAsia" w:asciiTheme="minorEastAsia" w:hAnsiTheme="minorEastAsia" w:eastAsiaTheme="minorEastAsia" w:cstheme="minorEastAsia"/>
                <w:color w:val="auto"/>
                <w:sz w:val="21"/>
                <w:szCs w:val="21"/>
                <w:highlight w:val="none"/>
              </w:rPr>
              <w:t>）验收条件及标准</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Theme="minorEastAsia" w:hAnsiTheme="minorEastAsia" w:eastAsiaTheme="minorEastAsia" w:cstheme="minorEastAsia"/>
                <w:color w:val="auto"/>
                <w:sz w:val="21"/>
                <w:szCs w:val="21"/>
                <w:highlight w:val="none"/>
              </w:rPr>
            </w:pPr>
            <w:bookmarkStart w:id="151" w:name="OLE_LINK9"/>
            <w:r>
              <w:rPr>
                <w:rFonts w:hint="eastAsia" w:asciiTheme="minorEastAsia" w:hAnsiTheme="minorEastAsia" w:eastAsiaTheme="minorEastAsia" w:cstheme="minorEastAsia"/>
                <w:color w:val="auto"/>
                <w:sz w:val="21"/>
                <w:szCs w:val="21"/>
                <w:highlight w:val="none"/>
                <w:lang w:val="en-US" w:eastAsia="zh-CN"/>
              </w:rPr>
              <w:t>验收标准：</w:t>
            </w:r>
            <w:r>
              <w:rPr>
                <w:rFonts w:hint="eastAsia" w:asciiTheme="minorEastAsia" w:hAnsiTheme="minorEastAsia" w:eastAsiaTheme="minorEastAsia" w:cstheme="minorEastAsia"/>
                <w:color w:val="auto"/>
                <w:sz w:val="21"/>
                <w:szCs w:val="21"/>
                <w:highlight w:val="none"/>
              </w:rPr>
              <w:t>招标文件、投标文件以及国家和行业验收规范要求及合同中的相关条款进行数量及质量的验收。</w:t>
            </w:r>
          </w:p>
          <w:p>
            <w:pPr>
              <w:spacing w:line="288"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验收方法:采购单位邀请相关部门及有关技术专家现场验收(必要时将邀请第三方专业的检测机构协助验收)</w:t>
            </w:r>
            <w:bookmarkEnd w:id="151"/>
            <w:r>
              <w:rPr>
                <w:rFonts w:hint="eastAsia" w:asciiTheme="minorEastAsia" w:hAnsiTheme="minorEastAsia" w:eastAsiaTheme="minorEastAsia" w:cstheme="minorEastAsia"/>
                <w:color w:val="auto"/>
                <w:sz w:val="21"/>
                <w:szCs w:val="21"/>
                <w:highlight w:val="none"/>
                <w:lang w:eastAsia="zh-CN"/>
              </w:rPr>
              <w:t>。</w:t>
            </w:r>
          </w:p>
        </w:tc>
      </w:tr>
      <w:tr>
        <w:tblPrEx>
          <w:tblCellMar>
            <w:top w:w="0" w:type="dxa"/>
            <w:left w:w="108" w:type="dxa"/>
            <w:bottom w:w="0" w:type="dxa"/>
            <w:right w:w="108" w:type="dxa"/>
          </w:tblCellMar>
        </w:tblPrEx>
        <w:trPr>
          <w:trHeight w:val="1041"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十</w:t>
            </w:r>
            <w:r>
              <w:rPr>
                <w:rFonts w:hint="eastAsia" w:asciiTheme="minorEastAsia" w:hAnsiTheme="minorEastAsia" w:eastAsiaTheme="minorEastAsia" w:cstheme="minorEastAsia"/>
                <w:color w:val="auto"/>
                <w:sz w:val="21"/>
                <w:szCs w:val="21"/>
                <w:highlight w:val="none"/>
              </w:rPr>
              <w:t>）验收方法及方案</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验收时，采购人对中标人所交货物依照中标人的投标文件所承诺的技术规格要求和国家有关标准进行现场验收。性能达到技术要求的给予签收，若</w:t>
            </w:r>
            <w:r>
              <w:rPr>
                <w:rFonts w:hint="eastAsia" w:asciiTheme="minorEastAsia" w:hAnsiTheme="minorEastAsia" w:eastAsiaTheme="minorEastAsia" w:cstheme="minorEastAsia"/>
                <w:color w:val="auto"/>
                <w:sz w:val="21"/>
                <w:szCs w:val="21"/>
                <w:highlight w:val="none"/>
                <w:lang w:val="en-US" w:eastAsia="zh-CN"/>
              </w:rPr>
              <w:t>系统设备</w:t>
            </w:r>
            <w:r>
              <w:rPr>
                <w:rFonts w:hint="eastAsia" w:asciiTheme="minorEastAsia" w:hAnsiTheme="minorEastAsia" w:eastAsiaTheme="minorEastAsia" w:cstheme="minorEastAsia"/>
                <w:color w:val="auto"/>
                <w:sz w:val="21"/>
                <w:szCs w:val="21"/>
                <w:highlight w:val="none"/>
              </w:rPr>
              <w:t>指标不满足其投标承诺的不予签收，视为中标人违约并按照政府采购相关法律法规和合同约定条款进行处罚，由此造成的项目延误等所有责任均由中标人承担。</w:t>
            </w:r>
          </w:p>
        </w:tc>
      </w:tr>
      <w:tr>
        <w:tblPrEx>
          <w:tblCellMar>
            <w:top w:w="0" w:type="dxa"/>
            <w:left w:w="108" w:type="dxa"/>
            <w:bottom w:w="0" w:type="dxa"/>
            <w:right w:w="108" w:type="dxa"/>
          </w:tblCellMar>
        </w:tblPrEx>
        <w:trPr>
          <w:trHeight w:val="41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）投标报价</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总报价为包含但不限于货物、随配附件、备品备件（详细清单由投标人提供）、专用工具和运输、保险、卸货、保管、安装调试、验收、技术培训、质保等售后服务、税金、利润、间接费的总和。投标人保证所提供的设备正常运行，并能通过采购人及相关部门的项目验收。</w:t>
            </w:r>
          </w:p>
        </w:tc>
      </w:tr>
      <w:tr>
        <w:tblPrEx>
          <w:tblCellMar>
            <w:top w:w="0" w:type="dxa"/>
            <w:left w:w="108" w:type="dxa"/>
            <w:bottom w:w="0" w:type="dxa"/>
            <w:right w:w="108" w:type="dxa"/>
          </w:tblCellMar>
        </w:tblPrEx>
        <w:trPr>
          <w:trHeight w:val="755"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w:t>
            </w: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）其他要求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1、投标人必须根据实际情况及招标要求在投标文件中提供详细的项目实施方案和售后服务方案。</w:t>
            </w:r>
          </w:p>
          <w:p>
            <w:pPr>
              <w:pStyle w:val="27"/>
              <w:spacing w:line="288"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货物需求一览表“技术参数及性能配置要求”中标“★”的为实质性要求，不允许负偏离，否则投标无效。</w:t>
            </w:r>
            <w:r>
              <w:rPr>
                <w:rFonts w:hint="eastAsia" w:asciiTheme="minorEastAsia" w:hAnsiTheme="minorEastAsia" w:eastAsiaTheme="minorEastAsia" w:cstheme="minorEastAsia"/>
                <w:b/>
                <w:bCs/>
                <w:color w:val="auto"/>
                <w:sz w:val="21"/>
                <w:szCs w:val="21"/>
                <w:highlight w:val="none"/>
              </w:rPr>
              <w:t>不带“★”的参数发生负偏离达</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项（含）以上的，视为不实质性响应采购文件要求，评审时响应文件将被作为无效文件处理。</w:t>
            </w:r>
            <w:r>
              <w:rPr>
                <w:rFonts w:hint="eastAsia" w:asciiTheme="minorEastAsia" w:hAnsiTheme="minorEastAsia" w:eastAsiaTheme="minorEastAsia" w:cstheme="minorEastAsia"/>
                <w:b/>
                <w:bCs/>
                <w:color w:val="auto"/>
                <w:sz w:val="21"/>
                <w:szCs w:val="21"/>
                <w:highlight w:val="none"/>
                <w:lang w:val="en-US" w:eastAsia="zh-CN"/>
              </w:rPr>
              <w:t>带“</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的为实质性技术参数，投标人必须于投标文件中提供相关有效证明材料并加盖投标人公章进行佐证，[资料可以是国家认可的第三方检测/检验机构出具的检测/检验报告或产品生产厂家出具的技术参数说明(加盖投标人公章)]。</w:t>
            </w:r>
          </w:p>
          <w:p>
            <w:pPr>
              <w:pStyle w:val="27"/>
              <w:spacing w:line="288"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商务条款不允许负偏离，否则投标无效</w:t>
            </w:r>
            <w:r>
              <w:rPr>
                <w:rFonts w:hint="eastAsia" w:asciiTheme="minorEastAsia" w:hAnsiTheme="minorEastAsia" w:eastAsiaTheme="minorEastAsia" w:cstheme="minorEastAsia"/>
                <w:b/>
                <w:bCs/>
                <w:color w:val="auto"/>
                <w:sz w:val="21"/>
                <w:szCs w:val="21"/>
                <w:highlight w:val="none"/>
                <w:lang w:val="en-US" w:eastAsia="zh-CN"/>
              </w:rPr>
              <w:t>。</w:t>
            </w:r>
          </w:p>
        </w:tc>
      </w:tr>
    </w:tbl>
    <w:p>
      <w:pPr>
        <w:rPr>
          <w:rFonts w:hint="eastAsia" w:asciiTheme="minorEastAsia" w:hAnsiTheme="minorEastAsia" w:eastAsiaTheme="minorEastAsia" w:cstheme="minorEastAsia"/>
          <w:color w:val="auto"/>
          <w:highlight w:val="none"/>
          <w:lang w:eastAsia="zh-CN"/>
        </w:rPr>
      </w:pPr>
      <w:bookmarkStart w:id="152" w:name="_Toc27274"/>
      <w:bookmarkStart w:id="153" w:name="_Toc28447"/>
    </w:p>
    <w:p>
      <w:pPr>
        <w:pageBreakBefore w:val="0"/>
        <w:kinsoku/>
        <w:overflowPunct/>
        <w:topLinePunct w:val="0"/>
        <w:bidi w:val="0"/>
        <w:spacing w:beforeAutospacing="0" w:afterAutospacing="0" w:line="360" w:lineRule="auto"/>
        <w:ind w:left="0" w:leftChars="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lang w:eastAsia="zh-CN"/>
        </w:rPr>
        <w:br w:type="page"/>
      </w:r>
      <w:r>
        <w:rPr>
          <w:rFonts w:hint="eastAsia" w:asciiTheme="minorEastAsia" w:hAnsiTheme="minorEastAsia" w:eastAsiaTheme="minorEastAsia" w:cstheme="minorEastAsia"/>
          <w:color w:val="auto"/>
          <w:sz w:val="21"/>
          <w:szCs w:val="21"/>
          <w:highlight w:val="none"/>
        </w:rPr>
        <w:t>附件1：</w:t>
      </w:r>
    </w:p>
    <w:p>
      <w:pPr>
        <w:pageBreakBefore w:val="0"/>
        <w:kinsoku/>
        <w:overflowPunct/>
        <w:topLinePunct w:val="0"/>
        <w:bidi w:val="0"/>
        <w:spacing w:beforeAutospacing="0" w:afterAutospacing="0" w:line="360" w:lineRule="auto"/>
        <w:ind w:left="0" w:leftChars="0" w:right="0"/>
        <w:rPr>
          <w:rFonts w:hint="eastAsia" w:asciiTheme="minorEastAsia" w:hAnsiTheme="minorEastAsia" w:eastAsiaTheme="minorEastAsia" w:cstheme="minorEastAsia"/>
          <w:color w:val="auto"/>
          <w:sz w:val="21"/>
          <w:szCs w:val="21"/>
          <w:highlight w:val="none"/>
        </w:rPr>
      </w:pPr>
    </w:p>
    <w:p>
      <w:pPr>
        <w:pageBreakBefore w:val="0"/>
        <w:kinsoku/>
        <w:overflowPunct/>
        <w:topLinePunct w:val="0"/>
        <w:bidi w:val="0"/>
        <w:spacing w:beforeAutospacing="0" w:afterAutospacing="0" w:line="360" w:lineRule="auto"/>
        <w:ind w:left="0" w:leftChars="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节能产品政府采购品目清单</w:t>
      </w:r>
    </w:p>
    <w:tbl>
      <w:tblPr>
        <w:tblStyle w:val="38"/>
        <w:tblW w:w="9578" w:type="dxa"/>
        <w:tblInd w:w="93" w:type="dxa"/>
        <w:tblLayout w:type="fixed"/>
        <w:tblCellMar>
          <w:top w:w="0" w:type="dxa"/>
          <w:left w:w="108" w:type="dxa"/>
          <w:bottom w:w="0" w:type="dxa"/>
          <w:right w:w="108" w:type="dxa"/>
        </w:tblCellMar>
      </w:tblPr>
      <w:tblGrid>
        <w:gridCol w:w="665"/>
        <w:gridCol w:w="1158"/>
        <w:gridCol w:w="1575"/>
        <w:gridCol w:w="1676"/>
        <w:gridCol w:w="4504"/>
      </w:tblGrid>
      <w:tr>
        <w:tblPrEx>
          <w:tblCellMar>
            <w:top w:w="0" w:type="dxa"/>
            <w:left w:w="108" w:type="dxa"/>
            <w:bottom w:w="0" w:type="dxa"/>
            <w:right w:w="108" w:type="dxa"/>
          </w:tblCellMar>
        </w:tblPrEx>
        <w:trPr>
          <w:trHeight w:val="921" w:hRule="atLeast"/>
        </w:trPr>
        <w:tc>
          <w:tcPr>
            <w:tcW w:w="665" w:type="dxa"/>
            <w:tcBorders>
              <w:top w:val="single" w:color="000000" w:sz="8" w:space="0"/>
              <w:left w:val="single" w:color="000000" w:sz="8" w:space="0"/>
              <w:bottom w:val="nil"/>
              <w:right w:val="single" w:color="000000" w:sz="8" w:space="0"/>
            </w:tcBorders>
            <w:noWrap w:val="0"/>
            <w:vAlign w:val="top"/>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品目序号</w:t>
            </w:r>
          </w:p>
        </w:tc>
        <w:tc>
          <w:tcPr>
            <w:tcW w:w="4409" w:type="dxa"/>
            <w:gridSpan w:val="3"/>
            <w:tcBorders>
              <w:top w:val="single" w:color="000000" w:sz="8" w:space="0"/>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名称</w:t>
            </w:r>
          </w:p>
        </w:tc>
        <w:tc>
          <w:tcPr>
            <w:tcW w:w="4504" w:type="dxa"/>
            <w:tcBorders>
              <w:top w:val="single" w:color="000000" w:sz="8" w:space="0"/>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依据的标准</w:t>
            </w:r>
          </w:p>
        </w:tc>
      </w:tr>
      <w:tr>
        <w:tblPrEx>
          <w:tblCellMar>
            <w:top w:w="0" w:type="dxa"/>
            <w:left w:w="108" w:type="dxa"/>
            <w:bottom w:w="0" w:type="dxa"/>
            <w:right w:w="108" w:type="dxa"/>
          </w:tblCellMar>
        </w:tblPrEx>
        <w:trPr>
          <w:trHeight w:val="466" w:hRule="atLeast"/>
        </w:trPr>
        <w:tc>
          <w:tcPr>
            <w:tcW w:w="665" w:type="dxa"/>
            <w:vMerge w:val="restart"/>
            <w:tcBorders>
              <w:top w:val="single" w:color="000000" w:sz="8" w:space="0"/>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158"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A020101计算机设备</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★A02010104台式计算机</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《微型计算机能效限定值及能效等级》（GB28380）</w:t>
            </w:r>
          </w:p>
        </w:tc>
      </w:tr>
      <w:tr>
        <w:tblPrEx>
          <w:tblCellMar>
            <w:top w:w="0" w:type="dxa"/>
            <w:left w:w="108" w:type="dxa"/>
            <w:bottom w:w="0" w:type="dxa"/>
            <w:right w:w="108" w:type="dxa"/>
          </w:tblCellMar>
        </w:tblPrEx>
        <w:trPr>
          <w:trHeight w:val="466" w:hRule="atLeast"/>
        </w:trPr>
        <w:tc>
          <w:tcPr>
            <w:tcW w:w="665" w:type="dxa"/>
            <w:vMerge w:val="continue"/>
            <w:tcBorders>
              <w:top w:val="single" w:color="000000" w:sz="8" w:space="0"/>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★A02010105便携式计算机</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《微型计算机能效限定值及能效等级》（GB28380）</w:t>
            </w:r>
          </w:p>
        </w:tc>
      </w:tr>
      <w:tr>
        <w:tblPrEx>
          <w:tblCellMar>
            <w:top w:w="0" w:type="dxa"/>
            <w:left w:w="108" w:type="dxa"/>
            <w:bottom w:w="0" w:type="dxa"/>
            <w:right w:w="108" w:type="dxa"/>
          </w:tblCellMar>
        </w:tblPrEx>
        <w:trPr>
          <w:trHeight w:val="693" w:hRule="atLeast"/>
        </w:trPr>
        <w:tc>
          <w:tcPr>
            <w:tcW w:w="665" w:type="dxa"/>
            <w:vMerge w:val="continue"/>
            <w:tcBorders>
              <w:top w:val="single" w:color="000000" w:sz="8" w:space="0"/>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★A02010107平板式微型计算机</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《微型计算机能效限定值及能效等级》（GB28380）</w:t>
            </w:r>
          </w:p>
        </w:tc>
      </w:tr>
      <w:tr>
        <w:tblPrEx>
          <w:tblCellMar>
            <w:top w:w="0" w:type="dxa"/>
            <w:left w:w="108" w:type="dxa"/>
            <w:bottom w:w="0" w:type="dxa"/>
            <w:right w:w="108" w:type="dxa"/>
          </w:tblCellMar>
        </w:tblPrEx>
        <w:trPr>
          <w:trHeight w:val="466" w:hRule="atLeast"/>
        </w:trPr>
        <w:tc>
          <w:tcPr>
            <w:tcW w:w="665"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158"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A020106输入输出设备</w:t>
            </w:r>
          </w:p>
        </w:tc>
        <w:tc>
          <w:tcPr>
            <w:tcW w:w="1575"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A02010601打印设备</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A0201060101喷墨打印机</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《复印机、打印机和传真机能效限定值及能效等级》（GB21521）</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★A0201060102激光打印机</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《复印机、打印机和传真机能效限定值及能效等级》（GB21521）</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★A0201060104针式打印机</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《复印机、打印机和传真机能效限定值及能效等级》（GB21521）</w:t>
            </w:r>
          </w:p>
        </w:tc>
      </w:tr>
      <w:tr>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A02010604显示设备</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★A0201060401液晶显示器</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《计算机显示器能效限定值及能效等级》（GB21520）</w:t>
            </w:r>
          </w:p>
        </w:tc>
      </w:tr>
      <w:tr>
        <w:trPr>
          <w:trHeight w:val="921"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A02010609图形图像输入设备</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A0201060901扫描仪</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trPr>
          <w:trHeight w:val="466"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A020202投影仪</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《投影机能效限定值及能效等级》（GB32028）</w:t>
            </w:r>
          </w:p>
        </w:tc>
      </w:tr>
      <w:tr>
        <w:trPr>
          <w:trHeight w:val="693"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A020204多功能一体机</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《复印机、打印机和传真机能效限定值及能效等级》（GB21521）</w:t>
            </w:r>
          </w:p>
        </w:tc>
      </w:tr>
      <w:tr>
        <w:tblPrEx>
          <w:tblCellMar>
            <w:top w:w="0" w:type="dxa"/>
            <w:left w:w="108" w:type="dxa"/>
            <w:bottom w:w="0" w:type="dxa"/>
            <w:right w:w="108" w:type="dxa"/>
          </w:tblCellMar>
        </w:tblPrEx>
        <w:trPr>
          <w:trHeight w:val="466" w:hRule="atLeast"/>
        </w:trPr>
        <w:tc>
          <w:tcPr>
            <w:tcW w:w="665" w:type="dxa"/>
            <w:tcBorders>
              <w:top w:val="nil"/>
              <w:left w:val="single" w:color="000000" w:sz="8" w:space="0"/>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1158"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A020519泵</w:t>
            </w:r>
          </w:p>
        </w:tc>
        <w:tc>
          <w:tcPr>
            <w:tcW w:w="1575"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A02051901离心泵</w:t>
            </w:r>
          </w:p>
        </w:tc>
        <w:tc>
          <w:tcPr>
            <w:tcW w:w="1676"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《清水离心泵能效限定值及节能评价值》（GB19762）</w:t>
            </w:r>
          </w:p>
        </w:tc>
      </w:tr>
      <w:tr>
        <w:tblPrEx>
          <w:tblCellMar>
            <w:top w:w="0" w:type="dxa"/>
            <w:left w:w="108" w:type="dxa"/>
            <w:bottom w:w="0" w:type="dxa"/>
            <w:right w:w="108" w:type="dxa"/>
          </w:tblCellMar>
        </w:tblPrEx>
        <w:trPr>
          <w:trHeight w:val="693" w:hRule="atLeast"/>
        </w:trPr>
        <w:tc>
          <w:tcPr>
            <w:tcW w:w="66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115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A020523制冷空调设备</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★A02052301制冷压缩机</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冷水机组</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66" w:hRule="atLeast"/>
        </w:trPr>
        <w:tc>
          <w:tcPr>
            <w:tcW w:w="66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水源热泵机组</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《水（地）源热泵机组能效限定值及能效等级》（GB30721）</w:t>
            </w:r>
          </w:p>
        </w:tc>
      </w:tr>
      <w:tr>
        <w:tblPrEx>
          <w:tblCellMar>
            <w:top w:w="0" w:type="dxa"/>
            <w:left w:w="108" w:type="dxa"/>
            <w:bottom w:w="0" w:type="dxa"/>
            <w:right w:w="108" w:type="dxa"/>
          </w:tblCellMar>
        </w:tblPrEx>
        <w:trPr>
          <w:trHeight w:val="466" w:hRule="atLeast"/>
        </w:trPr>
        <w:tc>
          <w:tcPr>
            <w:tcW w:w="66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溴化锂吸收式冷水机组</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《溴化锂吸收式冷水机组能效限定值及能效等级》（GB29540）</w:t>
            </w:r>
          </w:p>
        </w:tc>
      </w:tr>
      <w:tr>
        <w:trPr>
          <w:trHeight w:val="693" w:hRule="atLeast"/>
        </w:trPr>
        <w:tc>
          <w:tcPr>
            <w:tcW w:w="66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★A02052305空调机组</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多联式空调（热泵）机组(制冷量&gt;14000W)</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《多联式空调（热泵）机组能效限定值及能源效率等级》（GB21454）</w:t>
            </w:r>
          </w:p>
        </w:tc>
      </w:tr>
      <w:tr>
        <w:trPr>
          <w:trHeight w:val="693" w:hRule="atLeast"/>
        </w:trPr>
        <w:tc>
          <w:tcPr>
            <w:tcW w:w="665" w:type="dxa"/>
            <w:vMerge w:val="continue"/>
            <w:tcBorders>
              <w:top w:val="single" w:color="auto" w:sz="4" w:space="0"/>
              <w:left w:val="single" w:color="auto" w:sz="4"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single" w:color="auto" w:sz="4" w:space="0"/>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single" w:color="auto" w:sz="4" w:space="0"/>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单元式空气调节机(制冷量&gt;14000W</w:t>
            </w:r>
          </w:p>
        </w:tc>
        <w:tc>
          <w:tcPr>
            <w:tcW w:w="4504" w:type="dxa"/>
            <w:tcBorders>
              <w:top w:val="single" w:color="auto" w:sz="4" w:space="0"/>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《单元式空气调节机能效限定值及能效等级》（GB19576）《风管送风式空调机组能效限定值及能效等级》（GB37479）</w:t>
            </w:r>
          </w:p>
        </w:tc>
      </w:tr>
      <w:tr>
        <w:trPr>
          <w:trHeight w:val="693" w:hRule="atLeast"/>
        </w:trPr>
        <w:tc>
          <w:tcPr>
            <w:tcW w:w="665" w:type="dxa"/>
            <w:vMerge w:val="continue"/>
            <w:tcBorders>
              <w:top w:val="nil"/>
              <w:left w:val="single" w:color="auto" w:sz="4"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★A02052309专用制冷、空调设备</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机房空调</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《单元式空气调节机能效限定值及能效等级》（GB19576）</w:t>
            </w:r>
          </w:p>
        </w:tc>
      </w:tr>
      <w:tr>
        <w:tblPrEx>
          <w:tblCellMar>
            <w:top w:w="0" w:type="dxa"/>
            <w:left w:w="108" w:type="dxa"/>
            <w:bottom w:w="0" w:type="dxa"/>
            <w:right w:w="108" w:type="dxa"/>
          </w:tblCellMar>
        </w:tblPrEx>
        <w:trPr>
          <w:trHeight w:val="693" w:hRule="atLeast"/>
        </w:trPr>
        <w:tc>
          <w:tcPr>
            <w:tcW w:w="665" w:type="dxa"/>
            <w:vMerge w:val="continue"/>
            <w:tcBorders>
              <w:top w:val="nil"/>
              <w:left w:val="single" w:color="auto" w:sz="4"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A02052399其他制冷空调设备</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冷却塔</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292"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A020601电机</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《中小型三相异步电动机能效限定值及能效等级》（GB18613）</w:t>
            </w:r>
          </w:p>
        </w:tc>
      </w:tr>
      <w:tr>
        <w:trPr>
          <w:trHeight w:val="466"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A020602变压器</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配电变压器</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《三相配电变压器能效限定值及能效等级》（GB20052）</w:t>
            </w:r>
          </w:p>
        </w:tc>
      </w:tr>
      <w:tr>
        <w:trPr>
          <w:trHeight w:val="466"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★A020609镇流器</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管型荧光灯镇流器</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《管形荧光灯镇流器能效限定值及能效等级》（GB17896）</w:t>
            </w:r>
          </w:p>
        </w:tc>
      </w:tr>
      <w:tr>
        <w:tblPrEx>
          <w:tblCellMar>
            <w:top w:w="0" w:type="dxa"/>
            <w:left w:w="108" w:type="dxa"/>
            <w:bottom w:w="0" w:type="dxa"/>
            <w:right w:w="108" w:type="dxa"/>
          </w:tblCellMar>
        </w:tblPrEx>
        <w:trPr>
          <w:trHeight w:val="466" w:hRule="atLeast"/>
        </w:trPr>
        <w:tc>
          <w:tcPr>
            <w:tcW w:w="665"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w:t>
            </w:r>
          </w:p>
        </w:tc>
        <w:tc>
          <w:tcPr>
            <w:tcW w:w="1158"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A020618生活用电器</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A0206180101电冰箱</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《家用电冰箱耗电量限定值及能效等级》（GB 12021.2）</w:t>
            </w:r>
          </w:p>
        </w:tc>
      </w:tr>
      <w:tr>
        <w:tblPrEx>
          <w:tblCellMar>
            <w:top w:w="0" w:type="dxa"/>
            <w:left w:w="108" w:type="dxa"/>
            <w:bottom w:w="0" w:type="dxa"/>
            <w:right w:w="108" w:type="dxa"/>
          </w:tblCellMar>
        </w:tblPrEx>
        <w:trPr>
          <w:trHeight w:val="921"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★A0206180203空调机</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房间空气调节器</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《转速可控型房间空气调节器能效限定值及能效等级》（GB21455-2013），待2019年修订发布后，按《房间空气调节器能效限定值及能效等级》（GB21455-2019实施。</w:t>
            </w:r>
          </w:p>
        </w:tc>
      </w:tr>
      <w:tr>
        <w:trPr>
          <w:trHeight w:val="693"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多联式空调（热泵）机组（制冷量≤ 14000W）</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《多联式空调（热泵）机组能效限定值及能源效率等级》（GB21454）</w:t>
            </w:r>
          </w:p>
        </w:tc>
      </w:tr>
      <w:tr>
        <w:tblPrEx>
          <w:tblCellMar>
            <w:top w:w="0" w:type="dxa"/>
            <w:left w:w="108" w:type="dxa"/>
            <w:bottom w:w="0" w:type="dxa"/>
            <w:right w:w="108" w:type="dxa"/>
          </w:tblCellMar>
        </w:tblPrEx>
        <w:trPr>
          <w:trHeight w:val="693"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单元式空气调节机(制冷量≤14000W)</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A0206180301洗衣机</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《电动洗衣机能效水效限定值及等级》（GB12021.4）</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restart"/>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A02061808热水器</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★电热水器</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《储水式电热水器能效限定值及能效等级》（GB21519）</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燃气热水器</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热泵热水器</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《热泵热水机（器）能效限定值及能效等级》（GB29541）</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000000" w:sz="8" w:space="0"/>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000000" w:sz="8" w:space="0"/>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vMerge w:val="continue"/>
            <w:tcBorders>
              <w:top w:val="nil"/>
              <w:left w:val="single" w:color="000000" w:sz="8" w:space="0"/>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676"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太阳能热水系统</w:t>
            </w:r>
          </w:p>
        </w:tc>
        <w:tc>
          <w:tcPr>
            <w:tcW w:w="4504" w:type="dxa"/>
            <w:tcBorders>
              <w:top w:val="nil"/>
              <w:left w:val="nil"/>
              <w:bottom w:val="single" w:color="auto" w:sz="4"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《家用太阳能热水系统能效限定值及能效等级》（GB26969）</w:t>
            </w:r>
          </w:p>
        </w:tc>
      </w:tr>
      <w:tr>
        <w:tblPrEx>
          <w:tblCellMar>
            <w:top w:w="0" w:type="dxa"/>
            <w:left w:w="108" w:type="dxa"/>
            <w:bottom w:w="0" w:type="dxa"/>
            <w:right w:w="108" w:type="dxa"/>
          </w:tblCellMar>
        </w:tblPrEx>
        <w:trPr>
          <w:trHeight w:val="466" w:hRule="atLeast"/>
        </w:trPr>
        <w:tc>
          <w:tcPr>
            <w:tcW w:w="66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w:t>
            </w:r>
          </w:p>
        </w:tc>
        <w:tc>
          <w:tcPr>
            <w:tcW w:w="115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A020619照明设备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★普通照明用双端荧光灯</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《普通照明用双端荧光灯能效限定值及能效等级》（GB19043）</w:t>
            </w:r>
          </w:p>
        </w:tc>
      </w:tr>
      <w:tr>
        <w:tblPrEx>
          <w:tblCellMar>
            <w:top w:w="0" w:type="dxa"/>
            <w:left w:w="108" w:type="dxa"/>
            <w:bottom w:w="0" w:type="dxa"/>
            <w:right w:w="108" w:type="dxa"/>
          </w:tblCellMar>
        </w:tblPrEx>
        <w:trPr>
          <w:trHeight w:val="466" w:hRule="atLeast"/>
        </w:trPr>
        <w:tc>
          <w:tcPr>
            <w:tcW w:w="66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LED道路/隧道照明产品</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《道路和隧道照明用LED灯具能效限定值及能效等级》（GB37478）</w:t>
            </w:r>
          </w:p>
        </w:tc>
      </w:tr>
      <w:tr>
        <w:tblPrEx>
          <w:tblCellMar>
            <w:top w:w="0" w:type="dxa"/>
            <w:left w:w="108" w:type="dxa"/>
            <w:bottom w:w="0" w:type="dxa"/>
            <w:right w:w="108" w:type="dxa"/>
          </w:tblCellMar>
        </w:tblPrEx>
        <w:trPr>
          <w:trHeight w:val="466" w:hRule="atLeast"/>
        </w:trPr>
        <w:tc>
          <w:tcPr>
            <w:tcW w:w="66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LED筒灯</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《室内照明用LED产品能效限定值及能效等级》（GB30255）</w:t>
            </w:r>
          </w:p>
        </w:tc>
      </w:tr>
      <w:tr>
        <w:tblPrEx>
          <w:tblCellMar>
            <w:top w:w="0" w:type="dxa"/>
            <w:left w:w="108" w:type="dxa"/>
            <w:bottom w:w="0" w:type="dxa"/>
            <w:right w:w="108" w:type="dxa"/>
          </w:tblCellMar>
        </w:tblPrEx>
        <w:trPr>
          <w:trHeight w:val="693" w:hRule="atLeast"/>
        </w:trPr>
        <w:tc>
          <w:tcPr>
            <w:tcW w:w="665" w:type="dxa"/>
            <w:vMerge w:val="continue"/>
            <w:tcBorders>
              <w:top w:val="single" w:color="auto" w:sz="4" w:space="0"/>
              <w:left w:val="single" w:color="auto" w:sz="4"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single" w:color="auto" w:sz="4" w:space="0"/>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single" w:color="auto" w:sz="4" w:space="0"/>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普通照明用非定向自镇流LED灯</w:t>
            </w:r>
          </w:p>
        </w:tc>
        <w:tc>
          <w:tcPr>
            <w:tcW w:w="1676" w:type="dxa"/>
            <w:tcBorders>
              <w:top w:val="single" w:color="auto" w:sz="4" w:space="0"/>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single" w:color="auto" w:sz="4" w:space="0"/>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《室内照明用LED产品能效限定值及能效等级》（GB30255）</w:t>
            </w:r>
          </w:p>
        </w:tc>
      </w:tr>
      <w:tr>
        <w:tblPrEx>
          <w:tblCellMar>
            <w:top w:w="0" w:type="dxa"/>
            <w:left w:w="108" w:type="dxa"/>
            <w:bottom w:w="0" w:type="dxa"/>
            <w:right w:w="108" w:type="dxa"/>
          </w:tblCellMar>
        </w:tblPrEx>
        <w:trPr>
          <w:trHeight w:val="693" w:hRule="atLeast"/>
        </w:trPr>
        <w:tc>
          <w:tcPr>
            <w:tcW w:w="665" w:type="dxa"/>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w:t>
            </w:r>
          </w:p>
        </w:tc>
        <w:tc>
          <w:tcPr>
            <w:tcW w:w="1158"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★A020910电视设备</w:t>
            </w: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A02091001普通电视设备（电视机）</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《平板电视能效限定值及能效等级》（GB24850）</w:t>
            </w:r>
          </w:p>
        </w:tc>
      </w:tr>
      <w:tr>
        <w:trPr>
          <w:trHeight w:val="921" w:hRule="atLeast"/>
        </w:trPr>
        <w:tc>
          <w:tcPr>
            <w:tcW w:w="665" w:type="dxa"/>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w:t>
            </w:r>
          </w:p>
        </w:tc>
        <w:tc>
          <w:tcPr>
            <w:tcW w:w="1158"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★A020911视频设备</w:t>
            </w: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A02091107视频监控设备</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监视器</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693" w:hRule="atLeast"/>
        </w:trPr>
        <w:tc>
          <w:tcPr>
            <w:tcW w:w="665" w:type="dxa"/>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14</w:t>
            </w:r>
          </w:p>
        </w:tc>
        <w:tc>
          <w:tcPr>
            <w:tcW w:w="1158"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A031210饮食炊事机械</w:t>
            </w: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商用燃气灶具</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《商用燃气灶具能效限定值及能效等级》（GB30531）</w:t>
            </w:r>
          </w:p>
        </w:tc>
      </w:tr>
      <w:tr>
        <w:tblPrEx>
          <w:tblCellMar>
            <w:top w:w="0" w:type="dxa"/>
            <w:left w:w="108" w:type="dxa"/>
            <w:bottom w:w="0" w:type="dxa"/>
            <w:right w:w="108" w:type="dxa"/>
          </w:tblCellMar>
        </w:tblPrEx>
        <w:trPr>
          <w:trHeight w:val="237" w:hRule="atLeast"/>
        </w:trPr>
        <w:tc>
          <w:tcPr>
            <w:tcW w:w="665" w:type="dxa"/>
            <w:vMerge w:val="restart"/>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w:t>
            </w:r>
          </w:p>
        </w:tc>
        <w:tc>
          <w:tcPr>
            <w:tcW w:w="1158" w:type="dxa"/>
            <w:vMerge w:val="restart"/>
            <w:tcBorders>
              <w:top w:val="nil"/>
              <w:left w:val="single" w:color="auto" w:sz="8" w:space="0"/>
              <w:bottom w:val="single" w:color="000000"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★A060805便器</w:t>
            </w: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坐便器</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《坐便器水效限定值及水效等级》（GB25502）</w:t>
            </w:r>
          </w:p>
        </w:tc>
      </w:tr>
      <w:tr>
        <w:tblPrEx>
          <w:tblCellMar>
            <w:top w:w="0" w:type="dxa"/>
            <w:left w:w="108" w:type="dxa"/>
            <w:bottom w:w="0" w:type="dxa"/>
            <w:right w:w="108" w:type="dxa"/>
          </w:tblCellMar>
        </w:tblPrEx>
        <w:trPr>
          <w:trHeight w:val="466" w:hRule="atLeast"/>
        </w:trPr>
        <w:tc>
          <w:tcPr>
            <w:tcW w:w="665" w:type="dxa"/>
            <w:vMerge w:val="continue"/>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auto" w:sz="8" w:space="0"/>
              <w:bottom w:val="single" w:color="000000"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蹲便器</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《蹲便器用水效率限定值及用水效率等级》（GB30717）</w:t>
            </w:r>
          </w:p>
        </w:tc>
      </w:tr>
      <w:tr>
        <w:trPr>
          <w:trHeight w:val="466" w:hRule="atLeast"/>
        </w:trPr>
        <w:tc>
          <w:tcPr>
            <w:tcW w:w="665" w:type="dxa"/>
            <w:vMerge w:val="continue"/>
            <w:tcBorders>
              <w:top w:val="nil"/>
              <w:left w:val="single" w:color="auto" w:sz="8" w:space="0"/>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158" w:type="dxa"/>
            <w:vMerge w:val="continue"/>
            <w:tcBorders>
              <w:top w:val="nil"/>
              <w:left w:val="single" w:color="auto" w:sz="8" w:space="0"/>
              <w:bottom w:val="single" w:color="000000"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p>
        </w:tc>
        <w:tc>
          <w:tcPr>
            <w:tcW w:w="1575"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小便器</w:t>
            </w:r>
          </w:p>
        </w:tc>
        <w:tc>
          <w:tcPr>
            <w:tcW w:w="1676"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auto" w:sz="8" w:space="0"/>
              <w:right w:val="single" w:color="auto"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《小便器用水效率限定值及用水效率等级》（GB28377）</w:t>
            </w:r>
          </w:p>
        </w:tc>
      </w:tr>
      <w:tr>
        <w:tblPrEx>
          <w:tblCellMar>
            <w:top w:w="0" w:type="dxa"/>
            <w:left w:w="108" w:type="dxa"/>
            <w:bottom w:w="0" w:type="dxa"/>
            <w:right w:w="108" w:type="dxa"/>
          </w:tblCellMar>
        </w:tblPrEx>
        <w:trPr>
          <w:trHeight w:val="466"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★A060806水嘴</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《水嘴用水效率限定值及用水效率等级》（GB 25501）</w:t>
            </w:r>
          </w:p>
        </w:tc>
      </w:tr>
      <w:tr>
        <w:tblPrEx>
          <w:tblCellMar>
            <w:top w:w="0" w:type="dxa"/>
            <w:left w:w="108" w:type="dxa"/>
            <w:bottom w:w="0" w:type="dxa"/>
            <w:right w:w="108" w:type="dxa"/>
          </w:tblCellMar>
        </w:tblPrEx>
        <w:trPr>
          <w:trHeight w:val="693"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A060807便器冲洗阀</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《便器冲洗阀用水效率限定值及用水效率等级》（GB28379）</w:t>
            </w:r>
          </w:p>
        </w:tc>
      </w:tr>
      <w:tr>
        <w:tblPrEx>
          <w:tblCellMar>
            <w:top w:w="0" w:type="dxa"/>
            <w:left w:w="108" w:type="dxa"/>
            <w:bottom w:w="0" w:type="dxa"/>
            <w:right w:w="108" w:type="dxa"/>
          </w:tblCellMar>
        </w:tblPrEx>
        <w:trPr>
          <w:trHeight w:val="475" w:hRule="atLeast"/>
        </w:trPr>
        <w:tc>
          <w:tcPr>
            <w:tcW w:w="665" w:type="dxa"/>
            <w:tcBorders>
              <w:top w:val="nil"/>
              <w:left w:val="single" w:color="000000" w:sz="8" w:space="0"/>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w:t>
            </w:r>
          </w:p>
        </w:tc>
        <w:tc>
          <w:tcPr>
            <w:tcW w:w="1158"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A060810淋浴器</w:t>
            </w:r>
          </w:p>
        </w:tc>
        <w:tc>
          <w:tcPr>
            <w:tcW w:w="1575"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1676"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4504" w:type="dxa"/>
            <w:tcBorders>
              <w:top w:val="nil"/>
              <w:left w:val="nil"/>
              <w:bottom w:val="single" w:color="000000" w:sz="8" w:space="0"/>
              <w:right w:val="single" w:color="000000" w:sz="8" w:space="0"/>
            </w:tcBorders>
            <w:noWrap w:val="0"/>
            <w:vAlign w:val="center"/>
          </w:tcPr>
          <w:p>
            <w:pPr>
              <w:pageBreakBefore w:val="0"/>
              <w:widowControl/>
              <w:kinsoku/>
              <w:overflowPunct/>
              <w:topLinePunct w:val="0"/>
              <w:bidi w:val="0"/>
              <w:spacing w:beforeAutospacing="0" w:afterAutospacing="0" w:line="240" w:lineRule="auto"/>
              <w:ind w:left="0" w:leftChars="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《淋浴器用水效率限定值及用水效率等级》（GB28378）</w:t>
            </w:r>
          </w:p>
        </w:tc>
      </w:tr>
    </w:tbl>
    <w:p>
      <w:pPr>
        <w:pageBreakBefore w:val="0"/>
        <w:widowControl/>
        <w:kinsoku/>
        <w:overflowPunct/>
        <w:topLinePunct w:val="0"/>
        <w:bidi w:val="0"/>
        <w:spacing w:beforeAutospacing="0" w:afterAutospacing="0" w:line="360" w:lineRule="auto"/>
        <w:ind w:left="0" w:leftChars="0" w:right="0"/>
        <w:rPr>
          <w:rFonts w:hint="eastAsia" w:asciiTheme="minorEastAsia" w:hAnsiTheme="minorEastAsia" w:eastAsiaTheme="minorEastAsia" w:cstheme="minorEastAsia"/>
          <w:color w:val="auto"/>
          <w:sz w:val="21"/>
          <w:szCs w:val="21"/>
          <w:highlight w:val="none"/>
        </w:rPr>
      </w:pPr>
    </w:p>
    <w:p>
      <w:pPr>
        <w:pStyle w:val="18"/>
        <w:pageBreakBefore w:val="0"/>
        <w:kinsoku/>
        <w:overflowPunct/>
        <w:topLinePunct w:val="0"/>
        <w:bidi w:val="0"/>
        <w:spacing w:beforeAutospacing="0" w:after="0" w:afterAutospacing="0" w:line="360" w:lineRule="auto"/>
        <w:ind w:left="0" w:leftChars="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 w:val="21"/>
          <w:szCs w:val="21"/>
          <w:highlight w:val="none"/>
        </w:rPr>
        <w:t>指标。</w:t>
      </w:r>
    </w:p>
    <w:p>
      <w:pPr>
        <w:pStyle w:val="18"/>
        <w:pageBreakBefore w:val="0"/>
        <w:kinsoku/>
        <w:overflowPunct/>
        <w:topLinePunct w:val="0"/>
        <w:bidi w:val="0"/>
        <w:spacing w:beforeAutospacing="0" w:after="0" w:afterAutospacing="0" w:line="360" w:lineRule="auto"/>
        <w:ind w:left="0" w:leftChars="0" w:right="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w:t>
      </w:r>
      <w:r>
        <w:rPr>
          <w:rFonts w:hint="eastAsia" w:asciiTheme="minorEastAsia" w:hAnsiTheme="minorEastAsia" w:eastAsiaTheme="minorEastAsia" w:cstheme="minorEastAsia"/>
          <w:b/>
          <w:bCs/>
          <w:color w:val="auto"/>
          <w:sz w:val="21"/>
          <w:szCs w:val="21"/>
          <w:highlight w:val="none"/>
        </w:rPr>
        <w:t>.以“★”标注的为政府强制采购产品。</w:t>
      </w:r>
    </w:p>
    <w:p>
      <w:pPr>
        <w:pStyle w:val="21"/>
        <w:pageBreakBefore w:val="0"/>
        <w:kinsoku/>
        <w:overflowPunct/>
        <w:topLinePunct w:val="0"/>
        <w:bidi w:val="0"/>
        <w:spacing w:beforeAutospacing="0" w:afterAutospacing="0" w:line="360" w:lineRule="auto"/>
        <w:ind w:left="0" w:leftChars="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color w:val="auto"/>
          <w:sz w:val="21"/>
          <w:szCs w:val="21"/>
          <w:highlight w:val="none"/>
        </w:rPr>
        <w:t>附件2：</w:t>
      </w:r>
    </w:p>
    <w:p>
      <w:pPr>
        <w:pageBreakBefore w:val="0"/>
        <w:kinsoku/>
        <w:overflowPunct/>
        <w:topLinePunct w:val="0"/>
        <w:bidi w:val="0"/>
        <w:spacing w:beforeAutospacing="0" w:afterAutospacing="0" w:line="360" w:lineRule="auto"/>
        <w:ind w:left="0" w:leftChars="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中小微企业划型标准</w:t>
      </w:r>
    </w:p>
    <w:tbl>
      <w:tblPr>
        <w:tblStyle w:val="38"/>
        <w:tblW w:w="9338" w:type="dxa"/>
        <w:tblInd w:w="250" w:type="dxa"/>
        <w:tblLayout w:type="fixed"/>
        <w:tblCellMar>
          <w:top w:w="0" w:type="dxa"/>
          <w:left w:w="108" w:type="dxa"/>
          <w:bottom w:w="0" w:type="dxa"/>
          <w:right w:w="108" w:type="dxa"/>
        </w:tblCellMar>
      </w:tblPr>
      <w:tblGrid>
        <w:gridCol w:w="1991"/>
        <w:gridCol w:w="1618"/>
        <w:gridCol w:w="1068"/>
        <w:gridCol w:w="1895"/>
        <w:gridCol w:w="1684"/>
        <w:gridCol w:w="1082"/>
      </w:tblGrid>
      <w:tr>
        <w:tblPrEx>
          <w:tblCellMar>
            <w:top w:w="0" w:type="dxa"/>
            <w:left w:w="108" w:type="dxa"/>
            <w:bottom w:w="0" w:type="dxa"/>
            <w:right w:w="108" w:type="dxa"/>
          </w:tblCellMar>
        </w:tblPrEx>
        <w:trPr>
          <w:trHeight w:val="550" w:hRule="atLeast"/>
        </w:trPr>
        <w:tc>
          <w:tcPr>
            <w:tcW w:w="199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1618"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tblPrEx>
          <w:tblCellMar>
            <w:top w:w="0" w:type="dxa"/>
            <w:left w:w="108" w:type="dxa"/>
            <w:bottom w:w="0" w:type="dxa"/>
            <w:right w:w="108" w:type="dxa"/>
          </w:tblCellMar>
        </w:tblPrEx>
        <w:trPr>
          <w:trHeight w:val="278" w:hRule="atLeast"/>
        </w:trPr>
        <w:tc>
          <w:tcPr>
            <w:tcW w:w="1991" w:type="dxa"/>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50≤Y＜500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2000≤Y＜40000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300≤Y＜2000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6000≤Y＜80000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300≤Y＜6000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5000≤Z＜80000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300≤Z＜5000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Z＜300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20≤X＜200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5≤X＜20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X＜5</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5000≤Y＜40000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10≤X＜50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100≤Y＜500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3000≤Y＜30000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200≤Y＜3000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1000≤Y＜30000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2000≤Y＜30000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50≤Y＜1000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1000≤Y＜200000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100≤X＜1000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5000≤Z＜10000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2000≤Y＜5000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500≤Y＜1000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Y＜500</w:t>
            </w:r>
          </w:p>
        </w:tc>
      </w:tr>
      <w:tr>
        <w:tblPrEx>
          <w:tblCellMar>
            <w:top w:w="0" w:type="dxa"/>
            <w:left w:w="108" w:type="dxa"/>
            <w:bottom w:w="0" w:type="dxa"/>
            <w:right w:w="108" w:type="dxa"/>
          </w:tblCellMar>
        </w:tblPrEx>
        <w:trPr>
          <w:trHeight w:val="278" w:hRule="atLeast"/>
        </w:trPr>
        <w:tc>
          <w:tcPr>
            <w:tcW w:w="1991" w:type="dxa"/>
            <w:vMerge w:val="restart"/>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tblPrEx>
          <w:tblCellMar>
            <w:top w:w="0" w:type="dxa"/>
            <w:left w:w="108" w:type="dxa"/>
            <w:bottom w:w="0" w:type="dxa"/>
            <w:right w:w="108" w:type="dxa"/>
          </w:tblCellMar>
        </w:tblPrEx>
        <w:trPr>
          <w:trHeight w:val="278" w:hRule="atLeast"/>
        </w:trPr>
        <w:tc>
          <w:tcPr>
            <w:tcW w:w="1991"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8000≤Z＜120000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100≤Z＜8000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tblPrEx>
          <w:tblCellMar>
            <w:top w:w="0" w:type="dxa"/>
            <w:left w:w="108" w:type="dxa"/>
            <w:bottom w:w="0" w:type="dxa"/>
            <w:right w:w="108" w:type="dxa"/>
          </w:tblCellMar>
        </w:tblPrEx>
        <w:trPr>
          <w:trHeight w:val="283" w:hRule="atLeast"/>
        </w:trPr>
        <w:tc>
          <w:tcPr>
            <w:tcW w:w="1991" w:type="dxa"/>
            <w:tcBorders>
              <w:top w:val="nil"/>
              <w:left w:val="single" w:color="auto" w:sz="4" w:space="0"/>
              <w:bottom w:val="single" w:color="auto" w:sz="4" w:space="0"/>
              <w:right w:val="single" w:color="auto" w:sz="4" w:space="0"/>
            </w:tcBorders>
            <w:noWrap w:val="0"/>
            <w:vAlign w:val="bottom"/>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161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06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95"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684"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082"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beforeAutospacing="0" w:afterAutospacing="0" w:line="240" w:lineRule="auto"/>
              <w:ind w:left="0" w:leftChars="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bl>
    <w:p>
      <w:pPr>
        <w:pageBreakBefore w:val="0"/>
        <w:kinsoku/>
        <w:overflowPunct/>
        <w:topLinePunct w:val="0"/>
        <w:bidi w:val="0"/>
        <w:spacing w:beforeAutospacing="0" w:afterAutospacing="0" w:line="360" w:lineRule="auto"/>
        <w:ind w:left="0" w:leftChars="0" w:right="0"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ageBreakBefore w:val="0"/>
        <w:widowControl/>
        <w:kinsoku/>
        <w:overflowPunct/>
        <w:topLinePunct w:val="0"/>
        <w:bidi w:val="0"/>
        <w:spacing w:beforeAutospacing="0" w:afterAutospacing="0" w:line="360" w:lineRule="auto"/>
        <w:ind w:left="0" w:leftChars="0" w:right="0"/>
        <w:jc w:val="left"/>
        <w:rPr>
          <w:rFonts w:hint="eastAsia" w:ascii="仿宋" w:hAnsi="仿宋" w:eastAsia="仿宋" w:cs="仿宋"/>
          <w:color w:val="auto"/>
          <w:szCs w:val="20"/>
          <w:highlight w:val="none"/>
        </w:rPr>
        <w:sectPr>
          <w:pgSz w:w="11906" w:h="16838"/>
          <w:pgMar w:top="1417" w:right="1417" w:bottom="1417" w:left="1417" w:header="720" w:footer="720" w:gutter="0"/>
          <w:pgNumType w:fmt="decimal"/>
          <w:cols w:space="720" w:num="1"/>
          <w:rtlGutter w:val="0"/>
          <w:docGrid w:type="lines" w:linePitch="331" w:charSpace="0"/>
        </w:sectPr>
      </w:pPr>
    </w:p>
    <w:p>
      <w:pPr>
        <w:rPr>
          <w:rFonts w:hint="eastAsia" w:asciiTheme="minorEastAsia" w:hAnsiTheme="minorEastAsia" w:eastAsiaTheme="minorEastAsia" w:cstheme="minorEastAsia"/>
          <w:color w:val="auto"/>
          <w:highlight w:val="none"/>
          <w:lang w:eastAsia="zh-CN"/>
        </w:rPr>
      </w:pPr>
    </w:p>
    <w:p>
      <w:pPr>
        <w:pStyle w:val="3"/>
        <w:bidi w:val="0"/>
        <w:jc w:val="center"/>
        <w:rPr>
          <w:rStyle w:val="60"/>
          <w:rFonts w:hint="eastAsia" w:asciiTheme="minorEastAsia" w:hAnsiTheme="minorEastAsia" w:eastAsiaTheme="minorEastAsia" w:cstheme="minorEastAsia"/>
          <w:b/>
          <w:bCs/>
          <w:color w:val="auto"/>
          <w:highlight w:val="none"/>
          <w:lang w:eastAsia="zh-CN"/>
        </w:rPr>
      </w:pPr>
      <w:bookmarkStart w:id="154" w:name="_Toc9790"/>
      <w:r>
        <w:rPr>
          <w:rStyle w:val="60"/>
          <w:rFonts w:hint="eastAsia" w:asciiTheme="minorEastAsia" w:hAnsiTheme="minorEastAsia" w:eastAsiaTheme="minorEastAsia" w:cstheme="minorEastAsia"/>
          <w:b/>
          <w:bCs/>
          <w:color w:val="auto"/>
          <w:highlight w:val="none"/>
        </w:rPr>
        <w:t xml:space="preserve">第四章 </w:t>
      </w:r>
      <w:bookmarkEnd w:id="145"/>
      <w:bookmarkEnd w:id="146"/>
      <w:bookmarkEnd w:id="147"/>
      <w:bookmarkEnd w:id="148"/>
      <w:bookmarkEnd w:id="149"/>
      <w:bookmarkEnd w:id="150"/>
      <w:bookmarkEnd w:id="152"/>
      <w:bookmarkEnd w:id="153"/>
      <w:r>
        <w:rPr>
          <w:rStyle w:val="60"/>
          <w:rFonts w:hint="eastAsia" w:asciiTheme="minorEastAsia" w:hAnsiTheme="minorEastAsia" w:eastAsiaTheme="minorEastAsia" w:cstheme="minorEastAsia"/>
          <w:b/>
          <w:bCs/>
          <w:color w:val="auto"/>
          <w:highlight w:val="none"/>
        </w:rPr>
        <w:t>合同</w:t>
      </w:r>
      <w:r>
        <w:rPr>
          <w:rStyle w:val="60"/>
          <w:rFonts w:hint="eastAsia" w:asciiTheme="minorEastAsia" w:hAnsiTheme="minorEastAsia" w:eastAsiaTheme="minorEastAsia" w:cstheme="minorEastAsia"/>
          <w:b/>
          <w:bCs/>
          <w:color w:val="auto"/>
          <w:highlight w:val="none"/>
          <w:lang w:eastAsia="zh-CN"/>
        </w:rPr>
        <w:t>格式</w:t>
      </w:r>
      <w:bookmarkEnd w:id="154"/>
    </w:p>
    <w:p>
      <w:pPr>
        <w:pStyle w:val="3"/>
        <w:keepNext w:val="0"/>
        <w:keepLines w:val="0"/>
        <w:spacing w:before="0" w:after="0" w:line="600" w:lineRule="exact"/>
        <w:jc w:val="center"/>
        <w:outlineLvl w:val="9"/>
        <w:rPr>
          <w:rFonts w:hint="eastAsia" w:asciiTheme="minorEastAsia" w:hAnsiTheme="minorEastAsia" w:eastAsiaTheme="minorEastAsia" w:cstheme="minorEastAsia"/>
          <w:b w:val="0"/>
          <w:color w:val="auto"/>
          <w:kern w:val="0"/>
          <w:sz w:val="36"/>
          <w:szCs w:val="36"/>
          <w:highlight w:val="none"/>
          <w:lang w:eastAsia="zh-CN"/>
        </w:rPr>
      </w:pPr>
      <w:bookmarkStart w:id="155" w:name="_Toc147250553"/>
      <w:bookmarkStart w:id="156" w:name="_Toc147250397"/>
      <w:bookmarkStart w:id="157" w:name="_Toc147250351"/>
    </w:p>
    <w:p>
      <w:pPr>
        <w:pStyle w:val="3"/>
        <w:keepNext w:val="0"/>
        <w:keepLines w:val="0"/>
        <w:spacing w:before="0" w:after="0" w:line="600" w:lineRule="exact"/>
        <w:jc w:val="center"/>
        <w:outlineLvl w:val="9"/>
        <w:rPr>
          <w:rFonts w:hint="eastAsia" w:asciiTheme="minorEastAsia" w:hAnsiTheme="minorEastAsia" w:eastAsiaTheme="minorEastAsia" w:cstheme="minorEastAsia"/>
          <w:b w:val="0"/>
          <w:color w:val="auto"/>
          <w:kern w:val="0"/>
          <w:sz w:val="36"/>
          <w:szCs w:val="36"/>
          <w:highlight w:val="none"/>
          <w:lang w:eastAsia="zh-CN"/>
        </w:rPr>
      </w:pPr>
    </w:p>
    <w:p>
      <w:pPr>
        <w:pStyle w:val="3"/>
        <w:keepNext w:val="0"/>
        <w:keepLines w:val="0"/>
        <w:spacing w:before="0" w:after="0" w:line="600" w:lineRule="exact"/>
        <w:jc w:val="center"/>
        <w:outlineLvl w:val="9"/>
        <w:rPr>
          <w:rFonts w:hint="eastAsia" w:asciiTheme="minorEastAsia" w:hAnsiTheme="minorEastAsia" w:eastAsiaTheme="minorEastAsia" w:cstheme="minorEastAsia"/>
          <w:b w:val="0"/>
          <w:color w:val="auto"/>
          <w:kern w:val="0"/>
          <w:sz w:val="36"/>
          <w:szCs w:val="36"/>
          <w:highlight w:val="none"/>
          <w:lang w:eastAsia="zh-CN"/>
        </w:rPr>
      </w:pPr>
    </w:p>
    <w:p>
      <w:pPr>
        <w:pStyle w:val="3"/>
        <w:keepNext w:val="0"/>
        <w:keepLines w:val="0"/>
        <w:spacing w:before="0" w:after="0" w:line="600" w:lineRule="exact"/>
        <w:jc w:val="center"/>
        <w:outlineLvl w:val="9"/>
        <w:rPr>
          <w:rFonts w:hint="eastAsia" w:asciiTheme="minorEastAsia" w:hAnsiTheme="minorEastAsia" w:eastAsiaTheme="minorEastAsia" w:cstheme="minorEastAsia"/>
          <w:b w:val="0"/>
          <w:color w:val="auto"/>
          <w:kern w:val="0"/>
          <w:sz w:val="36"/>
          <w:szCs w:val="36"/>
          <w:highlight w:val="none"/>
          <w:lang w:eastAsia="zh-CN"/>
        </w:rPr>
      </w:pPr>
    </w:p>
    <w:p>
      <w:pPr>
        <w:jc w:val="center"/>
        <w:rPr>
          <w:rFonts w:hint="eastAsia" w:asciiTheme="minorEastAsia" w:hAnsiTheme="minorEastAsia" w:eastAsiaTheme="minorEastAsia" w:cstheme="minorEastAsia"/>
          <w:b/>
          <w:color w:val="auto"/>
          <w:sz w:val="84"/>
          <w:szCs w:val="84"/>
          <w:highlight w:val="none"/>
          <w:lang w:eastAsia="zh-CN"/>
        </w:rPr>
      </w:pPr>
      <w:r>
        <w:rPr>
          <w:rFonts w:hint="eastAsia" w:asciiTheme="minorEastAsia" w:hAnsiTheme="minorEastAsia" w:eastAsiaTheme="minorEastAsia" w:cstheme="minorEastAsia"/>
          <w:b/>
          <w:color w:val="auto"/>
          <w:sz w:val="84"/>
          <w:szCs w:val="84"/>
          <w:highlight w:val="none"/>
          <w:lang w:eastAsia="zh-CN"/>
        </w:rPr>
        <w:t>政府采购合同书</w:t>
      </w:r>
    </w:p>
    <w:p>
      <w:pPr>
        <w:jc w:val="left"/>
        <w:rPr>
          <w:rFonts w:hint="eastAsia" w:asciiTheme="minorEastAsia" w:hAnsiTheme="minorEastAsia" w:eastAsiaTheme="minorEastAsia" w:cstheme="minorEastAsia"/>
          <w:color w:val="auto"/>
          <w:sz w:val="28"/>
          <w:szCs w:val="28"/>
          <w:highlight w:val="none"/>
          <w:lang w:eastAsia="zh-CN"/>
        </w:rPr>
      </w:pPr>
    </w:p>
    <w:p>
      <w:pPr>
        <w:pStyle w:val="56"/>
        <w:rPr>
          <w:rFonts w:hint="eastAsia" w:asciiTheme="minorEastAsia" w:hAnsiTheme="minorEastAsia" w:eastAsiaTheme="minorEastAsia" w:cstheme="minorEastAsia"/>
          <w:color w:val="auto"/>
          <w:sz w:val="28"/>
          <w:szCs w:val="28"/>
          <w:highlight w:val="none"/>
          <w:lang w:eastAsia="zh-CN"/>
        </w:rPr>
      </w:pPr>
    </w:p>
    <w:p>
      <w:pPr>
        <w:jc w:val="left"/>
        <w:rPr>
          <w:rFonts w:hint="eastAsia" w:asciiTheme="minorEastAsia" w:hAnsiTheme="minorEastAsia" w:eastAsiaTheme="minorEastAsia" w:cstheme="minorEastAsia"/>
          <w:color w:val="auto"/>
          <w:sz w:val="28"/>
          <w:szCs w:val="28"/>
          <w:highlight w:val="none"/>
          <w:lang w:eastAsia="zh-CN"/>
        </w:rPr>
      </w:pPr>
    </w:p>
    <w:p>
      <w:pPr>
        <w:spacing w:line="360" w:lineRule="auto"/>
        <w:ind w:left="2806" w:leftChars="600" w:hanging="1606" w:hangingChars="500"/>
        <w:rPr>
          <w:rFonts w:hint="eastAsia" w:asciiTheme="minorEastAsia" w:hAnsiTheme="minorEastAsia" w:eastAsiaTheme="minorEastAsia" w:cstheme="minorEastAsia"/>
          <w:b/>
          <w:color w:val="auto"/>
          <w:sz w:val="32"/>
          <w:szCs w:val="32"/>
          <w:highlight w:val="none"/>
          <w:lang w:eastAsia="zh-CN"/>
        </w:rPr>
      </w:pPr>
    </w:p>
    <w:p>
      <w:pPr>
        <w:spacing w:line="700" w:lineRule="exact"/>
        <w:ind w:left="2806" w:leftChars="600" w:hanging="1606" w:hangingChars="500"/>
        <w:rPr>
          <w:rFonts w:hint="eastAsia" w:asciiTheme="minorEastAsia" w:hAnsiTheme="minorEastAsia" w:eastAsiaTheme="minorEastAsia" w:cstheme="minorEastAsia"/>
          <w:b/>
          <w:color w:val="auto"/>
          <w:sz w:val="32"/>
          <w:szCs w:val="32"/>
          <w:highlight w:val="none"/>
          <w:lang w:eastAsia="zh-CN"/>
        </w:rPr>
      </w:pPr>
    </w:p>
    <w:p>
      <w:pPr>
        <w:spacing w:line="700" w:lineRule="exact"/>
        <w:ind w:left="2806" w:leftChars="600" w:hanging="1606" w:hangingChars="50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 xml:space="preserve">项目名称： </w:t>
      </w:r>
    </w:p>
    <w:p>
      <w:pPr>
        <w:spacing w:line="700" w:lineRule="exact"/>
        <w:ind w:left="1200" w:leftChars="600"/>
        <w:jc w:val="lef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项目编号：</w:t>
      </w:r>
    </w:p>
    <w:p>
      <w:pPr>
        <w:spacing w:line="700" w:lineRule="exact"/>
        <w:ind w:left="1200" w:leftChars="600"/>
        <w:jc w:val="left"/>
        <w:rPr>
          <w:rFonts w:hint="eastAsia" w:asciiTheme="minorEastAsia" w:hAnsiTheme="minorEastAsia" w:eastAsiaTheme="minorEastAsia" w:cstheme="minorEastAsia"/>
          <w:b/>
          <w:color w:val="auto"/>
          <w:sz w:val="32"/>
          <w:szCs w:val="32"/>
          <w:highlight w:val="none"/>
          <w:lang w:eastAsia="zh-CN"/>
        </w:rPr>
      </w:pPr>
    </w:p>
    <w:p>
      <w:pPr>
        <w:spacing w:line="700" w:lineRule="exact"/>
        <w:ind w:left="2806" w:leftChars="600" w:hanging="1606" w:hangingChars="500"/>
        <w:jc w:val="lef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采购单位（甲方）：浦北县龙门镇人民政府</w:t>
      </w:r>
    </w:p>
    <w:p>
      <w:pPr>
        <w:widowControl/>
        <w:spacing w:line="700" w:lineRule="exact"/>
        <w:ind w:left="2806" w:leftChars="600" w:hanging="1606" w:hangingChars="500"/>
        <w:jc w:val="lef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供应商（乙方）：</w:t>
      </w:r>
    </w:p>
    <w:p>
      <w:pPr>
        <w:spacing w:line="700" w:lineRule="exact"/>
        <w:ind w:left="2806" w:leftChars="600" w:hanging="1606" w:hangingChars="50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签订合同地点：  浦北县龙门镇人民政府</w:t>
      </w:r>
    </w:p>
    <w:p>
      <w:pPr>
        <w:spacing w:line="700" w:lineRule="exact"/>
        <w:ind w:left="2806" w:leftChars="600" w:hanging="1606" w:hangingChars="50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签订合同时间：</w:t>
      </w:r>
    </w:p>
    <w:p>
      <w:pPr>
        <w:pStyle w:val="21"/>
        <w:jc w:val="cente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pStyle w:val="21"/>
        <w:spacing w:line="360" w:lineRule="exact"/>
        <w:ind w:firstLine="420" w:firstLineChars="200"/>
        <w:rPr>
          <w:rFonts w:hint="eastAsia" w:asciiTheme="minorEastAsia" w:hAnsiTheme="minorEastAsia" w:eastAsiaTheme="minorEastAsia" w:cstheme="minorEastAsia"/>
          <w:color w:val="auto"/>
          <w:highlight w:val="none"/>
        </w:rPr>
      </w:pPr>
    </w:p>
    <w:p>
      <w:pPr>
        <w:spacing w:line="240" w:lineRule="auto"/>
        <w:ind w:firstLine="2249" w:firstLineChars="700"/>
        <w:jc w:val="both"/>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广西壮族自治区政府采购合同（格式）</w:t>
      </w:r>
    </w:p>
    <w:p>
      <w:pPr>
        <w:spacing w:line="240" w:lineRule="auto"/>
        <w:jc w:val="center"/>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（浦北县龙门镇人民政府货物采购合同范本）</w:t>
      </w:r>
    </w:p>
    <w:p>
      <w:pPr>
        <w:spacing w:line="40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合同编号：</w:t>
      </w:r>
    </w:p>
    <w:p>
      <w:pPr>
        <w:spacing w:line="40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采购人（甲方）：                                  采 购 计 划 号：                         </w:t>
      </w:r>
    </w:p>
    <w:p>
      <w:pPr>
        <w:spacing w:line="40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供应商（乙方）：                                  采购项目名称和编号：                       </w:t>
      </w:r>
    </w:p>
    <w:p>
      <w:pPr>
        <w:spacing w:line="40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签  订  地  点：                                  签 订 时 间：                       </w:t>
      </w:r>
    </w:p>
    <w:p>
      <w:pPr>
        <w:spacing w:line="400" w:lineRule="exact"/>
        <w:ind w:left="798"/>
        <w:rPr>
          <w:rFonts w:hint="eastAsia" w:asciiTheme="minorEastAsia" w:hAnsiTheme="minorEastAsia" w:eastAsiaTheme="minorEastAsia" w:cstheme="minorEastAsia"/>
          <w:color w:val="auto"/>
          <w:sz w:val="22"/>
          <w:highlight w:val="none"/>
          <w:lang w:eastAsia="zh-CN"/>
        </w:rPr>
      </w:pP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根据《中华人民共和国政府采购法》《中华人民共和国民法典》之合同编等法律、法规规定，按照公开招标文件（以下简称“招标文件”）规定条款和乙方投标响应文件（以下简称“响应文件”）及其承诺，甲乙双方签订本合同。</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第一条　合同标的</w:t>
      </w:r>
    </w:p>
    <w:p>
      <w:pPr>
        <w:spacing w:line="440" w:lineRule="exact"/>
        <w:ind w:left="798"/>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供货一览表</w:t>
      </w:r>
    </w:p>
    <w:tbl>
      <w:tblPr>
        <w:tblStyle w:val="38"/>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2330"/>
        <w:gridCol w:w="1015"/>
        <w:gridCol w:w="877"/>
        <w:gridCol w:w="1015"/>
        <w:gridCol w:w="1362"/>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pPr>
              <w:spacing w:line="44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1555" w:type="dxa"/>
            <w:vAlign w:val="center"/>
          </w:tcPr>
          <w:p>
            <w:pPr>
              <w:spacing w:line="440" w:lineRule="exact"/>
              <w:ind w:left="200" w:leftChars="100"/>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货物名称</w:t>
            </w:r>
          </w:p>
        </w:tc>
        <w:tc>
          <w:tcPr>
            <w:tcW w:w="2330" w:type="dxa"/>
            <w:vAlign w:val="center"/>
          </w:tcPr>
          <w:p>
            <w:pPr>
              <w:spacing w:line="440" w:lineRule="exact"/>
              <w:ind w:left="200" w:leftChars="100"/>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技术参数及性能配置要求</w:t>
            </w:r>
          </w:p>
        </w:tc>
        <w:tc>
          <w:tcPr>
            <w:tcW w:w="1015" w:type="dxa"/>
            <w:vAlign w:val="center"/>
          </w:tcPr>
          <w:p>
            <w:pPr>
              <w:spacing w:line="44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数量</w:t>
            </w:r>
            <w:r>
              <w:rPr>
                <w:rFonts w:hint="default" w:ascii="Calibri" w:hAnsi="Calibri" w:cs="Calibri" w:eastAsiaTheme="minorEastAsia"/>
                <w:color w:val="auto"/>
                <w:sz w:val="22"/>
                <w:highlight w:val="none"/>
              </w:rPr>
              <w:t>①</w:t>
            </w:r>
          </w:p>
        </w:tc>
        <w:tc>
          <w:tcPr>
            <w:tcW w:w="877" w:type="dxa"/>
            <w:vAlign w:val="center"/>
          </w:tcPr>
          <w:p>
            <w:pPr>
              <w:spacing w:line="44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w:t>
            </w:r>
          </w:p>
        </w:tc>
        <w:tc>
          <w:tcPr>
            <w:tcW w:w="1015" w:type="dxa"/>
            <w:vAlign w:val="center"/>
          </w:tcPr>
          <w:p>
            <w:pPr>
              <w:spacing w:line="440" w:lineRule="exact"/>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单价（元）</w:t>
            </w:r>
            <w:r>
              <w:rPr>
                <w:rFonts w:hint="default" w:ascii="Calibri" w:hAnsi="Calibri" w:cs="Calibri" w:eastAsiaTheme="minorEastAsia"/>
                <w:color w:val="auto"/>
                <w:sz w:val="22"/>
                <w:highlight w:val="none"/>
              </w:rPr>
              <w:t>②</w:t>
            </w:r>
          </w:p>
        </w:tc>
        <w:tc>
          <w:tcPr>
            <w:tcW w:w="1362" w:type="dxa"/>
            <w:vAlign w:val="center"/>
          </w:tcPr>
          <w:p>
            <w:pPr>
              <w:spacing w:line="440" w:lineRule="exact"/>
              <w:jc w:val="center"/>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单项合价</w:t>
            </w:r>
            <w:r>
              <w:rPr>
                <w:rFonts w:hint="eastAsia" w:asciiTheme="minorEastAsia" w:hAnsiTheme="minorEastAsia" w:eastAsiaTheme="minorEastAsia" w:cstheme="minorEastAsia"/>
                <w:color w:val="auto"/>
                <w:sz w:val="22"/>
                <w:highlight w:val="none"/>
              </w:rPr>
              <w:t>（元）</w:t>
            </w:r>
            <w:r>
              <w:rPr>
                <w:rFonts w:hint="default" w:ascii="Calibri" w:hAnsi="Calibri" w:cs="Calibri" w:eastAsiaTheme="minorEastAsia"/>
                <w:color w:val="auto"/>
                <w:sz w:val="22"/>
                <w:highlight w:val="none"/>
              </w:rPr>
              <w:t>③</w:t>
            </w:r>
            <w:r>
              <w:rPr>
                <w:rFonts w:hint="eastAsia" w:asciiTheme="minorEastAsia" w:hAnsiTheme="minorEastAsia" w:eastAsiaTheme="minorEastAsia" w:cstheme="minorEastAsia"/>
                <w:color w:val="auto"/>
                <w:sz w:val="22"/>
                <w:highlight w:val="none"/>
                <w:lang w:val="en-US" w:eastAsia="zh-CN"/>
              </w:rPr>
              <w:t>=</w:t>
            </w:r>
            <w:r>
              <w:rPr>
                <w:rFonts w:hint="default" w:ascii="Calibri" w:hAnsi="Calibri" w:cs="Calibri" w:eastAsiaTheme="minorEastAsia"/>
                <w:color w:val="auto"/>
                <w:sz w:val="22"/>
                <w:highlight w:val="none"/>
                <w:lang w:val="en-US" w:eastAsia="zh-CN"/>
              </w:rPr>
              <w:t>①</w:t>
            </w:r>
            <w:r>
              <w:rPr>
                <w:rFonts w:hint="eastAsia" w:ascii="Calibri" w:hAnsi="Calibri" w:cs="Calibri" w:eastAsiaTheme="minorEastAsia"/>
                <w:color w:val="auto"/>
                <w:sz w:val="22"/>
                <w:highlight w:val="none"/>
                <w:lang w:val="en-US" w:eastAsia="zh-CN"/>
              </w:rPr>
              <w:t>x</w:t>
            </w:r>
            <w:r>
              <w:rPr>
                <w:rFonts w:hint="default" w:ascii="Calibri" w:hAnsi="Calibri" w:cs="Calibri" w:eastAsiaTheme="minorEastAsia"/>
                <w:color w:val="auto"/>
                <w:sz w:val="22"/>
                <w:highlight w:val="none"/>
                <w:lang w:val="en-US" w:eastAsia="zh-CN"/>
              </w:rPr>
              <w:t>②</w:t>
            </w:r>
          </w:p>
        </w:tc>
        <w:tc>
          <w:tcPr>
            <w:tcW w:w="649" w:type="dxa"/>
            <w:vAlign w:val="center"/>
          </w:tcPr>
          <w:p>
            <w:pPr>
              <w:spacing w:line="440" w:lineRule="exact"/>
              <w:jc w:val="center"/>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pPr>
              <w:spacing w:line="440" w:lineRule="exact"/>
              <w:ind w:left="798"/>
              <w:jc w:val="cente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1555" w:type="dxa"/>
            <w:vAlign w:val="center"/>
          </w:tcPr>
          <w:p>
            <w:pPr>
              <w:spacing w:line="440" w:lineRule="exact"/>
              <w:rPr>
                <w:rFonts w:hint="eastAsia" w:asciiTheme="minorEastAsia" w:hAnsiTheme="minorEastAsia" w:eastAsiaTheme="minorEastAsia" w:cstheme="minorEastAsia"/>
                <w:color w:val="auto"/>
                <w:sz w:val="22"/>
                <w:highlight w:val="none"/>
                <w:lang w:eastAsia="zh-CN"/>
              </w:rPr>
            </w:pPr>
          </w:p>
        </w:tc>
        <w:tc>
          <w:tcPr>
            <w:tcW w:w="2330"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877"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362"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649"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55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2330"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877"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362"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649"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55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2330"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877"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015"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1362"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c>
          <w:tcPr>
            <w:tcW w:w="649" w:type="dxa"/>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8"/>
            <w:vAlign w:val="center"/>
          </w:tcPr>
          <w:p>
            <w:pPr>
              <w:spacing w:line="440" w:lineRule="exact"/>
              <w:ind w:left="798"/>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人民币合计金额（大写）                          （小写）                 </w:t>
            </w:r>
          </w:p>
        </w:tc>
      </w:tr>
    </w:tbl>
    <w:p>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2"/>
          <w:highlight w:val="none"/>
          <w:lang w:eastAsia="zh-CN"/>
        </w:rPr>
        <w:t xml:space="preserve"> 2、合同合计金额是履行合同的最终价格，应包含产品价、运输费（含装卸费）、保 险费、安装调试费、税费、培训费、产品检测费、产品质保期内维护费等费用。对于本文件中明确列明必须报价的货物或服务，投标人应分别报价。对于本文件中未列明，而 投标人认为必需的费用也需列入总报价。在合同实施时，采购人将不予支付投标人没有列入的项目费用，并认为此项目的费用已包含在投标总报价中。</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第二条　质量保证</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1、乙方所提供的货物型号、技术规格、技术参数等质量必须与招标文件、响应文件和承诺相一致。乙方提供的节能和环保产品必须是列入政府采购清单的产品。</w:t>
      </w:r>
    </w:p>
    <w:p>
      <w:pPr>
        <w:spacing w:line="440" w:lineRule="exact"/>
        <w:ind w:firstLine="220" w:firstLineChars="100"/>
        <w:rPr>
          <w:rFonts w:hint="eastAsia" w:asciiTheme="minorEastAsia" w:hAnsiTheme="minorEastAsia" w:eastAsiaTheme="minorEastAsia" w:cstheme="minorEastAsia"/>
          <w:color w:val="auto"/>
          <w:kern w:val="0"/>
          <w:sz w:val="21"/>
          <w:szCs w:val="21"/>
          <w:highlight w:val="none"/>
          <w:lang w:val="en-US" w:eastAsia="en-US"/>
        </w:rPr>
      </w:pPr>
      <w:r>
        <w:rPr>
          <w:rFonts w:hint="eastAsia" w:asciiTheme="minorEastAsia" w:hAnsiTheme="minorEastAsia" w:eastAsiaTheme="minorEastAsia" w:cstheme="minorEastAsia"/>
          <w:color w:val="auto"/>
          <w:sz w:val="22"/>
          <w:highlight w:val="none"/>
          <w:lang w:eastAsia="zh-CN"/>
        </w:rPr>
        <w:t xml:space="preserve">  2、乙方所提供的货物必须是全新、未经使用的原装产品，</w:t>
      </w:r>
      <w:r>
        <w:rPr>
          <w:rFonts w:hint="eastAsia" w:asciiTheme="minorEastAsia" w:hAnsiTheme="minorEastAsia" w:eastAsiaTheme="minorEastAsia" w:cstheme="minorEastAsia"/>
          <w:color w:val="auto"/>
          <w:sz w:val="22"/>
          <w:szCs w:val="22"/>
          <w:highlight w:val="none"/>
          <w:lang w:eastAsia="zh-CN"/>
        </w:rPr>
        <w:t>以及</w:t>
      </w:r>
      <w:r>
        <w:rPr>
          <w:rFonts w:hint="eastAsia" w:asciiTheme="minorEastAsia" w:hAnsiTheme="minorEastAsia" w:eastAsiaTheme="minorEastAsia" w:cstheme="minorEastAsia"/>
          <w:color w:val="auto"/>
          <w:sz w:val="22"/>
          <w:szCs w:val="22"/>
          <w:highlight w:val="none"/>
        </w:rPr>
        <w:t>所有零部件、配件</w:t>
      </w:r>
      <w:r>
        <w:rPr>
          <w:rFonts w:hint="eastAsia" w:asciiTheme="minorEastAsia" w:hAnsiTheme="minorEastAsia" w:eastAsiaTheme="minorEastAsia" w:cstheme="minorEastAsia"/>
          <w:color w:val="auto"/>
          <w:sz w:val="22"/>
          <w:szCs w:val="22"/>
          <w:highlight w:val="none"/>
          <w:lang w:eastAsia="zh-CN"/>
        </w:rPr>
        <w:t>均</w:t>
      </w:r>
      <w:r>
        <w:rPr>
          <w:rFonts w:hint="eastAsia" w:asciiTheme="minorEastAsia" w:hAnsiTheme="minorEastAsia" w:eastAsiaTheme="minorEastAsia" w:cstheme="minorEastAsia"/>
          <w:color w:val="auto"/>
          <w:sz w:val="22"/>
          <w:szCs w:val="22"/>
          <w:highlight w:val="none"/>
        </w:rPr>
        <w:t>必须是全新</w:t>
      </w:r>
      <w:r>
        <w:rPr>
          <w:rFonts w:hint="eastAsia" w:asciiTheme="minorEastAsia" w:hAnsiTheme="minorEastAsia" w:eastAsiaTheme="minorEastAsia" w:cstheme="minorEastAsia"/>
          <w:color w:val="auto"/>
          <w:sz w:val="22"/>
          <w:szCs w:val="22"/>
          <w:highlight w:val="none"/>
          <w:lang w:eastAsia="zh-CN"/>
        </w:rPr>
        <w:t>未经使用的并符合国家有关质量安全标准的产品。</w:t>
      </w: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val="en-US" w:eastAsia="zh-CN"/>
        </w:rPr>
        <w:t>安装</w:t>
      </w:r>
      <w:r>
        <w:rPr>
          <w:rFonts w:hint="eastAsia" w:asciiTheme="minorEastAsia" w:hAnsiTheme="minorEastAsia" w:eastAsiaTheme="minorEastAsia" w:cstheme="minorEastAsia"/>
          <w:color w:val="auto"/>
          <w:sz w:val="21"/>
          <w:szCs w:val="21"/>
          <w:highlight w:val="none"/>
        </w:rPr>
        <w:t>、验收、</w:t>
      </w:r>
      <w:r>
        <w:rPr>
          <w:rFonts w:hint="eastAsia" w:asciiTheme="minorEastAsia" w:hAnsiTheme="minorEastAsia" w:eastAsiaTheme="minorEastAsia" w:cstheme="minorEastAsia"/>
          <w:color w:val="auto"/>
          <w:sz w:val="21"/>
          <w:szCs w:val="21"/>
          <w:highlight w:val="none"/>
          <w:lang w:val="en-US" w:eastAsia="zh-CN"/>
        </w:rPr>
        <w:t>试用</w:t>
      </w:r>
      <w:r>
        <w:rPr>
          <w:rFonts w:hint="eastAsia" w:asciiTheme="minorEastAsia" w:hAnsiTheme="minorEastAsia" w:eastAsiaTheme="minorEastAsia" w:cstheme="minorEastAsia"/>
          <w:color w:val="auto"/>
          <w:sz w:val="21"/>
          <w:szCs w:val="21"/>
          <w:highlight w:val="none"/>
        </w:rPr>
        <w:t>期间有质量问题应提供更换或退货。</w:t>
      </w:r>
      <w:r>
        <w:rPr>
          <w:rFonts w:hint="eastAsia" w:asciiTheme="minorEastAsia" w:hAnsiTheme="minorEastAsia" w:eastAsiaTheme="minorEastAsia" w:cstheme="minorEastAsia"/>
          <w:color w:val="auto"/>
          <w:sz w:val="22"/>
          <w:highlight w:val="none"/>
          <w:lang w:eastAsia="zh-CN"/>
        </w:rPr>
        <w:t>且在正常安装、使用和保养条件下，其使用寿命期内各项指标均达到质量要求。</w:t>
      </w:r>
      <w:r>
        <w:rPr>
          <w:rFonts w:hint="eastAsia" w:asciiTheme="minorEastAsia" w:hAnsiTheme="minorEastAsia" w:eastAsiaTheme="minorEastAsia" w:cstheme="minorEastAsia"/>
          <w:color w:val="auto"/>
          <w:sz w:val="22"/>
          <w:szCs w:val="22"/>
          <w:highlight w:val="none"/>
          <w:lang w:eastAsia="zh-CN"/>
        </w:rPr>
        <w:t>所有货物都提供使用说明书和详细装箱清单及质量合格证。</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第三条　权利保证</w:t>
      </w:r>
    </w:p>
    <w:p>
      <w:pPr>
        <w:spacing w:line="440" w:lineRule="exact"/>
        <w:ind w:firstLine="528" w:firstLineChars="2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乙方应保证所提供货物在使用时不会侵犯任何第三方的专利权、商标权、工业设计权或其他权利。</w:t>
      </w:r>
    </w:p>
    <w:p>
      <w:pPr>
        <w:spacing w:line="440" w:lineRule="exact"/>
        <w:ind w:firstLine="528" w:firstLineChars="2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乙方应按招标文件规定的时间或响应文件承诺的时间向甲方提供使用货物的有关技术资料。</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乙方保证所交付的货物的所有权完全属于乙方且无任何抵押、质押、查封等产权瑕疵。</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第四条　包装和运输</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1、乙方提供的货物均应按招标文件、响应文件要求的包装材料、包装标准、包装方式进行包装，每一包装单元内应附详细的装箱单和质量合格证。</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2、货物的运输方式：</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lang w:eastAsia="zh-CN"/>
        </w:rPr>
        <w:t>。</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3、乙方负责货物运输，货物运输合理损耗及计算方法：</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lang w:eastAsia="zh-CN"/>
        </w:rPr>
        <w:t>。</w:t>
      </w:r>
    </w:p>
    <w:p>
      <w:pPr>
        <w:spacing w:line="440" w:lineRule="exact"/>
        <w:ind w:firstLine="638" w:firstLineChars="2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第五条　交付和验收</w:t>
      </w:r>
    </w:p>
    <w:p>
      <w:pPr>
        <w:spacing w:line="440" w:lineRule="exact"/>
        <w:ind w:firstLine="330" w:firstLineChars="15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1、交付使用时间：</w:t>
      </w:r>
      <w:r>
        <w:rPr>
          <w:rFonts w:hint="eastAsia" w:asciiTheme="minorEastAsia" w:hAnsiTheme="minorEastAsia" w:eastAsiaTheme="minorEastAsia" w:cstheme="minorEastAsia"/>
          <w:color w:val="auto"/>
          <w:sz w:val="22"/>
          <w:highlight w:val="none"/>
          <w:u w:val="single"/>
          <w:lang w:eastAsia="zh-CN"/>
        </w:rPr>
        <w:t>按乙方响应文件中所承诺的时间；地点：采购人指定地点 。</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2、乙方提供不符合招标文件、响应文件和本合同规定的货物，甲方有权拒绝接受。</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3、乙方应将所提供货物的装箱清单、用户手册、原厂保修卡、随机资料、工具和备品、备件等交付给甲方，如有缺失应及时补齐，否则视为逾期交货。</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4、甲方应当在到货（安装、调试完毕）后七个工作日内进行验收，逾期不验收的，乙方可视同验收合格。验收合格后由甲乙双方签署货物验收单并加盖采购人公章，甲乙双方各执一份。</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6、甲方对验收有异议的，在验收后五个工作日内以书面形式向乙方提出，乙方应自收到甲方书面异议后</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lang w:eastAsia="zh-CN"/>
        </w:rPr>
        <w:t>日内及时予以解决。</w:t>
      </w:r>
    </w:p>
    <w:p>
      <w:pPr>
        <w:spacing w:line="440" w:lineRule="exact"/>
        <w:ind w:firstLine="220" w:firstLineChars="1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第六条　安装和培训</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1、甲方应提供必要安装条件（如场地、电源、水源等）。</w:t>
      </w:r>
    </w:p>
    <w:p>
      <w:pPr>
        <w:spacing w:line="440" w:lineRule="exact"/>
        <w:ind w:firstLine="110" w:firstLineChars="50"/>
        <w:rPr>
          <w:rFonts w:hint="eastAsia" w:asciiTheme="minorEastAsia" w:hAnsiTheme="minorEastAsia" w:eastAsiaTheme="minorEastAsia" w:cstheme="minorEastAsia"/>
          <w:color w:val="auto"/>
          <w:sz w:val="22"/>
          <w:highlight w:val="none"/>
          <w:u w:val="single"/>
          <w:lang w:eastAsia="zh-CN"/>
        </w:rPr>
      </w:pPr>
      <w:r>
        <w:rPr>
          <w:rFonts w:hint="eastAsia" w:asciiTheme="minorEastAsia" w:hAnsiTheme="minorEastAsia" w:eastAsiaTheme="minorEastAsia" w:cstheme="minorEastAsia"/>
          <w:color w:val="auto"/>
          <w:sz w:val="22"/>
          <w:highlight w:val="none"/>
          <w:lang w:eastAsia="zh-CN"/>
        </w:rPr>
        <w:t xml:space="preserve">   2、乙方负责甲方有关人员的培训。培训时间、地点</w:t>
      </w:r>
      <w:r>
        <w:rPr>
          <w:rFonts w:hint="eastAsia" w:asciiTheme="minorEastAsia" w:hAnsiTheme="minorEastAsia" w:eastAsiaTheme="minorEastAsia" w:cstheme="minorEastAsia"/>
          <w:color w:val="auto"/>
          <w:sz w:val="22"/>
          <w:highlight w:val="none"/>
          <w:u w:val="single"/>
          <w:lang w:eastAsia="zh-CN"/>
        </w:rPr>
        <w:t xml:space="preserve">：由甲方根据情况合理安排 </w:t>
      </w:r>
      <w:r>
        <w:rPr>
          <w:rFonts w:hint="eastAsia" w:asciiTheme="minorEastAsia" w:hAnsiTheme="minorEastAsia" w:eastAsiaTheme="minorEastAsia" w:cstheme="minorEastAsia"/>
          <w:color w:val="auto"/>
          <w:sz w:val="22"/>
          <w:highlight w:val="none"/>
          <w:lang w:eastAsia="zh-CN"/>
        </w:rPr>
        <w:t>。</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第七条  售后服务、保修期</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1、乙方应按照国家有关法律法规和“三包”规定以及招标文件、响应文件和本合同所附的《服务承诺》，为甲方提供售后服务。</w:t>
      </w:r>
    </w:p>
    <w:p>
      <w:pPr>
        <w:spacing w:line="440" w:lineRule="exact"/>
        <w:ind w:firstLine="330" w:firstLineChars="15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2、货物保修期：</w:t>
      </w:r>
      <w:r>
        <w:rPr>
          <w:rFonts w:hint="eastAsia" w:asciiTheme="minorEastAsia" w:hAnsiTheme="minorEastAsia" w:eastAsiaTheme="minorEastAsia" w:cstheme="minorEastAsia"/>
          <w:color w:val="auto"/>
          <w:sz w:val="22"/>
          <w:highlight w:val="none"/>
          <w:u w:val="single"/>
          <w:lang w:eastAsia="zh-CN"/>
        </w:rPr>
        <w:t xml:space="preserve">按响应文件的承诺  </w:t>
      </w:r>
      <w:r>
        <w:rPr>
          <w:rFonts w:hint="eastAsia" w:asciiTheme="minorEastAsia" w:hAnsiTheme="minorEastAsia" w:eastAsiaTheme="minorEastAsia" w:cstheme="minorEastAsia"/>
          <w:color w:val="auto"/>
          <w:sz w:val="22"/>
          <w:highlight w:val="none"/>
          <w:lang w:eastAsia="zh-CN"/>
        </w:rPr>
        <w:t>。</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3、乙方提供的服务承诺和售后服务及保修期责任等其他具体约定事项。（见合同附件）</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第八条　付款方式和保证金</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1、当采购数量与实际使用数量不一致时，乙方应根据实际使用量供货，合同的最终结算金额按实际使用量乘以成交单价进行计算。</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2、资金性质：</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u w:val="single"/>
          <w:lang w:val="en-US" w:eastAsia="zh-CN"/>
        </w:rPr>
        <w:t>财政</w:t>
      </w:r>
      <w:r>
        <w:rPr>
          <w:rFonts w:hint="eastAsia" w:asciiTheme="minorEastAsia" w:hAnsiTheme="minorEastAsia" w:eastAsiaTheme="minorEastAsia" w:cstheme="minorEastAsia"/>
          <w:color w:val="auto"/>
          <w:sz w:val="22"/>
          <w:highlight w:val="none"/>
          <w:u w:val="single"/>
          <w:lang w:eastAsia="zh-CN"/>
        </w:rPr>
        <w:t xml:space="preserve">资金 </w:t>
      </w:r>
      <w:r>
        <w:rPr>
          <w:rFonts w:hint="eastAsia" w:asciiTheme="minorEastAsia" w:hAnsiTheme="minorEastAsia" w:eastAsiaTheme="minorEastAsia" w:cstheme="minorEastAsia"/>
          <w:color w:val="auto"/>
          <w:sz w:val="22"/>
          <w:highlight w:val="none"/>
          <w:lang w:eastAsia="zh-CN"/>
        </w:rPr>
        <w:t>。</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付款方式：达到开工条件工程预付款金额为签约合同的30%，每个付款周期按实际完成工程量的90%支付工程进度款。工程完工验收达到质量要求可支付至合同价90%，结算经浦北县有资质审计机构审定后，发包人按工程价款结算总额的3%预留工程质量保证金，工程款支付至结算总价的97%(不得低于97%)。质量保证金待工程质量保修期满且无质量问题后按规定无息返还。</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第九条　履约保证金：无。</w:t>
      </w:r>
    </w:p>
    <w:p>
      <w:pPr>
        <w:spacing w:line="440" w:lineRule="exact"/>
        <w:ind w:firstLine="528" w:firstLineChars="24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第十条  税费</w:t>
      </w:r>
    </w:p>
    <w:p>
      <w:pPr>
        <w:pStyle w:val="89"/>
        <w:numPr>
          <w:ilvl w:val="0"/>
          <w:numId w:val="5"/>
        </w:numPr>
        <w:spacing w:line="440" w:lineRule="exact"/>
        <w:ind w:firstLineChars="0"/>
        <w:jc w:val="lef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本合同执行中相关的一切税费均由乙方负担。</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第十一条  质量保证及售后服务</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乙方应按招标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pPr>
        <w:spacing w:line="440" w:lineRule="exact"/>
        <w:ind w:left="798"/>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（1）更换：由乙方承担所发生的全部费用。</w:t>
      </w:r>
    </w:p>
    <w:p>
      <w:pPr>
        <w:spacing w:line="440" w:lineRule="exact"/>
        <w:ind w:left="798"/>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（2）贬值处理：由甲乙双方合议定价。</w:t>
      </w:r>
    </w:p>
    <w:p>
      <w:pPr>
        <w:spacing w:line="440" w:lineRule="exact"/>
        <w:ind w:left="798"/>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（3）退货处理：乙方应退还甲方支付的合同款，同时应承担该货物的直接费用（运输、保险、检验、货款利息及银行手续费等）。</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2、如在使用过程中发生质量问题，乙方在接到甲方通知后在</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lang w:eastAsia="zh-CN"/>
        </w:rPr>
        <w:t>小时内到达甲方现场。</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3、在质保期内，乙方应对货物出现的质量及安全问题负责处理解决并承担一切费用。</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4、产品质量保证期应当包括但不限于：质保期：</w:t>
      </w:r>
      <w:r>
        <w:rPr>
          <w:rFonts w:hint="eastAsia" w:asciiTheme="minorEastAsia" w:hAnsiTheme="minorEastAsia" w:eastAsiaTheme="minorEastAsia" w:cstheme="minorEastAsia"/>
          <w:color w:val="auto"/>
          <w:sz w:val="22"/>
          <w:highlight w:val="none"/>
          <w:lang w:val="en-US" w:eastAsia="zh-CN"/>
        </w:rPr>
        <w:t>主要设备为5</w:t>
      </w:r>
      <w:r>
        <w:rPr>
          <w:rFonts w:hint="eastAsia" w:asciiTheme="minorEastAsia" w:hAnsiTheme="minorEastAsia" w:eastAsiaTheme="minorEastAsia" w:cstheme="minorEastAsia"/>
          <w:color w:val="auto"/>
          <w:sz w:val="22"/>
          <w:highlight w:val="none"/>
          <w:lang w:eastAsia="zh-CN"/>
        </w:rPr>
        <w:t>年，</w:t>
      </w:r>
      <w:r>
        <w:rPr>
          <w:rFonts w:hint="eastAsia" w:asciiTheme="minorEastAsia" w:hAnsiTheme="minorEastAsia" w:eastAsiaTheme="minorEastAsia" w:cstheme="minorEastAsia"/>
          <w:color w:val="auto"/>
          <w:sz w:val="22"/>
          <w:highlight w:val="none"/>
          <w:lang w:val="en-US" w:eastAsia="zh-CN"/>
        </w:rPr>
        <w:t>具体以合同签订时约定的产品为准；</w:t>
      </w:r>
      <w:r>
        <w:rPr>
          <w:rFonts w:hint="eastAsia" w:asciiTheme="minorEastAsia" w:hAnsiTheme="minorEastAsia" w:eastAsiaTheme="minorEastAsia" w:cstheme="minorEastAsia"/>
          <w:color w:val="auto"/>
          <w:sz w:val="22"/>
          <w:highlight w:val="none"/>
          <w:lang w:eastAsia="zh-CN"/>
        </w:rPr>
        <w:t>质保期内，乙方负责对其提供的设备进行上门维修，不收取额外费用。</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第十二条  调试和验收</w:t>
      </w:r>
    </w:p>
    <w:p>
      <w:pPr>
        <w:spacing w:line="440" w:lineRule="exact"/>
        <w:ind w:firstLine="528" w:firstLineChars="2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甲方对乙方提交的货物依据招标文件上的技术规格要求和国家有关质量标准进行现场初步验收，外观、说明书符合招标文件技术要求的，给予签收，初步验收不合格的不予签收。货到后，甲方应当在到货（安装、调试完毕）后七个工作日内进行验收。</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2、乙方交货前应对产品作出全面检查和对验收文件进行整理，并列出清单，作为甲方收货验收和使用的技术条件依据，检验的结果应随货物交甲方。</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3、甲方对乙方提供的货物在使用前进行调试时，乙方需负责安装并培训甲方的使用操作人员，并协助甲方一起调试，直到符合技术要求，甲方才做最终验收。</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lang w:eastAsia="zh-CN"/>
        </w:rPr>
        <w:t>4、对技术复杂的货物，甲方应请国家认可的专业检测机构参与初步验收及最终验收，并由其出具质量检测报告。</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lang w:eastAsia="zh-CN"/>
        </w:rPr>
        <w:t>5、验收时乙方必须在现场，验收完毕后作出验收结果报告；验收费用由乙方负责。</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第十三条  货物包装、发运及运输</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1、乙方应在货物发运前对其进行满足运输距离、防潮、防震、防锈和防破损装卸等要求包装，以保证货物安全运达甲方指定地点。</w:t>
      </w:r>
    </w:p>
    <w:p>
      <w:pPr>
        <w:spacing w:line="440" w:lineRule="exact"/>
        <w:ind w:firstLine="330" w:firstLineChars="15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2、乙方应提供设备的随机附件、技术资料，可包括相应的安装配件、图纸、操作手册、维护手册、质量保证文件、服务指南、清单等一并附于货物内。</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3、乙方在货物发运手续办理完毕后二十四小时内或货到甲方四十八小时前通知甲方，以准备接货。</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4、货物在交付甲方前发生的损毁、灭失等风险均由乙方负责。</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5、货物在规定的交付期限内由乙方送达甲方指定的地点视为交付，乙方同时需通知甲方货物已送达。</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第十四条　 违约责任</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lang w:eastAsia="zh-CN"/>
        </w:rPr>
        <w:t>2、乙方提供的货物如侵犯了第三方合法权益而引发的任何纠纷或诉讼，均由乙方负责交涉并承担全部责任，且乙方须按合同总额的5%向甲方支付违约金。</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3、因包装、运输引起的货物损坏，按质量不合格处理。</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4、甲方无故延期接收货物、乙方逾期交货的，每天向对方偿付违约货款额3‰违约金，超过</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u w:val="single"/>
          <w:lang w:val="en-US" w:eastAsia="zh-CN"/>
        </w:rPr>
        <w:t>30</w:t>
      </w:r>
      <w:r>
        <w:rPr>
          <w:rFonts w:hint="eastAsia" w:asciiTheme="minorEastAsia" w:hAnsiTheme="minorEastAsia" w:eastAsiaTheme="minorEastAsia" w:cstheme="minorEastAsia"/>
          <w:color w:val="auto"/>
          <w:sz w:val="22"/>
          <w:highlight w:val="none"/>
          <w:u w:val="single"/>
          <w:lang w:eastAsia="zh-CN"/>
        </w:rPr>
        <w:t xml:space="preserve"> </w:t>
      </w:r>
      <w:r>
        <w:rPr>
          <w:rFonts w:hint="eastAsia" w:asciiTheme="minorEastAsia" w:hAnsiTheme="minorEastAsia" w:eastAsiaTheme="minorEastAsia" w:cstheme="minorEastAsia"/>
          <w:color w:val="auto"/>
          <w:sz w:val="22"/>
          <w:highlight w:val="none"/>
          <w:lang w:eastAsia="zh-CN"/>
        </w:rPr>
        <w:t>天对方有权解除合同，违约方承担因此给对方造成经济损失；甲方延期付货款的，每天向乙方偿付延期货款额3‰ 违约金，但违约金累计不得超过延期货款额5%。</w:t>
      </w:r>
    </w:p>
    <w:p>
      <w:pPr>
        <w:spacing w:line="440" w:lineRule="exact"/>
        <w:ind w:firstLine="330" w:firstLineChars="15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5、乙方未按本合同和响应文件中规定的服务承诺提供服务的，乙方应按本合同合计金额 5%向甲方支付违约金，甲方有权解除合同。</w:t>
      </w:r>
    </w:p>
    <w:p>
      <w:pPr>
        <w:spacing w:line="440" w:lineRule="exact"/>
        <w:ind w:firstLine="330" w:firstLineChars="15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6、乙方提供的货物在质量保证期内，因设计、工艺或材料的缺陷和其他质量原因造成的问题，由乙方负责，费用从履约保证金中扣除，不足另补。</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7、其他违约行为按合同金额5%收取违约金。</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8、乙方支付的违约金不足以弥补甲方损失的，还应承担赔偿责任。</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第十五条  不可抗力事件处理</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1、在合同有效期内，任何一方因不可抗力事件导致不能履行合同，则合同履行期可延长，其延长期与不可抗力影响期相同。</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2、不可抗力事件发生后，应立即通知对方，并寄送有关权威机构出具的证明。</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3、不可抗力事件延续一百二十天以上，双方应通过友好协商，确定是否继续履行合同。</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第十六条  合同争议解决</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1、因货物质量问题发生争议的，应邀请国家认可的质量检测机构对货物质量进行鉴定。货物符合标准的，鉴定费由甲方承担；货物不符合标准的，鉴定费由乙方承担。</w:t>
      </w:r>
    </w:p>
    <w:p>
      <w:pPr>
        <w:spacing w:line="440" w:lineRule="exact"/>
        <w:ind w:firstLine="308" w:firstLineChars="14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2、因履行本合同引起的或与本合同有关的争议，甲乙双方应首先通过友好协商解决，如果协商不能解决，向甲方所在地人民法院提起诉讼。</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3、诉讼期间，本合同继续履行。</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第十七条  合同生效及其他</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1、合同经双方法定代表人或授权代表（委托代理人）签字并加盖单位公章后生效。</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2、合同执行中涉及采购资金和采购内容修改或补充的，须经同级政府采购监督管理办公室审批，并签书面补充协议报同级政府采购监督管理办公室备案，方可作为本合同不可分割的一部分。</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3、本合同未尽事宜，遵照《中华人民共和国民法典》之合同编的有关条文执行。</w:t>
      </w:r>
    </w:p>
    <w:p>
      <w:pPr>
        <w:spacing w:line="440" w:lineRule="exact"/>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 第十八条　 合同的变更、终止与转让</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1、除《中华人民共和国政府采购法》第五十条规定的情形外，本合同一经签订，甲乙双方不得擅自变更、中止或终止。</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2、乙方不得擅自转让（无进口资格的供应商委托进口货物除外）其应履行的合同义务。</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第十九条　 签订本合同依据</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1、招标文件；</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2、乙方提供的响应文件；</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 xml:space="preserve">3、投标函； </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4、中标通知书。</w:t>
      </w:r>
    </w:p>
    <w:p>
      <w:pPr>
        <w:spacing w:line="440" w:lineRule="exact"/>
        <w:ind w:firstLine="418" w:firstLineChars="19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第二十条　本合同一式伍份，具有同等法律效力，甲方执叁份，乙方执壹份，采购代理机构执壹份。</w:t>
      </w:r>
    </w:p>
    <w:p>
      <w:pPr>
        <w:spacing w:line="44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t>第二十一条  本合同甲乙双方签字盖章后生效，自签订之日起两个工作日内，采购人或采购代理机构应当将合同上传广西政府采购云平台备案公示。</w:t>
      </w:r>
    </w:p>
    <w:p>
      <w:pPr>
        <w:pStyle w:val="56"/>
        <w:rPr>
          <w:rFonts w:hint="eastAsia" w:asciiTheme="minorEastAsia" w:hAnsiTheme="minorEastAsia" w:eastAsiaTheme="minorEastAsia" w:cstheme="minorEastAsia"/>
          <w:color w:val="auto"/>
          <w:highlight w:val="none"/>
          <w:lang w:eastAsia="zh-CN"/>
        </w:rPr>
      </w:pPr>
    </w:p>
    <w:tbl>
      <w:tblPr>
        <w:tblStyle w:val="38"/>
        <w:tblpPr w:leftFromText="180" w:rightFromText="180" w:vertAnchor="text" w:horzAnchor="page" w:tblpX="1162" w:tblpY="429"/>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甲方（章）</w:t>
            </w:r>
            <w:r>
              <w:rPr>
                <w:rFonts w:hint="eastAsia" w:asciiTheme="minorEastAsia" w:hAnsiTheme="minorEastAsia" w:eastAsiaTheme="minorEastAsia" w:cstheme="minorEastAsia"/>
                <w:color w:val="auto"/>
                <w:sz w:val="21"/>
                <w:szCs w:val="21"/>
                <w:highlight w:val="none"/>
                <w:lang w:eastAsia="zh-CN"/>
              </w:rPr>
              <w:t>浦北县龙门镇人民政府</w:t>
            </w:r>
            <w:r>
              <w:rPr>
                <w:rFonts w:hint="eastAsia" w:asciiTheme="minorEastAsia" w:hAnsiTheme="minorEastAsia" w:eastAsiaTheme="minorEastAsia" w:cstheme="minorEastAsia"/>
                <w:color w:val="auto"/>
                <w:sz w:val="21"/>
                <w:szCs w:val="21"/>
                <w:highlight w:val="none"/>
              </w:rPr>
              <w:t xml:space="preserve">           </w:t>
            </w:r>
          </w:p>
          <w:p>
            <w:pPr>
              <w:snapToGrid w:val="0"/>
              <w:spacing w:line="400" w:lineRule="exact"/>
              <w:rPr>
                <w:rFonts w:hint="eastAsia" w:asciiTheme="minorEastAsia" w:hAnsiTheme="minorEastAsia" w:eastAsiaTheme="minorEastAsia" w:cstheme="minorEastAsia"/>
                <w:color w:val="auto"/>
                <w:sz w:val="21"/>
                <w:szCs w:val="21"/>
                <w:highlight w:val="none"/>
              </w:rPr>
            </w:pPr>
          </w:p>
          <w:p>
            <w:pPr>
              <w:snapToGrid w:val="0"/>
              <w:spacing w:line="400" w:lineRule="exact"/>
              <w:ind w:firstLine="945" w:firstLineChars="45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   日</w:t>
            </w:r>
          </w:p>
        </w:tc>
        <w:tc>
          <w:tcPr>
            <w:tcW w:w="4826"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乙方（章）           </w:t>
            </w:r>
          </w:p>
          <w:p>
            <w:pPr>
              <w:snapToGrid w:val="0"/>
              <w:spacing w:line="400" w:lineRule="exact"/>
              <w:rPr>
                <w:rFonts w:hint="eastAsia" w:asciiTheme="minorEastAsia" w:hAnsiTheme="minorEastAsia" w:eastAsiaTheme="minorEastAsia" w:cstheme="minorEastAsia"/>
                <w:color w:val="auto"/>
                <w:sz w:val="21"/>
                <w:szCs w:val="21"/>
                <w:highlight w:val="none"/>
              </w:rPr>
            </w:pPr>
          </w:p>
          <w:p>
            <w:pPr>
              <w:snapToGrid w:val="0"/>
              <w:spacing w:line="40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单位地址：</w:t>
            </w:r>
            <w:r>
              <w:rPr>
                <w:rFonts w:hint="eastAsia" w:asciiTheme="minorEastAsia" w:hAnsiTheme="minorEastAsia" w:eastAsiaTheme="minorEastAsia" w:cstheme="minorEastAsia"/>
                <w:color w:val="auto"/>
                <w:sz w:val="21"/>
                <w:szCs w:val="21"/>
                <w:highlight w:val="none"/>
                <w:lang w:eastAsia="zh-CN"/>
              </w:rPr>
              <w:t>浦北县龙门镇马路街5号</w:t>
            </w:r>
          </w:p>
        </w:tc>
        <w:tc>
          <w:tcPr>
            <w:tcW w:w="4826" w:type="dxa"/>
            <w:tcBorders>
              <w:top w:val="single" w:color="auto" w:sz="4" w:space="0"/>
              <w:left w:val="nil"/>
              <w:bottom w:val="single" w:color="auto" w:sz="4" w:space="0"/>
              <w:right w:val="single" w:color="auto" w:sz="4" w:space="0"/>
            </w:tcBorders>
            <w:vAlign w:val="center"/>
          </w:tcPr>
          <w:p>
            <w:pPr>
              <w:widowControl/>
              <w:ind w:left="1050" w:hanging="1050" w:hangingChars="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法定代表人：</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或委托代理人：</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话：0777-</w:t>
            </w:r>
            <w:r>
              <w:rPr>
                <w:rFonts w:hint="eastAsia" w:asciiTheme="minorEastAsia" w:hAnsiTheme="minorEastAsia" w:eastAsiaTheme="minorEastAsia" w:cstheme="minorEastAsia"/>
                <w:color w:val="auto"/>
                <w:sz w:val="21"/>
                <w:szCs w:val="21"/>
                <w:highlight w:val="none"/>
                <w:lang w:val="en-US" w:eastAsia="zh-CN"/>
              </w:rPr>
              <w:t>8538001</w:t>
            </w:r>
          </w:p>
        </w:tc>
        <w:tc>
          <w:tcPr>
            <w:tcW w:w="4826"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电</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4826"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号：</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4826"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纳税人识别号：</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统一社会信用代码：</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lang w:val="en-US" w:eastAsia="zh-CN"/>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邮政编码：</w:t>
            </w:r>
          </w:p>
        </w:tc>
      </w:tr>
    </w:tbl>
    <w:p>
      <w:pPr>
        <w:pStyle w:val="56"/>
        <w:rPr>
          <w:rFonts w:hint="eastAsia" w:asciiTheme="minorEastAsia" w:hAnsiTheme="minorEastAsia" w:eastAsiaTheme="minorEastAsia" w:cstheme="minorEastAsia"/>
          <w:color w:val="auto"/>
          <w:highlight w:val="none"/>
          <w:lang w:eastAsia="zh-CN"/>
        </w:rPr>
      </w:pPr>
    </w:p>
    <w:p>
      <w:pPr>
        <w:pStyle w:val="56"/>
        <w:rPr>
          <w:rFonts w:hint="eastAsia" w:asciiTheme="minorEastAsia" w:hAnsiTheme="minorEastAsia" w:eastAsiaTheme="minorEastAsia" w:cstheme="minorEastAsia"/>
          <w:color w:val="auto"/>
          <w:highlight w:val="none"/>
          <w:lang w:eastAsia="zh-CN"/>
        </w:rPr>
      </w:pPr>
    </w:p>
    <w:p>
      <w:pPr>
        <w:spacing w:line="300" w:lineRule="exact"/>
        <w:ind w:left="798"/>
        <w:rPr>
          <w:rFonts w:hint="eastAsia" w:asciiTheme="minorEastAsia" w:hAnsiTheme="minorEastAsia" w:eastAsiaTheme="minorEastAsia" w:cstheme="minorEastAsia"/>
          <w:color w:val="auto"/>
          <w:sz w:val="22"/>
          <w:highlight w:val="none"/>
        </w:rPr>
      </w:pPr>
    </w:p>
    <w:p>
      <w:pPr>
        <w:pStyle w:val="25"/>
        <w:rPr>
          <w:rFonts w:hint="eastAsia" w:asciiTheme="minorEastAsia" w:hAnsiTheme="minorEastAsia" w:eastAsiaTheme="minorEastAsia" w:cstheme="minorEastAsia"/>
          <w:color w:val="auto"/>
          <w:sz w:val="21"/>
          <w:szCs w:val="21"/>
          <w:highlight w:val="none"/>
          <w:lang w:eastAsia="zh-CN"/>
        </w:rPr>
      </w:pPr>
    </w:p>
    <w:p>
      <w:pPr>
        <w:pStyle w:val="27"/>
        <w:rPr>
          <w:rFonts w:hint="eastAsia" w:asciiTheme="minorEastAsia" w:hAnsiTheme="minorEastAsia" w:eastAsiaTheme="minorEastAsia" w:cstheme="minorEastAsia"/>
          <w:color w:val="auto"/>
          <w:sz w:val="21"/>
          <w:szCs w:val="21"/>
          <w:highlight w:val="none"/>
          <w:lang w:eastAsia="zh-CN"/>
        </w:rPr>
      </w:pPr>
    </w:p>
    <w:p>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bookmarkEnd w:id="155"/>
    <w:bookmarkEnd w:id="156"/>
    <w:bookmarkEnd w:id="157"/>
    <w:p>
      <w:pPr>
        <w:pStyle w:val="21"/>
        <w:numPr>
          <w:ilvl w:val="0"/>
          <w:numId w:val="6"/>
        </w:numPr>
        <w:spacing w:line="360" w:lineRule="auto"/>
        <w:jc w:val="center"/>
        <w:outlineLvl w:val="0"/>
        <w:rPr>
          <w:rStyle w:val="63"/>
          <w:rFonts w:hint="eastAsia" w:asciiTheme="minorEastAsia" w:hAnsiTheme="minorEastAsia" w:eastAsiaTheme="minorEastAsia" w:cstheme="minorEastAsia"/>
          <w:color w:val="auto"/>
          <w:sz w:val="32"/>
          <w:szCs w:val="32"/>
          <w:highlight w:val="none"/>
        </w:rPr>
      </w:pPr>
      <w:bookmarkStart w:id="158" w:name="_Toc4141"/>
      <w:bookmarkStart w:id="159" w:name="_Toc7859"/>
      <w:bookmarkStart w:id="160" w:name="_Toc21828"/>
      <w:r>
        <w:rPr>
          <w:rStyle w:val="63"/>
          <w:rFonts w:hint="eastAsia" w:asciiTheme="minorEastAsia" w:hAnsiTheme="minorEastAsia" w:eastAsiaTheme="minorEastAsia" w:cstheme="minorEastAsia"/>
          <w:color w:val="auto"/>
          <w:sz w:val="32"/>
          <w:szCs w:val="32"/>
          <w:highlight w:val="none"/>
        </w:rPr>
        <w:t>评标办法（综合评分法）</w:t>
      </w:r>
      <w:bookmarkEnd w:id="158"/>
      <w:bookmarkEnd w:id="159"/>
      <w:bookmarkEnd w:id="160"/>
    </w:p>
    <w:p>
      <w:pPr>
        <w:pStyle w:val="21"/>
        <w:spacing w:line="340" w:lineRule="atLeast"/>
        <w:ind w:firstLine="42" w:firstLineChars="2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一、评标原则</w:t>
      </w:r>
    </w:p>
    <w:p>
      <w:pPr>
        <w:spacing w:line="340" w:lineRule="atLeast"/>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(一)评委构成：评标委员会由采购人代表和评审专家组成，成员人数应当为 5 人以上单数，其中评审专家不得少于成员总数的三分之二。</w:t>
      </w:r>
    </w:p>
    <w:p>
      <w:pPr>
        <w:pStyle w:val="55"/>
        <w:ind w:firstLine="420" w:firstLineChars="200"/>
        <w:rPr>
          <w:rFonts w:hint="eastAsia" w:asciiTheme="minorEastAsia" w:hAnsiTheme="minorEastAsia" w:eastAsiaTheme="minorEastAsia" w:cstheme="minorEastAsia"/>
          <w:b w:val="0"/>
          <w:bCs/>
          <w:color w:val="auto"/>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bidi="ar-SA"/>
        </w:rPr>
        <w:t>评审小组构成：5 人，其中采购人代表 1 人，专家 4 人。</w:t>
      </w:r>
    </w:p>
    <w:p>
      <w:pPr>
        <w:pStyle w:val="55"/>
        <w:ind w:firstLine="420" w:firstLineChars="200"/>
        <w:rPr>
          <w:rFonts w:hint="eastAsia" w:asciiTheme="minorEastAsia" w:hAnsiTheme="minorEastAsia" w:eastAsiaTheme="minorEastAsia" w:cstheme="minorEastAsia"/>
          <w:b w:val="0"/>
          <w:bCs/>
          <w:color w:val="auto"/>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bidi="ar-SA"/>
        </w:rPr>
        <w:t>评标专家确定方式：从广西政府采购云平台系统专家库中随机抽取。</w:t>
      </w:r>
    </w:p>
    <w:p>
      <w:pPr>
        <w:spacing w:line="340" w:lineRule="atLeas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(二)评标依据：评委将以招投标文件为评标依据，对投标人的投标报价、技术 、</w:t>
      </w:r>
      <w:r>
        <w:rPr>
          <w:rFonts w:hint="eastAsia" w:asciiTheme="minorEastAsia" w:hAnsiTheme="minorEastAsia" w:eastAsiaTheme="minorEastAsia" w:cstheme="minorEastAsia"/>
          <w:bCs/>
          <w:color w:val="auto"/>
          <w:spacing w:val="-4"/>
          <w:sz w:val="21"/>
          <w:szCs w:val="21"/>
          <w:highlight w:val="none"/>
          <w:lang w:eastAsia="zh-CN"/>
        </w:rPr>
        <w:t>商务</w:t>
      </w:r>
      <w:r>
        <w:rPr>
          <w:rFonts w:hint="eastAsia" w:asciiTheme="minorEastAsia" w:hAnsiTheme="minorEastAsia" w:eastAsiaTheme="minorEastAsia" w:cstheme="minorEastAsia"/>
          <w:bCs/>
          <w:color w:val="auto"/>
          <w:sz w:val="21"/>
          <w:szCs w:val="21"/>
          <w:highlight w:val="none"/>
          <w:lang w:eastAsia="zh-CN"/>
        </w:rPr>
        <w:t>等方面内容按百分制打分。</w:t>
      </w:r>
    </w:p>
    <w:p>
      <w:pPr>
        <w:spacing w:line="340" w:lineRule="atLeast"/>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(三)评标方式：以封闭方式进行。</w:t>
      </w:r>
    </w:p>
    <w:p>
      <w:pPr>
        <w:pStyle w:val="18"/>
        <w:rPr>
          <w:rFonts w:hint="eastAsia" w:asciiTheme="minorEastAsia" w:hAnsiTheme="minorEastAsia" w:eastAsiaTheme="minorEastAsia" w:cstheme="minorEastAsia"/>
          <w:color w:val="auto"/>
          <w:sz w:val="21"/>
          <w:szCs w:val="21"/>
          <w:highlight w:val="none"/>
          <w:lang w:eastAsia="zh-CN"/>
        </w:rPr>
      </w:pPr>
    </w:p>
    <w:p>
      <w:pPr>
        <w:pStyle w:val="1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二、资格审查及符合性审查标准</w:t>
      </w:r>
    </w:p>
    <w:tbl>
      <w:tblPr>
        <w:tblStyle w:val="3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439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97" w:type="dxa"/>
            <w:gridSpan w:val="2"/>
            <w:shd w:val="clear" w:color="auto" w:fill="D7D7D7"/>
            <w:vAlign w:val="center"/>
          </w:tcPr>
          <w:p>
            <w:pPr>
              <w:pStyle w:val="21"/>
              <w:spacing w:line="320" w:lineRule="exact"/>
              <w:jc w:val="center"/>
              <w:outlineLvl w:val="0"/>
              <w:rPr>
                <w:rStyle w:val="122"/>
                <w:rFonts w:hint="eastAsia" w:asciiTheme="minorEastAsia" w:hAnsiTheme="minorEastAsia" w:eastAsiaTheme="minorEastAsia" w:cstheme="minorEastAsia"/>
                <w:color w:val="auto"/>
                <w:szCs w:val="21"/>
                <w:highlight w:val="none"/>
              </w:rPr>
            </w:pPr>
            <w:bookmarkStart w:id="161" w:name="_Toc26752"/>
            <w:r>
              <w:rPr>
                <w:rStyle w:val="122"/>
                <w:rFonts w:hint="eastAsia" w:asciiTheme="minorEastAsia" w:hAnsiTheme="minorEastAsia" w:eastAsiaTheme="minorEastAsia" w:cstheme="minorEastAsia"/>
                <w:color w:val="auto"/>
                <w:szCs w:val="21"/>
                <w:highlight w:val="none"/>
              </w:rPr>
              <w:t>评审内容</w:t>
            </w:r>
            <w:bookmarkEnd w:id="161"/>
          </w:p>
        </w:tc>
        <w:tc>
          <w:tcPr>
            <w:tcW w:w="3937" w:type="dxa"/>
            <w:shd w:val="clear" w:color="auto" w:fill="D7D7D7"/>
            <w:vAlign w:val="center"/>
          </w:tcPr>
          <w:p>
            <w:pPr>
              <w:pStyle w:val="21"/>
              <w:spacing w:line="320" w:lineRule="exact"/>
              <w:jc w:val="center"/>
              <w:outlineLvl w:val="0"/>
              <w:rPr>
                <w:rStyle w:val="122"/>
                <w:rFonts w:hint="eastAsia" w:asciiTheme="minorEastAsia" w:hAnsiTheme="minorEastAsia" w:eastAsiaTheme="minorEastAsia" w:cstheme="minorEastAsia"/>
                <w:color w:val="auto"/>
                <w:szCs w:val="21"/>
                <w:highlight w:val="none"/>
              </w:rPr>
            </w:pPr>
            <w:bookmarkStart w:id="162" w:name="_Toc15508"/>
            <w:r>
              <w:rPr>
                <w:rStyle w:val="122"/>
                <w:rFonts w:hint="eastAsia" w:asciiTheme="minorEastAsia" w:hAnsiTheme="minorEastAsia" w:eastAsiaTheme="minorEastAsia" w:cstheme="minorEastAsia"/>
                <w:color w:val="auto"/>
                <w:szCs w:val="21"/>
                <w:highlight w:val="none"/>
              </w:rPr>
              <w:t>评审标准</w:t>
            </w:r>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4" w:type="dxa"/>
            <w:vMerge w:val="restart"/>
            <w:vAlign w:val="center"/>
          </w:tcPr>
          <w:p>
            <w:pPr>
              <w:pStyle w:val="21"/>
              <w:spacing w:line="320" w:lineRule="exact"/>
              <w:jc w:val="center"/>
              <w:outlineLvl w:val="0"/>
              <w:rPr>
                <w:rStyle w:val="122"/>
                <w:rFonts w:hint="eastAsia" w:asciiTheme="minorEastAsia" w:hAnsiTheme="minorEastAsia" w:eastAsiaTheme="minorEastAsia" w:cstheme="minorEastAsia"/>
                <w:color w:val="auto"/>
                <w:szCs w:val="21"/>
                <w:highlight w:val="none"/>
              </w:rPr>
            </w:pPr>
            <w:bookmarkStart w:id="163" w:name="_Toc2784"/>
            <w:r>
              <w:rPr>
                <w:rStyle w:val="122"/>
                <w:rFonts w:hint="eastAsia" w:asciiTheme="minorEastAsia" w:hAnsiTheme="minorEastAsia" w:eastAsiaTheme="minorEastAsia" w:cstheme="minorEastAsia"/>
                <w:color w:val="auto"/>
                <w:szCs w:val="21"/>
                <w:highlight w:val="none"/>
              </w:rPr>
              <w:t>资格审查</w:t>
            </w:r>
            <w:bookmarkEnd w:id="163"/>
          </w:p>
          <w:p>
            <w:pPr>
              <w:pStyle w:val="21"/>
              <w:spacing w:line="320" w:lineRule="exact"/>
              <w:jc w:val="center"/>
              <w:outlineLvl w:val="0"/>
              <w:rPr>
                <w:rStyle w:val="122"/>
                <w:rFonts w:hint="eastAsia" w:asciiTheme="minorEastAsia" w:hAnsiTheme="minorEastAsia" w:eastAsiaTheme="minorEastAsia" w:cstheme="minorEastAsia"/>
                <w:color w:val="auto"/>
                <w:szCs w:val="21"/>
                <w:highlight w:val="none"/>
              </w:rPr>
            </w:pPr>
            <w:bookmarkStart w:id="164" w:name="_Toc23375"/>
            <w:r>
              <w:rPr>
                <w:rStyle w:val="122"/>
                <w:rFonts w:hint="eastAsia" w:asciiTheme="minorEastAsia" w:hAnsiTheme="minorEastAsia" w:eastAsiaTheme="minorEastAsia" w:cstheme="minorEastAsia"/>
                <w:color w:val="auto"/>
                <w:szCs w:val="21"/>
                <w:highlight w:val="none"/>
              </w:rPr>
              <w:t>部分</w:t>
            </w:r>
            <w:bookmarkEnd w:id="164"/>
            <w:r>
              <w:rPr>
                <w:rStyle w:val="122"/>
                <w:rFonts w:hint="eastAsia" w:asciiTheme="minorEastAsia" w:hAnsiTheme="minorEastAsia" w:eastAsiaTheme="minorEastAsia" w:cstheme="minorEastAsia"/>
                <w:color w:val="auto"/>
                <w:szCs w:val="21"/>
                <w:highlight w:val="none"/>
              </w:rPr>
              <w:t>（</w:t>
            </w:r>
            <w:r>
              <w:rPr>
                <w:rStyle w:val="122"/>
                <w:rFonts w:hint="eastAsia" w:asciiTheme="minorEastAsia" w:hAnsiTheme="minorEastAsia" w:eastAsiaTheme="minorEastAsia" w:cstheme="minorEastAsia"/>
                <w:color w:val="auto"/>
                <w:szCs w:val="21"/>
                <w:highlight w:val="none"/>
                <w:lang w:val="en-US" w:eastAsia="zh-CN"/>
              </w:rPr>
              <w:t>合格制</w:t>
            </w:r>
            <w:r>
              <w:rPr>
                <w:rStyle w:val="122"/>
                <w:rFonts w:hint="eastAsia" w:asciiTheme="minorEastAsia" w:hAnsiTheme="minorEastAsia" w:eastAsiaTheme="minorEastAsia" w:cstheme="minorEastAsia"/>
                <w:color w:val="auto"/>
                <w:szCs w:val="21"/>
                <w:highlight w:val="none"/>
              </w:rPr>
              <w:t>）</w:t>
            </w:r>
          </w:p>
        </w:tc>
        <w:tc>
          <w:tcPr>
            <w:tcW w:w="4393"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rPr>
            </w:pPr>
            <w:bookmarkStart w:id="165" w:name="_Toc32311"/>
            <w:r>
              <w:rPr>
                <w:rFonts w:hint="eastAsia" w:asciiTheme="minorEastAsia" w:hAnsiTheme="minorEastAsia" w:eastAsiaTheme="minorEastAsia" w:cstheme="minorEastAsia"/>
                <w:color w:val="auto"/>
                <w:szCs w:val="21"/>
                <w:highlight w:val="none"/>
              </w:rPr>
              <w:t>（1）</w:t>
            </w:r>
            <w:bookmarkEnd w:id="165"/>
            <w:r>
              <w:rPr>
                <w:rFonts w:hint="eastAsia" w:asciiTheme="minorEastAsia" w:hAnsiTheme="minorEastAsia" w:eastAsiaTheme="minorEastAsia" w:cstheme="minorEastAsia"/>
                <w:color w:val="auto"/>
                <w:szCs w:val="21"/>
                <w:highlight w:val="none"/>
                <w:lang w:eastAsia="zh-CN"/>
              </w:rPr>
              <w:t>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b/>
                <w:bCs/>
                <w:color w:val="auto"/>
                <w:szCs w:val="21"/>
                <w:highlight w:val="none"/>
                <w:lang w:eastAsia="zh-CN"/>
              </w:rPr>
              <w:t>必须提供，否则作无效投标处理）</w:t>
            </w:r>
          </w:p>
        </w:tc>
        <w:tc>
          <w:tcPr>
            <w:tcW w:w="3937" w:type="dxa"/>
            <w:vMerge w:val="restart"/>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rPr>
            </w:pPr>
            <w:bookmarkStart w:id="166" w:name="_Toc12719"/>
            <w:r>
              <w:rPr>
                <w:rFonts w:hint="eastAsia" w:asciiTheme="minorEastAsia" w:hAnsiTheme="minorEastAsia" w:eastAsiaTheme="minorEastAsia" w:cstheme="minorEastAsia"/>
                <w:bCs/>
                <w:color w:val="auto"/>
                <w:szCs w:val="21"/>
                <w:highlight w:val="none"/>
              </w:rPr>
              <w:t>按招标文件要求编制左侧的内容，缺少任何一项或有任何一项不合格者，其资格审查视为不合格。</w:t>
            </w:r>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Fonts w:hint="eastAsia" w:asciiTheme="minorEastAsia" w:hAnsiTheme="minorEastAsia" w:eastAsiaTheme="minorEastAsia" w:cstheme="minorEastAsia"/>
                <w:color w:val="auto"/>
                <w:szCs w:val="21"/>
                <w:highlight w:val="none"/>
              </w:rPr>
            </w:pPr>
            <w:bookmarkStart w:id="167" w:name="_Toc29695"/>
            <w:r>
              <w:rPr>
                <w:rFonts w:hint="eastAsia" w:asciiTheme="minorEastAsia" w:hAnsiTheme="minorEastAsia" w:eastAsiaTheme="minorEastAsia" w:cstheme="minorEastAsia"/>
                <w:color w:val="auto"/>
                <w:szCs w:val="21"/>
                <w:highlight w:val="none"/>
              </w:rPr>
              <w:t>（2）</w:t>
            </w:r>
            <w:bookmarkEnd w:id="167"/>
            <w:r>
              <w:rPr>
                <w:rFonts w:hint="eastAsia" w:asciiTheme="minorEastAsia" w:hAnsiTheme="minorEastAsia" w:eastAsiaTheme="minorEastAsia" w:cstheme="minorEastAsia"/>
                <w:color w:val="auto"/>
                <w:szCs w:val="21"/>
                <w:highlight w:val="none"/>
                <w:lang w:val="en-US" w:eastAsia="zh-CN"/>
              </w:rPr>
              <w:t>提供开户许可证或财务制度或 2023年度财务审计报告或2024年度财务审计报告；</w:t>
            </w:r>
            <w:r>
              <w:rPr>
                <w:rFonts w:hint="eastAsia" w:asciiTheme="minorEastAsia" w:hAnsiTheme="minorEastAsia" w:eastAsiaTheme="minorEastAsia" w:cstheme="minorEastAsia"/>
                <w:b/>
                <w:bCs/>
                <w:color w:val="auto"/>
                <w:szCs w:val="21"/>
                <w:highlight w:val="none"/>
                <w:lang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Fonts w:hint="eastAsia" w:asciiTheme="minorEastAsia" w:hAnsiTheme="minorEastAsia" w:eastAsiaTheme="minorEastAsia" w:cstheme="minorEastAsia"/>
                <w:color w:val="auto"/>
                <w:szCs w:val="21"/>
                <w:highlight w:val="none"/>
              </w:rPr>
            </w:pPr>
            <w:bookmarkStart w:id="168" w:name="_Toc17693"/>
            <w:r>
              <w:rPr>
                <w:rFonts w:hint="eastAsia" w:asciiTheme="minorEastAsia" w:hAnsiTheme="minorEastAsia" w:eastAsiaTheme="minorEastAsia" w:cstheme="minorEastAsia"/>
                <w:color w:val="auto"/>
                <w:szCs w:val="21"/>
                <w:highlight w:val="none"/>
              </w:rPr>
              <w:t>（3）</w:t>
            </w:r>
            <w:bookmarkEnd w:id="168"/>
            <w:r>
              <w:rPr>
                <w:rFonts w:hint="eastAsia" w:asciiTheme="minorEastAsia" w:hAnsiTheme="minorEastAsia" w:eastAsiaTheme="minorEastAsia" w:cstheme="minorEastAsia"/>
                <w:color w:val="auto"/>
                <w:sz w:val="21"/>
                <w:szCs w:val="21"/>
                <w:highlight w:val="none"/>
                <w:lang w:val="en-US" w:eastAsia="zh-CN"/>
              </w:rPr>
              <w:t>提供具备履行合同所必需的设备和专业技术能力的证明材料或书面承诺函（投标资格声明函（格式后附））；</w:t>
            </w:r>
            <w:r>
              <w:rPr>
                <w:rFonts w:hint="eastAsia" w:asciiTheme="minorEastAsia" w:hAnsiTheme="minorEastAsia" w:eastAsiaTheme="minorEastAsia" w:cstheme="minorEastAsia"/>
                <w:b/>
                <w:bCs/>
                <w:color w:val="auto"/>
                <w:sz w:val="21"/>
                <w:szCs w:val="21"/>
                <w:highlight w:val="none"/>
                <w:lang w:eastAsia="zh-CN"/>
              </w:rPr>
              <w:t xml:space="preserve">（必须提供，否则作无效投标处理） </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adjustRightInd w:val="0"/>
              <w:snapToGrid w:val="0"/>
              <w:spacing w:line="360" w:lineRule="exact"/>
              <w:rPr>
                <w:rFonts w:hint="eastAsia" w:asciiTheme="minorEastAsia" w:hAnsiTheme="minorEastAsia" w:eastAsiaTheme="minorEastAsia" w:cstheme="minorEastAsia"/>
                <w:color w:val="auto"/>
                <w:szCs w:val="21"/>
                <w:highlight w:val="none"/>
              </w:rPr>
            </w:pPr>
            <w:bookmarkStart w:id="169" w:name="_Toc16134"/>
            <w:r>
              <w:rPr>
                <w:rFonts w:hint="eastAsia" w:asciiTheme="minorEastAsia" w:hAnsiTheme="minorEastAsia" w:eastAsiaTheme="minorEastAsia" w:cstheme="minorEastAsia"/>
                <w:color w:val="auto"/>
                <w:kern w:val="2"/>
                <w:sz w:val="21"/>
                <w:szCs w:val="21"/>
                <w:highlight w:val="none"/>
                <w:lang w:val="en-US" w:eastAsia="zh-CN" w:bidi="ar-SA"/>
              </w:rPr>
              <w:t>（4）</w:t>
            </w:r>
            <w:bookmarkEnd w:id="169"/>
            <w:r>
              <w:rPr>
                <w:rFonts w:hint="eastAsia" w:asciiTheme="minorEastAsia" w:hAnsiTheme="minorEastAsia" w:eastAsiaTheme="minorEastAsia" w:cstheme="minorEastAsia"/>
                <w:color w:val="auto"/>
                <w:sz w:val="21"/>
                <w:szCs w:val="21"/>
                <w:highlight w:val="none"/>
                <w:lang w:val="en-US" w:eastAsia="zh-CN"/>
              </w:rPr>
              <w:t>提供 2025 年3月至开标截止时间任意 1 个月依法缴纳税收和社会保障资金的缴纳凭证</w:t>
            </w:r>
            <w:r>
              <w:rPr>
                <w:rFonts w:hint="eastAsia" w:asciiTheme="minorEastAsia" w:hAnsiTheme="minorEastAsia" w:eastAsiaTheme="minorEastAsia" w:cstheme="minorEastAsia"/>
                <w:color w:val="auto"/>
                <w:sz w:val="21"/>
                <w:szCs w:val="21"/>
                <w:highlight w:val="none"/>
                <w:lang w:eastAsia="zh-CN"/>
              </w:rPr>
              <w:t>（专用收据或者社会保险缴纳清单）复印件并加盖公章；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adjustRightInd w:val="0"/>
              <w:snapToGrid w:val="0"/>
              <w:spacing w:line="360" w:lineRule="exact"/>
              <w:jc w:val="left"/>
              <w:rPr>
                <w:rFonts w:hint="eastAsia" w:asciiTheme="minorEastAsia" w:hAnsiTheme="minorEastAsia" w:eastAsiaTheme="minorEastAsia" w:cstheme="minorEastAsia"/>
                <w:color w:val="auto"/>
                <w:szCs w:val="21"/>
                <w:highlight w:val="none"/>
              </w:rPr>
            </w:pPr>
            <w:bookmarkStart w:id="170" w:name="_Toc10542"/>
            <w:r>
              <w:rPr>
                <w:rFonts w:hint="eastAsia" w:asciiTheme="minorEastAsia" w:hAnsiTheme="minorEastAsia" w:eastAsiaTheme="minorEastAsia" w:cstheme="minorEastAsia"/>
                <w:color w:val="auto"/>
                <w:kern w:val="2"/>
                <w:sz w:val="21"/>
                <w:szCs w:val="21"/>
                <w:highlight w:val="none"/>
                <w:lang w:val="en-US" w:eastAsia="zh-CN" w:bidi="ar-SA"/>
              </w:rPr>
              <w:t>（5）</w:t>
            </w:r>
            <w:bookmarkEnd w:id="170"/>
            <w:r>
              <w:rPr>
                <w:rFonts w:hint="eastAsia" w:asciiTheme="minorEastAsia" w:hAnsiTheme="minorEastAsia" w:eastAsiaTheme="minorEastAsia" w:cstheme="minorEastAsia"/>
                <w:color w:val="auto"/>
                <w:sz w:val="21"/>
                <w:szCs w:val="21"/>
                <w:highlight w:val="none"/>
                <w:lang w:val="en-US" w:eastAsia="zh-CN"/>
              </w:rPr>
              <w:t>在“信用中国”网站（www.creditchina.gov.cn）、“中国政府采购网”（www.ccgp.gov.cn）等渠道查询失信被执行人名单、重大税收违法失信主体、政府采购严重违法失信行为记录等查询结果截图并加盖公章；</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adjustRightInd w:val="0"/>
              <w:snapToGrid w:val="0"/>
              <w:spacing w:line="360" w:lineRule="exact"/>
              <w:jc w:val="left"/>
              <w:rPr>
                <w:rFonts w:hint="eastAsia" w:asciiTheme="minorEastAsia" w:hAnsiTheme="minorEastAsia" w:eastAsiaTheme="minorEastAsia" w:cstheme="minorEastAsia"/>
                <w:color w:val="auto"/>
                <w:szCs w:val="21"/>
                <w:highlight w:val="none"/>
              </w:rPr>
            </w:pPr>
            <w:bookmarkStart w:id="171" w:name="_Toc17405"/>
            <w:r>
              <w:rPr>
                <w:rFonts w:hint="eastAsia" w:asciiTheme="minorEastAsia" w:hAnsiTheme="minorEastAsia" w:eastAsiaTheme="minorEastAsia" w:cstheme="minorEastAsia"/>
                <w:color w:val="auto"/>
                <w:szCs w:val="21"/>
                <w:highlight w:val="none"/>
              </w:rPr>
              <w:t>（6）</w:t>
            </w:r>
            <w:bookmarkEnd w:id="171"/>
            <w:r>
              <w:rPr>
                <w:rFonts w:hint="eastAsia" w:asciiTheme="minorEastAsia" w:hAnsiTheme="minorEastAsia" w:eastAsiaTheme="minorEastAsia" w:cstheme="minorEastAsia"/>
                <w:color w:val="auto"/>
                <w:sz w:val="21"/>
                <w:szCs w:val="21"/>
                <w:highlight w:val="none"/>
                <w:lang w:val="en-US" w:eastAsia="zh-CN"/>
              </w:rPr>
              <w:t>提供</w:t>
            </w:r>
            <w:r>
              <w:rPr>
                <w:rFonts w:hint="default" w:asciiTheme="minorEastAsia" w:hAnsiTheme="minorEastAsia" w:eastAsiaTheme="minorEastAsia" w:cstheme="minorEastAsia"/>
                <w:color w:val="auto"/>
                <w:sz w:val="21"/>
                <w:szCs w:val="21"/>
                <w:highlight w:val="none"/>
                <w:lang w:val="en-US" w:eastAsia="zh-CN"/>
              </w:rPr>
              <w:t>投标声明函（格式后附）；</w:t>
            </w:r>
            <w:r>
              <w:rPr>
                <w:rFonts w:hint="default" w:asciiTheme="minorEastAsia" w:hAnsiTheme="minorEastAsia" w:eastAsiaTheme="minorEastAsia" w:cstheme="minorEastAsia"/>
                <w:b/>
                <w:bCs/>
                <w:color w:val="auto"/>
                <w:sz w:val="21"/>
                <w:szCs w:val="21"/>
                <w:highlight w:val="none"/>
                <w:lang w:val="en-US"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Fonts w:hint="eastAsia" w:asciiTheme="minorEastAsia" w:hAnsiTheme="minorEastAsia" w:eastAsiaTheme="minorEastAsia" w:cstheme="minorEastAsia"/>
                <w:color w:val="auto"/>
                <w:szCs w:val="21"/>
                <w:highlight w:val="none"/>
              </w:rPr>
            </w:pPr>
            <w:bookmarkStart w:id="172" w:name="_Toc14983"/>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shd w:val="clear"/>
                <w:lang w:val="en-US" w:eastAsia="zh-CN"/>
              </w:rPr>
              <w:t>7</w:t>
            </w:r>
            <w:r>
              <w:rPr>
                <w:rFonts w:hint="eastAsia" w:asciiTheme="minorEastAsia" w:hAnsiTheme="minorEastAsia" w:eastAsiaTheme="minorEastAsia" w:cstheme="minorEastAsia"/>
                <w:color w:val="auto"/>
                <w:szCs w:val="21"/>
                <w:highlight w:val="none"/>
                <w:shd w:val="clear"/>
              </w:rPr>
              <w:t>）</w:t>
            </w:r>
            <w:bookmarkEnd w:id="172"/>
            <w:r>
              <w:rPr>
                <w:rFonts w:hint="eastAsia" w:asciiTheme="minorEastAsia" w:hAnsiTheme="minorEastAsia" w:eastAsiaTheme="minorEastAsia" w:cstheme="minorEastAsia"/>
                <w:color w:val="auto"/>
                <w:sz w:val="21"/>
                <w:szCs w:val="21"/>
                <w:highlight w:val="none"/>
                <w:shd w:val="clear"/>
                <w:lang w:val="en-US" w:eastAsia="zh-CN"/>
              </w:rPr>
              <w:t>提供中小企业声明函；</w:t>
            </w:r>
            <w:r>
              <w:rPr>
                <w:rFonts w:hint="default" w:asciiTheme="minorEastAsia" w:hAnsiTheme="minorEastAsia" w:eastAsiaTheme="minorEastAsia" w:cstheme="minorEastAsia"/>
                <w:color w:val="auto"/>
                <w:sz w:val="21"/>
                <w:szCs w:val="21"/>
                <w:highlight w:val="none"/>
                <w:shd w:val="clear"/>
                <w:lang w:val="en-US" w:eastAsia="zh-CN"/>
              </w:rPr>
              <w:t>（格式后附）</w:t>
            </w:r>
            <w:r>
              <w:rPr>
                <w:rFonts w:hint="default" w:asciiTheme="minorEastAsia" w:hAnsiTheme="minorEastAsia" w:eastAsiaTheme="minorEastAsia" w:cstheme="minorEastAsia"/>
                <w:b/>
                <w:bCs/>
                <w:color w:val="auto"/>
                <w:sz w:val="21"/>
                <w:szCs w:val="21"/>
                <w:highlight w:val="none"/>
                <w:shd w:val="clear"/>
                <w:lang w:val="en-US" w:eastAsia="zh-CN"/>
              </w:rPr>
              <w:t>（</w:t>
            </w:r>
            <w:r>
              <w:rPr>
                <w:rFonts w:hint="default" w:asciiTheme="minorEastAsia" w:hAnsiTheme="minorEastAsia" w:eastAsiaTheme="minorEastAsia" w:cstheme="minorEastAsia"/>
                <w:b/>
                <w:bCs/>
                <w:color w:val="auto"/>
                <w:sz w:val="21"/>
                <w:szCs w:val="21"/>
                <w:highlight w:val="none"/>
                <w:lang w:val="en-US" w:eastAsia="zh-CN"/>
              </w:rPr>
              <w:t>必须提供，否则作无效投标处理</w:t>
            </w:r>
            <w:r>
              <w:rPr>
                <w:rFonts w:hint="default" w:asciiTheme="minorEastAsia" w:hAnsiTheme="minorEastAsia" w:eastAsiaTheme="minorEastAsia" w:cstheme="minorEastAsia"/>
                <w:b/>
                <w:bCs/>
                <w:color w:val="auto"/>
                <w:sz w:val="21"/>
                <w:szCs w:val="21"/>
                <w:highlight w:val="none"/>
                <w:shd w:val="clear"/>
                <w:lang w:val="en-US" w:eastAsia="zh-CN"/>
              </w:rPr>
              <w:t>）</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）投标人股东及出资信息表、管理关系信息表（格式后附）；</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wordWrap w:val="0"/>
              <w:overflowPunct w:val="0"/>
              <w:topLinePunct/>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）投标保证金缴纳证明材料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tc>
        <w:tc>
          <w:tcPr>
            <w:tcW w:w="3937"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restart"/>
            <w:vAlign w:val="center"/>
          </w:tcPr>
          <w:p>
            <w:pPr>
              <w:pStyle w:val="21"/>
              <w:spacing w:line="320" w:lineRule="exact"/>
              <w:jc w:val="center"/>
              <w:outlineLvl w:val="0"/>
              <w:rPr>
                <w:rStyle w:val="122"/>
                <w:rFonts w:hint="eastAsia" w:asciiTheme="minorEastAsia" w:hAnsiTheme="minorEastAsia" w:eastAsiaTheme="minorEastAsia" w:cstheme="minorEastAsia"/>
                <w:b w:val="0"/>
                <w:color w:val="auto"/>
                <w:szCs w:val="21"/>
                <w:highlight w:val="none"/>
              </w:rPr>
            </w:pPr>
            <w:bookmarkStart w:id="173" w:name="_Toc7691"/>
            <w:r>
              <w:rPr>
                <w:rStyle w:val="122"/>
                <w:rFonts w:hint="eastAsia" w:asciiTheme="minorEastAsia" w:hAnsiTheme="minorEastAsia" w:eastAsiaTheme="minorEastAsia" w:cstheme="minorEastAsia"/>
                <w:bCs/>
                <w:color w:val="auto"/>
                <w:szCs w:val="21"/>
                <w:highlight w:val="none"/>
              </w:rPr>
              <w:t>符合性审查部分</w:t>
            </w:r>
            <w:bookmarkEnd w:id="173"/>
          </w:p>
        </w:tc>
        <w:tc>
          <w:tcPr>
            <w:tcW w:w="4393"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rPr>
            </w:pPr>
            <w:bookmarkStart w:id="174" w:name="_Toc12075"/>
            <w:r>
              <w:rPr>
                <w:rStyle w:val="122"/>
                <w:rFonts w:hint="eastAsia" w:asciiTheme="minorEastAsia" w:hAnsiTheme="minorEastAsia" w:eastAsiaTheme="minorEastAsia" w:cstheme="minorEastAsia"/>
                <w:b w:val="0"/>
                <w:color w:val="auto"/>
                <w:szCs w:val="21"/>
                <w:highlight w:val="none"/>
              </w:rPr>
              <w:t>投标报价</w:t>
            </w:r>
            <w:bookmarkEnd w:id="174"/>
          </w:p>
        </w:tc>
        <w:tc>
          <w:tcPr>
            <w:tcW w:w="3937"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lang w:val="en-US"/>
              </w:rPr>
            </w:pPr>
            <w:bookmarkStart w:id="175" w:name="_Toc26231"/>
            <w:r>
              <w:rPr>
                <w:rStyle w:val="122"/>
                <w:rFonts w:hint="eastAsia" w:asciiTheme="minorEastAsia" w:hAnsiTheme="minorEastAsia" w:eastAsiaTheme="minorEastAsia" w:cstheme="minorEastAsia"/>
                <w:b w:val="0"/>
                <w:color w:val="auto"/>
                <w:szCs w:val="21"/>
                <w:highlight w:val="none"/>
                <w:lang w:val="en-US"/>
              </w:rPr>
              <w:t>符合招标文件中规定的实质性要求，</w:t>
            </w:r>
            <w:r>
              <w:rPr>
                <w:rStyle w:val="122"/>
                <w:rFonts w:hint="eastAsia" w:asciiTheme="minorEastAsia" w:hAnsiTheme="minorEastAsia" w:eastAsiaTheme="minorEastAsia" w:cstheme="minorEastAsia"/>
                <w:b w:val="0"/>
                <w:color w:val="auto"/>
                <w:szCs w:val="21"/>
                <w:highlight w:val="none"/>
                <w:lang w:val="en-US" w:eastAsia="zh-CN"/>
              </w:rPr>
              <w:t>且无</w:t>
            </w:r>
            <w:r>
              <w:rPr>
                <w:rStyle w:val="122"/>
                <w:rFonts w:hint="eastAsia" w:asciiTheme="minorEastAsia" w:hAnsiTheme="minorEastAsia" w:eastAsiaTheme="minorEastAsia" w:cstheme="minorEastAsia"/>
                <w:b w:val="0"/>
                <w:color w:val="auto"/>
                <w:szCs w:val="21"/>
                <w:highlight w:val="none"/>
                <w:lang w:val="en-US"/>
              </w:rPr>
              <w:t>第二章投标人须知13.4项规定导致投标无效的情形。</w:t>
            </w:r>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rPr>
            </w:pPr>
            <w:bookmarkStart w:id="176" w:name="_Toc26493"/>
            <w:r>
              <w:rPr>
                <w:rStyle w:val="122"/>
                <w:rFonts w:hint="eastAsia" w:asciiTheme="minorEastAsia" w:hAnsiTheme="minorEastAsia" w:eastAsiaTheme="minorEastAsia" w:cstheme="minorEastAsia"/>
                <w:b w:val="0"/>
                <w:color w:val="auto"/>
                <w:szCs w:val="21"/>
                <w:highlight w:val="none"/>
              </w:rPr>
              <w:t>商务</w:t>
            </w:r>
            <w:bookmarkEnd w:id="176"/>
          </w:p>
        </w:tc>
        <w:tc>
          <w:tcPr>
            <w:tcW w:w="3937"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lang w:val="en-US"/>
              </w:rPr>
            </w:pPr>
            <w:bookmarkStart w:id="177" w:name="_Toc31456"/>
            <w:r>
              <w:rPr>
                <w:rStyle w:val="122"/>
                <w:rFonts w:hint="eastAsia" w:asciiTheme="minorEastAsia" w:hAnsiTheme="minorEastAsia" w:eastAsiaTheme="minorEastAsia" w:cstheme="minorEastAsia"/>
                <w:b w:val="0"/>
                <w:color w:val="auto"/>
                <w:szCs w:val="21"/>
                <w:highlight w:val="none"/>
                <w:lang w:val="en-US"/>
              </w:rPr>
              <w:t>符合招标文件中规定的实质性要求，</w:t>
            </w:r>
            <w:r>
              <w:rPr>
                <w:rStyle w:val="122"/>
                <w:rFonts w:hint="eastAsia" w:asciiTheme="minorEastAsia" w:hAnsiTheme="minorEastAsia" w:eastAsiaTheme="minorEastAsia" w:cstheme="minorEastAsia"/>
                <w:b w:val="0"/>
                <w:color w:val="auto"/>
                <w:szCs w:val="21"/>
                <w:highlight w:val="none"/>
                <w:lang w:val="en-US" w:eastAsia="zh-CN"/>
              </w:rPr>
              <w:t>且无</w:t>
            </w:r>
            <w:r>
              <w:rPr>
                <w:rStyle w:val="122"/>
                <w:rFonts w:hint="eastAsia" w:asciiTheme="minorEastAsia" w:hAnsiTheme="minorEastAsia" w:eastAsiaTheme="minorEastAsia" w:cstheme="minorEastAsia"/>
                <w:b w:val="0"/>
                <w:color w:val="auto"/>
                <w:szCs w:val="21"/>
                <w:highlight w:val="none"/>
                <w:lang w:val="en-US"/>
              </w:rPr>
              <w:t>第二章投标人须知13.2项规定导致投标无效的情形。</w:t>
            </w:r>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continue"/>
            <w:vAlign w:val="center"/>
          </w:tcPr>
          <w:p>
            <w:pPr>
              <w:pStyle w:val="21"/>
              <w:spacing w:line="320" w:lineRule="exact"/>
              <w:outlineLvl w:val="9"/>
              <w:rPr>
                <w:rStyle w:val="122"/>
                <w:rFonts w:hint="eastAsia" w:asciiTheme="minorEastAsia" w:hAnsiTheme="minorEastAsia" w:eastAsiaTheme="minorEastAsia" w:cstheme="minorEastAsia"/>
                <w:b w:val="0"/>
                <w:color w:val="auto"/>
                <w:szCs w:val="21"/>
                <w:highlight w:val="none"/>
              </w:rPr>
            </w:pPr>
          </w:p>
        </w:tc>
        <w:tc>
          <w:tcPr>
            <w:tcW w:w="4393"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rPr>
            </w:pPr>
            <w:bookmarkStart w:id="178" w:name="_Toc7112"/>
            <w:r>
              <w:rPr>
                <w:rStyle w:val="122"/>
                <w:rFonts w:hint="eastAsia" w:asciiTheme="minorEastAsia" w:hAnsiTheme="minorEastAsia" w:eastAsiaTheme="minorEastAsia" w:cstheme="minorEastAsia"/>
                <w:b w:val="0"/>
                <w:color w:val="auto"/>
                <w:szCs w:val="21"/>
                <w:highlight w:val="none"/>
              </w:rPr>
              <w:t>技术</w:t>
            </w:r>
            <w:bookmarkEnd w:id="178"/>
          </w:p>
        </w:tc>
        <w:tc>
          <w:tcPr>
            <w:tcW w:w="3937" w:type="dxa"/>
            <w:vAlign w:val="center"/>
          </w:tcPr>
          <w:p>
            <w:pPr>
              <w:pStyle w:val="21"/>
              <w:spacing w:line="320" w:lineRule="exact"/>
              <w:outlineLvl w:val="0"/>
              <w:rPr>
                <w:rStyle w:val="122"/>
                <w:rFonts w:hint="eastAsia" w:asciiTheme="minorEastAsia" w:hAnsiTheme="minorEastAsia" w:eastAsiaTheme="minorEastAsia" w:cstheme="minorEastAsia"/>
                <w:b w:val="0"/>
                <w:color w:val="auto"/>
                <w:szCs w:val="21"/>
                <w:highlight w:val="none"/>
                <w:lang w:val="en-US"/>
              </w:rPr>
            </w:pPr>
            <w:bookmarkStart w:id="179" w:name="_Toc3210"/>
            <w:r>
              <w:rPr>
                <w:rStyle w:val="122"/>
                <w:rFonts w:hint="eastAsia" w:asciiTheme="minorEastAsia" w:hAnsiTheme="minorEastAsia" w:eastAsiaTheme="minorEastAsia" w:cstheme="minorEastAsia"/>
                <w:b w:val="0"/>
                <w:color w:val="auto"/>
                <w:szCs w:val="21"/>
                <w:highlight w:val="none"/>
                <w:lang w:val="en-US"/>
              </w:rPr>
              <w:t>符合招标文件中规定的实质性要求，</w:t>
            </w:r>
            <w:r>
              <w:rPr>
                <w:rStyle w:val="122"/>
                <w:rFonts w:hint="eastAsia" w:asciiTheme="minorEastAsia" w:hAnsiTheme="minorEastAsia" w:eastAsiaTheme="minorEastAsia" w:cstheme="minorEastAsia"/>
                <w:b w:val="0"/>
                <w:color w:val="auto"/>
                <w:szCs w:val="21"/>
                <w:highlight w:val="none"/>
                <w:lang w:val="en-US" w:eastAsia="zh-CN"/>
              </w:rPr>
              <w:t>且无</w:t>
            </w:r>
            <w:r>
              <w:rPr>
                <w:rStyle w:val="122"/>
                <w:rFonts w:hint="eastAsia" w:asciiTheme="minorEastAsia" w:hAnsiTheme="minorEastAsia" w:eastAsiaTheme="minorEastAsia" w:cstheme="minorEastAsia"/>
                <w:b w:val="0"/>
                <w:color w:val="auto"/>
                <w:szCs w:val="21"/>
                <w:highlight w:val="none"/>
                <w:lang w:val="en-US"/>
              </w:rPr>
              <w:t>第二章投标人须知13.3项规定导致投标无效的情形。</w:t>
            </w:r>
            <w:bookmarkEnd w:id="179"/>
          </w:p>
        </w:tc>
      </w:tr>
    </w:tbl>
    <w:p>
      <w:pPr>
        <w:spacing w:line="440" w:lineRule="exact"/>
        <w:rPr>
          <w:rFonts w:hint="eastAsia" w:asciiTheme="minorEastAsia" w:hAnsiTheme="minorEastAsia" w:eastAsiaTheme="minorEastAsia" w:cstheme="minorEastAsia"/>
          <w:b/>
          <w:bCs/>
          <w:color w:val="auto"/>
          <w:szCs w:val="21"/>
          <w:highlight w:val="none"/>
          <w:lang w:eastAsia="zh-CN"/>
        </w:rPr>
      </w:pPr>
    </w:p>
    <w:p>
      <w:pPr>
        <w:spacing w:line="44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三、评标办法</w:t>
      </w:r>
    </w:p>
    <w:p>
      <w:pPr>
        <w:spacing w:line="44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（一）对进入详评的，采用综合评分法。</w:t>
      </w:r>
    </w:p>
    <w:p>
      <w:pPr>
        <w:spacing w:line="44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（二）计分办法（按四舍五入取至小数点后二位）</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91"/>
        <w:gridCol w:w="612"/>
        <w:gridCol w:w="2671"/>
        <w:gridCol w:w="381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303" w:type="dxa"/>
            <w:gridSpan w:val="2"/>
            <w:tcBorders>
              <w:top w:val="single" w:color="auto" w:sz="4" w:space="0"/>
              <w:left w:val="single" w:color="auto" w:sz="4" w:space="0"/>
              <w:bottom w:val="single" w:color="auto" w:sz="4" w:space="0"/>
              <w:right w:val="single" w:color="auto" w:sz="4" w:space="0"/>
            </w:tcBorders>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评分类型</w:t>
            </w:r>
          </w:p>
        </w:tc>
        <w:tc>
          <w:tcPr>
            <w:tcW w:w="6488" w:type="dxa"/>
            <w:gridSpan w:val="2"/>
            <w:tcBorders>
              <w:top w:val="single" w:color="auto" w:sz="4" w:space="0"/>
              <w:left w:val="single" w:color="auto" w:sz="4" w:space="0"/>
              <w:bottom w:val="single" w:color="auto" w:sz="4" w:space="0"/>
              <w:right w:val="single" w:color="auto" w:sz="4" w:space="0"/>
            </w:tcBorders>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评分标准</w:t>
            </w:r>
          </w:p>
        </w:tc>
        <w:tc>
          <w:tcPr>
            <w:tcW w:w="1350" w:type="dxa"/>
            <w:tcBorders>
              <w:top w:val="single" w:color="auto" w:sz="4" w:space="0"/>
              <w:left w:val="single" w:color="auto" w:sz="4" w:space="0"/>
              <w:bottom w:val="single" w:color="auto" w:sz="4" w:space="0"/>
              <w:right w:val="single" w:color="auto" w:sz="4" w:space="0"/>
            </w:tcBorders>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vAlign w:val="center"/>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1303" w:type="dxa"/>
            <w:gridSpan w:val="2"/>
            <w:tcBorders>
              <w:top w:val="single" w:color="auto" w:sz="4" w:space="0"/>
              <w:left w:val="single" w:color="auto" w:sz="4" w:space="0"/>
              <w:bottom w:val="single" w:color="auto" w:sz="4" w:space="0"/>
              <w:right w:val="single" w:color="auto" w:sz="4" w:space="0"/>
            </w:tcBorders>
            <w:vAlign w:val="center"/>
          </w:tcPr>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报价分</w:t>
            </w:r>
          </w:p>
          <w:p>
            <w:pPr>
              <w:pStyle w:val="21"/>
              <w:autoSpaceDE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满分</w:t>
            </w:r>
            <w:r>
              <w:rPr>
                <w:rFonts w:hint="eastAsia" w:asciiTheme="minorEastAsia" w:hAnsiTheme="minorEastAsia" w:eastAsiaTheme="minorEastAsia" w:cstheme="minorEastAsia"/>
                <w:b/>
                <w:color w:val="auto"/>
                <w:szCs w:val="21"/>
                <w:highlight w:val="none"/>
              </w:rPr>
              <w:t>30分）</w:t>
            </w:r>
          </w:p>
        </w:tc>
        <w:tc>
          <w:tcPr>
            <w:tcW w:w="6488" w:type="dxa"/>
            <w:gridSpan w:val="2"/>
            <w:tcBorders>
              <w:top w:val="single" w:color="auto" w:sz="4" w:space="0"/>
              <w:left w:val="single" w:color="auto" w:sz="4" w:space="0"/>
              <w:bottom w:val="single" w:color="auto" w:sz="4" w:space="0"/>
              <w:right w:val="single" w:color="auto" w:sz="4" w:space="0"/>
            </w:tcBorders>
          </w:tcPr>
          <w:p>
            <w:pPr>
              <w:autoSpaceDE w:val="0"/>
              <w:snapToGrid w:val="0"/>
              <w:spacing w:line="288" w:lineRule="auto"/>
              <w:ind w:firstLine="233" w:firstLineChars="11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（1）本项目执行专门面向中小企业政策，不再执行价格扣除政策。</w:t>
            </w:r>
          </w:p>
          <w:p>
            <w:pPr>
              <w:autoSpaceDE w:val="0"/>
              <w:snapToGrid w:val="0"/>
              <w:spacing w:line="288" w:lineRule="auto"/>
              <w:ind w:firstLine="233" w:firstLineChars="11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lang w:eastAsia="zh-CN"/>
              </w:rPr>
              <w:t>）满足招标文件要求且评标报价最低的评标报价为评标基准价，其价格分为满分。</w:t>
            </w:r>
          </w:p>
          <w:p>
            <w:pPr>
              <w:autoSpaceDE w:val="0"/>
              <w:spacing w:line="288" w:lineRule="auto"/>
              <w:ind w:firstLine="233" w:firstLineChars="11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lang w:eastAsia="zh-CN"/>
              </w:rPr>
              <w:t xml:space="preserve">）价格分计算公式：        </w:t>
            </w:r>
          </w:p>
          <w:p>
            <w:pPr>
              <w:autoSpaceDE w:val="0"/>
              <w:spacing w:before="100" w:beforeAutospacing="1" w:line="288" w:lineRule="auto"/>
              <w:ind w:firstLine="233" w:firstLineChars="11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价格分=(评标基准价／评标报价)×</w:t>
            </w:r>
            <w:r>
              <w:rPr>
                <w:rFonts w:hint="eastAsia" w:asciiTheme="minorEastAsia" w:hAnsiTheme="minorEastAsia" w:eastAsiaTheme="minorEastAsia" w:cstheme="minorEastAsia"/>
                <w:bCs/>
                <w:color w:val="auto"/>
                <w:sz w:val="21"/>
                <w:szCs w:val="21"/>
                <w:highlight w:val="none"/>
                <w:u w:val="single"/>
                <w:lang w:eastAsia="zh-CN"/>
              </w:rPr>
              <w:t xml:space="preserve">  30 </w:t>
            </w:r>
            <w:r>
              <w:rPr>
                <w:rFonts w:hint="eastAsia" w:asciiTheme="minorEastAsia" w:hAnsiTheme="minorEastAsia" w:eastAsiaTheme="minorEastAsia" w:cstheme="minorEastAsia"/>
                <w:bCs/>
                <w:color w:val="auto"/>
                <w:sz w:val="21"/>
                <w:szCs w:val="21"/>
                <w:highlight w:val="none"/>
                <w:lang w:eastAsia="zh-CN"/>
              </w:rPr>
              <w:t>分</w:t>
            </w:r>
          </w:p>
          <w:p>
            <w:pPr>
              <w:pStyle w:val="56"/>
              <w:spacing w:line="288"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相关证明材料包含但不限于：1、本项目成本分析报告（格式自拟）；2、不少于两个投标产品成功销售并验收合格的案例证明【案例证明需同时提供投标产品销售合同复印件、经采购方盖章确认的验收报告以及技术参数及性能配置表（不得低于本次投标响应的技术参数及性能配置），缺一不可】。</w:t>
            </w:r>
          </w:p>
        </w:tc>
        <w:tc>
          <w:tcPr>
            <w:tcW w:w="1350" w:type="dxa"/>
            <w:tcBorders>
              <w:top w:val="single" w:color="auto" w:sz="4" w:space="0"/>
              <w:left w:val="single" w:color="auto" w:sz="4" w:space="0"/>
              <w:bottom w:val="single" w:color="auto" w:sz="4" w:space="0"/>
              <w:right w:val="single" w:color="auto" w:sz="4" w:space="0"/>
            </w:tcBorders>
            <w:vAlign w:val="center"/>
          </w:tcPr>
          <w:p>
            <w:pPr>
              <w:pStyle w:val="21"/>
              <w:autoSpaceDE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87" w:type="dxa"/>
            <w:gridSpan w:val="4"/>
            <w:shd w:val="clear" w:color="auto" w:fill="D7D7D7"/>
            <w:vAlign w:val="center"/>
          </w:tcPr>
          <w:p>
            <w:pPr>
              <w:pStyle w:val="21"/>
              <w:spacing w:line="360" w:lineRule="auto"/>
              <w:rPr>
                <w:rFonts w:hint="eastAsia" w:asciiTheme="minorEastAsia" w:hAnsiTheme="minorEastAsia" w:eastAsiaTheme="minorEastAsia" w:cstheme="minorEastAsia"/>
                <w:b/>
                <w:bCs/>
                <w:color w:val="auto"/>
                <w:szCs w:val="21"/>
                <w:highlight w:val="none"/>
              </w:rPr>
            </w:pPr>
            <w:bookmarkStart w:id="180" w:name="_Toc11086"/>
            <w:bookmarkStart w:id="181" w:name="_Toc18639"/>
            <w:r>
              <w:rPr>
                <w:rFonts w:hint="eastAsia" w:asciiTheme="minorEastAsia" w:hAnsiTheme="minorEastAsia" w:eastAsiaTheme="minorEastAsia" w:cstheme="minorEastAsia"/>
                <w:b/>
                <w:bCs/>
                <w:color w:val="auto"/>
                <w:szCs w:val="21"/>
                <w:highlight w:val="none"/>
              </w:rPr>
              <w:t>评审内容</w:t>
            </w:r>
            <w:bookmarkEnd w:id="180"/>
            <w:bookmarkEnd w:id="181"/>
          </w:p>
        </w:tc>
        <w:tc>
          <w:tcPr>
            <w:tcW w:w="5167" w:type="dxa"/>
            <w:gridSpan w:val="2"/>
            <w:shd w:val="clear" w:color="auto" w:fill="D7D7D7"/>
            <w:vAlign w:val="center"/>
          </w:tcPr>
          <w:p>
            <w:pPr>
              <w:pStyle w:val="21"/>
              <w:spacing w:line="360" w:lineRule="auto"/>
              <w:rPr>
                <w:rFonts w:hint="eastAsia" w:asciiTheme="minorEastAsia" w:hAnsiTheme="minorEastAsia" w:eastAsiaTheme="minorEastAsia" w:cstheme="minorEastAsia"/>
                <w:b/>
                <w:bCs/>
                <w:color w:val="auto"/>
                <w:szCs w:val="21"/>
                <w:highlight w:val="none"/>
              </w:rPr>
            </w:pPr>
            <w:bookmarkStart w:id="182" w:name="_Toc2237"/>
            <w:bookmarkStart w:id="183" w:name="_Toc24736"/>
            <w:r>
              <w:rPr>
                <w:rFonts w:hint="eastAsia" w:asciiTheme="minorEastAsia" w:hAnsiTheme="minorEastAsia" w:eastAsiaTheme="minorEastAsia" w:cstheme="minorEastAsia"/>
                <w:b/>
                <w:bCs/>
                <w:color w:val="auto"/>
                <w:szCs w:val="21"/>
                <w:highlight w:val="none"/>
              </w:rPr>
              <w:t>评审标准</w:t>
            </w:r>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04" w:type="dxa"/>
            <w:gridSpan w:val="2"/>
            <w:vMerge w:val="restart"/>
            <w:vAlign w:val="center"/>
          </w:tcPr>
          <w:p>
            <w:pPr>
              <w:pStyle w:val="21"/>
              <w:spacing w:line="360" w:lineRule="auto"/>
              <w:jc w:val="center"/>
              <w:rPr>
                <w:rFonts w:hint="eastAsia" w:asciiTheme="minorEastAsia" w:hAnsiTheme="minorEastAsia" w:eastAsiaTheme="minorEastAsia" w:cstheme="minorEastAsia"/>
                <w:b/>
                <w:bCs/>
                <w:color w:val="auto"/>
                <w:szCs w:val="21"/>
                <w:highlight w:val="none"/>
              </w:rPr>
            </w:pPr>
            <w:bookmarkStart w:id="184" w:name="_Toc4742"/>
            <w:bookmarkStart w:id="185" w:name="_Toc8577"/>
            <w:r>
              <w:rPr>
                <w:rFonts w:hint="eastAsia" w:asciiTheme="minorEastAsia" w:hAnsiTheme="minorEastAsia" w:eastAsiaTheme="minorEastAsia" w:cstheme="minorEastAsia"/>
                <w:b/>
                <w:bCs/>
                <w:color w:val="auto"/>
                <w:szCs w:val="21"/>
                <w:highlight w:val="none"/>
              </w:rPr>
              <w:t>技术</w:t>
            </w:r>
            <w:bookmarkEnd w:id="184"/>
            <w:bookmarkEnd w:id="185"/>
            <w:bookmarkStart w:id="186" w:name="_Toc6430"/>
            <w:bookmarkStart w:id="187" w:name="_Toc17957"/>
            <w:r>
              <w:rPr>
                <w:rFonts w:hint="eastAsia" w:asciiTheme="minorEastAsia" w:hAnsiTheme="minorEastAsia" w:eastAsiaTheme="minorEastAsia" w:cstheme="minorEastAsia"/>
                <w:b/>
                <w:bCs/>
                <w:color w:val="auto"/>
                <w:szCs w:val="21"/>
                <w:highlight w:val="none"/>
              </w:rPr>
              <w:t>分</w:t>
            </w:r>
          </w:p>
          <w:p>
            <w:pPr>
              <w:pStyle w:val="21"/>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lang w:val="en-US" w:eastAsia="zh-CN"/>
              </w:rPr>
              <w:t>67</w:t>
            </w:r>
            <w:r>
              <w:rPr>
                <w:rFonts w:hint="eastAsia" w:asciiTheme="minorEastAsia" w:hAnsiTheme="minorEastAsia" w:eastAsiaTheme="minorEastAsia" w:cstheme="minorEastAsia"/>
                <w:b/>
                <w:bCs/>
                <w:color w:val="auto"/>
                <w:szCs w:val="21"/>
                <w:highlight w:val="none"/>
              </w:rPr>
              <w:t>分）</w:t>
            </w:r>
            <w:bookmarkEnd w:id="186"/>
            <w:bookmarkEnd w:id="187"/>
          </w:p>
        </w:tc>
        <w:tc>
          <w:tcPr>
            <w:tcW w:w="3283" w:type="dxa"/>
            <w:gridSpan w:val="2"/>
            <w:vAlign w:val="center"/>
          </w:tcPr>
          <w:p>
            <w:pPr>
              <w:pStyle w:val="21"/>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技术参数及性能配置</w:t>
            </w:r>
            <w:r>
              <w:rPr>
                <w:rFonts w:hint="eastAsia" w:asciiTheme="minorEastAsia" w:hAnsiTheme="minorEastAsia" w:eastAsiaTheme="minorEastAsia" w:cstheme="minorEastAsia"/>
                <w:b/>
                <w:bCs/>
                <w:color w:val="auto"/>
                <w:sz w:val="21"/>
                <w:szCs w:val="21"/>
                <w:highlight w:val="none"/>
                <w:lang w:val="en-US" w:eastAsia="zh-CN"/>
              </w:rPr>
              <w:t>响应</w:t>
            </w: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lang w:val="en-US" w:eastAsia="zh-CN"/>
              </w:rPr>
              <w:t>20</w:t>
            </w:r>
            <w:r>
              <w:rPr>
                <w:rFonts w:hint="eastAsia" w:asciiTheme="minorEastAsia" w:hAnsiTheme="minorEastAsia" w:eastAsiaTheme="minorEastAsia" w:cstheme="minorEastAsia"/>
                <w:b/>
                <w:bCs/>
                <w:color w:val="auto"/>
                <w:szCs w:val="21"/>
                <w:highlight w:val="none"/>
              </w:rPr>
              <w:t>分）</w:t>
            </w:r>
          </w:p>
        </w:tc>
        <w:tc>
          <w:tcPr>
            <w:tcW w:w="5167" w:type="dxa"/>
            <w:gridSpan w:val="2"/>
            <w:vAlign w:val="center"/>
          </w:tcPr>
          <w:p>
            <w:pPr>
              <w:pStyle w:val="114"/>
              <w:spacing w:before="166" w:line="224" w:lineRule="auto"/>
              <w:ind w:left="0"/>
              <w:jc w:val="both"/>
              <w:rPr>
                <w:rFonts w:hint="eastAsia" w:asciiTheme="minorEastAsia" w:hAnsiTheme="minorEastAsia" w:eastAsiaTheme="minorEastAsia" w:cstheme="minorEastAsia"/>
                <w:bCs/>
                <w:color w:val="auto"/>
                <w:kern w:val="2"/>
                <w:sz w:val="21"/>
                <w:szCs w:val="21"/>
                <w:highlight w:val="none"/>
                <w:lang w:eastAsia="zh-CN"/>
              </w:rPr>
            </w:pPr>
            <w:r>
              <w:rPr>
                <w:rFonts w:hint="eastAsia" w:asciiTheme="minorEastAsia" w:hAnsiTheme="minorEastAsia" w:eastAsiaTheme="minorEastAsia" w:cstheme="minorEastAsia"/>
                <w:bCs/>
                <w:color w:val="auto"/>
                <w:spacing w:val="0"/>
                <w:kern w:val="2"/>
                <w:sz w:val="21"/>
                <w:szCs w:val="21"/>
                <w:highlight w:val="none"/>
                <w:lang w:eastAsia="zh-CN"/>
              </w:rPr>
              <w:t>投标人在技术需求偏离表中对“技术参数及性能配置要求 ”响应无负偏离或无漏项的得 2</w:t>
            </w:r>
            <w:r>
              <w:rPr>
                <w:rFonts w:hint="eastAsia" w:asciiTheme="minorEastAsia" w:hAnsiTheme="minorEastAsia" w:eastAsiaTheme="minorEastAsia" w:cstheme="minorEastAsia"/>
                <w:bCs/>
                <w:color w:val="auto"/>
                <w:spacing w:val="0"/>
                <w:kern w:val="2"/>
                <w:sz w:val="21"/>
                <w:szCs w:val="21"/>
                <w:highlight w:val="none"/>
                <w:lang w:val="en-US" w:eastAsia="zh-CN"/>
              </w:rPr>
              <w:t>0</w:t>
            </w:r>
            <w:r>
              <w:rPr>
                <w:rFonts w:hint="eastAsia" w:asciiTheme="minorEastAsia" w:hAnsiTheme="minorEastAsia" w:eastAsiaTheme="minorEastAsia" w:cstheme="minorEastAsia"/>
                <w:bCs/>
                <w:color w:val="auto"/>
                <w:spacing w:val="0"/>
                <w:kern w:val="2"/>
                <w:sz w:val="21"/>
                <w:szCs w:val="21"/>
                <w:highlight w:val="none"/>
                <w:lang w:eastAsia="zh-CN"/>
              </w:rPr>
              <w:t xml:space="preserve"> 分；未标注“</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pacing w:val="0"/>
                <w:sz w:val="21"/>
                <w:szCs w:val="21"/>
                <w:highlight w:val="none"/>
              </w:rPr>
              <w:t xml:space="preserve"> </w:t>
            </w:r>
            <w:r>
              <w:rPr>
                <w:rFonts w:hint="eastAsia" w:asciiTheme="minorEastAsia" w:hAnsiTheme="minorEastAsia" w:eastAsiaTheme="minorEastAsia" w:cstheme="minorEastAsia"/>
                <w:bCs/>
                <w:color w:val="auto"/>
                <w:spacing w:val="0"/>
                <w:kern w:val="2"/>
                <w:sz w:val="21"/>
                <w:szCs w:val="21"/>
                <w:highlight w:val="none"/>
                <w:lang w:eastAsia="zh-CN"/>
              </w:rPr>
              <w:t xml:space="preserve">”的参数)存在负偏离或漏项的，每有 1 项负偏离或漏项的扣 </w:t>
            </w:r>
            <w:r>
              <w:rPr>
                <w:rFonts w:hint="eastAsia" w:asciiTheme="minorEastAsia" w:hAnsiTheme="minorEastAsia" w:eastAsiaTheme="minorEastAsia" w:cstheme="minorEastAsia"/>
                <w:bCs/>
                <w:color w:val="auto"/>
                <w:spacing w:val="0"/>
                <w:kern w:val="2"/>
                <w:sz w:val="21"/>
                <w:szCs w:val="21"/>
                <w:highlight w:val="none"/>
                <w:lang w:val="en-US" w:eastAsia="zh-CN"/>
              </w:rPr>
              <w:t>2</w:t>
            </w:r>
            <w:r>
              <w:rPr>
                <w:rFonts w:hint="eastAsia" w:asciiTheme="minorEastAsia" w:hAnsiTheme="minorEastAsia" w:eastAsiaTheme="minorEastAsia" w:cstheme="minorEastAsia"/>
                <w:bCs/>
                <w:color w:val="auto"/>
                <w:spacing w:val="0"/>
                <w:kern w:val="2"/>
                <w:sz w:val="21"/>
                <w:szCs w:val="21"/>
                <w:highlight w:val="none"/>
                <w:lang w:eastAsia="zh-CN"/>
              </w:rPr>
              <w:t>分</w:t>
            </w:r>
            <w:r>
              <w:rPr>
                <w:rFonts w:hint="eastAsia" w:asciiTheme="minorEastAsia" w:hAnsiTheme="minorEastAsia" w:eastAsiaTheme="minorEastAsia" w:cstheme="minorEastAsia"/>
                <w:bCs/>
                <w:color w:val="auto"/>
                <w:spacing w:val="0"/>
                <w:kern w:val="2"/>
                <w:sz w:val="21"/>
                <w:szCs w:val="21"/>
                <w:highlight w:val="none"/>
                <w:lang w:val="en-US" w:eastAsia="zh-CN"/>
              </w:rPr>
              <w:t>(在招标文件允许偏离的项数内)</w:t>
            </w:r>
            <w:r>
              <w:rPr>
                <w:rFonts w:hint="eastAsia" w:asciiTheme="minorEastAsia" w:hAnsiTheme="minorEastAsia" w:eastAsiaTheme="minorEastAsia" w:cstheme="minorEastAsia"/>
                <w:bCs/>
                <w:color w:val="auto"/>
                <w:spacing w:val="0"/>
                <w:kern w:val="2"/>
                <w:sz w:val="21"/>
                <w:szCs w:val="21"/>
                <w:highlight w:val="none"/>
                <w:lang w:eastAsia="zh-CN"/>
              </w:rPr>
              <w:t>。（本项满分2</w:t>
            </w:r>
            <w:r>
              <w:rPr>
                <w:rFonts w:hint="eastAsia" w:asciiTheme="minorEastAsia" w:hAnsiTheme="minorEastAsia" w:eastAsiaTheme="minorEastAsia" w:cstheme="minorEastAsia"/>
                <w:bCs/>
                <w:color w:val="auto"/>
                <w:spacing w:val="0"/>
                <w:kern w:val="2"/>
                <w:sz w:val="21"/>
                <w:szCs w:val="21"/>
                <w:highlight w:val="none"/>
                <w:lang w:val="en-US" w:eastAsia="zh-CN"/>
              </w:rPr>
              <w:t>0</w:t>
            </w:r>
            <w:r>
              <w:rPr>
                <w:rFonts w:hint="eastAsia" w:asciiTheme="minorEastAsia" w:hAnsiTheme="minorEastAsia" w:eastAsiaTheme="minorEastAsia" w:cstheme="minorEastAsia"/>
                <w:bCs/>
                <w:color w:val="auto"/>
                <w:spacing w:val="0"/>
                <w:kern w:val="2"/>
                <w:sz w:val="21"/>
                <w:szCs w:val="21"/>
                <w:highlight w:val="none"/>
                <w:lang w:eastAsia="zh-CN"/>
              </w:rPr>
              <w:t>分）注：</w:t>
            </w:r>
          </w:p>
          <w:p>
            <w:pPr>
              <w:pStyle w:val="114"/>
              <w:spacing w:before="170" w:line="309" w:lineRule="auto"/>
              <w:ind w:left="0" w:right="107" w:firstLine="0"/>
              <w:jc w:val="both"/>
              <w:rPr>
                <w:rFonts w:hint="eastAsia" w:asciiTheme="minorEastAsia" w:hAnsiTheme="minorEastAsia" w:eastAsiaTheme="minorEastAsia" w:cstheme="minorEastAsia"/>
                <w:bCs/>
                <w:color w:val="auto"/>
                <w:kern w:val="2"/>
                <w:sz w:val="21"/>
                <w:szCs w:val="21"/>
                <w:highlight w:val="none"/>
                <w:lang w:eastAsia="zh-CN"/>
              </w:rPr>
            </w:pPr>
            <w:r>
              <w:rPr>
                <w:rFonts w:hint="eastAsia" w:asciiTheme="minorEastAsia" w:hAnsiTheme="minorEastAsia" w:eastAsiaTheme="minorEastAsia" w:cstheme="minorEastAsia"/>
                <w:bCs/>
                <w:color w:val="auto"/>
                <w:spacing w:val="0"/>
                <w:kern w:val="2"/>
                <w:sz w:val="21"/>
                <w:szCs w:val="21"/>
                <w:highlight w:val="none"/>
                <w:lang w:eastAsia="zh-CN"/>
              </w:rPr>
              <w:t>1.投标人对“技术参数及性能配置要求 ”的响应为无偏离，但经评标委员会认定为负偏离的，评标委员会 可给予相应扣分。</w:t>
            </w:r>
          </w:p>
          <w:p>
            <w:pPr>
              <w:pStyle w:val="21"/>
              <w:spacing w:line="288"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pacing w:val="0"/>
                <w:sz w:val="21"/>
                <w:szCs w:val="21"/>
                <w:highlight w:val="none"/>
              </w:rPr>
              <w:t>2.“技术参数及性能配置要求 ”中带“</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pacing w:val="0"/>
                <w:sz w:val="21"/>
                <w:szCs w:val="21"/>
                <w:highlight w:val="none"/>
              </w:rPr>
              <w:t xml:space="preserve"> ”的为实质性技术参数，必须满足，如存在负偏离将导致投标被否决，投标人必须于投标文件中提供相关有效证明材料</w:t>
            </w:r>
            <w:r>
              <w:rPr>
                <w:rFonts w:hint="eastAsia" w:asciiTheme="minorEastAsia" w:hAnsiTheme="minorEastAsia" w:eastAsiaTheme="minorEastAsia" w:cstheme="minorEastAsia"/>
                <w:bCs/>
                <w:color w:val="auto"/>
                <w:sz w:val="21"/>
                <w:szCs w:val="21"/>
                <w:highlight w:val="none"/>
              </w:rPr>
              <w:t xml:space="preserve"> 并加盖投标人公章进行佐证，</w:t>
            </w:r>
            <w:r>
              <w:rPr>
                <w:rFonts w:hint="eastAsia" w:asciiTheme="minorEastAsia" w:hAnsiTheme="minorEastAsia" w:eastAsiaTheme="minorEastAsia" w:cstheme="minorEastAsia"/>
                <w:bCs/>
                <w:color w:val="auto"/>
                <w:spacing w:val="0"/>
                <w:sz w:val="21"/>
                <w:szCs w:val="21"/>
                <w:highlight w:val="none"/>
              </w:rPr>
              <w:t xml:space="preserve"> </w:t>
            </w:r>
            <w:r>
              <w:rPr>
                <w:rFonts w:hint="eastAsia" w:asciiTheme="minorEastAsia" w:hAnsiTheme="minorEastAsia" w:eastAsiaTheme="minorEastAsia" w:cstheme="minorEastAsia"/>
                <w:bCs/>
                <w:color w:val="auto"/>
                <w:sz w:val="21"/>
                <w:szCs w:val="21"/>
                <w:highlight w:val="none"/>
              </w:rPr>
              <w:t>[资料可以是</w:t>
            </w:r>
            <w:r>
              <w:rPr>
                <w:rFonts w:hint="eastAsia" w:asciiTheme="minorEastAsia" w:hAnsiTheme="minorEastAsia" w:eastAsiaTheme="minorEastAsia" w:cstheme="minorEastAsia"/>
                <w:bCs/>
                <w:color w:val="auto"/>
                <w:spacing w:val="0"/>
                <w:sz w:val="21"/>
                <w:szCs w:val="21"/>
                <w:highlight w:val="none"/>
              </w:rPr>
              <w:t>国家认可的</w:t>
            </w: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pacing w:val="0"/>
                <w:sz w:val="21"/>
                <w:szCs w:val="21"/>
                <w:highlight w:val="none"/>
              </w:rPr>
              <w:t>第三方检测/检验机构出具的检测/检验报告或产品生</w:t>
            </w: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pacing w:val="0"/>
                <w:sz w:val="21"/>
                <w:szCs w:val="21"/>
                <w:highlight w:val="none"/>
              </w:rPr>
              <w:t>产厂家出具的技术参数说明(</w:t>
            </w:r>
            <w:r>
              <w:rPr>
                <w:rFonts w:hint="eastAsia" w:asciiTheme="minorEastAsia" w:hAnsiTheme="minorEastAsia" w:eastAsiaTheme="minorEastAsia" w:cstheme="minorEastAsia"/>
                <w:b/>
                <w:bCs/>
                <w:color w:val="auto"/>
                <w:sz w:val="21"/>
                <w:szCs w:val="21"/>
                <w:highlight w:val="none"/>
                <w:lang w:val="en-US" w:eastAsia="zh-CN"/>
              </w:rPr>
              <w:t>加盖投标人公章)</w:t>
            </w:r>
            <w:r>
              <w:rPr>
                <w:rFonts w:hint="eastAsia" w:asciiTheme="minorEastAsia" w:hAnsiTheme="minorEastAsia" w:eastAsiaTheme="minorEastAsia" w:cstheme="minorEastAsia"/>
                <w:bCs/>
                <w:color w:val="auto"/>
                <w:spacing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04" w:type="dxa"/>
            <w:gridSpan w:val="2"/>
            <w:vMerge w:val="continue"/>
            <w:vAlign w:val="center"/>
          </w:tcPr>
          <w:p>
            <w:pPr>
              <w:pStyle w:val="21"/>
              <w:spacing w:line="360" w:lineRule="auto"/>
              <w:rPr>
                <w:rFonts w:hint="eastAsia" w:asciiTheme="minorEastAsia" w:hAnsiTheme="minorEastAsia" w:eastAsiaTheme="minorEastAsia" w:cstheme="minorEastAsia"/>
                <w:b/>
                <w:bCs/>
                <w:color w:val="auto"/>
                <w:szCs w:val="21"/>
                <w:highlight w:val="none"/>
              </w:rPr>
            </w:pPr>
          </w:p>
        </w:tc>
        <w:tc>
          <w:tcPr>
            <w:tcW w:w="3283" w:type="dxa"/>
            <w:gridSpan w:val="2"/>
            <w:vAlign w:val="center"/>
          </w:tcPr>
          <w:p>
            <w:pPr>
              <w:pStyle w:val="21"/>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szCs w:val="21"/>
                <w:highlight w:val="none"/>
              </w:rPr>
              <w:t>项目实施方案（满分</w:t>
            </w:r>
            <w:r>
              <w:rPr>
                <w:rFonts w:hint="eastAsia" w:asciiTheme="minorEastAsia" w:hAnsiTheme="minorEastAsia" w:eastAsiaTheme="minorEastAsia" w:cstheme="minorEastAsia"/>
                <w:b/>
                <w:bCs/>
                <w:color w:val="auto"/>
                <w:szCs w:val="21"/>
                <w:highlight w:val="none"/>
                <w:lang w:val="en-US" w:eastAsia="zh-CN"/>
              </w:rPr>
              <w:t>20</w:t>
            </w:r>
            <w:r>
              <w:rPr>
                <w:rFonts w:hint="eastAsia" w:asciiTheme="minorEastAsia" w:hAnsiTheme="minorEastAsia" w:eastAsiaTheme="minorEastAsia" w:cstheme="minorEastAsia"/>
                <w:b/>
                <w:bCs/>
                <w:color w:val="auto"/>
                <w:szCs w:val="21"/>
                <w:highlight w:val="none"/>
              </w:rPr>
              <w:t>分）</w:t>
            </w:r>
          </w:p>
        </w:tc>
        <w:tc>
          <w:tcPr>
            <w:tcW w:w="5167" w:type="dxa"/>
            <w:gridSpan w:val="2"/>
            <w:vAlign w:val="center"/>
          </w:tcPr>
          <w:p>
            <w:pPr>
              <w:pageBreakBefore w:val="0"/>
              <w:kinsoku/>
              <w:overflowPunct/>
              <w:topLinePunct w:val="0"/>
              <w:bidi w:val="0"/>
              <w:spacing w:line="360" w:lineRule="auto"/>
              <w:ind w:left="0" w:left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根据供应商提供的项目实施方案进行综合评审。（包括但不限于：①供货及安装计划；②人员及技术保障；③安全保障措施；④质量保障措施）。</w:t>
            </w:r>
          </w:p>
          <w:p>
            <w:pPr>
              <w:pageBreakBefore w:val="0"/>
              <w:kinsoku/>
              <w:overflowPunct/>
              <w:topLinePunct w:val="0"/>
              <w:bidi w:val="0"/>
              <w:spacing w:line="360" w:lineRule="auto"/>
              <w:ind w:left="0" w:left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一档（20分）：</w:t>
            </w:r>
            <w:r>
              <w:rPr>
                <w:rFonts w:hint="eastAsia" w:asciiTheme="minorEastAsia" w:hAnsiTheme="minorEastAsia" w:eastAsiaTheme="minorEastAsia" w:cstheme="minorEastAsia"/>
                <w:bCs/>
                <w:color w:val="auto"/>
                <w:sz w:val="21"/>
                <w:szCs w:val="21"/>
                <w:highlight w:val="none"/>
              </w:rPr>
              <w:t>方案切实可行、清晰详尽、考虑全面且符合实际操作得20分；</w:t>
            </w:r>
          </w:p>
          <w:p>
            <w:pPr>
              <w:pageBreakBefore w:val="0"/>
              <w:kinsoku/>
              <w:overflowPunct/>
              <w:topLinePunct w:val="0"/>
              <w:bidi w:val="0"/>
              <w:spacing w:line="360" w:lineRule="auto"/>
              <w:ind w:left="0" w:left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二档（15 分）：</w:t>
            </w:r>
            <w:r>
              <w:rPr>
                <w:rFonts w:hint="eastAsia" w:asciiTheme="minorEastAsia" w:hAnsiTheme="minorEastAsia" w:eastAsiaTheme="minorEastAsia" w:cstheme="minorEastAsia"/>
                <w:bCs/>
                <w:color w:val="auto"/>
                <w:sz w:val="21"/>
                <w:szCs w:val="21"/>
                <w:highlight w:val="none"/>
              </w:rPr>
              <w:t>方案切实可行，不够清晰详尽，考虑不够全面但符合实际操作得</w:t>
            </w: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rPr>
              <w:t>分；</w:t>
            </w:r>
          </w:p>
          <w:p>
            <w:pPr>
              <w:pageBreakBefore w:val="0"/>
              <w:kinsoku/>
              <w:overflowPunct/>
              <w:topLinePunct w:val="0"/>
              <w:bidi w:val="0"/>
              <w:spacing w:line="360" w:lineRule="auto"/>
              <w:ind w:left="0" w:left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三档（10 分）：</w:t>
            </w:r>
            <w:r>
              <w:rPr>
                <w:rFonts w:hint="eastAsia" w:asciiTheme="minorEastAsia" w:hAnsiTheme="minorEastAsia" w:eastAsiaTheme="minorEastAsia" w:cstheme="minorEastAsia"/>
                <w:bCs/>
                <w:color w:val="auto"/>
                <w:sz w:val="21"/>
                <w:szCs w:val="21"/>
                <w:highlight w:val="none"/>
              </w:rPr>
              <w:t>方案基本可行，不清晰详尽，考虑不全面或不完全符合实际操作得</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04" w:type="dxa"/>
            <w:gridSpan w:val="2"/>
            <w:vMerge w:val="continue"/>
            <w:vAlign w:val="center"/>
          </w:tcPr>
          <w:p>
            <w:pPr>
              <w:pStyle w:val="21"/>
              <w:spacing w:line="360" w:lineRule="auto"/>
              <w:rPr>
                <w:rFonts w:hint="eastAsia" w:asciiTheme="minorEastAsia" w:hAnsiTheme="minorEastAsia" w:eastAsiaTheme="minorEastAsia" w:cstheme="minorEastAsia"/>
                <w:b/>
                <w:bCs/>
                <w:color w:val="auto"/>
                <w:szCs w:val="21"/>
                <w:highlight w:val="none"/>
              </w:rPr>
            </w:pPr>
            <w:bookmarkStart w:id="188" w:name="_Toc18645"/>
            <w:bookmarkStart w:id="189" w:name="_Toc4441"/>
          </w:p>
        </w:tc>
        <w:tc>
          <w:tcPr>
            <w:tcW w:w="3283" w:type="dxa"/>
            <w:gridSpan w:val="2"/>
            <w:vAlign w:val="center"/>
          </w:tcPr>
          <w:p>
            <w:pPr>
              <w:pStyle w:val="21"/>
              <w:spacing w:line="360" w:lineRule="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培训方案</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满分12分</w:t>
            </w:r>
            <w:r>
              <w:rPr>
                <w:rFonts w:hint="eastAsia" w:asciiTheme="minorEastAsia" w:hAnsiTheme="minorEastAsia" w:eastAsiaTheme="minorEastAsia" w:cstheme="minorEastAsia"/>
                <w:b/>
                <w:bCs/>
                <w:color w:val="auto"/>
                <w:szCs w:val="21"/>
                <w:highlight w:val="none"/>
                <w:lang w:eastAsia="zh-CN"/>
              </w:rPr>
              <w:t>）</w:t>
            </w:r>
          </w:p>
        </w:tc>
        <w:tc>
          <w:tcPr>
            <w:tcW w:w="5167" w:type="dxa"/>
            <w:gridSpan w:val="2"/>
            <w:vAlign w:val="center"/>
          </w:tcPr>
          <w:p>
            <w:pPr>
              <w:pStyle w:val="21"/>
              <w:spacing w:line="288"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一档（12 分）：培训方案全面，合理可行，步骤有序，可操作性强。</w:t>
            </w:r>
          </w:p>
          <w:p>
            <w:pPr>
              <w:pStyle w:val="21"/>
              <w:spacing w:line="288"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二档（8 分）：方案表达相对较好，方案可行性优良。</w:t>
            </w:r>
          </w:p>
          <w:p>
            <w:pPr>
              <w:pStyle w:val="21"/>
              <w:spacing w:line="288"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三档（4分）：方案表达不清晰，不够详细。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4" w:type="dxa"/>
            <w:gridSpan w:val="2"/>
            <w:vMerge w:val="continue"/>
            <w:vAlign w:val="center"/>
          </w:tcPr>
          <w:p>
            <w:pPr>
              <w:pStyle w:val="21"/>
              <w:spacing w:line="360" w:lineRule="auto"/>
              <w:rPr>
                <w:rFonts w:hint="eastAsia" w:asciiTheme="minorEastAsia" w:hAnsiTheme="minorEastAsia" w:eastAsiaTheme="minorEastAsia" w:cstheme="minorEastAsia"/>
                <w:b/>
                <w:bCs/>
                <w:color w:val="auto"/>
                <w:szCs w:val="21"/>
                <w:highlight w:val="none"/>
              </w:rPr>
            </w:pPr>
          </w:p>
        </w:tc>
        <w:tc>
          <w:tcPr>
            <w:tcW w:w="3283" w:type="dxa"/>
            <w:gridSpan w:val="2"/>
            <w:vAlign w:val="center"/>
          </w:tcPr>
          <w:p>
            <w:pPr>
              <w:pStyle w:val="21"/>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售后服务</w:t>
            </w:r>
            <w:r>
              <w:rPr>
                <w:rFonts w:hint="eastAsia" w:asciiTheme="minorEastAsia" w:hAnsiTheme="minorEastAsia" w:eastAsiaTheme="minorEastAsia" w:cstheme="minorEastAsia"/>
                <w:b/>
                <w:bCs/>
                <w:color w:val="auto"/>
                <w:szCs w:val="21"/>
                <w:highlight w:val="none"/>
                <w:lang w:val="en-US" w:eastAsia="zh-CN"/>
              </w:rPr>
              <w:t>方案</w:t>
            </w: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lang w:val="en-US" w:eastAsia="zh-CN"/>
              </w:rPr>
              <w:t>15</w:t>
            </w:r>
            <w:r>
              <w:rPr>
                <w:rFonts w:hint="eastAsia" w:asciiTheme="minorEastAsia" w:hAnsiTheme="minorEastAsia" w:eastAsiaTheme="minorEastAsia" w:cstheme="minorEastAsia"/>
                <w:b/>
                <w:bCs/>
                <w:color w:val="auto"/>
                <w:szCs w:val="21"/>
                <w:highlight w:val="none"/>
              </w:rPr>
              <w:t>分）</w:t>
            </w:r>
          </w:p>
        </w:tc>
        <w:tc>
          <w:tcPr>
            <w:tcW w:w="5167" w:type="dxa"/>
            <w:gridSpan w:val="2"/>
            <w:vAlign w:val="center"/>
          </w:tcPr>
          <w:p>
            <w:pPr>
              <w:pStyle w:val="21"/>
              <w:spacing w:line="288" w:lineRule="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根据供应商针对本项目提供的售后服务方案进行</w:t>
            </w:r>
            <w:r>
              <w:rPr>
                <w:rFonts w:hint="eastAsia" w:asciiTheme="minorEastAsia" w:hAnsiTheme="minorEastAsia" w:eastAsiaTheme="minorEastAsia" w:cstheme="minorEastAsia"/>
                <w:bCs/>
                <w:color w:val="auto"/>
                <w:sz w:val="21"/>
                <w:szCs w:val="21"/>
                <w:highlight w:val="none"/>
                <w:lang w:val="en-US" w:eastAsia="zh-CN"/>
              </w:rPr>
              <w:t>综合</w:t>
            </w:r>
            <w:r>
              <w:rPr>
                <w:rFonts w:hint="eastAsia" w:asciiTheme="minorEastAsia" w:hAnsiTheme="minorEastAsia" w:eastAsiaTheme="minorEastAsia" w:cstheme="minorEastAsia"/>
                <w:bCs/>
                <w:color w:val="auto"/>
                <w:sz w:val="21"/>
                <w:szCs w:val="21"/>
                <w:highlight w:val="none"/>
              </w:rPr>
              <w:t>评审</w:t>
            </w:r>
            <w:r>
              <w:rPr>
                <w:rFonts w:hint="eastAsia" w:asciiTheme="minorEastAsia" w:hAnsiTheme="minorEastAsia" w:eastAsiaTheme="minorEastAsia" w:cstheme="minorEastAsia"/>
                <w:bCs/>
                <w:color w:val="auto"/>
                <w:sz w:val="21"/>
                <w:szCs w:val="21"/>
                <w:highlight w:val="none"/>
                <w:lang w:eastAsia="zh-CN"/>
              </w:rPr>
              <w:t>。</w:t>
            </w:r>
          </w:p>
          <w:p>
            <w:pPr>
              <w:pStyle w:val="21"/>
              <w:spacing w:line="288" w:lineRule="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一</w:t>
            </w:r>
            <w:r>
              <w:rPr>
                <w:rFonts w:hint="eastAsia" w:asciiTheme="minorEastAsia" w:hAnsiTheme="minorEastAsia" w:eastAsiaTheme="minorEastAsia" w:cstheme="minorEastAsia"/>
                <w:bCs/>
                <w:color w:val="auto"/>
                <w:sz w:val="21"/>
                <w:szCs w:val="21"/>
                <w:highlight w:val="none"/>
              </w:rPr>
              <w:t>档（1</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分）：售后</w:t>
            </w:r>
            <w:r>
              <w:rPr>
                <w:rFonts w:hint="eastAsia" w:asciiTheme="minorEastAsia" w:hAnsiTheme="minorEastAsia" w:eastAsiaTheme="minorEastAsia" w:cstheme="minorEastAsia"/>
                <w:bCs/>
                <w:color w:val="auto"/>
                <w:sz w:val="21"/>
                <w:szCs w:val="21"/>
                <w:highlight w:val="none"/>
                <w:lang w:val="en-US" w:eastAsia="zh-CN"/>
              </w:rPr>
              <w:t>服务</w:t>
            </w:r>
            <w:r>
              <w:rPr>
                <w:rFonts w:hint="eastAsia" w:asciiTheme="minorEastAsia" w:hAnsiTheme="minorEastAsia" w:eastAsiaTheme="minorEastAsia" w:cstheme="minorEastAsia"/>
                <w:bCs/>
                <w:color w:val="auto"/>
                <w:sz w:val="21"/>
                <w:szCs w:val="21"/>
                <w:highlight w:val="none"/>
              </w:rPr>
              <w:t>方案能为采购人提供快速便捷的售后服务保障，对售后服务能起到有利的保障作用，方案内容针对性</w:t>
            </w:r>
            <w:r>
              <w:rPr>
                <w:rFonts w:hint="eastAsia" w:asciiTheme="minorEastAsia" w:hAnsiTheme="minorEastAsia" w:eastAsiaTheme="minorEastAsia" w:cstheme="minorEastAsia"/>
                <w:bCs/>
                <w:color w:val="auto"/>
                <w:sz w:val="21"/>
                <w:szCs w:val="21"/>
                <w:highlight w:val="none"/>
                <w:lang w:val="en-US" w:eastAsia="zh-CN"/>
              </w:rPr>
              <w:t>强</w:t>
            </w:r>
            <w:r>
              <w:rPr>
                <w:rFonts w:hint="eastAsia" w:asciiTheme="minorEastAsia" w:hAnsiTheme="minorEastAsia" w:eastAsiaTheme="minorEastAsia" w:cstheme="minorEastAsia"/>
                <w:bCs/>
                <w:color w:val="auto"/>
                <w:sz w:val="21"/>
                <w:szCs w:val="21"/>
                <w:highlight w:val="none"/>
              </w:rPr>
              <w:t>，方案</w:t>
            </w:r>
            <w:r>
              <w:rPr>
                <w:rFonts w:hint="eastAsia" w:asciiTheme="minorEastAsia" w:hAnsiTheme="minorEastAsia" w:eastAsiaTheme="minorEastAsia" w:cstheme="minorEastAsia"/>
                <w:bCs/>
                <w:color w:val="auto"/>
                <w:sz w:val="21"/>
                <w:szCs w:val="21"/>
                <w:highlight w:val="none"/>
                <w:lang w:val="en-US" w:eastAsia="zh-CN"/>
              </w:rPr>
              <w:t>内容完善、</w:t>
            </w:r>
            <w:r>
              <w:rPr>
                <w:rFonts w:hint="eastAsia" w:asciiTheme="minorEastAsia" w:hAnsiTheme="minorEastAsia" w:eastAsiaTheme="minorEastAsia" w:cstheme="minorEastAsia"/>
                <w:bCs/>
                <w:color w:val="auto"/>
                <w:sz w:val="21"/>
                <w:szCs w:val="21"/>
                <w:highlight w:val="none"/>
              </w:rPr>
              <w:t>整体科学可行。</w:t>
            </w:r>
          </w:p>
          <w:p>
            <w:pPr>
              <w:pStyle w:val="21"/>
              <w:spacing w:line="288"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二档（</w:t>
            </w: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分）：售后</w:t>
            </w:r>
            <w:r>
              <w:rPr>
                <w:rFonts w:hint="eastAsia" w:asciiTheme="minorEastAsia" w:hAnsiTheme="minorEastAsia" w:eastAsiaTheme="minorEastAsia" w:cstheme="minorEastAsia"/>
                <w:bCs/>
                <w:color w:val="auto"/>
                <w:sz w:val="21"/>
                <w:szCs w:val="21"/>
                <w:highlight w:val="none"/>
                <w:lang w:val="en-US" w:eastAsia="zh-CN"/>
              </w:rPr>
              <w:t>服务方案</w:t>
            </w:r>
            <w:r>
              <w:rPr>
                <w:rFonts w:hint="eastAsia" w:asciiTheme="minorEastAsia" w:hAnsiTheme="minorEastAsia" w:eastAsiaTheme="minorEastAsia" w:cstheme="minorEastAsia"/>
                <w:bCs/>
                <w:color w:val="auto"/>
                <w:sz w:val="21"/>
                <w:szCs w:val="21"/>
                <w:highlight w:val="none"/>
              </w:rPr>
              <w:t>能为采购人提供较便捷的售后服务保障，对售后服务能起到一定的保障作用，方案整体</w:t>
            </w:r>
            <w:r>
              <w:rPr>
                <w:rFonts w:hint="eastAsia" w:asciiTheme="minorEastAsia" w:hAnsiTheme="minorEastAsia" w:eastAsiaTheme="minorEastAsia" w:cstheme="minorEastAsia"/>
                <w:bCs/>
                <w:color w:val="auto"/>
                <w:sz w:val="21"/>
                <w:szCs w:val="21"/>
                <w:highlight w:val="none"/>
                <w:lang w:val="en-US" w:eastAsia="zh-CN"/>
              </w:rPr>
              <w:t>基本</w:t>
            </w:r>
            <w:r>
              <w:rPr>
                <w:rFonts w:hint="eastAsia" w:asciiTheme="minorEastAsia" w:hAnsiTheme="minorEastAsia" w:eastAsiaTheme="minorEastAsia" w:cstheme="minorEastAsia"/>
                <w:bCs/>
                <w:color w:val="auto"/>
                <w:sz w:val="21"/>
                <w:szCs w:val="21"/>
                <w:highlight w:val="none"/>
              </w:rPr>
              <w:t>可行。</w:t>
            </w:r>
          </w:p>
          <w:p>
            <w:pPr>
              <w:pStyle w:val="21"/>
              <w:spacing w:line="288"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三</w:t>
            </w:r>
            <w:r>
              <w:rPr>
                <w:rFonts w:hint="eastAsia" w:asciiTheme="minorEastAsia" w:hAnsiTheme="minorEastAsia" w:eastAsiaTheme="minorEastAsia" w:cstheme="minorEastAsia"/>
                <w:bCs/>
                <w:color w:val="auto"/>
                <w:sz w:val="21"/>
                <w:szCs w:val="21"/>
                <w:highlight w:val="none"/>
              </w:rPr>
              <w:t>档（</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分）：售后服务方案内容简单，可行性及针对性差。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404" w:type="dxa"/>
            <w:gridSpan w:val="2"/>
            <w:vAlign w:val="center"/>
          </w:tcPr>
          <w:p>
            <w:pPr>
              <w:pStyle w:val="21"/>
              <w:spacing w:line="360" w:lineRule="auto"/>
              <w:rPr>
                <w:rFonts w:hint="default" w:asciiTheme="minorEastAsia" w:hAnsiTheme="minorEastAsia" w:eastAsiaTheme="minorEastAsia" w:cstheme="minorEastAsia"/>
                <w:b/>
                <w:bCs/>
                <w:color w:val="auto"/>
                <w:szCs w:val="21"/>
                <w:highlight w:val="none"/>
                <w:lang w:val="en-US" w:eastAsia="zh-CN"/>
              </w:rPr>
            </w:pPr>
            <w:bookmarkStart w:id="190" w:name="_Toc3745"/>
            <w:bookmarkStart w:id="191" w:name="_Toc30242"/>
            <w:r>
              <w:rPr>
                <w:rFonts w:hint="eastAsia" w:asciiTheme="minorEastAsia" w:hAnsiTheme="minorEastAsia" w:eastAsiaTheme="minorEastAsia" w:cstheme="minorEastAsia"/>
                <w:b/>
                <w:bCs/>
                <w:color w:val="auto"/>
                <w:szCs w:val="21"/>
                <w:highlight w:val="none"/>
                <w:lang w:val="en-US" w:eastAsia="zh-CN"/>
              </w:rPr>
              <w:t>商务分（满分3分）</w:t>
            </w:r>
          </w:p>
        </w:tc>
        <w:tc>
          <w:tcPr>
            <w:tcW w:w="3283" w:type="dxa"/>
            <w:gridSpan w:val="2"/>
            <w:vAlign w:val="center"/>
          </w:tcPr>
          <w:p>
            <w:pPr>
              <w:pStyle w:val="21"/>
              <w:spacing w:line="360" w:lineRule="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资质信誉</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满分3分</w:t>
            </w:r>
            <w:r>
              <w:rPr>
                <w:rFonts w:hint="eastAsia" w:asciiTheme="minorEastAsia" w:hAnsiTheme="minorEastAsia" w:eastAsiaTheme="minorEastAsia" w:cstheme="minorEastAsia"/>
                <w:b/>
                <w:bCs/>
                <w:color w:val="auto"/>
                <w:szCs w:val="21"/>
                <w:highlight w:val="none"/>
                <w:lang w:eastAsia="zh-CN"/>
              </w:rPr>
              <w:t>）</w:t>
            </w:r>
          </w:p>
        </w:tc>
        <w:tc>
          <w:tcPr>
            <w:tcW w:w="5167" w:type="dxa"/>
            <w:gridSpan w:val="2"/>
            <w:vAlign w:val="center"/>
          </w:tcPr>
          <w:p>
            <w:pPr>
              <w:pStyle w:val="21"/>
              <w:spacing w:line="288" w:lineRule="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产品</w:t>
            </w:r>
            <w:r>
              <w:rPr>
                <w:rFonts w:hint="eastAsia" w:asciiTheme="minorEastAsia" w:hAnsiTheme="minorEastAsia" w:eastAsiaTheme="minorEastAsia" w:cstheme="minorEastAsia"/>
                <w:bCs/>
                <w:color w:val="auto"/>
                <w:sz w:val="21"/>
                <w:szCs w:val="21"/>
                <w:highlight w:val="none"/>
              </w:rPr>
              <w:t>具有中华人民共和国国家版权局</w:t>
            </w:r>
            <w:r>
              <w:rPr>
                <w:rFonts w:hint="eastAsia" w:asciiTheme="minorEastAsia" w:hAnsiTheme="minorEastAsia" w:eastAsiaTheme="minorEastAsia" w:cstheme="minorEastAsia"/>
                <w:bCs/>
                <w:color w:val="auto"/>
                <w:sz w:val="21"/>
                <w:szCs w:val="21"/>
                <w:highlight w:val="none"/>
                <w:lang w:val="en-US" w:eastAsia="zh-CN"/>
              </w:rPr>
              <w:t>认证的计算机软件著作权登记证书或国家知识产权局认证的实用新型专利证书；</w:t>
            </w:r>
            <w:r>
              <w:rPr>
                <w:rFonts w:hint="eastAsia" w:asciiTheme="minorEastAsia" w:hAnsiTheme="minorEastAsia" w:eastAsiaTheme="minorEastAsia" w:cstheme="minorEastAsia"/>
                <w:bCs/>
                <w:color w:val="auto"/>
                <w:sz w:val="21"/>
                <w:szCs w:val="21"/>
                <w:highlight w:val="none"/>
              </w:rPr>
              <w:t>每提供1个得1分，</w:t>
            </w:r>
            <w:r>
              <w:rPr>
                <w:rFonts w:hint="eastAsia" w:asciiTheme="minorEastAsia" w:hAnsiTheme="minorEastAsia" w:eastAsiaTheme="minorEastAsia" w:cstheme="minorEastAsia"/>
                <w:bCs/>
                <w:color w:val="auto"/>
                <w:sz w:val="21"/>
                <w:szCs w:val="21"/>
                <w:highlight w:val="none"/>
                <w:lang w:val="en-US" w:eastAsia="zh-CN"/>
              </w:rPr>
              <w:t>满分3分。</w:t>
            </w:r>
          </w:p>
        </w:tc>
      </w:tr>
      <w:bookmarkEnd w:id="188"/>
      <w:bookmarkEnd w:id="1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54" w:type="dxa"/>
            <w:gridSpan w:val="6"/>
            <w:vAlign w:val="center"/>
          </w:tcPr>
          <w:p>
            <w:pPr>
              <w:pStyle w:val="21"/>
              <w:spacing w:line="360" w:lineRule="auto"/>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投标人最终得分=</w:t>
            </w:r>
            <w:bookmarkEnd w:id="190"/>
            <w:bookmarkEnd w:id="191"/>
            <w:r>
              <w:rPr>
                <w:rFonts w:hint="eastAsia" w:asciiTheme="minorEastAsia" w:hAnsiTheme="minorEastAsia" w:eastAsiaTheme="minorEastAsia" w:cstheme="minorEastAsia"/>
                <w:bCs/>
                <w:color w:val="auto"/>
                <w:szCs w:val="21"/>
                <w:highlight w:val="none"/>
              </w:rPr>
              <w:t>报价分</w:t>
            </w:r>
            <w:r>
              <w:rPr>
                <w:rFonts w:hint="eastAsia" w:asciiTheme="minorEastAsia" w:hAnsiTheme="minorEastAsia" w:eastAsiaTheme="minorEastAsia" w:cstheme="minorEastAsia"/>
                <w:bCs/>
                <w:color w:val="auto"/>
                <w:szCs w:val="21"/>
                <w:highlight w:val="none"/>
                <w:lang w:val="en-US" w:eastAsia="zh-CN"/>
              </w:rPr>
              <w:t>+</w:t>
            </w:r>
            <w:r>
              <w:rPr>
                <w:rFonts w:hint="eastAsia" w:asciiTheme="minorEastAsia" w:hAnsiTheme="minorEastAsia" w:eastAsiaTheme="minorEastAsia" w:cstheme="minorEastAsia"/>
                <w:bCs/>
                <w:color w:val="auto"/>
                <w:szCs w:val="21"/>
                <w:highlight w:val="none"/>
              </w:rPr>
              <w:t>技术分</w:t>
            </w:r>
            <w:r>
              <w:rPr>
                <w:rFonts w:hint="eastAsia" w:asciiTheme="minorEastAsia" w:hAnsiTheme="minorEastAsia" w:eastAsiaTheme="minorEastAsia" w:cstheme="minorEastAsia"/>
                <w:bCs/>
                <w:color w:val="auto"/>
                <w:szCs w:val="21"/>
                <w:highlight w:val="none"/>
                <w:lang w:val="en-US" w:eastAsia="zh-CN"/>
              </w:rPr>
              <w:t>+商务分</w:t>
            </w:r>
          </w:p>
        </w:tc>
      </w:tr>
    </w:tbl>
    <w:p>
      <w:pPr>
        <w:pStyle w:val="21"/>
        <w:spacing w:line="500" w:lineRule="exact"/>
        <w:rPr>
          <w:rFonts w:hint="eastAsia" w:asciiTheme="minorEastAsia" w:hAnsiTheme="minorEastAsia" w:eastAsiaTheme="minorEastAsia" w:cstheme="minorEastAsia"/>
          <w:b/>
          <w:bCs/>
          <w:color w:val="auto"/>
          <w:szCs w:val="21"/>
          <w:highlight w:val="none"/>
        </w:rPr>
      </w:pPr>
    </w:p>
    <w:p>
      <w:pPr>
        <w:pStyle w:val="21"/>
        <w:spacing w:line="5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四、中标标准</w:t>
      </w:r>
    </w:p>
    <w:p>
      <w:pPr>
        <w:pStyle w:val="21"/>
        <w:spacing w:line="5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评标委员会将根据综合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定第二的中标候选人为中标人。排名第二的中标候选人因前款规定的同样原因不能签订合同的，招标采购单位可以确定排名第三的中标候选人为中标人，以此类推</w:t>
      </w:r>
      <w:r>
        <w:rPr>
          <w:rFonts w:hint="eastAsia" w:asciiTheme="minorEastAsia" w:hAnsiTheme="minorEastAsia" w:eastAsiaTheme="minorEastAsia" w:cstheme="minorEastAsia"/>
          <w:bCs/>
          <w:color w:val="auto"/>
          <w:szCs w:val="21"/>
          <w:highlight w:val="none"/>
        </w:rPr>
        <w:t>，也可以重新开展政府采购活动。</w:t>
      </w:r>
    </w:p>
    <w:p>
      <w:pPr>
        <w:rPr>
          <w:rFonts w:hint="eastAsia" w:asciiTheme="minorEastAsia" w:hAnsiTheme="minorEastAsia" w:eastAsiaTheme="minorEastAsia" w:cstheme="minorEastAsia"/>
          <w:bCs/>
          <w:color w:val="auto"/>
          <w:szCs w:val="21"/>
          <w:highlight w:val="none"/>
          <w:lang w:eastAsia="zh-CN"/>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57"/>
        <w:rPr>
          <w:rFonts w:hint="eastAsia" w:asciiTheme="minorEastAsia" w:hAnsiTheme="minorEastAsia" w:eastAsiaTheme="minorEastAsia" w:cstheme="minorEastAsia"/>
          <w:bCs/>
          <w:color w:val="auto"/>
          <w:szCs w:val="21"/>
          <w:highlight w:val="none"/>
        </w:rPr>
      </w:pPr>
    </w:p>
    <w:p>
      <w:pPr>
        <w:pStyle w:val="3"/>
        <w:bidi w:val="0"/>
        <w:jc w:val="center"/>
        <w:rPr>
          <w:rStyle w:val="63"/>
          <w:rFonts w:hint="eastAsia" w:asciiTheme="minorEastAsia" w:hAnsiTheme="minorEastAsia" w:eastAsiaTheme="minorEastAsia" w:cstheme="minorEastAsia"/>
          <w:b/>
          <w:bCs/>
          <w:color w:val="auto"/>
          <w:sz w:val="32"/>
          <w:szCs w:val="32"/>
          <w:highlight w:val="none"/>
        </w:rPr>
      </w:pPr>
      <w:bookmarkStart w:id="192" w:name="_Toc20931"/>
      <w:r>
        <w:rPr>
          <w:rStyle w:val="63"/>
          <w:rFonts w:hint="eastAsia" w:asciiTheme="minorEastAsia" w:hAnsiTheme="minorEastAsia" w:eastAsiaTheme="minorEastAsia" w:cstheme="minorEastAsia"/>
          <w:b/>
          <w:bCs/>
          <w:color w:val="auto"/>
          <w:sz w:val="32"/>
          <w:szCs w:val="32"/>
          <w:highlight w:val="none"/>
        </w:rPr>
        <w:t>第六章 投标文件（格式）</w:t>
      </w:r>
      <w:bookmarkEnd w:id="192"/>
    </w:p>
    <w:p>
      <w:pPr>
        <w:snapToGrid w:val="0"/>
        <w:spacing w:after="50" w:line="360" w:lineRule="exact"/>
        <w:rPr>
          <w:rFonts w:hint="eastAsia" w:asciiTheme="minorEastAsia" w:hAnsiTheme="minorEastAsia" w:eastAsiaTheme="minorEastAsia" w:cstheme="minorEastAsia"/>
          <w:color w:val="auto"/>
          <w:sz w:val="21"/>
          <w:szCs w:val="21"/>
          <w:highlight w:val="none"/>
          <w:lang w:eastAsia="zh-CN"/>
        </w:rPr>
      </w:pPr>
    </w:p>
    <w:p>
      <w:pPr>
        <w:snapToGrid w:val="0"/>
        <w:spacing w:after="50" w:line="360" w:lineRule="exac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投标文件封面格式：</w:t>
      </w:r>
    </w:p>
    <w:p>
      <w:pPr>
        <w:snapToGrid w:val="0"/>
        <w:spacing w:after="50" w:line="360" w:lineRule="exac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p>
    <w:p>
      <w:pPr>
        <w:bidi w:val="0"/>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投 标 文 件</w:t>
      </w:r>
    </w:p>
    <w:p>
      <w:pPr>
        <w:rPr>
          <w:rFonts w:hint="eastAsia" w:asciiTheme="minorEastAsia" w:hAnsiTheme="minorEastAsia" w:eastAsiaTheme="minorEastAsia" w:cstheme="minorEastAsia"/>
          <w:color w:val="auto"/>
          <w:sz w:val="21"/>
          <w:szCs w:val="21"/>
          <w:highlight w:val="none"/>
          <w:lang w:eastAsia="zh-CN"/>
        </w:rPr>
      </w:pPr>
    </w:p>
    <w:p>
      <w:pPr>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（资格文件/报价文件/商务技术文件）</w:t>
      </w:r>
    </w:p>
    <w:p>
      <w:pPr>
        <w:snapToGrid w:val="0"/>
        <w:spacing w:after="50" w:line="360" w:lineRule="exact"/>
        <w:rPr>
          <w:rFonts w:hint="eastAsia" w:asciiTheme="minorEastAsia" w:hAnsiTheme="minorEastAsia" w:eastAsiaTheme="minorEastAsia" w:cstheme="minorEastAsia"/>
          <w:bCs/>
          <w:color w:val="auto"/>
          <w:sz w:val="21"/>
          <w:szCs w:val="21"/>
          <w:highlight w:val="none"/>
          <w:lang w:eastAsia="zh-CN"/>
        </w:rPr>
      </w:pPr>
    </w:p>
    <w:p>
      <w:pPr>
        <w:snapToGrid w:val="0"/>
        <w:spacing w:after="50" w:line="360" w:lineRule="exact"/>
        <w:ind w:firstLine="630" w:firstLineChars="3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项目名称：</w:t>
      </w:r>
      <w:r>
        <w:rPr>
          <w:rFonts w:hint="eastAsia" w:asciiTheme="minorEastAsia" w:hAnsiTheme="minorEastAsia" w:eastAsiaTheme="minorEastAsia" w:cstheme="minorEastAsia"/>
          <w:bCs/>
          <w:color w:val="auto"/>
          <w:sz w:val="21"/>
          <w:szCs w:val="21"/>
          <w:highlight w:val="none"/>
          <w:u w:val="single"/>
          <w:lang w:eastAsia="zh-CN"/>
        </w:rPr>
        <w:t xml:space="preserve">                       </w:t>
      </w:r>
      <w:r>
        <w:rPr>
          <w:rFonts w:hint="eastAsia" w:asciiTheme="minorEastAsia" w:hAnsiTheme="minorEastAsia" w:eastAsiaTheme="minorEastAsia" w:cstheme="minorEastAsia"/>
          <w:bCs/>
          <w:color w:val="auto"/>
          <w:sz w:val="21"/>
          <w:szCs w:val="21"/>
          <w:highlight w:val="none"/>
          <w:lang w:eastAsia="zh-CN"/>
        </w:rPr>
        <w:t xml:space="preserve"> </w:t>
      </w:r>
    </w:p>
    <w:p>
      <w:pPr>
        <w:snapToGrid w:val="0"/>
        <w:spacing w:after="50" w:line="360" w:lineRule="exact"/>
        <w:ind w:firstLine="630" w:firstLineChars="300"/>
        <w:rPr>
          <w:rFonts w:hint="eastAsia" w:asciiTheme="minorEastAsia" w:hAnsiTheme="minorEastAsia" w:eastAsiaTheme="minorEastAsia" w:cstheme="minorEastAsia"/>
          <w:bCs/>
          <w:color w:val="auto"/>
          <w:sz w:val="21"/>
          <w:szCs w:val="21"/>
          <w:highlight w:val="none"/>
          <w:u w:val="single"/>
          <w:lang w:eastAsia="zh-CN"/>
        </w:rPr>
      </w:pPr>
      <w:r>
        <w:rPr>
          <w:rFonts w:hint="eastAsia" w:asciiTheme="minorEastAsia" w:hAnsiTheme="minorEastAsia" w:eastAsiaTheme="minorEastAsia" w:cstheme="minorEastAsia"/>
          <w:bCs/>
          <w:color w:val="auto"/>
          <w:sz w:val="21"/>
          <w:szCs w:val="21"/>
          <w:highlight w:val="none"/>
          <w:lang w:eastAsia="zh-CN"/>
        </w:rPr>
        <w:t>项目编号：</w:t>
      </w:r>
      <w:r>
        <w:rPr>
          <w:rFonts w:hint="eastAsia" w:asciiTheme="minorEastAsia" w:hAnsiTheme="minorEastAsia" w:eastAsiaTheme="minorEastAsia" w:cstheme="minorEastAsia"/>
          <w:bCs/>
          <w:color w:val="auto"/>
          <w:sz w:val="21"/>
          <w:szCs w:val="21"/>
          <w:highlight w:val="none"/>
          <w:u w:val="single"/>
          <w:lang w:eastAsia="zh-CN"/>
        </w:rPr>
        <w:t xml:space="preserve">                       </w:t>
      </w:r>
    </w:p>
    <w:p>
      <w:pPr>
        <w:pStyle w:val="21"/>
        <w:spacing w:line="380" w:lineRule="atLeast"/>
        <w:ind w:firstLine="63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 标 号：</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color w:val="auto"/>
          <w:highlight w:val="none"/>
        </w:rPr>
        <w:t xml:space="preserve">  </w:t>
      </w:r>
    </w:p>
    <w:p>
      <w:pPr>
        <w:pStyle w:val="12"/>
        <w:snapToGrid w:val="0"/>
        <w:spacing w:after="50" w:line="360" w:lineRule="exact"/>
        <w:ind w:firstLine="630" w:firstLineChars="3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投标人名称：</w:t>
      </w:r>
      <w:r>
        <w:rPr>
          <w:rFonts w:hint="eastAsia" w:asciiTheme="minorEastAsia" w:hAnsiTheme="minorEastAsia" w:eastAsiaTheme="minorEastAsia" w:cstheme="minorEastAsia"/>
          <w:bCs/>
          <w:color w:val="auto"/>
          <w:sz w:val="21"/>
          <w:szCs w:val="21"/>
          <w:highlight w:val="none"/>
          <w:u w:val="single"/>
          <w:lang w:eastAsia="zh-CN"/>
        </w:rPr>
        <w:t xml:space="preserve">                         </w:t>
      </w:r>
      <w:r>
        <w:rPr>
          <w:rFonts w:hint="eastAsia" w:asciiTheme="minorEastAsia" w:hAnsiTheme="minorEastAsia" w:eastAsiaTheme="minorEastAsia" w:cstheme="minorEastAsia"/>
          <w:bCs/>
          <w:color w:val="auto"/>
          <w:sz w:val="21"/>
          <w:szCs w:val="21"/>
          <w:highlight w:val="none"/>
          <w:lang w:eastAsia="zh-CN"/>
        </w:rPr>
        <w:t>（盖单位公章）</w:t>
      </w:r>
    </w:p>
    <w:p>
      <w:pPr>
        <w:snapToGrid w:val="0"/>
        <w:spacing w:after="50" w:line="360" w:lineRule="exact"/>
        <w:ind w:firstLine="630" w:firstLineChars="3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投标人地址：</w:t>
      </w:r>
      <w:r>
        <w:rPr>
          <w:rFonts w:hint="eastAsia" w:asciiTheme="minorEastAsia" w:hAnsiTheme="minorEastAsia" w:eastAsiaTheme="minorEastAsia" w:cstheme="minorEastAsia"/>
          <w:bCs/>
          <w:color w:val="auto"/>
          <w:sz w:val="21"/>
          <w:szCs w:val="21"/>
          <w:highlight w:val="none"/>
          <w:u w:val="single"/>
          <w:lang w:eastAsia="zh-CN"/>
        </w:rPr>
        <w:t xml:space="preserve">                       </w:t>
      </w:r>
      <w:r>
        <w:rPr>
          <w:rFonts w:hint="eastAsia" w:asciiTheme="minorEastAsia" w:hAnsiTheme="minorEastAsia" w:eastAsiaTheme="minorEastAsia" w:cstheme="minorEastAsia"/>
          <w:bCs/>
          <w:color w:val="auto"/>
          <w:sz w:val="21"/>
          <w:szCs w:val="21"/>
          <w:highlight w:val="none"/>
          <w:lang w:eastAsia="zh-CN"/>
        </w:rPr>
        <w:t xml:space="preserve"> </w:t>
      </w:r>
    </w:p>
    <w:p>
      <w:pPr>
        <w:snapToGrid w:val="0"/>
        <w:spacing w:after="50" w:line="360" w:lineRule="exact"/>
        <w:jc w:val="center"/>
        <w:outlineLvl w:val="9"/>
        <w:rPr>
          <w:rFonts w:hint="eastAsia" w:asciiTheme="minorEastAsia" w:hAnsiTheme="minorEastAsia" w:eastAsiaTheme="minorEastAsia" w:cstheme="minorEastAsia"/>
          <w:bCs/>
          <w:color w:val="auto"/>
          <w:sz w:val="21"/>
          <w:szCs w:val="21"/>
          <w:highlight w:val="none"/>
          <w:lang w:eastAsia="zh-CN"/>
        </w:rPr>
      </w:pPr>
    </w:p>
    <w:p>
      <w:pPr>
        <w:bidi w:val="0"/>
        <w:ind w:firstLine="2800" w:firstLineChars="1400"/>
        <w:rPr>
          <w:rFonts w:hint="eastAsia"/>
          <w:color w:val="auto"/>
          <w:highlight w:val="none"/>
          <w:lang w:eastAsia="zh-CN"/>
        </w:rPr>
      </w:pPr>
      <w:r>
        <w:rPr>
          <w:rFonts w:hint="eastAsia"/>
          <w:color w:val="auto"/>
          <w:highlight w:val="none"/>
          <w:lang w:eastAsia="zh-CN"/>
        </w:rPr>
        <w:t xml:space="preserve">                                     年    月    日</w:t>
      </w:r>
      <w:bookmarkStart w:id="193" w:name="_Toc254970557"/>
      <w:bookmarkStart w:id="194" w:name="_Toc254970698"/>
    </w:p>
    <w:p>
      <w:pPr>
        <w:snapToGrid w:val="0"/>
        <w:spacing w:after="50" w:line="360" w:lineRule="exact"/>
        <w:ind w:firstLine="420" w:firstLineChars="200"/>
        <w:jc w:val="left"/>
        <w:outlineLvl w:val="9"/>
        <w:rPr>
          <w:rFonts w:hint="eastAsia" w:asciiTheme="minorEastAsia" w:hAnsiTheme="minorEastAsia" w:eastAsiaTheme="minorEastAsia" w:cstheme="minorEastAsia"/>
          <w:bCs/>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br w:type="page"/>
      </w: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color w:val="auto"/>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二、投标文件</w:t>
      </w:r>
      <w:bookmarkEnd w:id="193"/>
      <w:bookmarkEnd w:id="194"/>
      <w:r>
        <w:rPr>
          <w:rFonts w:hint="eastAsia" w:asciiTheme="minorEastAsia" w:hAnsiTheme="minorEastAsia" w:eastAsiaTheme="minorEastAsia" w:cstheme="minorEastAsia"/>
          <w:b/>
          <w:color w:val="auto"/>
          <w:sz w:val="32"/>
          <w:szCs w:val="32"/>
          <w:highlight w:val="none"/>
          <w:lang w:eastAsia="zh-CN"/>
        </w:rPr>
        <w:t>目录</w:t>
      </w:r>
    </w:p>
    <w:p>
      <w:pPr>
        <w:wordWrap w:val="0"/>
        <w:topLinePunct/>
        <w:adjustRightInd w:val="0"/>
        <w:snapToGrid w:val="0"/>
        <w:spacing w:line="340" w:lineRule="exact"/>
        <w:ind w:firstLine="240" w:firstLineChars="100"/>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4"/>
          <w:szCs w:val="11"/>
          <w:highlight w:val="none"/>
          <w:lang w:eastAsia="zh-CN"/>
        </w:rPr>
        <w:t>（</w:t>
      </w:r>
      <w:r>
        <w:rPr>
          <w:rFonts w:hint="eastAsia" w:asciiTheme="minorEastAsia" w:hAnsiTheme="minorEastAsia" w:eastAsiaTheme="minorEastAsia" w:cstheme="minorEastAsia"/>
          <w:color w:val="auto"/>
          <w:highlight w:val="none"/>
          <w:lang w:eastAsia="zh-CN"/>
        </w:rPr>
        <w:t>投标人应按下列顺序自编目录及页码</w:t>
      </w:r>
      <w:r>
        <w:rPr>
          <w:rFonts w:hint="eastAsia" w:asciiTheme="minorEastAsia" w:hAnsiTheme="minorEastAsia" w:eastAsiaTheme="minorEastAsia" w:cstheme="minorEastAsia"/>
          <w:color w:val="auto"/>
          <w:sz w:val="24"/>
          <w:szCs w:val="11"/>
          <w:highlight w:val="none"/>
          <w:lang w:eastAsia="zh-CN"/>
        </w:rPr>
        <w:t>）</w:t>
      </w:r>
    </w:p>
    <w:p>
      <w:pPr>
        <w:pStyle w:val="21"/>
        <w:jc w:val="center"/>
        <w:rPr>
          <w:rFonts w:hint="eastAsia" w:asciiTheme="minorEastAsia" w:hAnsiTheme="minorEastAsia" w:eastAsiaTheme="minorEastAsia" w:cstheme="minorEastAsia"/>
          <w:b/>
          <w:bCs/>
          <w:color w:val="auto"/>
          <w:sz w:val="24"/>
          <w:szCs w:val="11"/>
          <w:highlight w:val="none"/>
        </w:rPr>
      </w:pPr>
      <w:r>
        <w:rPr>
          <w:rFonts w:hint="eastAsia" w:asciiTheme="minorEastAsia" w:hAnsiTheme="minorEastAsia" w:eastAsiaTheme="minorEastAsia" w:cstheme="minorEastAsia"/>
          <w:b/>
          <w:bCs/>
          <w:color w:val="auto"/>
          <w:sz w:val="24"/>
          <w:szCs w:val="11"/>
          <w:highlight w:val="none"/>
        </w:rPr>
        <w:t>资格文件目录</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提供开户许可证或财务制度或2023年度财务审计报告或2024年度财务审计报告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adjustRightInd w:val="0"/>
        <w:snapToGrid w:val="0"/>
        <w:spacing w:line="360" w:lineRule="exact"/>
        <w:ind w:firstLine="210" w:firstLineChars="1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提供具备履行合同所必需的设备和专业技术能力的证明材料或书面承诺函（投标资格声明函（格式后附））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 xml:space="preserve">（必须提供，否则作无效投标处理）   </w:t>
      </w:r>
    </w:p>
    <w:p>
      <w:pPr>
        <w:adjustRightInd w:val="0"/>
        <w:snapToGrid w:val="0"/>
        <w:spacing w:line="360" w:lineRule="exact"/>
        <w:ind w:firstLine="210" w:firstLineChars="1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提供 2025 年3月至开标截止时间任意 1 个月依法缴纳税收和社会保障资金的缴纳凭证</w:t>
      </w:r>
      <w:r>
        <w:rPr>
          <w:rFonts w:hint="eastAsia" w:asciiTheme="minorEastAsia" w:hAnsiTheme="minorEastAsia" w:eastAsiaTheme="minorEastAsia" w:cstheme="minorEastAsia"/>
          <w:color w:val="auto"/>
          <w:sz w:val="21"/>
          <w:szCs w:val="21"/>
          <w:highlight w:val="none"/>
          <w:lang w:eastAsia="zh-CN"/>
        </w:rPr>
        <w:t>（专用收据或者社会保险缴纳清单）复印件并加盖公章；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adjustRightInd w:val="0"/>
        <w:snapToGrid w:val="0"/>
        <w:spacing w:line="360" w:lineRule="exact"/>
        <w:ind w:firstLine="210" w:firstLineChars="1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val="en-US" w:eastAsia="zh-CN"/>
        </w:rPr>
        <w:t>在“信用中国”网站（www.creditchina.gov.cn）、“中国政府采购网”（www.ccgp.gov.cn）等渠道查询失信被执行人名单、重大税收违法失信主体、政府采购严重违法失信行为记录等查询结果截图并加盖公章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adjustRightInd w:val="0"/>
        <w:snapToGrid w:val="0"/>
        <w:spacing w:line="360" w:lineRule="exact"/>
        <w:ind w:firstLine="210" w:firstLineChars="1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lang w:val="en-US" w:eastAsia="zh-CN"/>
        </w:rPr>
        <w:t>提供</w:t>
      </w:r>
      <w:r>
        <w:rPr>
          <w:rFonts w:hint="default" w:asciiTheme="minorEastAsia" w:hAnsiTheme="minorEastAsia" w:eastAsiaTheme="minorEastAsia" w:cstheme="minorEastAsia"/>
          <w:color w:val="auto"/>
          <w:sz w:val="21"/>
          <w:szCs w:val="21"/>
          <w:highlight w:val="none"/>
          <w:lang w:val="en-US" w:eastAsia="zh-CN"/>
        </w:rPr>
        <w:t>投标声明函（格式后附）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提供中小企业声明函</w:t>
      </w:r>
      <w:r>
        <w:rPr>
          <w:rFonts w:hint="default" w:asciiTheme="minorEastAsia" w:hAnsiTheme="minorEastAsia" w:eastAsiaTheme="minorEastAsia" w:cstheme="minorEastAsia"/>
          <w:color w:val="auto"/>
          <w:sz w:val="21"/>
          <w:szCs w:val="21"/>
          <w:highlight w:val="none"/>
          <w:lang w:val="en-US" w:eastAsia="zh-CN"/>
        </w:rPr>
        <w:t>（格式后附）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eastAsia="zh-CN"/>
        </w:rPr>
        <w:t>（</w:t>
      </w:r>
      <w:r>
        <w:rPr>
          <w:rFonts w:hint="default" w:asciiTheme="minorEastAsia" w:hAnsiTheme="minorEastAsia" w:eastAsiaTheme="minorEastAsia" w:cstheme="minorEastAsia"/>
          <w:b/>
          <w:bCs/>
          <w:color w:val="auto"/>
          <w:sz w:val="21"/>
          <w:szCs w:val="21"/>
          <w:highlight w:val="none"/>
          <w:lang w:val="en-US" w:eastAsia="zh-CN"/>
        </w:rPr>
        <w:t>必须提供，否则作无效投标处理</w:t>
      </w:r>
      <w:r>
        <w:rPr>
          <w:rFonts w:hint="eastAsia" w:asciiTheme="minorEastAsia" w:hAnsiTheme="minorEastAsia" w:eastAsiaTheme="minorEastAsia" w:cstheme="minorEastAsia"/>
          <w:b/>
          <w:bCs/>
          <w:color w:val="auto"/>
          <w:sz w:val="21"/>
          <w:szCs w:val="21"/>
          <w:highlight w:val="none"/>
          <w:lang w:eastAsia="zh-CN"/>
        </w:rPr>
        <w:t>）</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）投标人股东及出资信息表、管理关系信息表（格式后附）；</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）投标保证金缴纳证明材料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（必须提供，否则作无效投标处理）</w:t>
      </w:r>
    </w:p>
    <w:p>
      <w:pPr>
        <w:wordWrap w:val="0"/>
        <w:overflowPunct w:val="0"/>
        <w:topLinePunct/>
        <w:spacing w:line="360" w:lineRule="exact"/>
        <w:ind w:firstLine="210" w:firstLineChars="1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）除招标文件规定必须提供以外，投标人认为需要提供的其他证明材料。</w:t>
      </w: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27"/>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注：供应商在广西政府采购云平台新版客户端编制资格文件时，可在营业执照处同时上传资格文件封面及目录。</w:t>
      </w: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21"/>
        <w:jc w:val="center"/>
        <w:rPr>
          <w:rFonts w:hint="eastAsia" w:asciiTheme="minorEastAsia" w:hAnsiTheme="minorEastAsia" w:eastAsiaTheme="minorEastAsia" w:cstheme="minorEastAsia"/>
          <w:b/>
          <w:bCs/>
          <w:color w:val="auto"/>
          <w:sz w:val="24"/>
          <w:szCs w:val="11"/>
          <w:highlight w:val="none"/>
        </w:rPr>
      </w:pPr>
      <w:r>
        <w:rPr>
          <w:rFonts w:hint="eastAsia" w:asciiTheme="minorEastAsia" w:hAnsiTheme="minorEastAsia" w:eastAsiaTheme="minorEastAsia" w:cstheme="minorEastAsia"/>
          <w:b/>
          <w:bCs/>
          <w:color w:val="auto"/>
          <w:sz w:val="24"/>
          <w:szCs w:val="11"/>
          <w:highlight w:val="none"/>
        </w:rPr>
        <w:t>报价文件目录</w:t>
      </w:r>
    </w:p>
    <w:p>
      <w:pPr>
        <w:pStyle w:val="27"/>
        <w:rPr>
          <w:rFonts w:hint="eastAsia" w:asciiTheme="minorEastAsia" w:hAnsiTheme="minorEastAsia" w:eastAsiaTheme="minorEastAsia" w:cstheme="minorEastAsia"/>
          <w:color w:val="auto"/>
          <w:sz w:val="21"/>
          <w:szCs w:val="21"/>
          <w:highlight w:val="none"/>
          <w:lang w:eastAsia="zh-CN"/>
        </w:rPr>
      </w:pPr>
    </w:p>
    <w:p>
      <w:pPr>
        <w:tabs>
          <w:tab w:val="left" w:pos="1276"/>
          <w:tab w:val="left" w:pos="3870"/>
          <w:tab w:val="left" w:pos="4085"/>
        </w:tabs>
        <w:wordWrap w:val="0"/>
        <w:overflowPunct w:val="0"/>
        <w:topLinePunct/>
        <w:spacing w:line="360" w:lineRule="exact"/>
        <w:ind w:firstLine="630" w:firstLineChars="3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（1）投标函</w:t>
      </w:r>
      <w:r>
        <w:rPr>
          <w:rFonts w:hint="eastAsia" w:asciiTheme="minorEastAsia" w:hAnsiTheme="minorEastAsia" w:eastAsiaTheme="minorEastAsia" w:cstheme="minorEastAsia"/>
          <w:b/>
          <w:color w:val="auto"/>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 xml:space="preserve">； </w:t>
      </w:r>
    </w:p>
    <w:p>
      <w:pPr>
        <w:tabs>
          <w:tab w:val="left" w:pos="3870"/>
          <w:tab w:val="left" w:pos="4085"/>
        </w:tabs>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）开标一览表</w:t>
      </w:r>
      <w:r>
        <w:rPr>
          <w:rFonts w:hint="eastAsia" w:asciiTheme="minorEastAsia" w:hAnsiTheme="minorEastAsia" w:eastAsiaTheme="minorEastAsia" w:cstheme="minorEastAsia"/>
          <w:b/>
          <w:color w:val="auto"/>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w:t>
      </w:r>
    </w:p>
    <w:p>
      <w:pPr>
        <w:pStyle w:val="56"/>
        <w:wordWrap w:val="0"/>
        <w:overflowPunct w:val="0"/>
        <w:topLinePunct/>
        <w:ind w:firstLine="46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）投标人针对报价需要说明的其他文件和说明</w:t>
      </w:r>
      <w:r>
        <w:rPr>
          <w:rFonts w:hint="eastAsia" w:asciiTheme="minorEastAsia" w:hAnsiTheme="minorEastAsia" w:eastAsiaTheme="minorEastAsia" w:cstheme="minorEastAsia"/>
          <w:b/>
          <w:bCs w:val="0"/>
          <w:color w:val="auto"/>
          <w:sz w:val="21"/>
          <w:szCs w:val="21"/>
          <w:highlight w:val="none"/>
          <w:lang w:eastAsia="zh-CN"/>
        </w:rPr>
        <w:t>（格式自拟）</w:t>
      </w:r>
      <w:r>
        <w:rPr>
          <w:rFonts w:hint="eastAsia" w:asciiTheme="minorEastAsia" w:hAnsiTheme="minorEastAsia" w:eastAsiaTheme="minorEastAsia" w:cstheme="minorEastAsia"/>
          <w:color w:val="auto"/>
          <w:sz w:val="21"/>
          <w:szCs w:val="21"/>
          <w:highlight w:val="none"/>
          <w:lang w:eastAsia="zh-CN"/>
        </w:rPr>
        <w:t>；</w:t>
      </w:r>
    </w:p>
    <w:p>
      <w:pPr>
        <w:tabs>
          <w:tab w:val="left" w:pos="1276"/>
          <w:tab w:val="left" w:pos="3870"/>
          <w:tab w:val="left" w:pos="4085"/>
        </w:tabs>
        <w:wordWrap w:val="0"/>
        <w:overflowPunct w:val="0"/>
        <w:topLinePunct/>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57"/>
        <w:rPr>
          <w:rFonts w:hint="eastAsia" w:asciiTheme="minorEastAsia" w:hAnsiTheme="minorEastAsia" w:eastAsiaTheme="minorEastAsia" w:cstheme="minorEastAsia"/>
          <w:color w:val="auto"/>
          <w:sz w:val="21"/>
          <w:szCs w:val="21"/>
          <w:highlight w:val="none"/>
        </w:rPr>
      </w:pPr>
    </w:p>
    <w:p>
      <w:pPr>
        <w:pStyle w:val="21"/>
        <w:jc w:val="center"/>
        <w:rPr>
          <w:rFonts w:hint="eastAsia" w:asciiTheme="minorEastAsia" w:hAnsiTheme="minorEastAsia" w:eastAsiaTheme="minorEastAsia" w:cstheme="minorEastAsia"/>
          <w:b/>
          <w:bCs/>
          <w:color w:val="auto"/>
          <w:sz w:val="24"/>
          <w:szCs w:val="11"/>
          <w:highlight w:val="none"/>
        </w:rPr>
      </w:pPr>
      <w:r>
        <w:rPr>
          <w:rFonts w:hint="eastAsia" w:asciiTheme="minorEastAsia" w:hAnsiTheme="minorEastAsia" w:eastAsiaTheme="minorEastAsia" w:cstheme="minorEastAsia"/>
          <w:b/>
          <w:bCs/>
          <w:color w:val="auto"/>
          <w:sz w:val="24"/>
          <w:szCs w:val="11"/>
          <w:highlight w:val="none"/>
        </w:rPr>
        <w:t>商务技术文件目录</w:t>
      </w:r>
    </w:p>
    <w:p>
      <w:pPr>
        <w:pStyle w:val="56"/>
        <w:wordWrap w:val="0"/>
        <w:overflowPunct w:val="0"/>
        <w:topLinePunct/>
        <w:ind w:firstLine="460" w:firstLineChars="200"/>
        <w:rPr>
          <w:rFonts w:hint="eastAsia" w:asciiTheme="minorEastAsia" w:hAnsiTheme="minorEastAsia" w:eastAsiaTheme="minorEastAsia" w:cstheme="minorEastAsia"/>
          <w:color w:val="auto"/>
          <w:sz w:val="21"/>
          <w:szCs w:val="21"/>
          <w:highlight w:val="none"/>
          <w:lang w:eastAsia="zh-CN"/>
        </w:rPr>
      </w:pP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（一）商务文件</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（1）无串通投标行为的承诺函 </w:t>
      </w:r>
      <w:r>
        <w:rPr>
          <w:rFonts w:hint="eastAsia" w:asciiTheme="minorEastAsia" w:hAnsiTheme="minorEastAsia" w:eastAsiaTheme="minorEastAsia" w:cstheme="minorEastAsia"/>
          <w:b/>
          <w:color w:val="auto"/>
          <w:sz w:val="21"/>
          <w:szCs w:val="21"/>
          <w:highlight w:val="none"/>
          <w:lang w:eastAsia="zh-CN"/>
        </w:rPr>
        <w:t>(必须提供)；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（2）法定代表人资格证明书及身份证复印件</w:t>
      </w:r>
      <w:r>
        <w:rPr>
          <w:rFonts w:hint="eastAsia" w:asciiTheme="minorEastAsia" w:hAnsiTheme="minorEastAsia" w:eastAsiaTheme="minorEastAsia" w:cstheme="minorEastAsia"/>
          <w:b/>
          <w:bCs/>
          <w:color w:val="auto"/>
          <w:sz w:val="21"/>
          <w:szCs w:val="21"/>
          <w:highlight w:val="none"/>
          <w:lang w:eastAsia="zh-CN"/>
        </w:rPr>
        <w:t>（必须提供）；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（3）法定代表人授权委托书和委托代理人身份证复印件</w:t>
      </w:r>
      <w:r>
        <w:rPr>
          <w:rFonts w:hint="eastAsia" w:asciiTheme="minorEastAsia" w:hAnsiTheme="minorEastAsia" w:eastAsiaTheme="minorEastAsia" w:cstheme="minorEastAsia"/>
          <w:b/>
          <w:bCs/>
          <w:color w:val="auto"/>
          <w:sz w:val="21"/>
          <w:szCs w:val="21"/>
          <w:highlight w:val="none"/>
          <w:lang w:eastAsia="zh-CN"/>
        </w:rPr>
        <w:t>（委托代理时必须提供）；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（4）商务响应表</w:t>
      </w:r>
      <w:r>
        <w:rPr>
          <w:rFonts w:hint="eastAsia" w:asciiTheme="minorEastAsia" w:hAnsiTheme="minorEastAsia" w:eastAsiaTheme="minorEastAsia" w:cstheme="minorEastAsia"/>
          <w:b/>
          <w:color w:val="auto"/>
          <w:sz w:val="21"/>
          <w:szCs w:val="21"/>
          <w:highlight w:val="none"/>
          <w:lang w:eastAsia="zh-CN"/>
        </w:rPr>
        <w:t>(必须提供)；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）投标人认为针对本项目需要提供的其他材料等</w:t>
      </w:r>
      <w:r>
        <w:rPr>
          <w:rFonts w:hint="eastAsia" w:asciiTheme="minorEastAsia" w:hAnsiTheme="minorEastAsia" w:eastAsiaTheme="minorEastAsia" w:cstheme="minorEastAsia"/>
          <w:b/>
          <w:bCs/>
          <w:color w:val="auto"/>
          <w:sz w:val="21"/>
          <w:szCs w:val="21"/>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p>
    <w:p>
      <w:pPr>
        <w:wordWrap w:val="0"/>
        <w:topLinePunct/>
        <w:adjustRightInd w:val="0"/>
        <w:snapToGrid w:val="0"/>
        <w:spacing w:line="36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（二）技术文件</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（1）技术响应表</w:t>
      </w:r>
      <w:r>
        <w:rPr>
          <w:rFonts w:hint="eastAsia" w:asciiTheme="minorEastAsia" w:hAnsiTheme="minorEastAsia" w:eastAsiaTheme="minorEastAsia" w:cstheme="minorEastAsia"/>
          <w:b/>
          <w:color w:val="auto"/>
          <w:sz w:val="21"/>
          <w:szCs w:val="21"/>
          <w:highlight w:val="none"/>
          <w:lang w:eastAsia="zh-CN"/>
        </w:rPr>
        <w:t>(必须提供)；</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（2）项目实施方案（供应商应根据评标办法及评分标准提供，格式自拟</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培训方案</w:t>
      </w:r>
      <w:r>
        <w:rPr>
          <w:rFonts w:hint="eastAsia" w:asciiTheme="minorEastAsia" w:hAnsiTheme="minorEastAsia" w:eastAsiaTheme="minorEastAsia" w:cstheme="minorEastAsia"/>
          <w:color w:val="auto"/>
          <w:sz w:val="21"/>
          <w:szCs w:val="21"/>
          <w:highlight w:val="none"/>
          <w:lang w:eastAsia="zh-CN"/>
        </w:rPr>
        <w:t>（供应商应根据评标办法及评分标准提供，格式自拟</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）售后服务</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lang w:eastAsia="zh-CN"/>
        </w:rPr>
        <w:t>（供应商应根据评标办法及评分标准提供，格式自拟，</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 xml:space="preserve">）产品质量保证书(必须提供)； </w:t>
      </w:r>
    </w:p>
    <w:p>
      <w:pPr>
        <w:wordWrap w:val="0"/>
        <w:topLinePunct/>
        <w:adjustRightInd w:val="0"/>
        <w:snapToGrid w:val="0"/>
        <w:spacing w:line="360" w:lineRule="exact"/>
        <w:ind w:firstLine="420" w:firstLineChars="200"/>
        <w:jc w:val="lef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）投标人认为针对本项目需要提供的其他材料等。</w:t>
      </w:r>
    </w:p>
    <w:p>
      <w:pPr>
        <w:pStyle w:val="27"/>
        <w:rPr>
          <w:rFonts w:hint="eastAsia" w:asciiTheme="minorEastAsia" w:hAnsiTheme="minorEastAsia" w:eastAsiaTheme="minorEastAsia" w:cstheme="minorEastAsia"/>
          <w:b/>
          <w:bCs/>
          <w:color w:val="auto"/>
          <w:szCs w:val="11"/>
          <w:highlight w:val="none"/>
          <w:lang w:eastAsia="zh-CN"/>
        </w:rPr>
      </w:pPr>
    </w:p>
    <w:p>
      <w:pPr>
        <w:rPr>
          <w:rFonts w:hint="eastAsia" w:asciiTheme="minorEastAsia" w:hAnsiTheme="minorEastAsia" w:eastAsiaTheme="minorEastAsia" w:cstheme="minorEastAsia"/>
          <w:b/>
          <w:bCs/>
          <w:color w:val="auto"/>
          <w:szCs w:val="11"/>
          <w:highlight w:val="none"/>
          <w:lang w:eastAsia="zh-CN"/>
        </w:rPr>
      </w:pPr>
    </w:p>
    <w:p>
      <w:pPr>
        <w:pStyle w:val="56"/>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56"/>
        <w:rPr>
          <w:rFonts w:hint="eastAsia" w:asciiTheme="minorEastAsia" w:hAnsiTheme="minorEastAsia" w:eastAsiaTheme="minorEastAsia" w:cstheme="minorEastAsia"/>
          <w:b/>
          <w:color w:val="auto"/>
          <w:sz w:val="32"/>
          <w:szCs w:val="32"/>
          <w:highlight w:val="none"/>
          <w:lang w:eastAsia="zh-CN"/>
        </w:rPr>
      </w:pPr>
    </w:p>
    <w:p>
      <w:pPr>
        <w:pStyle w:val="18"/>
        <w:rPr>
          <w:rFonts w:hint="eastAsia" w:asciiTheme="minorEastAsia" w:hAnsiTheme="minorEastAsia" w:eastAsiaTheme="minorEastAsia" w:cstheme="minorEastAsia"/>
          <w:color w:val="auto"/>
          <w:sz w:val="32"/>
          <w:szCs w:val="32"/>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三、投标文件格式</w:t>
      </w:r>
    </w:p>
    <w:p>
      <w:pPr>
        <w:snapToGrid w:val="0"/>
        <w:spacing w:line="360" w:lineRule="exact"/>
        <w:jc w:val="left"/>
        <w:rPr>
          <w:rFonts w:hint="eastAsia" w:asciiTheme="minorEastAsia" w:hAnsiTheme="minorEastAsia" w:eastAsiaTheme="minorEastAsia" w:cstheme="minorEastAsia"/>
          <w:b/>
          <w:color w:val="auto"/>
          <w:sz w:val="21"/>
          <w:szCs w:val="21"/>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21"/>
          <w:szCs w:val="21"/>
          <w:highlight w:val="none"/>
          <w:u w:val="double"/>
          <w:lang w:eastAsia="zh-CN"/>
        </w:rPr>
      </w:pPr>
      <w:r>
        <w:rPr>
          <w:rFonts w:hint="eastAsia" w:asciiTheme="minorEastAsia" w:hAnsiTheme="minorEastAsia" w:eastAsiaTheme="minorEastAsia" w:cstheme="minorEastAsia"/>
          <w:b/>
          <w:color w:val="auto"/>
          <w:sz w:val="21"/>
          <w:szCs w:val="21"/>
          <w:highlight w:val="none"/>
          <w:u w:val="double"/>
          <w:lang w:eastAsia="zh-CN"/>
        </w:rPr>
        <w:t>（一）</w:t>
      </w:r>
      <w:r>
        <w:rPr>
          <w:rFonts w:hint="eastAsia" w:asciiTheme="minorEastAsia" w:hAnsiTheme="minorEastAsia" w:eastAsiaTheme="minorEastAsia" w:cstheme="minorEastAsia"/>
          <w:b/>
          <w:bCs/>
          <w:color w:val="auto"/>
          <w:sz w:val="21"/>
          <w:szCs w:val="21"/>
          <w:highlight w:val="none"/>
          <w:u w:val="double"/>
          <w:lang w:eastAsia="zh-CN"/>
        </w:rPr>
        <w:t>资格文件部分（格式）</w:t>
      </w:r>
    </w:p>
    <w:p>
      <w:pPr>
        <w:snapToGrid w:val="0"/>
        <w:spacing w:line="360" w:lineRule="exact"/>
        <w:jc w:val="left"/>
        <w:rPr>
          <w:rFonts w:hint="eastAsia" w:asciiTheme="minorEastAsia" w:hAnsiTheme="minorEastAsia" w:eastAsiaTheme="minorEastAsia" w:cstheme="minorEastAsia"/>
          <w:b/>
          <w:color w:val="auto"/>
          <w:sz w:val="21"/>
          <w:szCs w:val="21"/>
          <w:highlight w:val="none"/>
          <w:lang w:eastAsia="zh-CN"/>
        </w:rPr>
      </w:pPr>
    </w:p>
    <w:p>
      <w:pPr>
        <w:widowControl/>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sz w:val="31"/>
          <w:szCs w:val="31"/>
          <w:highlight w:val="none"/>
          <w:lang w:eastAsia="zh-CN" w:bidi="ar"/>
        </w:rPr>
        <w:t>投标资格声明函</w:t>
      </w:r>
    </w:p>
    <w:p>
      <w:pPr>
        <w:snapToGrid w:val="0"/>
        <w:spacing w:line="360" w:lineRule="auto"/>
        <w:jc w:val="left"/>
        <w:rPr>
          <w:rFonts w:hint="eastAsia" w:asciiTheme="minorEastAsia" w:hAnsiTheme="minorEastAsia" w:eastAsiaTheme="minorEastAsia" w:cstheme="minorEastAsia"/>
          <w:bCs/>
          <w:color w:val="auto"/>
          <w:sz w:val="24"/>
          <w:szCs w:val="24"/>
          <w:highlight w:val="none"/>
          <w:lang w:eastAsia="zh-CN" w:bidi="ar"/>
        </w:rPr>
      </w:pPr>
    </w:p>
    <w:p>
      <w:pPr>
        <w:snapToGrid w:val="0"/>
        <w:spacing w:line="312"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致：</w:t>
      </w:r>
      <w:r>
        <w:rPr>
          <w:rFonts w:hint="eastAsia" w:asciiTheme="minorEastAsia" w:hAnsiTheme="minorEastAsia" w:eastAsiaTheme="minorEastAsia" w:cstheme="minorEastAsia"/>
          <w:bCs/>
          <w:color w:val="auto"/>
          <w:sz w:val="21"/>
          <w:szCs w:val="21"/>
          <w:highlight w:val="none"/>
          <w:u w:val="single"/>
          <w:lang w:eastAsia="zh-CN" w:bidi="ar"/>
        </w:rPr>
        <w:t xml:space="preserve">                </w:t>
      </w:r>
      <w:r>
        <w:rPr>
          <w:rFonts w:hint="eastAsia" w:asciiTheme="minorEastAsia" w:hAnsiTheme="minorEastAsia" w:eastAsiaTheme="minorEastAsia" w:cstheme="minorEastAsia"/>
          <w:bCs/>
          <w:color w:val="auto"/>
          <w:sz w:val="21"/>
          <w:szCs w:val="21"/>
          <w:highlight w:val="none"/>
          <w:lang w:eastAsia="zh-CN" w:bidi="ar"/>
        </w:rPr>
        <w:t xml:space="preserve">（采购代理机构名称）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我方愿意参加贵方组织的</w:t>
      </w:r>
      <w:r>
        <w:rPr>
          <w:rFonts w:hint="eastAsia" w:asciiTheme="minorEastAsia" w:hAnsiTheme="minorEastAsia" w:eastAsiaTheme="minorEastAsia" w:cstheme="minorEastAsia"/>
          <w:bCs/>
          <w:color w:val="auto"/>
          <w:sz w:val="21"/>
          <w:szCs w:val="21"/>
          <w:highlight w:val="none"/>
          <w:u w:val="single"/>
          <w:lang w:eastAsia="zh-CN" w:bidi="ar"/>
        </w:rPr>
        <w:t xml:space="preserve">         (项目名称)      </w:t>
      </w:r>
      <w:r>
        <w:rPr>
          <w:rFonts w:hint="eastAsia" w:asciiTheme="minorEastAsia" w:hAnsiTheme="minorEastAsia" w:eastAsiaTheme="minorEastAsia" w:cstheme="minorEastAsia"/>
          <w:bCs/>
          <w:color w:val="auto"/>
          <w:sz w:val="21"/>
          <w:szCs w:val="21"/>
          <w:highlight w:val="none"/>
          <w:lang w:eastAsia="zh-CN" w:bidi="ar"/>
        </w:rPr>
        <w:t>（项目编号：</w:t>
      </w:r>
      <w:r>
        <w:rPr>
          <w:rFonts w:hint="eastAsia" w:asciiTheme="minorEastAsia" w:hAnsiTheme="minorEastAsia" w:eastAsiaTheme="minorEastAsia" w:cstheme="minorEastAsia"/>
          <w:bCs/>
          <w:color w:val="auto"/>
          <w:sz w:val="21"/>
          <w:szCs w:val="21"/>
          <w:highlight w:val="none"/>
          <w:u w:val="single"/>
          <w:lang w:eastAsia="zh-CN" w:bidi="ar"/>
        </w:rPr>
        <w:t xml:space="preserve">           </w:t>
      </w:r>
      <w:r>
        <w:rPr>
          <w:rFonts w:hint="eastAsia" w:asciiTheme="minorEastAsia" w:hAnsiTheme="minorEastAsia" w:eastAsiaTheme="minorEastAsia" w:cstheme="minorEastAsia"/>
          <w:bCs/>
          <w:color w:val="auto"/>
          <w:sz w:val="21"/>
          <w:szCs w:val="21"/>
          <w:highlight w:val="none"/>
          <w:lang w:eastAsia="zh-CN" w:bidi="ar"/>
        </w:rPr>
        <w:t xml:space="preserve">）项目的投标，为便于贵方公正、择优地确定中标人，我方就本次投标有关事项郑重声明如下：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1.我方承诺已经具备《中华人民共和国政府采购法》第二十二条中规定的参加政府采购活动的供应商应当具备的条件：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（1）具有独立承担民事责任的能力；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（2）具有良好的商业信誉和健全的财务会计制度；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（3）具有履行合同所必需的设备和专业技术能力；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（4）有依法缴纳税收和社会保障资金的良好记录；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（5）参加政府采购活动前三年内，在经营活动中没有重大违法记录；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（6）法律、行政法规规定的其他条件。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2. 我方不是采购人的附属机构；不是为本次采购项目提供整体设计、规范编制或者项目管理、监理、检测等货物的供应商；在获知本项目采购信息后，与采购人聘请的为此项目提供咨询服务的公司及其附属机构没有任何联系。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3.经查询，在“信用中国”和“中国政府采购网”网站我方未被列入失信被执行人、重大税收违法案件当事人名单、政府采购严重违法失信行为记录名单。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4.以上事项如有虚假或隐瞒，我方愿意承担一切后果，并不再寻求任何旨在减轻或免除法律责任的辩解。 </w:t>
      </w:r>
    </w:p>
    <w:p>
      <w:pPr>
        <w:snapToGrid w:val="0"/>
        <w:spacing w:line="312"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说明：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1.投标人应当通过 “信用中国”（www.creditchina.gov.cn）和“中国政府采购网”网站（www.ccgp.gov.cn）查询投标人相关主体的信用记录。查询时间为本项目投标截止时间前 10 日至 </w:t>
      </w:r>
    </w:p>
    <w:p>
      <w:pPr>
        <w:snapToGrid w:val="0"/>
        <w:spacing w:line="312"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投标截止时间中任意一天。对列入失信被执行人、重大税收违法案件当事人名单、政府采购严重违法失信行为记录名单的投标人，将被拒绝参与本项目政府采购活动。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bidi="ar"/>
        </w:rPr>
        <w:t xml:space="preserve">2.两个以上的自然人、法人或者其他组织组成一个联合体，以一个供应商的身份共同参加政府采购活动的，应当对所有联合体成员进行信用记录查询，联合体成员存在不良信用记录的，视同联合体存在不良信用记录。 </w:t>
      </w:r>
    </w:p>
    <w:p>
      <w:pPr>
        <w:snapToGrid w:val="0"/>
        <w:spacing w:line="312" w:lineRule="auto"/>
        <w:ind w:firstLine="420" w:firstLineChars="200"/>
        <w:jc w:val="left"/>
        <w:rPr>
          <w:rFonts w:hint="eastAsia" w:asciiTheme="minorEastAsia" w:hAnsiTheme="minorEastAsia" w:eastAsiaTheme="minorEastAsia" w:cstheme="minorEastAsia"/>
          <w:bCs/>
          <w:color w:val="auto"/>
          <w:sz w:val="21"/>
          <w:szCs w:val="21"/>
          <w:highlight w:val="none"/>
          <w:lang w:eastAsia="zh-CN" w:bidi="ar"/>
        </w:rPr>
      </w:pPr>
      <w:r>
        <w:rPr>
          <w:rFonts w:hint="eastAsia" w:asciiTheme="minorEastAsia" w:hAnsiTheme="minorEastAsia" w:eastAsiaTheme="minorEastAsia" w:cstheme="minorEastAsia"/>
          <w:bCs/>
          <w:color w:val="auto"/>
          <w:sz w:val="21"/>
          <w:szCs w:val="21"/>
          <w:highlight w:val="none"/>
          <w:lang w:eastAsia="zh-CN" w:bidi="ar"/>
        </w:rPr>
        <w:t xml:space="preserve">3.如为联合体投标，盖章处须加盖联合体各方公章并由联合体各方法定代表人分别签署，否则投标无效。 </w:t>
      </w:r>
    </w:p>
    <w:p>
      <w:pPr>
        <w:snapToGrid w:val="0"/>
        <w:spacing w:line="360" w:lineRule="auto"/>
        <w:ind w:firstLine="420" w:firstLineChars="200"/>
        <w:jc w:val="left"/>
        <w:rPr>
          <w:rFonts w:hint="eastAsia" w:asciiTheme="minorEastAsia" w:hAnsiTheme="minorEastAsia" w:eastAsiaTheme="minorEastAsia" w:cstheme="minorEastAsia"/>
          <w:bCs/>
          <w:color w:val="auto"/>
          <w:sz w:val="21"/>
          <w:szCs w:val="21"/>
          <w:highlight w:val="none"/>
          <w:lang w:eastAsia="zh-CN" w:bidi="ar"/>
        </w:rPr>
      </w:pPr>
    </w:p>
    <w:p>
      <w:pPr>
        <w:autoSpaceDE w:val="0"/>
        <w:autoSpaceDN w:val="0"/>
        <w:spacing w:line="360" w:lineRule="auto"/>
        <w:ind w:firstLine="4410" w:firstLineChars="2100"/>
        <w:rPr>
          <w:rFonts w:hint="eastAsia" w:asciiTheme="minorEastAsia" w:hAnsiTheme="minorEastAsia" w:eastAsiaTheme="minorEastAsia" w:cstheme="minorEastAsia"/>
          <w:color w:val="auto"/>
          <w:sz w:val="21"/>
          <w:szCs w:val="22"/>
          <w:highlight w:val="none"/>
          <w:lang w:eastAsia="zh-CN"/>
        </w:rPr>
      </w:pPr>
      <w:r>
        <w:rPr>
          <w:rFonts w:hint="eastAsia" w:asciiTheme="minorEastAsia" w:hAnsiTheme="minorEastAsia" w:eastAsiaTheme="minorEastAsia" w:cstheme="minorEastAsia"/>
          <w:color w:val="auto"/>
          <w:sz w:val="21"/>
          <w:szCs w:val="22"/>
          <w:highlight w:val="none"/>
          <w:lang w:eastAsia="zh-CN"/>
        </w:rPr>
        <w:t>投标人名称（电子签章）：</w:t>
      </w:r>
    </w:p>
    <w:p>
      <w:pPr>
        <w:autoSpaceDE w:val="0"/>
        <w:autoSpaceDN w:val="0"/>
        <w:spacing w:line="360" w:lineRule="auto"/>
        <w:ind w:firstLine="5355" w:firstLineChars="2550"/>
        <w:rPr>
          <w:rFonts w:hint="eastAsia" w:asciiTheme="minorEastAsia" w:hAnsiTheme="minorEastAsia" w:eastAsiaTheme="minorEastAsia" w:cstheme="minorEastAsia"/>
          <w:color w:val="auto"/>
          <w:sz w:val="21"/>
          <w:szCs w:val="22"/>
          <w:highlight w:val="none"/>
          <w:lang w:eastAsia="zh-CN"/>
        </w:rPr>
      </w:pPr>
      <w:r>
        <w:rPr>
          <w:rFonts w:hint="eastAsia" w:asciiTheme="minorEastAsia" w:hAnsiTheme="minorEastAsia" w:eastAsiaTheme="minorEastAsia" w:cstheme="minorEastAsia"/>
          <w:color w:val="auto"/>
          <w:sz w:val="21"/>
          <w:szCs w:val="22"/>
          <w:highlight w:val="none"/>
          <w:lang w:val="zh-CN" w:eastAsia="zh-CN"/>
        </w:rPr>
        <w:t>日期：  年  月   日</w:t>
      </w:r>
      <w:r>
        <w:rPr>
          <w:rFonts w:hint="eastAsia" w:asciiTheme="minorEastAsia" w:hAnsiTheme="minorEastAsia" w:eastAsiaTheme="minorEastAsia" w:cstheme="minorEastAsia"/>
          <w:color w:val="auto"/>
          <w:sz w:val="21"/>
          <w:szCs w:val="22"/>
          <w:highlight w:val="none"/>
          <w:lang w:eastAsia="zh-CN"/>
        </w:rPr>
        <w:t xml:space="preserve">     </w:t>
      </w:r>
    </w:p>
    <w:p>
      <w:pPr>
        <w:pStyle w:val="21"/>
        <w:jc w:val="both"/>
        <w:outlineLvl w:val="9"/>
        <w:rPr>
          <w:rFonts w:hint="eastAsia" w:asciiTheme="minorEastAsia" w:hAnsiTheme="minorEastAsia" w:eastAsiaTheme="minorEastAsia" w:cstheme="minorEastAsia"/>
          <w:b/>
          <w:bCs/>
          <w:color w:val="auto"/>
          <w:sz w:val="24"/>
          <w:szCs w:val="24"/>
          <w:highlight w:val="none"/>
        </w:rPr>
      </w:pPr>
    </w:p>
    <w:p>
      <w:pPr>
        <w:pStyle w:val="109"/>
        <w:jc w:val="center"/>
        <w:rPr>
          <w:rFonts w:hint="eastAsia" w:asciiTheme="minorEastAsia" w:hAnsiTheme="minorEastAsia" w:eastAsiaTheme="minorEastAsia" w:cstheme="minorEastAsia"/>
          <w:b/>
          <w:bCs/>
          <w:color w:val="auto"/>
          <w:sz w:val="24"/>
          <w:szCs w:val="22"/>
          <w:highlight w:val="none"/>
          <w:lang w:eastAsia="zh-CN"/>
        </w:rPr>
      </w:pPr>
      <w:r>
        <w:rPr>
          <w:rFonts w:hint="eastAsia" w:asciiTheme="minorEastAsia" w:hAnsiTheme="minorEastAsia" w:eastAsiaTheme="minorEastAsia" w:cstheme="minorEastAsia"/>
          <w:b/>
          <w:bCs/>
          <w:color w:val="auto"/>
          <w:sz w:val="24"/>
          <w:szCs w:val="22"/>
          <w:highlight w:val="none"/>
          <w:lang w:eastAsia="zh-CN"/>
        </w:rPr>
        <w:t>投标人股东及出资信息表</w:t>
      </w:r>
    </w:p>
    <w:p>
      <w:pPr>
        <w:pStyle w:val="56"/>
        <w:rPr>
          <w:rFonts w:hint="eastAsia" w:asciiTheme="minorEastAsia" w:hAnsiTheme="minorEastAsia" w:eastAsiaTheme="minorEastAsia" w:cstheme="minorEastAsia"/>
          <w:color w:val="auto"/>
          <w:highlight w:val="none"/>
          <w:lang w:eastAsia="zh-CN"/>
        </w:rPr>
      </w:pPr>
    </w:p>
    <w:tbl>
      <w:tblPr>
        <w:tblStyle w:val="3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83"/>
        <w:gridCol w:w="1750"/>
        <w:gridCol w:w="2701"/>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7" w:type="dxa"/>
            <w:vAlign w:val="center"/>
          </w:tcPr>
          <w:p>
            <w:pPr>
              <w:pStyle w:val="5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083" w:type="dxa"/>
            <w:vAlign w:val="center"/>
          </w:tcPr>
          <w:p>
            <w:pPr>
              <w:pStyle w:val="5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股东名称</w:t>
            </w:r>
          </w:p>
        </w:tc>
        <w:tc>
          <w:tcPr>
            <w:tcW w:w="1750" w:type="dxa"/>
            <w:vAlign w:val="center"/>
          </w:tcPr>
          <w:p>
            <w:pPr>
              <w:widowControl/>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出资比例</w:t>
            </w:r>
          </w:p>
        </w:tc>
        <w:tc>
          <w:tcPr>
            <w:tcW w:w="2701" w:type="dxa"/>
            <w:vAlign w:val="center"/>
          </w:tcPr>
          <w:p>
            <w:pPr>
              <w:pStyle w:val="5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身份证号码              （或证照/证件号码）</w:t>
            </w:r>
          </w:p>
        </w:tc>
        <w:tc>
          <w:tcPr>
            <w:tcW w:w="1903" w:type="dxa"/>
            <w:vAlign w:val="center"/>
          </w:tcPr>
          <w:p>
            <w:pPr>
              <w:widowControl/>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77" w:type="dxa"/>
          </w:tcPr>
          <w:p>
            <w:pPr>
              <w:pStyle w:val="56"/>
              <w:jc w:val="center"/>
              <w:rPr>
                <w:rFonts w:hint="eastAsia" w:asciiTheme="minorEastAsia" w:hAnsiTheme="minorEastAsia" w:eastAsiaTheme="minorEastAsia" w:cstheme="minorEastAsia"/>
                <w:color w:val="auto"/>
                <w:sz w:val="21"/>
                <w:szCs w:val="21"/>
                <w:highlight w:val="none"/>
              </w:rPr>
            </w:pPr>
          </w:p>
        </w:tc>
        <w:tc>
          <w:tcPr>
            <w:tcW w:w="2083" w:type="dxa"/>
          </w:tcPr>
          <w:p>
            <w:pPr>
              <w:pStyle w:val="56"/>
              <w:rPr>
                <w:rFonts w:hint="eastAsia" w:asciiTheme="minorEastAsia" w:hAnsiTheme="minorEastAsia" w:eastAsiaTheme="minorEastAsia" w:cstheme="minorEastAsia"/>
                <w:color w:val="auto"/>
                <w:sz w:val="21"/>
                <w:szCs w:val="21"/>
                <w:highlight w:val="none"/>
              </w:rPr>
            </w:pPr>
          </w:p>
        </w:tc>
        <w:tc>
          <w:tcPr>
            <w:tcW w:w="1750" w:type="dxa"/>
          </w:tcPr>
          <w:p>
            <w:pPr>
              <w:pStyle w:val="56"/>
              <w:rPr>
                <w:rFonts w:hint="eastAsia" w:asciiTheme="minorEastAsia" w:hAnsiTheme="minorEastAsia" w:eastAsiaTheme="minorEastAsia" w:cstheme="minorEastAsia"/>
                <w:color w:val="auto"/>
                <w:sz w:val="21"/>
                <w:szCs w:val="21"/>
                <w:highlight w:val="none"/>
              </w:rPr>
            </w:pPr>
          </w:p>
        </w:tc>
        <w:tc>
          <w:tcPr>
            <w:tcW w:w="2701" w:type="dxa"/>
          </w:tcPr>
          <w:p>
            <w:pPr>
              <w:pStyle w:val="56"/>
              <w:rPr>
                <w:rFonts w:hint="eastAsia" w:asciiTheme="minorEastAsia" w:hAnsiTheme="minorEastAsia" w:eastAsiaTheme="minorEastAsia" w:cstheme="minorEastAsia"/>
                <w:color w:val="auto"/>
                <w:sz w:val="21"/>
                <w:szCs w:val="21"/>
                <w:highlight w:val="none"/>
              </w:rPr>
            </w:pPr>
          </w:p>
        </w:tc>
        <w:tc>
          <w:tcPr>
            <w:tcW w:w="1903" w:type="dxa"/>
          </w:tcPr>
          <w:p>
            <w:pPr>
              <w:pStyle w:val="5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77" w:type="dxa"/>
          </w:tcPr>
          <w:p>
            <w:pPr>
              <w:pStyle w:val="56"/>
              <w:jc w:val="center"/>
              <w:rPr>
                <w:rFonts w:hint="eastAsia" w:asciiTheme="minorEastAsia" w:hAnsiTheme="minorEastAsia" w:eastAsiaTheme="minorEastAsia" w:cstheme="minorEastAsia"/>
                <w:color w:val="auto"/>
                <w:sz w:val="21"/>
                <w:szCs w:val="21"/>
                <w:highlight w:val="none"/>
              </w:rPr>
            </w:pPr>
          </w:p>
        </w:tc>
        <w:tc>
          <w:tcPr>
            <w:tcW w:w="2083" w:type="dxa"/>
          </w:tcPr>
          <w:p>
            <w:pPr>
              <w:pStyle w:val="56"/>
              <w:rPr>
                <w:rFonts w:hint="eastAsia" w:asciiTheme="minorEastAsia" w:hAnsiTheme="minorEastAsia" w:eastAsiaTheme="minorEastAsia" w:cstheme="minorEastAsia"/>
                <w:color w:val="auto"/>
                <w:sz w:val="21"/>
                <w:szCs w:val="21"/>
                <w:highlight w:val="none"/>
              </w:rPr>
            </w:pPr>
          </w:p>
        </w:tc>
        <w:tc>
          <w:tcPr>
            <w:tcW w:w="1750" w:type="dxa"/>
          </w:tcPr>
          <w:p>
            <w:pPr>
              <w:pStyle w:val="56"/>
              <w:rPr>
                <w:rFonts w:hint="eastAsia" w:asciiTheme="minorEastAsia" w:hAnsiTheme="minorEastAsia" w:eastAsiaTheme="minorEastAsia" w:cstheme="minorEastAsia"/>
                <w:color w:val="auto"/>
                <w:sz w:val="21"/>
                <w:szCs w:val="21"/>
                <w:highlight w:val="none"/>
              </w:rPr>
            </w:pPr>
          </w:p>
        </w:tc>
        <w:tc>
          <w:tcPr>
            <w:tcW w:w="2701" w:type="dxa"/>
          </w:tcPr>
          <w:p>
            <w:pPr>
              <w:pStyle w:val="56"/>
              <w:rPr>
                <w:rFonts w:hint="eastAsia" w:asciiTheme="minorEastAsia" w:hAnsiTheme="minorEastAsia" w:eastAsiaTheme="minorEastAsia" w:cstheme="minorEastAsia"/>
                <w:color w:val="auto"/>
                <w:sz w:val="21"/>
                <w:szCs w:val="21"/>
                <w:highlight w:val="none"/>
              </w:rPr>
            </w:pPr>
          </w:p>
        </w:tc>
        <w:tc>
          <w:tcPr>
            <w:tcW w:w="1903" w:type="dxa"/>
          </w:tcPr>
          <w:p>
            <w:pPr>
              <w:pStyle w:val="5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77" w:type="dxa"/>
          </w:tcPr>
          <w:p>
            <w:pPr>
              <w:pStyle w:val="56"/>
              <w:rPr>
                <w:rFonts w:hint="eastAsia" w:asciiTheme="minorEastAsia" w:hAnsiTheme="minorEastAsia" w:eastAsiaTheme="minorEastAsia" w:cstheme="minorEastAsia"/>
                <w:color w:val="auto"/>
                <w:sz w:val="21"/>
                <w:szCs w:val="21"/>
                <w:highlight w:val="none"/>
              </w:rPr>
            </w:pPr>
          </w:p>
        </w:tc>
        <w:tc>
          <w:tcPr>
            <w:tcW w:w="2083" w:type="dxa"/>
          </w:tcPr>
          <w:p>
            <w:pPr>
              <w:pStyle w:val="56"/>
              <w:rPr>
                <w:rFonts w:hint="eastAsia" w:asciiTheme="minorEastAsia" w:hAnsiTheme="minorEastAsia" w:eastAsiaTheme="minorEastAsia" w:cstheme="minorEastAsia"/>
                <w:color w:val="auto"/>
                <w:sz w:val="21"/>
                <w:szCs w:val="21"/>
                <w:highlight w:val="none"/>
              </w:rPr>
            </w:pPr>
          </w:p>
        </w:tc>
        <w:tc>
          <w:tcPr>
            <w:tcW w:w="1750" w:type="dxa"/>
          </w:tcPr>
          <w:p>
            <w:pPr>
              <w:pStyle w:val="56"/>
              <w:rPr>
                <w:rFonts w:hint="eastAsia" w:asciiTheme="minorEastAsia" w:hAnsiTheme="minorEastAsia" w:eastAsiaTheme="minorEastAsia" w:cstheme="minorEastAsia"/>
                <w:color w:val="auto"/>
                <w:sz w:val="21"/>
                <w:szCs w:val="21"/>
                <w:highlight w:val="none"/>
              </w:rPr>
            </w:pPr>
          </w:p>
        </w:tc>
        <w:tc>
          <w:tcPr>
            <w:tcW w:w="2701" w:type="dxa"/>
          </w:tcPr>
          <w:p>
            <w:pPr>
              <w:pStyle w:val="56"/>
              <w:rPr>
                <w:rFonts w:hint="eastAsia" w:asciiTheme="minorEastAsia" w:hAnsiTheme="minorEastAsia" w:eastAsiaTheme="minorEastAsia" w:cstheme="minorEastAsia"/>
                <w:color w:val="auto"/>
                <w:sz w:val="21"/>
                <w:szCs w:val="21"/>
                <w:highlight w:val="none"/>
              </w:rPr>
            </w:pPr>
          </w:p>
        </w:tc>
        <w:tc>
          <w:tcPr>
            <w:tcW w:w="1903" w:type="dxa"/>
          </w:tcPr>
          <w:p>
            <w:pPr>
              <w:pStyle w:val="5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7" w:type="dxa"/>
          </w:tcPr>
          <w:p>
            <w:pPr>
              <w:pStyle w:val="56"/>
              <w:rPr>
                <w:rFonts w:hint="eastAsia" w:asciiTheme="minorEastAsia" w:hAnsiTheme="minorEastAsia" w:eastAsiaTheme="minorEastAsia" w:cstheme="minorEastAsia"/>
                <w:color w:val="auto"/>
                <w:sz w:val="21"/>
                <w:szCs w:val="21"/>
                <w:highlight w:val="none"/>
              </w:rPr>
            </w:pPr>
          </w:p>
        </w:tc>
        <w:tc>
          <w:tcPr>
            <w:tcW w:w="2083" w:type="dxa"/>
          </w:tcPr>
          <w:p>
            <w:pPr>
              <w:pStyle w:val="56"/>
              <w:rPr>
                <w:rFonts w:hint="eastAsia" w:asciiTheme="minorEastAsia" w:hAnsiTheme="minorEastAsia" w:eastAsiaTheme="minorEastAsia" w:cstheme="minorEastAsia"/>
                <w:color w:val="auto"/>
                <w:sz w:val="21"/>
                <w:szCs w:val="21"/>
                <w:highlight w:val="none"/>
              </w:rPr>
            </w:pPr>
          </w:p>
        </w:tc>
        <w:tc>
          <w:tcPr>
            <w:tcW w:w="1750" w:type="dxa"/>
          </w:tcPr>
          <w:p>
            <w:pPr>
              <w:pStyle w:val="56"/>
              <w:rPr>
                <w:rFonts w:hint="eastAsia" w:asciiTheme="minorEastAsia" w:hAnsiTheme="minorEastAsia" w:eastAsiaTheme="minorEastAsia" w:cstheme="minorEastAsia"/>
                <w:color w:val="auto"/>
                <w:sz w:val="21"/>
                <w:szCs w:val="21"/>
                <w:highlight w:val="none"/>
              </w:rPr>
            </w:pPr>
          </w:p>
        </w:tc>
        <w:tc>
          <w:tcPr>
            <w:tcW w:w="2701" w:type="dxa"/>
          </w:tcPr>
          <w:p>
            <w:pPr>
              <w:pStyle w:val="56"/>
              <w:rPr>
                <w:rFonts w:hint="eastAsia" w:asciiTheme="minorEastAsia" w:hAnsiTheme="minorEastAsia" w:eastAsiaTheme="minorEastAsia" w:cstheme="minorEastAsia"/>
                <w:color w:val="auto"/>
                <w:sz w:val="21"/>
                <w:szCs w:val="21"/>
                <w:highlight w:val="none"/>
              </w:rPr>
            </w:pPr>
          </w:p>
        </w:tc>
        <w:tc>
          <w:tcPr>
            <w:tcW w:w="1903" w:type="dxa"/>
          </w:tcPr>
          <w:p>
            <w:pPr>
              <w:pStyle w:val="56"/>
              <w:rPr>
                <w:rFonts w:hint="eastAsia" w:asciiTheme="minorEastAsia" w:hAnsiTheme="minorEastAsia" w:eastAsiaTheme="minorEastAsia" w:cstheme="minorEastAsia"/>
                <w:color w:val="auto"/>
                <w:sz w:val="21"/>
                <w:szCs w:val="21"/>
                <w:highlight w:val="none"/>
              </w:rPr>
            </w:pPr>
          </w:p>
        </w:tc>
      </w:tr>
    </w:tbl>
    <w:p>
      <w:pPr>
        <w:snapToGrid w:val="0"/>
        <w:spacing w:before="120" w:beforeLines="50" w:after="50" w:line="4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注： </w:t>
      </w:r>
    </w:p>
    <w:p>
      <w:pPr>
        <w:snapToGrid w:val="0"/>
        <w:spacing w:before="120" w:beforeLines="50" w:after="50" w:line="420" w:lineRule="exact"/>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 xml:space="preserve">1、各股东名称必须与《国家企业信用信息公示系统》（网址：http://www.gsxt.gov.cn/index.html） “股东及出资信息”的信息相符，否则投标文件作无效处理。 </w:t>
      </w:r>
    </w:p>
    <w:p>
      <w:pPr>
        <w:snapToGrid w:val="0"/>
        <w:spacing w:before="120" w:beforeLines="50" w:after="50" w:line="42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2、附</w:t>
      </w:r>
      <w:r>
        <w:rPr>
          <w:rFonts w:hint="eastAsia" w:asciiTheme="minorEastAsia" w:hAnsiTheme="minorEastAsia" w:eastAsiaTheme="minorEastAsia" w:cstheme="minorEastAsia"/>
          <w:b/>
          <w:color w:val="auto"/>
          <w:sz w:val="21"/>
          <w:szCs w:val="21"/>
          <w:highlight w:val="none"/>
          <w:lang w:eastAsia="zh-CN"/>
        </w:rPr>
        <w:t>投</w:t>
      </w:r>
      <w:r>
        <w:rPr>
          <w:rFonts w:hint="eastAsia" w:asciiTheme="minorEastAsia" w:hAnsiTheme="minorEastAsia" w:eastAsiaTheme="minorEastAsia" w:cstheme="minorEastAsia"/>
          <w:b/>
          <w:color w:val="auto"/>
          <w:sz w:val="21"/>
          <w:szCs w:val="21"/>
          <w:highlight w:val="none"/>
        </w:rPr>
        <w:t xml:space="preserve">标人在《国家企业信用信息公示系统》（网址：http://www.gsxt.gov.cn/index.html）中的“股东及出资信息”页面打印文件。 </w:t>
      </w:r>
    </w:p>
    <w:p>
      <w:pPr>
        <w:snapToGrid w:val="0"/>
        <w:spacing w:before="120" w:beforeLines="50" w:after="50" w:line="420" w:lineRule="exac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3、投标人如为事业单位的，不需要提供本表。</w:t>
      </w:r>
    </w:p>
    <w:p>
      <w:pPr>
        <w:pStyle w:val="56"/>
        <w:spacing w:line="420" w:lineRule="exact"/>
        <w:rPr>
          <w:rFonts w:hint="eastAsia" w:asciiTheme="minorEastAsia" w:hAnsiTheme="minorEastAsia" w:eastAsiaTheme="minorEastAsia" w:cstheme="minorEastAsia"/>
          <w:color w:val="auto"/>
          <w:spacing w:val="0"/>
          <w:kern w:val="2"/>
          <w:sz w:val="21"/>
          <w:szCs w:val="21"/>
          <w:highlight w:val="none"/>
          <w:lang w:eastAsia="zh-CN"/>
        </w:rPr>
      </w:pPr>
      <w:r>
        <w:rPr>
          <w:rFonts w:hint="eastAsia" w:asciiTheme="minorEastAsia" w:hAnsiTheme="minorEastAsia" w:eastAsiaTheme="minorEastAsia" w:cstheme="minorEastAsia"/>
          <w:color w:val="auto"/>
          <w:spacing w:val="0"/>
          <w:kern w:val="2"/>
          <w:sz w:val="21"/>
          <w:szCs w:val="21"/>
          <w:highlight w:val="none"/>
          <w:lang w:val="en-US" w:eastAsia="zh-CN"/>
        </w:rPr>
        <w:t>4</w:t>
      </w:r>
      <w:r>
        <w:rPr>
          <w:rFonts w:hint="eastAsia" w:asciiTheme="minorEastAsia" w:hAnsiTheme="minorEastAsia" w:eastAsiaTheme="minorEastAsia" w:cstheme="minorEastAsia"/>
          <w:color w:val="auto"/>
          <w:spacing w:val="0"/>
          <w:kern w:val="2"/>
          <w:sz w:val="21"/>
          <w:szCs w:val="21"/>
          <w:highlight w:val="none"/>
          <w:lang w:eastAsia="zh-CN"/>
        </w:rPr>
        <w:t>、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日期：  年  月   日</w:t>
      </w:r>
      <w:r>
        <w:rPr>
          <w:rFonts w:hint="eastAsia" w:asciiTheme="minorEastAsia" w:hAnsiTheme="minorEastAsia" w:eastAsiaTheme="minorEastAsia" w:cstheme="minorEastAsia"/>
          <w:color w:val="auto"/>
          <w:sz w:val="24"/>
          <w:szCs w:val="28"/>
          <w:highlight w:val="none"/>
          <w:lang w:eastAsia="zh-CN"/>
        </w:rPr>
        <w:t xml:space="preserve">     </w:t>
      </w: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18"/>
        <w:rPr>
          <w:rFonts w:hint="eastAsia" w:asciiTheme="minorEastAsia" w:hAnsiTheme="minorEastAsia" w:eastAsiaTheme="minorEastAsia" w:cstheme="minorEastAsia"/>
          <w:color w:val="auto"/>
          <w:sz w:val="21"/>
          <w:szCs w:val="21"/>
          <w:highlight w:val="none"/>
          <w:lang w:eastAsia="zh-CN"/>
        </w:rPr>
      </w:pPr>
    </w:p>
    <w:p>
      <w:pPr>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br w:type="page"/>
      </w: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109"/>
        <w:jc w:val="center"/>
        <w:rPr>
          <w:rFonts w:hint="eastAsia" w:asciiTheme="minorEastAsia" w:hAnsiTheme="minorEastAsia" w:eastAsiaTheme="minorEastAsia" w:cstheme="minorEastAsia"/>
          <w:b/>
          <w:bCs/>
          <w:color w:val="auto"/>
          <w:sz w:val="24"/>
          <w:szCs w:val="22"/>
          <w:highlight w:val="none"/>
          <w:lang w:eastAsia="zh-CN"/>
        </w:rPr>
      </w:pPr>
      <w:r>
        <w:rPr>
          <w:rFonts w:hint="eastAsia" w:asciiTheme="minorEastAsia" w:hAnsiTheme="minorEastAsia" w:eastAsiaTheme="minorEastAsia" w:cstheme="minorEastAsia"/>
          <w:b/>
          <w:bCs/>
          <w:color w:val="auto"/>
          <w:sz w:val="24"/>
          <w:szCs w:val="22"/>
          <w:highlight w:val="none"/>
          <w:lang w:eastAsia="zh-CN"/>
        </w:rPr>
        <w:t>投标人直接管理关系信息表</w:t>
      </w: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Theme="minorEastAsia" w:hAnsiTheme="minorEastAsia" w:eastAsiaTheme="minorEastAsia" w:cstheme="minorEastAsia"/>
                <w:color w:val="auto"/>
                <w:sz w:val="24"/>
                <w:highlight w:val="none"/>
              </w:rPr>
            </w:pPr>
          </w:p>
        </w:tc>
      </w:tr>
    </w:tbl>
    <w:p>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p>
    <w:p>
      <w:pPr>
        <w:spacing w:line="360" w:lineRule="auto"/>
        <w:ind w:firstLine="40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pPr>
        <w:spacing w:line="360" w:lineRule="auto"/>
        <w:ind w:firstLine="40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1.管理关系：是指不具有出资持股关系的其他单位之间存在的管理与被管理关系，如一些上下级关系的事业单位和团体组织。</w:t>
      </w:r>
    </w:p>
    <w:p>
      <w:pPr>
        <w:spacing w:line="360" w:lineRule="auto"/>
        <w:ind w:firstLine="40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2.本表所指的管理关系仅限于直接管理关系，不包括间接的管理关系。</w:t>
      </w:r>
    </w:p>
    <w:p>
      <w:pPr>
        <w:spacing w:line="360" w:lineRule="auto"/>
        <w:ind w:firstLine="400" w:firstLineChars="200"/>
        <w:contextualSpacing/>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3.供应商不存在直接管理关系的，则填“无”。</w:t>
      </w:r>
    </w:p>
    <w:p>
      <w:pPr>
        <w:pStyle w:val="27"/>
        <w:rPr>
          <w:rFonts w:hint="eastAsia" w:asciiTheme="minorEastAsia" w:hAnsiTheme="minorEastAsia" w:eastAsiaTheme="minorEastAsia" w:cstheme="minorEastAsia"/>
          <w:color w:val="auto"/>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br w:type="page"/>
      </w:r>
    </w:p>
    <w:p>
      <w:pPr>
        <w:widowControl/>
        <w:spacing w:after="262" w:line="380" w:lineRule="exact"/>
        <w:ind w:firstLine="562" w:firstLineChars="20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中小企业声明函（</w:t>
      </w:r>
      <w:r>
        <w:rPr>
          <w:rFonts w:hint="eastAsia" w:asciiTheme="minorEastAsia" w:hAnsiTheme="minorEastAsia" w:eastAsiaTheme="minorEastAsia" w:cstheme="minorEastAsia"/>
          <w:b/>
          <w:color w:val="auto"/>
          <w:sz w:val="28"/>
          <w:szCs w:val="28"/>
          <w:highlight w:val="none"/>
          <w:lang w:val="en-US" w:eastAsia="zh-CN"/>
        </w:rPr>
        <w:t>格式</w:t>
      </w:r>
      <w:r>
        <w:rPr>
          <w:rFonts w:hint="eastAsia" w:asciiTheme="minorEastAsia" w:hAnsiTheme="minorEastAsia" w:eastAsiaTheme="minorEastAsia" w:cstheme="minorEastAsia"/>
          <w:b/>
          <w:color w:val="auto"/>
          <w:sz w:val="28"/>
          <w:szCs w:val="28"/>
          <w:highlight w:val="none"/>
          <w:lang w:eastAsia="zh-CN"/>
        </w:rPr>
        <w:t>）</w:t>
      </w:r>
    </w:p>
    <w:p>
      <w:pPr>
        <w:widowControl/>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2"/>
          <w:szCs w:val="22"/>
          <w:highlight w:val="none"/>
          <w:u w:val="single"/>
          <w:lang w:eastAsia="zh-CN"/>
        </w:rPr>
        <w:t>     （单位名称）</w:t>
      </w:r>
      <w:r>
        <w:rPr>
          <w:rFonts w:hint="eastAsia" w:asciiTheme="minorEastAsia" w:hAnsiTheme="minorEastAsia" w:eastAsiaTheme="minorEastAsia" w:cstheme="minorEastAsia"/>
          <w:color w:val="auto"/>
          <w:sz w:val="22"/>
          <w:szCs w:val="22"/>
          <w:highlight w:val="none"/>
          <w:lang w:eastAsia="zh-CN"/>
        </w:rPr>
        <w:t>的</w:t>
      </w:r>
      <w:r>
        <w:rPr>
          <w:rFonts w:hint="eastAsia" w:asciiTheme="minorEastAsia" w:hAnsiTheme="minorEastAsia" w:eastAsiaTheme="minorEastAsia" w:cstheme="minorEastAsia"/>
          <w:color w:val="auto"/>
          <w:sz w:val="22"/>
          <w:szCs w:val="22"/>
          <w:highlight w:val="none"/>
          <w:u w:val="single"/>
          <w:lang w:eastAsia="zh-CN"/>
        </w:rPr>
        <w:t>    （项目名称）</w:t>
      </w:r>
      <w:r>
        <w:rPr>
          <w:rFonts w:hint="eastAsia" w:asciiTheme="minorEastAsia" w:hAnsiTheme="minorEastAsia" w:eastAsiaTheme="minorEastAsia" w:cstheme="minorEastAsia"/>
          <w:color w:val="auto"/>
          <w:sz w:val="22"/>
          <w:szCs w:val="22"/>
          <w:highlight w:val="none"/>
          <w:lang w:eastAsia="zh-CN"/>
        </w:rPr>
        <w:t>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60" w:lineRule="exact"/>
        <w:ind w:firstLine="48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u w:val="single"/>
          <w:lang w:eastAsia="zh-CN"/>
        </w:rPr>
        <w:t>     （标的名称）</w:t>
      </w:r>
      <w:r>
        <w:rPr>
          <w:rFonts w:hint="eastAsia" w:asciiTheme="minorEastAsia" w:hAnsiTheme="minorEastAsia" w:eastAsiaTheme="minorEastAsia" w:cstheme="minorEastAsia"/>
          <w:color w:val="auto"/>
          <w:sz w:val="22"/>
          <w:szCs w:val="22"/>
          <w:highlight w:val="none"/>
          <w:lang w:eastAsia="zh-CN"/>
        </w:rPr>
        <w:t>，属于</w:t>
      </w:r>
      <w:r>
        <w:rPr>
          <w:rFonts w:hint="eastAsia" w:asciiTheme="minorEastAsia" w:hAnsiTheme="minorEastAsia" w:eastAsiaTheme="minorEastAsia" w:cstheme="minorEastAsia"/>
          <w:color w:val="auto"/>
          <w:sz w:val="22"/>
          <w:szCs w:val="22"/>
          <w:highlight w:val="none"/>
          <w:u w:val="single"/>
          <w:lang w:eastAsia="zh-CN"/>
        </w:rPr>
        <w:t>     （采购文件中明确的所属行业）</w:t>
      </w:r>
      <w:r>
        <w:rPr>
          <w:rFonts w:hint="eastAsia" w:asciiTheme="minorEastAsia" w:hAnsiTheme="minorEastAsia" w:eastAsiaTheme="minorEastAsia" w:cstheme="minorEastAsia"/>
          <w:color w:val="auto"/>
          <w:sz w:val="22"/>
          <w:szCs w:val="22"/>
          <w:highlight w:val="none"/>
          <w:lang w:eastAsia="zh-CN"/>
        </w:rPr>
        <w:t>行业；制造商为</w:t>
      </w:r>
      <w:r>
        <w:rPr>
          <w:rFonts w:hint="eastAsia" w:asciiTheme="minorEastAsia" w:hAnsiTheme="minorEastAsia" w:eastAsiaTheme="minorEastAsia" w:cstheme="minorEastAsia"/>
          <w:color w:val="auto"/>
          <w:sz w:val="22"/>
          <w:szCs w:val="22"/>
          <w:highlight w:val="none"/>
          <w:u w:val="single"/>
          <w:lang w:eastAsia="zh-CN"/>
        </w:rPr>
        <w:t>       （企业名称）</w:t>
      </w:r>
      <w:r>
        <w:rPr>
          <w:rFonts w:hint="eastAsia" w:asciiTheme="minorEastAsia" w:hAnsiTheme="minorEastAsia" w:eastAsiaTheme="minorEastAsia" w:cstheme="minorEastAsia"/>
          <w:color w:val="auto"/>
          <w:sz w:val="22"/>
          <w:szCs w:val="22"/>
          <w:highlight w:val="none"/>
          <w:lang w:eastAsia="zh-CN"/>
        </w:rPr>
        <w:t>，从业人员</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人，营业收入为</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万元，资产总额为</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万元，属于</w:t>
      </w:r>
      <w:r>
        <w:rPr>
          <w:rFonts w:hint="eastAsia" w:asciiTheme="minorEastAsia" w:hAnsiTheme="minorEastAsia" w:eastAsiaTheme="minorEastAsia" w:cstheme="minorEastAsia"/>
          <w:color w:val="auto"/>
          <w:sz w:val="22"/>
          <w:szCs w:val="22"/>
          <w:highlight w:val="none"/>
          <w:u w:val="single"/>
          <w:lang w:eastAsia="zh-CN"/>
        </w:rPr>
        <w:t>     （中型企业、小型企业、微型企业）</w:t>
      </w:r>
      <w:r>
        <w:rPr>
          <w:rFonts w:hint="eastAsia" w:asciiTheme="minorEastAsia" w:hAnsiTheme="minorEastAsia" w:eastAsiaTheme="minorEastAsia" w:cstheme="minorEastAsia"/>
          <w:color w:val="auto"/>
          <w:sz w:val="22"/>
          <w:szCs w:val="22"/>
          <w:highlight w:val="none"/>
          <w:lang w:eastAsia="zh-CN"/>
        </w:rPr>
        <w:t>；</w:t>
      </w:r>
    </w:p>
    <w:p>
      <w:pPr>
        <w:widowControl/>
        <w:spacing w:before="100" w:beforeAutospacing="1" w:after="100" w:afterAutospacing="1" w:line="360" w:lineRule="exact"/>
        <w:ind w:firstLine="48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u w:val="single"/>
          <w:lang w:eastAsia="zh-CN"/>
        </w:rPr>
        <w:t>     （标的名称）</w:t>
      </w:r>
      <w:r>
        <w:rPr>
          <w:rFonts w:hint="eastAsia" w:asciiTheme="minorEastAsia" w:hAnsiTheme="minorEastAsia" w:eastAsiaTheme="minorEastAsia" w:cstheme="minorEastAsia"/>
          <w:color w:val="auto"/>
          <w:sz w:val="22"/>
          <w:szCs w:val="22"/>
          <w:highlight w:val="none"/>
          <w:lang w:eastAsia="zh-CN"/>
        </w:rPr>
        <w:t>，属于</w:t>
      </w:r>
      <w:r>
        <w:rPr>
          <w:rFonts w:hint="eastAsia" w:asciiTheme="minorEastAsia" w:hAnsiTheme="minorEastAsia" w:eastAsiaTheme="minorEastAsia" w:cstheme="minorEastAsia"/>
          <w:color w:val="auto"/>
          <w:sz w:val="22"/>
          <w:szCs w:val="22"/>
          <w:highlight w:val="none"/>
          <w:u w:val="single"/>
          <w:lang w:eastAsia="zh-CN"/>
        </w:rPr>
        <w:t>     （采购文件中明确的所属行业）</w:t>
      </w:r>
      <w:r>
        <w:rPr>
          <w:rFonts w:hint="eastAsia" w:asciiTheme="minorEastAsia" w:hAnsiTheme="minorEastAsia" w:eastAsiaTheme="minorEastAsia" w:cstheme="minorEastAsia"/>
          <w:color w:val="auto"/>
          <w:sz w:val="22"/>
          <w:szCs w:val="22"/>
          <w:highlight w:val="none"/>
          <w:lang w:eastAsia="zh-CN"/>
        </w:rPr>
        <w:t>行业；制造商为</w:t>
      </w:r>
      <w:r>
        <w:rPr>
          <w:rFonts w:hint="eastAsia" w:asciiTheme="minorEastAsia" w:hAnsiTheme="minorEastAsia" w:eastAsiaTheme="minorEastAsia" w:cstheme="minorEastAsia"/>
          <w:color w:val="auto"/>
          <w:sz w:val="22"/>
          <w:szCs w:val="22"/>
          <w:highlight w:val="none"/>
          <w:u w:val="single"/>
          <w:lang w:eastAsia="zh-CN"/>
        </w:rPr>
        <w:t>       （企业名称）</w:t>
      </w:r>
      <w:r>
        <w:rPr>
          <w:rFonts w:hint="eastAsia" w:asciiTheme="minorEastAsia" w:hAnsiTheme="minorEastAsia" w:eastAsiaTheme="minorEastAsia" w:cstheme="minorEastAsia"/>
          <w:color w:val="auto"/>
          <w:sz w:val="22"/>
          <w:szCs w:val="22"/>
          <w:highlight w:val="none"/>
          <w:lang w:eastAsia="zh-CN"/>
        </w:rPr>
        <w:t>，从业人员</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人，营业收入为</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万元，资产总额为</w:t>
      </w:r>
      <w:r>
        <w:rPr>
          <w:rFonts w:hint="eastAsia" w:asciiTheme="minorEastAsia" w:hAnsiTheme="minorEastAsia" w:eastAsiaTheme="minorEastAsia" w:cstheme="minorEastAsia"/>
          <w:color w:val="auto"/>
          <w:sz w:val="22"/>
          <w:szCs w:val="22"/>
          <w:highlight w:val="none"/>
          <w:u w:val="single"/>
          <w:lang w:eastAsia="zh-CN"/>
        </w:rPr>
        <w:t>   </w:t>
      </w:r>
      <w:r>
        <w:rPr>
          <w:rFonts w:hint="eastAsia" w:asciiTheme="minorEastAsia" w:hAnsiTheme="minorEastAsia" w:eastAsiaTheme="minorEastAsia" w:cstheme="minorEastAsia"/>
          <w:color w:val="auto"/>
          <w:sz w:val="22"/>
          <w:szCs w:val="22"/>
          <w:highlight w:val="none"/>
          <w:lang w:eastAsia="zh-CN"/>
        </w:rPr>
        <w:t>万元，属于</w:t>
      </w:r>
      <w:r>
        <w:rPr>
          <w:rFonts w:hint="eastAsia" w:asciiTheme="minorEastAsia" w:hAnsiTheme="minorEastAsia" w:eastAsiaTheme="minorEastAsia" w:cstheme="minorEastAsia"/>
          <w:color w:val="auto"/>
          <w:sz w:val="22"/>
          <w:szCs w:val="22"/>
          <w:highlight w:val="none"/>
          <w:u w:val="single"/>
          <w:lang w:eastAsia="zh-CN"/>
        </w:rPr>
        <w:t>     （中型企业、小型企业、微型企业）</w:t>
      </w:r>
      <w:r>
        <w:rPr>
          <w:rFonts w:hint="eastAsia" w:asciiTheme="minorEastAsia" w:hAnsiTheme="minorEastAsia" w:eastAsiaTheme="minorEastAsia" w:cstheme="minorEastAsia"/>
          <w:color w:val="auto"/>
          <w:sz w:val="22"/>
          <w:szCs w:val="22"/>
          <w:highlight w:val="none"/>
          <w:lang w:eastAsia="zh-CN"/>
        </w:rPr>
        <w:t>；</w:t>
      </w:r>
    </w:p>
    <w:p>
      <w:pPr>
        <w:widowControl/>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w:t>
      </w:r>
    </w:p>
    <w:p>
      <w:pPr>
        <w:widowControl/>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以上企业，不属于大企业的分支机构，不存在控股股东为大企业的情形，也不存在与大企业的负责人为同一人的情形。</w:t>
      </w:r>
    </w:p>
    <w:p>
      <w:pPr>
        <w:widowControl/>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本企业对上述声明内容的真实性负责。如有虚假，将依法承担相应责任。</w:t>
      </w:r>
    </w:p>
    <w:p>
      <w:pPr>
        <w:pStyle w:val="57"/>
        <w:rPr>
          <w:rFonts w:hint="eastAsia" w:asciiTheme="minorEastAsia" w:hAnsiTheme="minorEastAsia" w:eastAsiaTheme="minorEastAsia" w:cstheme="minorEastAsia"/>
          <w:color w:val="auto"/>
          <w:highlight w:val="none"/>
        </w:rPr>
      </w:pPr>
    </w:p>
    <w:p>
      <w:pPr>
        <w:widowControl/>
        <w:spacing w:line="360" w:lineRule="auto"/>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 xml:space="preserve">                                            企业名称（盖章）：</w:t>
      </w:r>
    </w:p>
    <w:p>
      <w:pPr>
        <w:pStyle w:val="18"/>
        <w:rPr>
          <w:rFonts w:hint="eastAsia" w:asciiTheme="minorEastAsia" w:hAnsiTheme="minorEastAsia" w:eastAsiaTheme="minorEastAsia" w:cstheme="minorEastAsia"/>
          <w:b w:val="0"/>
          <w:color w:val="auto"/>
          <w:spacing w:val="0"/>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 xml:space="preserve">                                                      </w:t>
      </w:r>
      <w:r>
        <w:rPr>
          <w:rFonts w:hint="eastAsia" w:asciiTheme="minorEastAsia" w:hAnsiTheme="minorEastAsia" w:eastAsiaTheme="minorEastAsia" w:cstheme="minorEastAsia"/>
          <w:b w:val="0"/>
          <w:color w:val="auto"/>
          <w:spacing w:val="0"/>
          <w:sz w:val="22"/>
          <w:szCs w:val="22"/>
          <w:highlight w:val="none"/>
          <w:lang w:eastAsia="zh-CN"/>
        </w:rPr>
        <w:t xml:space="preserve">    日    期：</w:t>
      </w:r>
    </w:p>
    <w:p>
      <w:pPr>
        <w:rPr>
          <w:rFonts w:hint="eastAsia" w:asciiTheme="minorEastAsia" w:hAnsiTheme="minorEastAsia" w:eastAsiaTheme="minorEastAsia" w:cstheme="minorEastAsia"/>
          <w:color w:val="auto"/>
          <w:sz w:val="22"/>
          <w:szCs w:val="22"/>
          <w:highlight w:val="none"/>
          <w:lang w:eastAsia="zh-CN"/>
        </w:rPr>
      </w:pPr>
    </w:p>
    <w:p>
      <w:pPr>
        <w:pStyle w:val="57"/>
        <w:rPr>
          <w:rFonts w:hint="eastAsia" w:asciiTheme="minorEastAsia" w:hAnsiTheme="minorEastAsia" w:eastAsiaTheme="minorEastAsia" w:cstheme="minorEastAsia"/>
          <w:color w:val="auto"/>
          <w:highlight w:val="none"/>
        </w:rPr>
      </w:pPr>
    </w:p>
    <w:p>
      <w:pPr>
        <w:spacing w:line="460" w:lineRule="exact"/>
        <w:rPr>
          <w:rFonts w:hint="eastAsia" w:asciiTheme="minorEastAsia" w:hAnsiTheme="minorEastAsia" w:eastAsiaTheme="minorEastAsia" w:cstheme="minorEastAsia"/>
          <w:b/>
          <w:color w:val="auto"/>
          <w:spacing w:val="6"/>
          <w:sz w:val="24"/>
          <w:szCs w:val="24"/>
          <w:highlight w:val="none"/>
          <w:lang w:eastAsia="zh-CN"/>
        </w:rPr>
      </w:pPr>
      <w:r>
        <w:rPr>
          <w:rFonts w:hint="eastAsia" w:asciiTheme="minorEastAsia" w:hAnsiTheme="minorEastAsia" w:eastAsiaTheme="minorEastAsia" w:cstheme="minorEastAsia"/>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pPr>
        <w:spacing w:line="460" w:lineRule="exact"/>
        <w:rPr>
          <w:rFonts w:hint="eastAsia" w:asciiTheme="minorEastAsia" w:hAnsiTheme="minorEastAsia" w:eastAsiaTheme="minorEastAsia" w:cstheme="minorEastAsia"/>
          <w:b/>
          <w:color w:val="auto"/>
          <w:spacing w:val="6"/>
          <w:sz w:val="24"/>
          <w:szCs w:val="24"/>
          <w:highlight w:val="none"/>
          <w:lang w:eastAsia="zh-CN"/>
        </w:rPr>
      </w:pPr>
      <w:r>
        <w:rPr>
          <w:rFonts w:hint="eastAsia" w:asciiTheme="minorEastAsia" w:hAnsiTheme="minorEastAsia" w:eastAsiaTheme="minorEastAsia" w:cstheme="minorEastAsia"/>
          <w:b/>
          <w:color w:val="auto"/>
          <w:spacing w:val="6"/>
          <w:sz w:val="24"/>
          <w:szCs w:val="24"/>
          <w:highlight w:val="none"/>
          <w:lang w:eastAsia="zh-CN"/>
        </w:rPr>
        <w:t>2、从业人员、营业收入、资产总额填报上一年度数据，无上一年度数据的新成立企业可不填报。</w:t>
      </w:r>
    </w:p>
    <w:p>
      <w:pPr>
        <w:bidi w:val="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Cs w:val="21"/>
          <w:highlight w:val="none"/>
          <w:lang w:eastAsia="zh-CN"/>
        </w:rPr>
        <w:br w:type="page"/>
      </w:r>
      <w:r>
        <w:rPr>
          <w:rFonts w:hint="eastAsia" w:asciiTheme="minorEastAsia" w:hAnsiTheme="minorEastAsia" w:eastAsiaTheme="minorEastAsia" w:cstheme="minorEastAsia"/>
          <w:b/>
          <w:bCs/>
          <w:color w:val="auto"/>
          <w:kern w:val="2"/>
          <w:sz w:val="36"/>
          <w:szCs w:val="36"/>
          <w:highlight w:val="none"/>
          <w:lang w:eastAsia="zh-CN"/>
        </w:rPr>
        <w:t xml:space="preserve"> </w:t>
      </w:r>
      <w:r>
        <w:rPr>
          <w:rFonts w:hint="eastAsia" w:asciiTheme="minorEastAsia" w:hAnsiTheme="minorEastAsia" w:eastAsiaTheme="minorEastAsia" w:cstheme="minorEastAsia"/>
          <w:b/>
          <w:color w:val="auto"/>
          <w:sz w:val="28"/>
          <w:szCs w:val="28"/>
          <w:highlight w:val="none"/>
          <w:lang w:eastAsia="zh-CN"/>
        </w:rPr>
        <w:t>残疾人福利性单位声明函（格式）</w:t>
      </w:r>
    </w:p>
    <w:p>
      <w:pPr>
        <w:pStyle w:val="18"/>
        <w:tabs>
          <w:tab w:val="left" w:pos="3382"/>
          <w:tab w:val="left" w:pos="4832"/>
        </w:tabs>
        <w:autoSpaceDE w:val="0"/>
        <w:spacing w:line="360" w:lineRule="auto"/>
        <w:ind w:firstLine="48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本单位郑重声明，根据《财政部</w:t>
      </w:r>
      <w:r>
        <w:rPr>
          <w:rFonts w:hint="eastAsia" w:asciiTheme="minorEastAsia" w:hAnsiTheme="minorEastAsia" w:eastAsiaTheme="minorEastAsia" w:cstheme="minorEastAsia"/>
          <w:color w:val="auto"/>
          <w:spacing w:val="28"/>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eastAsia="zh-CN"/>
        </w:rPr>
        <w:t>民政部</w:t>
      </w:r>
      <w:r>
        <w:rPr>
          <w:rFonts w:hint="eastAsia" w:asciiTheme="minorEastAsia" w:hAnsiTheme="minorEastAsia" w:eastAsiaTheme="minorEastAsia" w:cstheme="minorEastAsia"/>
          <w:color w:val="auto"/>
          <w:spacing w:val="25"/>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eastAsia="zh-CN"/>
        </w:rPr>
        <w:t>中国残疾人联合会关于促进残疾人就业</w:t>
      </w:r>
      <w:r>
        <w:rPr>
          <w:rFonts w:hint="eastAsia" w:asciiTheme="minorEastAsia" w:hAnsiTheme="minorEastAsia" w:eastAsiaTheme="minorEastAsia" w:cstheme="minorEastAsia"/>
          <w:color w:val="auto"/>
          <w:spacing w:val="-12"/>
          <w:sz w:val="21"/>
          <w:szCs w:val="21"/>
          <w:highlight w:val="none"/>
          <w:lang w:eastAsia="zh-CN"/>
        </w:rPr>
        <w:t>政</w:t>
      </w:r>
      <w:r>
        <w:rPr>
          <w:rFonts w:hint="eastAsia" w:asciiTheme="minorEastAsia" w:hAnsiTheme="minorEastAsia" w:eastAsiaTheme="minorEastAsia" w:cstheme="minorEastAsia"/>
          <w:color w:val="auto"/>
          <w:sz w:val="21"/>
          <w:szCs w:val="21"/>
          <w:highlight w:val="none"/>
          <w:lang w:eastAsia="zh-CN"/>
        </w:rPr>
        <w:t>府采购政策的通知》（财库〔2017〕 141</w:t>
      </w:r>
      <w:r>
        <w:rPr>
          <w:rFonts w:hint="eastAsia" w:asciiTheme="minorEastAsia" w:hAnsiTheme="minorEastAsia" w:eastAsiaTheme="minorEastAsia" w:cstheme="minorEastAsia"/>
          <w:color w:val="auto"/>
          <w:spacing w:val="-60"/>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eastAsia="zh-CN"/>
        </w:rPr>
        <w:t>号）的规定，本单位为符合条件的残疾人福</w:t>
      </w:r>
      <w:r>
        <w:rPr>
          <w:rFonts w:hint="eastAsia" w:asciiTheme="minorEastAsia" w:hAnsiTheme="minorEastAsia" w:eastAsiaTheme="minorEastAsia" w:cstheme="minorEastAsia"/>
          <w:color w:val="auto"/>
          <w:spacing w:val="-15"/>
          <w:sz w:val="21"/>
          <w:szCs w:val="21"/>
          <w:highlight w:val="none"/>
          <w:lang w:eastAsia="zh-CN"/>
        </w:rPr>
        <w:t>利</w:t>
      </w:r>
      <w:r>
        <w:rPr>
          <w:rFonts w:hint="eastAsia" w:asciiTheme="minorEastAsia" w:hAnsiTheme="minorEastAsia" w:eastAsiaTheme="minorEastAsia" w:cstheme="minorEastAsia"/>
          <w:color w:val="auto"/>
          <w:sz w:val="21"/>
          <w:szCs w:val="21"/>
          <w:highlight w:val="none"/>
          <w:lang w:eastAsia="zh-CN"/>
        </w:rPr>
        <w:t>性单位，且本单位参加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lang w:eastAsia="zh-CN"/>
        </w:rPr>
        <w:t>单位的</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ab/>
      </w:r>
      <w:r>
        <w:rPr>
          <w:rFonts w:hint="eastAsia" w:asciiTheme="minorEastAsia" w:hAnsiTheme="minorEastAsia" w:eastAsiaTheme="minorEastAsia" w:cstheme="minorEastAsia"/>
          <w:color w:val="auto"/>
          <w:sz w:val="21"/>
          <w:szCs w:val="21"/>
          <w:highlight w:val="none"/>
          <w:lang w:eastAsia="zh-CN"/>
        </w:rPr>
        <w:t>项目采购活动提供本单位制造的货物（由</w:t>
      </w:r>
      <w:r>
        <w:rPr>
          <w:rFonts w:hint="eastAsia" w:asciiTheme="minorEastAsia" w:hAnsiTheme="minorEastAsia" w:eastAsiaTheme="minorEastAsia" w:cstheme="minorEastAsia"/>
          <w:color w:val="auto"/>
          <w:spacing w:val="-15"/>
          <w:sz w:val="21"/>
          <w:szCs w:val="21"/>
          <w:highlight w:val="none"/>
          <w:lang w:eastAsia="zh-CN"/>
        </w:rPr>
        <w:t>本</w:t>
      </w:r>
      <w:r>
        <w:rPr>
          <w:rFonts w:hint="eastAsia" w:asciiTheme="minorEastAsia" w:hAnsiTheme="minorEastAsia" w:eastAsiaTheme="minorEastAsia" w:cstheme="minorEastAsia"/>
          <w:color w:val="auto"/>
          <w:sz w:val="21"/>
          <w:szCs w:val="21"/>
          <w:highlight w:val="none"/>
          <w:lang w:eastAsia="zh-CN"/>
        </w:rPr>
        <w:t>单位承担工程/提供服务</w:t>
      </w:r>
      <w:r>
        <w:rPr>
          <w:rFonts w:hint="eastAsia" w:asciiTheme="minorEastAsia" w:hAnsiTheme="minorEastAsia" w:eastAsiaTheme="minorEastAsia" w:cstheme="minorEastAsia"/>
          <w:color w:val="auto"/>
          <w:spacing w:val="-20"/>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或者提供其他</w:t>
      </w:r>
      <w:r>
        <w:rPr>
          <w:rFonts w:hint="eastAsia" w:asciiTheme="minorEastAsia" w:hAnsiTheme="minorEastAsia" w:eastAsiaTheme="minorEastAsia" w:cstheme="minorEastAsia"/>
          <w:color w:val="auto"/>
          <w:spacing w:val="-3"/>
          <w:sz w:val="21"/>
          <w:szCs w:val="21"/>
          <w:highlight w:val="none"/>
          <w:lang w:eastAsia="zh-CN"/>
        </w:rPr>
        <w:t>残</w:t>
      </w:r>
      <w:r>
        <w:rPr>
          <w:rFonts w:hint="eastAsia" w:asciiTheme="minorEastAsia" w:hAnsiTheme="minorEastAsia" w:eastAsiaTheme="minorEastAsia" w:cstheme="minorEastAsia"/>
          <w:color w:val="auto"/>
          <w:sz w:val="21"/>
          <w:szCs w:val="21"/>
          <w:highlight w:val="none"/>
          <w:lang w:eastAsia="zh-CN"/>
        </w:rPr>
        <w:t>疾人福利性单位制造的货</w:t>
      </w:r>
      <w:r>
        <w:rPr>
          <w:rFonts w:hint="eastAsia" w:asciiTheme="minorEastAsia" w:hAnsiTheme="minorEastAsia" w:eastAsiaTheme="minorEastAsia" w:cstheme="minorEastAsia"/>
          <w:color w:val="auto"/>
          <w:spacing w:val="-20"/>
          <w:sz w:val="21"/>
          <w:szCs w:val="21"/>
          <w:highlight w:val="none"/>
          <w:lang w:eastAsia="zh-CN"/>
        </w:rPr>
        <w:t>物</w:t>
      </w:r>
      <w:r>
        <w:rPr>
          <w:rFonts w:hint="eastAsia" w:asciiTheme="minorEastAsia" w:hAnsiTheme="minorEastAsia" w:eastAsiaTheme="minorEastAsia" w:cstheme="minorEastAsia"/>
          <w:color w:val="auto"/>
          <w:sz w:val="21"/>
          <w:szCs w:val="21"/>
          <w:highlight w:val="none"/>
          <w:lang w:eastAsia="zh-CN"/>
        </w:rPr>
        <w:t>（不包括使用</w:t>
      </w:r>
      <w:r>
        <w:rPr>
          <w:rFonts w:hint="eastAsia" w:asciiTheme="minorEastAsia" w:hAnsiTheme="minorEastAsia" w:eastAsiaTheme="minorEastAsia" w:cstheme="minorEastAsia"/>
          <w:color w:val="auto"/>
          <w:spacing w:val="-12"/>
          <w:sz w:val="21"/>
          <w:szCs w:val="21"/>
          <w:highlight w:val="none"/>
          <w:lang w:eastAsia="zh-CN"/>
        </w:rPr>
        <w:t>非</w:t>
      </w:r>
      <w:r>
        <w:rPr>
          <w:rFonts w:hint="eastAsia" w:asciiTheme="minorEastAsia" w:hAnsiTheme="minorEastAsia" w:eastAsiaTheme="minorEastAsia" w:cstheme="minorEastAsia"/>
          <w:color w:val="auto"/>
          <w:sz w:val="21"/>
          <w:szCs w:val="21"/>
          <w:highlight w:val="none"/>
          <w:lang w:eastAsia="zh-CN"/>
        </w:rPr>
        <w:t>残疾人福利性单位注册商标的货物）。</w:t>
      </w:r>
    </w:p>
    <w:p>
      <w:pPr>
        <w:pStyle w:val="18"/>
        <w:autoSpaceDE w:val="0"/>
        <w:spacing w:line="360" w:lineRule="auto"/>
        <w:ind w:firstLine="39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本单位对上述声明的真实性负责。如有虚假，将依法承担相应责任。</w:t>
      </w:r>
    </w:p>
    <w:p>
      <w:pPr>
        <w:pStyle w:val="18"/>
        <w:autoSpaceDE w:val="0"/>
        <w:spacing w:line="360" w:lineRule="auto"/>
        <w:rPr>
          <w:rFonts w:hint="eastAsia" w:asciiTheme="minorEastAsia" w:hAnsiTheme="minorEastAsia" w:eastAsiaTheme="minorEastAsia" w:cstheme="minorEastAsia"/>
          <w:color w:val="auto"/>
          <w:sz w:val="21"/>
          <w:szCs w:val="21"/>
          <w:highlight w:val="none"/>
          <w:lang w:eastAsia="zh-CN"/>
        </w:rPr>
      </w:pPr>
    </w:p>
    <w:p>
      <w:pPr>
        <w:pStyle w:val="33"/>
        <w:widowControl w:val="0"/>
        <w:adjustRightInd w:val="0"/>
        <w:snapToGrid w:val="0"/>
        <w:spacing w:before="0" w:beforeAutospacing="0" w:after="0" w:afterAutospacing="0" w:line="360" w:lineRule="exact"/>
        <w:ind w:right="420" w:firstLine="4962"/>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 xml:space="preserve">企业名称（盖章）： </w:t>
      </w:r>
    </w:p>
    <w:p>
      <w:pPr>
        <w:pStyle w:val="12"/>
        <w:adjustRightInd w:val="0"/>
        <w:snapToGrid w:val="0"/>
        <w:spacing w:line="360" w:lineRule="exact"/>
        <w:ind w:left="1414" w:firstLine="5130" w:firstLineChars="2565"/>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年    月    日</w:t>
      </w:r>
    </w:p>
    <w:p>
      <w:pPr>
        <w:pStyle w:val="12"/>
        <w:adjustRightInd w:val="0"/>
        <w:snapToGrid w:val="0"/>
        <w:spacing w:line="360" w:lineRule="exact"/>
        <w:ind w:left="1414" w:firstLine="5130" w:firstLineChars="2565"/>
        <w:rPr>
          <w:rFonts w:hint="eastAsia" w:asciiTheme="minorEastAsia" w:hAnsiTheme="minorEastAsia" w:eastAsiaTheme="minorEastAsia" w:cstheme="minorEastAsia"/>
          <w:bCs/>
          <w:color w:val="auto"/>
          <w:szCs w:val="21"/>
          <w:highlight w:val="none"/>
          <w:lang w:eastAsia="zh-CN"/>
        </w:rPr>
      </w:pPr>
    </w:p>
    <w:p>
      <w:pPr>
        <w:pStyle w:val="18"/>
        <w:autoSpaceDE w:val="0"/>
        <w:spacing w:line="360" w:lineRule="auto"/>
        <w:rPr>
          <w:rFonts w:hint="eastAsia" w:asciiTheme="minorEastAsia" w:hAnsiTheme="minorEastAsia" w:eastAsiaTheme="minorEastAsia" w:cstheme="minorEastAsia"/>
          <w:color w:val="auto"/>
          <w:sz w:val="21"/>
          <w:szCs w:val="21"/>
          <w:highlight w:val="none"/>
          <w:lang w:eastAsia="zh-CN"/>
        </w:rPr>
      </w:pPr>
    </w:p>
    <w:p>
      <w:pPr>
        <w:pStyle w:val="18"/>
        <w:autoSpaceDE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注：1、投标人如为残疾人福利性单位并提供本《残疾人福利性单位声明函》的，必须对声明的真实性负责。采购人或采购代理机构在公告中标结果时，同时公告其《残疾人福利性单位声明函》，接受社会监督。</w:t>
      </w:r>
    </w:p>
    <w:p>
      <w:pPr>
        <w:pStyle w:val="18"/>
        <w:autoSpaceDE w:val="0"/>
        <w:spacing w:line="360" w:lineRule="auto"/>
        <w:rPr>
          <w:rFonts w:hint="eastAsia" w:asciiTheme="minorEastAsia" w:hAnsiTheme="minorEastAsia" w:eastAsiaTheme="minorEastAsia" w:cstheme="minorEastAsia"/>
          <w:color w:val="auto"/>
          <w:sz w:val="21"/>
          <w:szCs w:val="21"/>
          <w:highlight w:val="none"/>
          <w:lang w:eastAsia="zh-CN"/>
        </w:rPr>
      </w:pPr>
    </w:p>
    <w:p>
      <w:pPr>
        <w:rPr>
          <w:rFonts w:hint="eastAsia" w:asciiTheme="minorEastAsia" w:hAnsiTheme="minorEastAsia" w:eastAsiaTheme="minorEastAsia" w:cstheme="minorEastAsia"/>
          <w:color w:val="auto"/>
          <w:sz w:val="21"/>
          <w:szCs w:val="21"/>
          <w:highlight w:val="none"/>
          <w:lang w:eastAsia="zh-CN"/>
        </w:rPr>
      </w:pPr>
    </w:p>
    <w:p>
      <w:pPr>
        <w:pStyle w:val="18"/>
        <w:rPr>
          <w:rFonts w:hint="eastAsia" w:asciiTheme="minorEastAsia" w:hAnsiTheme="minorEastAsia" w:eastAsiaTheme="minorEastAsia" w:cstheme="minorEastAsia"/>
          <w:color w:val="auto"/>
          <w:sz w:val="21"/>
          <w:szCs w:val="21"/>
          <w:highlight w:val="none"/>
          <w:lang w:eastAsia="zh-CN"/>
        </w:rPr>
      </w:pPr>
    </w:p>
    <w:p>
      <w:pPr>
        <w:rPr>
          <w:rFonts w:hint="eastAsia" w:asciiTheme="minorEastAsia" w:hAnsiTheme="minorEastAsia" w:eastAsiaTheme="minorEastAsia" w:cstheme="minorEastAsia"/>
          <w:color w:val="auto"/>
          <w:sz w:val="21"/>
          <w:szCs w:val="21"/>
          <w:highlight w:val="none"/>
          <w:lang w:eastAsia="zh-CN"/>
        </w:rPr>
      </w:pPr>
    </w:p>
    <w:p>
      <w:pPr>
        <w:pStyle w:val="18"/>
        <w:rPr>
          <w:rFonts w:hint="eastAsia" w:asciiTheme="minorEastAsia" w:hAnsiTheme="minorEastAsia" w:eastAsiaTheme="minorEastAsia" w:cstheme="minorEastAsia"/>
          <w:color w:val="auto"/>
          <w:sz w:val="21"/>
          <w:szCs w:val="21"/>
          <w:highlight w:val="none"/>
          <w:lang w:eastAsia="zh-CN"/>
        </w:rPr>
      </w:pPr>
    </w:p>
    <w:p>
      <w:pPr>
        <w:bidi w:val="0"/>
        <w:rPr>
          <w:rFonts w:hint="eastAsia"/>
          <w:color w:val="auto"/>
          <w:highlight w:val="none"/>
          <w:lang w:eastAsia="zh-CN"/>
        </w:rPr>
      </w:pPr>
    </w:p>
    <w:p>
      <w:pPr>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监狱企业的证明文件</w:t>
      </w:r>
    </w:p>
    <w:p>
      <w:pPr>
        <w:spacing w:line="35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说明：监狱企业参加政府采购活动时，应当提供由</w:t>
      </w:r>
      <w:r>
        <w:rPr>
          <w:rFonts w:hint="eastAsia" w:asciiTheme="minorEastAsia" w:hAnsiTheme="minorEastAsia" w:eastAsiaTheme="minorEastAsia" w:cstheme="minorEastAsia"/>
          <w:b/>
          <w:color w:val="auto"/>
          <w:sz w:val="21"/>
          <w:szCs w:val="21"/>
          <w:highlight w:val="none"/>
          <w:lang w:eastAsia="zh-CN"/>
        </w:rPr>
        <w:t>省级以上监狱管理局、戒毒管理局（含新疆生产建设兵团）出具的属于监狱企业的证明文件，</w:t>
      </w:r>
      <w:r>
        <w:rPr>
          <w:rFonts w:hint="eastAsia" w:asciiTheme="minorEastAsia" w:hAnsiTheme="minorEastAsia" w:eastAsiaTheme="minorEastAsia" w:cstheme="minorEastAsia"/>
          <w:color w:val="auto"/>
          <w:sz w:val="21"/>
          <w:szCs w:val="21"/>
          <w:highlight w:val="none"/>
          <w:lang w:eastAsia="zh-CN"/>
        </w:rPr>
        <w:t>并加盖投标单位公章。</w:t>
      </w: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snapToGrid w:val="0"/>
        <w:spacing w:before="120" w:beforeLines="50" w:after="50" w:line="360" w:lineRule="exact"/>
        <w:jc w:val="center"/>
        <w:rPr>
          <w:rFonts w:hint="eastAsia" w:asciiTheme="minorEastAsia" w:hAnsiTheme="minorEastAsia" w:eastAsiaTheme="minorEastAsia" w:cstheme="minorEastAsia"/>
          <w:b/>
          <w:color w:val="auto"/>
          <w:sz w:val="21"/>
          <w:szCs w:val="21"/>
          <w:highlight w:val="none"/>
          <w:u w:val="double"/>
          <w:lang w:eastAsia="zh-CN"/>
        </w:rPr>
      </w:pPr>
      <w:r>
        <w:rPr>
          <w:rFonts w:hint="eastAsia" w:asciiTheme="minorEastAsia" w:hAnsiTheme="minorEastAsia" w:eastAsiaTheme="minorEastAsia" w:cstheme="minorEastAsia"/>
          <w:b/>
          <w:color w:val="auto"/>
          <w:sz w:val="21"/>
          <w:szCs w:val="21"/>
          <w:highlight w:val="none"/>
          <w:u w:val="double"/>
          <w:lang w:eastAsia="zh-CN"/>
        </w:rPr>
        <w:t xml:space="preserve">  （二）报价文件部分 （格式）</w:t>
      </w:r>
    </w:p>
    <w:p>
      <w:pPr>
        <w:snapToGrid w:val="0"/>
        <w:spacing w:before="120" w:beforeLines="50" w:after="50" w:line="340" w:lineRule="exact"/>
        <w:ind w:firstLine="4819" w:firstLineChars="20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 标 函</w:t>
      </w:r>
    </w:p>
    <w:p>
      <w:pPr>
        <w:snapToGrid w:val="0"/>
        <w:spacing w:line="34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致：</w:t>
      </w:r>
      <w:r>
        <w:rPr>
          <w:rFonts w:hint="eastAsia" w:asciiTheme="minorEastAsia" w:hAnsiTheme="minorEastAsia" w:eastAsiaTheme="minorEastAsia" w:cstheme="minorEastAsia"/>
          <w:color w:val="auto"/>
          <w:sz w:val="21"/>
          <w:szCs w:val="21"/>
          <w:highlight w:val="none"/>
          <w:u w:val="single"/>
          <w:lang w:eastAsia="zh-CN"/>
        </w:rPr>
        <w:t>（采购代理机构名称）</w:t>
      </w:r>
      <w:r>
        <w:rPr>
          <w:rFonts w:hint="eastAsia" w:asciiTheme="minorEastAsia" w:hAnsiTheme="minorEastAsia" w:eastAsiaTheme="minorEastAsia" w:cstheme="minorEastAsia"/>
          <w:color w:val="auto"/>
          <w:sz w:val="21"/>
          <w:szCs w:val="21"/>
          <w:highlight w:val="none"/>
          <w:lang w:eastAsia="zh-CN"/>
        </w:rPr>
        <w:t>：</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根据贵方为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项目的招标公告（项目编号：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），签字代表</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（姓名）经正式授权并代表投标人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（投标人名称）提交投标文件(内含:资格文件、报价文件、商务技术文件)。</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据此函，签字代表宣布同意如下：</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1.我方同意在投标人须知规定的开标日期起遵循本投标文件，并在投标人须知第16条规定的投标有效期满之前均具有约束力。</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2、我方承诺已经具备《中华人民共和国政府采购法》中规定的参加政府采购活动的供应商应当具备的条件：</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（1）具有独立承担民事责任的能力；</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（2）具有良好的商业信誉和健全的财务会计制度；</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（3）具有履行合同所必需的设备和专业技术能力；</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（4）有依法缴纳税收和社会保障资金的良好记录；</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（5）参加此项采购活动前三年内，在经营活动中没有重大违法记录。</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3、我方根据招标文件的规定，承担完成合同的责任和义务。</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4、我方已详细审核招标文件，我方知道必须放弃提出含糊不清或误解问题的权利。</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5、如果在投标截止时间后的投标有效期内撤回投标或者有其他违约行为，我方的投标保证金可被贵方全部没收。</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6、同意向贵方提供贵方可能要求的与本投标有关的人和数据或资料。</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7、我方完全理解贵方不一定要接受最低报价的投标人为中标人。</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8、若贵方需要，我方愿意提供我方做出的一切承诺的证明材料。</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我方将严格遵守《中华人民共和国政府采购法》第七十七条规定，知悉以下之法律责任：供应商有下列情形之一的，处于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（1）提供虚假材料谋取中标、成交的；</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（2）采取不正当手段诋毁、排挤其他供应商的；</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（3）与采购人、其他供应商或者采购代理机构恶意串通的；</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（4）向采购人、采购代理机构行贿或者提供其他不正当利益的；</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（5）拒绝有关部门监督检查或提供虚假情况的。</w:t>
      </w:r>
    </w:p>
    <w:p>
      <w:pPr>
        <w:snapToGrid w:val="0"/>
        <w:spacing w:line="3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10.与本投标有关的一切正式往来信函请寄：</w:t>
      </w:r>
    </w:p>
    <w:p>
      <w:pPr>
        <w:snapToGrid w:val="0"/>
        <w:spacing w:line="3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邮编：__________            电话：______________</w:t>
      </w:r>
    </w:p>
    <w:p>
      <w:pPr>
        <w:snapToGrid w:val="0"/>
        <w:spacing w:line="3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传真：</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投标人代表姓名 ___________  职务：</w:t>
      </w:r>
      <w:r>
        <w:rPr>
          <w:rFonts w:hint="eastAsia" w:asciiTheme="minorEastAsia" w:hAnsiTheme="minorEastAsia" w:eastAsiaTheme="minorEastAsia" w:cstheme="minorEastAsia"/>
          <w:color w:val="auto"/>
          <w:sz w:val="21"/>
          <w:szCs w:val="21"/>
          <w:highlight w:val="none"/>
          <w:u w:val="single"/>
          <w:lang w:eastAsia="zh-CN"/>
        </w:rPr>
        <w:t xml:space="preserve">              </w:t>
      </w:r>
    </w:p>
    <w:p>
      <w:pPr>
        <w:snapToGrid w:val="0"/>
        <w:spacing w:line="3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开户银行：</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p>
    <w:p>
      <w:pPr>
        <w:snapToGrid w:val="0"/>
        <w:spacing w:line="34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银行账号：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pStyle w:val="21"/>
        <w:snapToGrid w:val="0"/>
        <w:spacing w:before="295" w:after="295" w:line="360" w:lineRule="exact"/>
        <w:jc w:val="center"/>
        <w:rPr>
          <w:rFonts w:hint="eastAsia" w:asciiTheme="minorEastAsia" w:hAnsiTheme="minorEastAsia" w:eastAsiaTheme="minorEastAsia" w:cstheme="minorEastAsia"/>
          <w:b/>
          <w:bCs/>
          <w:color w:val="auto"/>
          <w:sz w:val="24"/>
          <w:szCs w:val="24"/>
          <w:highlight w:val="none"/>
        </w:rPr>
      </w:pPr>
    </w:p>
    <w:p>
      <w:pPr>
        <w:pStyle w:val="21"/>
        <w:snapToGrid w:val="0"/>
        <w:spacing w:before="295" w:after="295" w:line="36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开标一览表</w:t>
      </w:r>
    </w:p>
    <w:p>
      <w:pPr>
        <w:pStyle w:val="21"/>
        <w:snapToGrid w:val="0"/>
        <w:spacing w:before="295" w:after="295" w:line="360" w:lineRule="exact"/>
        <w:ind w:firstLine="6720" w:firstLineChars="3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Cs w:val="21"/>
          <w:highlight w:val="none"/>
        </w:rPr>
        <w:t>金额单位：人民币（元）</w:t>
      </w:r>
    </w:p>
    <w:p>
      <w:pPr>
        <w:snapToGrid w:val="0"/>
        <w:spacing w:before="50" w:after="50"/>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p>
    <w:p>
      <w:pPr>
        <w:snapToGrid w:val="0"/>
        <w:spacing w:before="50" w:after="50"/>
        <w:ind w:firstLine="420" w:firstLineChars="2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项目编号：</w:t>
      </w:r>
      <w:r>
        <w:rPr>
          <w:rFonts w:hint="eastAsia" w:asciiTheme="minorEastAsia" w:hAnsiTheme="minorEastAsia" w:eastAsiaTheme="minorEastAsia" w:cstheme="minorEastAsia"/>
          <w:color w:val="auto"/>
          <w:sz w:val="21"/>
          <w:szCs w:val="21"/>
          <w:highlight w:val="none"/>
          <w:u w:val="single"/>
          <w:lang w:eastAsia="zh-CN"/>
        </w:rPr>
        <w:t xml:space="preserve">                      </w:t>
      </w:r>
    </w:p>
    <w:p>
      <w:pPr>
        <w:snapToGrid w:val="0"/>
        <w:spacing w:before="50" w:after="50"/>
        <w:ind w:firstLine="420" w:firstLineChars="2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分 标 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p>
    <w:tbl>
      <w:tblPr>
        <w:tblStyle w:val="3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92"/>
        <w:gridCol w:w="2043"/>
        <w:gridCol w:w="1438"/>
        <w:gridCol w:w="927"/>
        <w:gridCol w:w="1961"/>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629" w:type="dxa"/>
            <w:vAlign w:val="center"/>
          </w:tcPr>
          <w:p>
            <w:pPr>
              <w:spacing w:line="288"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序号</w:t>
            </w:r>
          </w:p>
        </w:tc>
        <w:tc>
          <w:tcPr>
            <w:tcW w:w="1292" w:type="dxa"/>
            <w:vAlign w:val="center"/>
          </w:tcPr>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货物名称</w:t>
            </w:r>
          </w:p>
        </w:tc>
        <w:tc>
          <w:tcPr>
            <w:tcW w:w="2043" w:type="dxa"/>
            <w:vAlign w:val="center"/>
          </w:tcPr>
          <w:p>
            <w:pPr>
              <w:spacing w:line="288"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技术参数及性能配置要求</w:t>
            </w:r>
          </w:p>
        </w:tc>
        <w:tc>
          <w:tcPr>
            <w:tcW w:w="1438" w:type="dxa"/>
            <w:vAlign w:val="center"/>
          </w:tcPr>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①</w:t>
            </w:r>
          </w:p>
        </w:tc>
        <w:tc>
          <w:tcPr>
            <w:tcW w:w="927" w:type="dxa"/>
            <w:vAlign w:val="center"/>
          </w:tcPr>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w:t>
            </w:r>
          </w:p>
        </w:tc>
        <w:tc>
          <w:tcPr>
            <w:tcW w:w="1961" w:type="dxa"/>
            <w:vAlign w:val="center"/>
          </w:tcPr>
          <w:p>
            <w:pPr>
              <w:spacing w:line="288"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单项合价</w:t>
            </w:r>
          </w:p>
          <w:p>
            <w:pPr>
              <w:spacing w:line="288"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（元）</w:t>
            </w:r>
          </w:p>
          <w:p>
            <w:pPr>
              <w:spacing w:line="288"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③=①×②</w:t>
            </w:r>
          </w:p>
        </w:tc>
        <w:tc>
          <w:tcPr>
            <w:tcW w:w="964" w:type="dxa"/>
            <w:vAlign w:val="center"/>
          </w:tcPr>
          <w:p>
            <w:pPr>
              <w:spacing w:line="288"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9"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92"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438"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27" w:type="dxa"/>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961"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64" w:type="dxa"/>
            <w:vAlign w:val="center"/>
          </w:tcPr>
          <w:p>
            <w:pPr>
              <w:pStyle w:val="21"/>
              <w:spacing w:line="288" w:lineRule="auto"/>
              <w:rPr>
                <w:rFonts w:hint="eastAsia" w:asciiTheme="minorEastAsia" w:hAnsiTheme="minorEastAsia" w:eastAsiaTheme="minorEastAsia" w:cstheme="minorEastAsia"/>
                <w:color w:val="auto"/>
                <w:spacing w:val="-6"/>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9"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92"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438"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27" w:type="dxa"/>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961"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64" w:type="dxa"/>
            <w:vAlign w:val="center"/>
          </w:tcPr>
          <w:p>
            <w:pPr>
              <w:pStyle w:val="21"/>
              <w:spacing w:line="288" w:lineRule="auto"/>
              <w:rPr>
                <w:rFonts w:hint="eastAsia" w:asciiTheme="minorEastAsia" w:hAnsiTheme="minorEastAsia" w:eastAsiaTheme="minorEastAsia" w:cstheme="minorEastAsia"/>
                <w:color w:val="auto"/>
                <w:spacing w:val="-6"/>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9"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92" w:type="dxa"/>
            <w:vAlign w:val="center"/>
          </w:tcPr>
          <w:p>
            <w:pPr>
              <w:spacing w:line="288" w:lineRule="auto"/>
              <w:jc w:val="center"/>
              <w:rPr>
                <w:rFonts w:hint="eastAsia" w:asciiTheme="minorEastAsia" w:hAnsiTheme="minorEastAsia" w:eastAsiaTheme="minorEastAsia" w:cstheme="minorEastAsia"/>
                <w:color w:val="auto"/>
                <w:sz w:val="21"/>
                <w:szCs w:val="21"/>
                <w:highlight w:val="none"/>
              </w:rPr>
            </w:pPr>
          </w:p>
        </w:tc>
        <w:tc>
          <w:tcPr>
            <w:tcW w:w="2043"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438"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27" w:type="dxa"/>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1961" w:type="dxa"/>
            <w:vAlign w:val="center"/>
          </w:tcPr>
          <w:p>
            <w:pPr>
              <w:pStyle w:val="21"/>
              <w:spacing w:line="288" w:lineRule="auto"/>
              <w:rPr>
                <w:rFonts w:hint="eastAsia" w:asciiTheme="minorEastAsia" w:hAnsiTheme="minorEastAsia" w:eastAsiaTheme="minorEastAsia" w:cstheme="minorEastAsia"/>
                <w:color w:val="auto"/>
                <w:kern w:val="0"/>
                <w:szCs w:val="21"/>
                <w:highlight w:val="none"/>
                <w:lang w:eastAsia="en-US"/>
              </w:rPr>
            </w:pPr>
          </w:p>
        </w:tc>
        <w:tc>
          <w:tcPr>
            <w:tcW w:w="964" w:type="dxa"/>
            <w:vAlign w:val="center"/>
          </w:tcPr>
          <w:p>
            <w:pPr>
              <w:pStyle w:val="21"/>
              <w:spacing w:line="288" w:lineRule="auto"/>
              <w:rPr>
                <w:rFonts w:hint="eastAsia" w:asciiTheme="minorEastAsia" w:hAnsiTheme="minorEastAsia" w:eastAsiaTheme="minorEastAsia" w:cstheme="minorEastAsia"/>
                <w:color w:val="auto"/>
                <w:spacing w:val="-6"/>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7"/>
            <w:vAlign w:val="center"/>
          </w:tcPr>
          <w:p>
            <w:pPr>
              <w:pStyle w:val="21"/>
              <w:spacing w:line="288" w:lineRule="auto"/>
              <w:rPr>
                <w:rFonts w:hint="eastAsia" w:asciiTheme="minorEastAsia" w:hAnsiTheme="minorEastAsia" w:eastAsiaTheme="minorEastAsia" w:cstheme="minorEastAsia"/>
                <w:color w:val="auto"/>
                <w:spacing w:val="-6"/>
                <w:kern w:val="0"/>
                <w:szCs w:val="21"/>
                <w:highlight w:val="none"/>
              </w:rPr>
            </w:pPr>
            <w:r>
              <w:rPr>
                <w:rFonts w:hint="eastAsia" w:asciiTheme="minorEastAsia" w:hAnsiTheme="minorEastAsia" w:eastAsiaTheme="minorEastAsia" w:cstheme="minorEastAsia"/>
                <w:color w:val="auto"/>
                <w:spacing w:val="-6"/>
                <w:kern w:val="0"/>
                <w:szCs w:val="21"/>
                <w:highlight w:val="none"/>
              </w:rPr>
              <w:t>总报价：人民币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7"/>
            <w:vAlign w:val="center"/>
          </w:tcPr>
          <w:p>
            <w:pPr>
              <w:pStyle w:val="21"/>
              <w:spacing w:line="288" w:lineRule="auto"/>
              <w:rPr>
                <w:rFonts w:hint="eastAsia" w:asciiTheme="minorEastAsia" w:hAnsiTheme="minorEastAsia" w:eastAsiaTheme="minorEastAsia" w:cstheme="minorEastAsia"/>
                <w:color w:val="auto"/>
                <w:spacing w:val="-6"/>
                <w:kern w:val="0"/>
                <w:szCs w:val="21"/>
                <w:highlight w:val="none"/>
                <w:lang w:eastAsia="en-US"/>
              </w:rPr>
            </w:pPr>
            <w:r>
              <w:rPr>
                <w:rFonts w:hint="eastAsia" w:asciiTheme="minorEastAsia" w:hAnsiTheme="minorEastAsia" w:eastAsiaTheme="minorEastAsia" w:cstheme="minorEastAsia"/>
                <w:color w:val="auto"/>
                <w:spacing w:val="-6"/>
                <w:kern w:val="0"/>
                <w:szCs w:val="21"/>
                <w:highlight w:val="none"/>
                <w:lang w:eastAsia="en-US"/>
              </w:rPr>
              <w:t>交货期：</w:t>
            </w:r>
          </w:p>
        </w:tc>
      </w:tr>
    </w:tbl>
    <w:p>
      <w:pPr>
        <w:snapToGrid w:val="0"/>
        <w:spacing w:before="50" w:after="50"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2.投标费用包括项目实施所需的人工费、货款、标准附件、备品备件、专用工具、包装、运输、装卸、保险、税金、货到就位以及安装、调试、培训、保修、售后服务等一切税金和费用。</w:t>
      </w:r>
    </w:p>
    <w:p>
      <w:pPr>
        <w:tabs>
          <w:tab w:val="left" w:pos="1418"/>
        </w:tabs>
        <w:snapToGrid w:val="0"/>
        <w:spacing w:before="50" w:after="50" w:line="360" w:lineRule="exact"/>
        <w:ind w:left="1418" w:hanging="567"/>
        <w:jc w:val="center"/>
        <w:rPr>
          <w:rFonts w:hint="eastAsia" w:asciiTheme="minorEastAsia" w:hAnsiTheme="minorEastAsia" w:eastAsiaTheme="minorEastAsia" w:cstheme="minorEastAsia"/>
          <w:color w:val="auto"/>
          <w:spacing w:val="20"/>
          <w:sz w:val="21"/>
          <w:szCs w:val="21"/>
          <w:highlight w:val="none"/>
          <w:u w:val="single"/>
          <w:lang w:eastAsia="zh-CN"/>
        </w:rPr>
      </w:pPr>
    </w:p>
    <w:p>
      <w:pPr>
        <w:pStyle w:val="56"/>
        <w:rPr>
          <w:rFonts w:hint="eastAsia" w:asciiTheme="minorEastAsia" w:hAnsiTheme="minorEastAsia" w:eastAsiaTheme="minorEastAsia" w:cstheme="minorEastAsia"/>
          <w:color w:val="auto"/>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snapToGrid w:val="0"/>
        <w:spacing w:before="50" w:after="50" w:line="36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p>
    <w:p>
      <w:pPr>
        <w:snapToGrid w:val="0"/>
        <w:spacing w:before="50" w:after="50" w:line="360" w:lineRule="exact"/>
        <w:rPr>
          <w:rFonts w:hint="eastAsia" w:asciiTheme="minorEastAsia" w:hAnsiTheme="minorEastAsia" w:eastAsiaTheme="minorEastAsia" w:cstheme="minorEastAsia"/>
          <w:color w:val="auto"/>
          <w:sz w:val="21"/>
          <w:szCs w:val="21"/>
          <w:highlight w:val="none"/>
          <w:lang w:eastAsia="zh-CN"/>
        </w:rPr>
      </w:pPr>
    </w:p>
    <w:p>
      <w:pPr>
        <w:snapToGrid w:val="0"/>
        <w:spacing w:before="50" w:after="50" w:line="360" w:lineRule="exact"/>
        <w:rPr>
          <w:rFonts w:hint="eastAsia" w:asciiTheme="minorEastAsia" w:hAnsiTheme="minorEastAsia" w:eastAsiaTheme="minorEastAsia" w:cstheme="minorEastAsia"/>
          <w:color w:val="auto"/>
          <w:sz w:val="21"/>
          <w:szCs w:val="21"/>
          <w:highlight w:val="none"/>
          <w:u w:val="single"/>
          <w:lang w:eastAsia="zh-CN"/>
        </w:rPr>
      </w:pPr>
    </w:p>
    <w:p>
      <w:pPr>
        <w:pStyle w:val="56"/>
        <w:rPr>
          <w:rFonts w:hint="eastAsia" w:asciiTheme="minorEastAsia" w:hAnsiTheme="minorEastAsia" w:eastAsiaTheme="minorEastAsia" w:cstheme="minorEastAsia"/>
          <w:color w:val="auto"/>
          <w:sz w:val="21"/>
          <w:szCs w:val="21"/>
          <w:highlight w:val="none"/>
          <w:u w:val="single"/>
          <w:lang w:eastAsia="zh-CN"/>
        </w:rPr>
      </w:pPr>
    </w:p>
    <w:p>
      <w:pPr>
        <w:pStyle w:val="18"/>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27"/>
        <w:rPr>
          <w:rFonts w:hint="eastAsia" w:asciiTheme="minorEastAsia" w:hAnsiTheme="minorEastAsia" w:eastAsiaTheme="minorEastAsia" w:cstheme="minorEastAsia"/>
          <w:b/>
          <w:color w:val="auto"/>
          <w:sz w:val="21"/>
          <w:szCs w:val="21"/>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21"/>
          <w:szCs w:val="21"/>
          <w:highlight w:val="none"/>
          <w:u w:val="double"/>
          <w:lang w:eastAsia="zh-CN"/>
        </w:rPr>
      </w:pPr>
      <w:r>
        <w:rPr>
          <w:rFonts w:hint="eastAsia" w:asciiTheme="minorEastAsia" w:hAnsiTheme="minorEastAsia" w:eastAsiaTheme="minorEastAsia" w:cstheme="minorEastAsia"/>
          <w:b/>
          <w:color w:val="auto"/>
          <w:sz w:val="21"/>
          <w:szCs w:val="21"/>
          <w:highlight w:val="none"/>
          <w:u w:val="double"/>
          <w:lang w:eastAsia="zh-CN"/>
        </w:rPr>
        <w:t>（三）商务技术文件部分（格式）</w:t>
      </w:r>
    </w:p>
    <w:p>
      <w:pPr>
        <w:rPr>
          <w:rFonts w:hint="eastAsia" w:asciiTheme="minorEastAsia" w:hAnsiTheme="minorEastAsia" w:eastAsiaTheme="minorEastAsia" w:cstheme="minorEastAsia"/>
          <w:color w:val="auto"/>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bidi w:val="0"/>
        <w:jc w:val="center"/>
        <w:rPr>
          <w:rFonts w:hint="eastAsia" w:asciiTheme="minorEastAsia" w:hAnsiTheme="minorEastAsia" w:eastAsiaTheme="minorEastAsia" w:cstheme="minorEastAsia"/>
          <w:b/>
          <w:color w:val="auto"/>
          <w:sz w:val="28"/>
          <w:szCs w:val="28"/>
          <w:highlight w:val="none"/>
          <w:lang w:eastAsia="zh-CN"/>
        </w:rPr>
      </w:pPr>
      <w:bookmarkStart w:id="195" w:name="_Toc5952"/>
      <w:bookmarkStart w:id="196" w:name="_Toc32315"/>
      <w:r>
        <w:rPr>
          <w:rFonts w:hint="eastAsia" w:asciiTheme="minorEastAsia" w:hAnsiTheme="minorEastAsia" w:eastAsiaTheme="minorEastAsia" w:cstheme="minorEastAsia"/>
          <w:b/>
          <w:color w:val="auto"/>
          <w:sz w:val="28"/>
          <w:szCs w:val="28"/>
          <w:highlight w:val="none"/>
          <w:lang w:eastAsia="zh-CN"/>
        </w:rPr>
        <w:t>无串通投标行为的承诺函</w:t>
      </w:r>
      <w:bookmarkEnd w:id="195"/>
      <w:bookmarkEnd w:id="196"/>
    </w:p>
    <w:p>
      <w:pPr>
        <w:spacing w:line="360" w:lineRule="auto"/>
        <w:ind w:firstLine="482" w:firstLineChars="200"/>
        <w:contextualSpacing/>
        <w:rPr>
          <w:rFonts w:hint="eastAsia" w:asciiTheme="minorEastAsia" w:hAnsiTheme="minorEastAsia" w:eastAsiaTheme="minorEastAsia" w:cstheme="minorEastAsia"/>
          <w:b/>
          <w:bCs/>
          <w:color w:val="auto"/>
          <w:sz w:val="24"/>
          <w:highlight w:val="none"/>
          <w:lang w:eastAsia="zh-CN"/>
        </w:rPr>
      </w:pPr>
    </w:p>
    <w:p>
      <w:pPr>
        <w:spacing w:line="360" w:lineRule="auto"/>
        <w:ind w:firstLine="482" w:firstLineChars="200"/>
        <w:contextualSpacing/>
        <w:rPr>
          <w:rFonts w:hint="eastAsia" w:asciiTheme="minorEastAsia" w:hAnsiTheme="minorEastAsia" w:eastAsiaTheme="minorEastAsia" w:cstheme="minorEastAsia"/>
          <w:b/>
          <w:bCs/>
          <w:color w:val="auto"/>
          <w:sz w:val="24"/>
          <w:highlight w:val="none"/>
          <w:lang w:eastAsia="zh-CN"/>
        </w:rPr>
      </w:pPr>
      <w:bookmarkStart w:id="197" w:name="_Toc6713"/>
      <w:bookmarkStart w:id="198" w:name="_Toc1121"/>
      <w:r>
        <w:rPr>
          <w:rFonts w:hint="eastAsia" w:asciiTheme="minorEastAsia" w:hAnsiTheme="minorEastAsia" w:eastAsiaTheme="minorEastAsia" w:cstheme="minorEastAsia"/>
          <w:b/>
          <w:bCs/>
          <w:color w:val="auto"/>
          <w:sz w:val="24"/>
          <w:highlight w:val="none"/>
          <w:lang w:eastAsia="zh-CN"/>
        </w:rPr>
        <w:t>一、我方承诺无下列相互串通投标的情形：</w:t>
      </w:r>
      <w:bookmarkEnd w:id="197"/>
      <w:bookmarkEnd w:id="198"/>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1.不同供应商的响应文件由同一单位或者个人编制； </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2.不同供应商委托同一单位或者个人办理投标事宜；</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3.不同供应商的响应文件载明的项目管理员为同一个人；</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4.不</w:t>
      </w:r>
      <w:r>
        <w:rPr>
          <w:rFonts w:hint="eastAsia" w:asciiTheme="minorEastAsia" w:hAnsiTheme="minorEastAsia" w:eastAsiaTheme="minorEastAsia" w:cstheme="minorEastAsia"/>
          <w:color w:val="auto"/>
          <w:spacing w:val="-6"/>
          <w:sz w:val="24"/>
          <w:highlight w:val="none"/>
          <w:lang w:eastAsia="zh-CN"/>
        </w:rPr>
        <w:t>同供应商的响应文件异常一致或者响应报价呈规律性差异；</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5.不同供应商的响应文件相互混装；</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6.不同供应商的磋商保证金从同一单位或者个人账户转出。</w:t>
      </w:r>
    </w:p>
    <w:p>
      <w:pPr>
        <w:spacing w:line="360" w:lineRule="auto"/>
        <w:ind w:firstLine="482" w:firstLineChars="200"/>
        <w:contextualSpacing/>
        <w:rPr>
          <w:rFonts w:hint="eastAsia" w:asciiTheme="minorEastAsia" w:hAnsiTheme="minorEastAsia" w:eastAsiaTheme="minorEastAsia" w:cstheme="minorEastAsia"/>
          <w:b/>
          <w:bCs/>
          <w:color w:val="auto"/>
          <w:sz w:val="24"/>
          <w:highlight w:val="none"/>
          <w:lang w:eastAsia="zh-CN"/>
        </w:rPr>
      </w:pPr>
      <w:bookmarkStart w:id="199" w:name="_Toc21794"/>
      <w:bookmarkStart w:id="200" w:name="_Toc1264"/>
      <w:r>
        <w:rPr>
          <w:rFonts w:hint="eastAsia" w:asciiTheme="minorEastAsia" w:hAnsiTheme="minorEastAsia" w:eastAsiaTheme="minorEastAsia" w:cstheme="minorEastAsia"/>
          <w:b/>
          <w:bCs/>
          <w:color w:val="auto"/>
          <w:sz w:val="24"/>
          <w:highlight w:val="none"/>
          <w:lang w:eastAsia="zh-CN"/>
        </w:rPr>
        <w:t>二、我方承诺无下列恶意串通的情形：</w:t>
      </w:r>
      <w:bookmarkEnd w:id="199"/>
      <w:bookmarkEnd w:id="200"/>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1.供应商直接或者间接从采购人或者采购代理机构处获得其他供应商的相关信息并修改其响应文件；</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2.供应商按照采购人或者采购代理机构的授意撤换、修改响应文件；</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bookmarkStart w:id="201" w:name="_Toc32289"/>
      <w:bookmarkStart w:id="202" w:name="_Toc26021"/>
      <w:r>
        <w:rPr>
          <w:rFonts w:hint="eastAsia" w:asciiTheme="minorEastAsia" w:hAnsiTheme="minorEastAsia" w:eastAsiaTheme="minorEastAsia" w:cstheme="minorEastAsia"/>
          <w:color w:val="auto"/>
          <w:sz w:val="24"/>
          <w:highlight w:val="none"/>
          <w:lang w:eastAsia="zh-CN"/>
        </w:rPr>
        <w:t>3.供应商之间协商报价、技术方案等响应文件的实质性内容；</w:t>
      </w:r>
      <w:bookmarkEnd w:id="201"/>
      <w:bookmarkEnd w:id="202"/>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4.属于同一集团、协会、商会等组织成员的供应商按照该组织要求协同参加政府采购活动；</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5.供应商之间事先约定一致抬高或者压低响应报价，或者在采购项目中事先约定轮流以高价位或者低价位中标，或者事先约定由某一特定供应商中标，然后再参加投标；</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6.供应商之间商定部分供应商放弃参加政府采购活动或者放弃中标；</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lang w:eastAsia="zh-CN"/>
        </w:rPr>
        <w:t>谋求特定供应商中标或者排斥其他供应商的其他串通行为。</w:t>
      </w:r>
    </w:p>
    <w:p>
      <w:pPr>
        <w:spacing w:line="360" w:lineRule="auto"/>
        <w:ind w:firstLine="480" w:firstLineChars="200"/>
        <w:contextualSpacing/>
        <w:rPr>
          <w:rFonts w:hint="eastAsia" w:asciiTheme="minorEastAsia" w:hAnsiTheme="minorEastAsia" w:eastAsiaTheme="minorEastAsia" w:cstheme="minorEastAsia"/>
          <w:color w:val="auto"/>
          <w:sz w:val="24"/>
          <w:highlight w:val="none"/>
          <w:lang w:eastAsia="zh-CN"/>
        </w:rPr>
      </w:pPr>
    </w:p>
    <w:p>
      <w:pPr>
        <w:spacing w:line="360" w:lineRule="auto"/>
        <w:ind w:firstLine="482" w:firstLineChars="200"/>
        <w:contextualSpacing/>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以上情形一经核查属实，我方愿意承担一切后果，并不再寻求任何旨在减轻或者免除法律责任的辩解。</w:t>
      </w:r>
    </w:p>
    <w:p>
      <w:pPr>
        <w:rPr>
          <w:rFonts w:hint="eastAsia" w:asciiTheme="minorEastAsia" w:hAnsiTheme="minorEastAsia" w:eastAsiaTheme="minorEastAsia" w:cstheme="minorEastAsia"/>
          <w:color w:val="auto"/>
          <w:highlight w:val="none"/>
          <w:lang w:eastAsia="zh-CN"/>
        </w:rPr>
      </w:pPr>
    </w:p>
    <w:p>
      <w:pPr>
        <w:snapToGrid w:val="0"/>
        <w:spacing w:line="360" w:lineRule="exact"/>
        <w:jc w:val="left"/>
        <w:rPr>
          <w:rFonts w:hint="eastAsia" w:asciiTheme="minorEastAsia" w:hAnsiTheme="minorEastAsia" w:eastAsiaTheme="minorEastAsia" w:cstheme="minorEastAsia"/>
          <w:color w:val="auto"/>
          <w:sz w:val="21"/>
          <w:szCs w:val="21"/>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snapToGrid w:val="0"/>
        <w:spacing w:line="360" w:lineRule="exact"/>
        <w:jc w:val="left"/>
        <w:rPr>
          <w:rFonts w:hint="eastAsia" w:asciiTheme="minorEastAsia" w:hAnsiTheme="minorEastAsia" w:eastAsiaTheme="minorEastAsia" w:cstheme="minorEastAsia"/>
          <w:b/>
          <w:color w:val="auto"/>
          <w:sz w:val="21"/>
          <w:szCs w:val="21"/>
          <w:highlight w:val="none"/>
          <w:lang w:eastAsia="zh-CN"/>
        </w:rPr>
      </w:pPr>
    </w:p>
    <w:p>
      <w:pPr>
        <w:bidi w:val="0"/>
        <w:jc w:val="center"/>
        <w:rPr>
          <w:rFonts w:hint="eastAsia" w:asciiTheme="minorEastAsia" w:hAnsiTheme="minorEastAsia" w:eastAsiaTheme="minorEastAsia" w:cstheme="minorEastAsia"/>
          <w:b/>
          <w:color w:val="auto"/>
          <w:sz w:val="28"/>
          <w:szCs w:val="28"/>
          <w:highlight w:val="none"/>
          <w:lang w:eastAsia="zh-CN"/>
        </w:rPr>
      </w:pPr>
      <w:bookmarkStart w:id="203" w:name="_Toc370414849"/>
    </w:p>
    <w:p>
      <w:pPr>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法定代表人资格证明书</w:t>
      </w:r>
      <w:bookmarkEnd w:id="203"/>
      <w:r>
        <w:rPr>
          <w:rFonts w:hint="eastAsia" w:asciiTheme="minorEastAsia" w:hAnsiTheme="minorEastAsia" w:eastAsiaTheme="minorEastAsia" w:cstheme="minorEastAsia"/>
          <w:b/>
          <w:color w:val="auto"/>
          <w:sz w:val="28"/>
          <w:szCs w:val="28"/>
          <w:highlight w:val="none"/>
          <w:lang w:eastAsia="zh-CN"/>
        </w:rPr>
        <w:t>及身份证复印件</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单位名称：</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 xml:space="preserve">    单位性质：</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地    址：</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成立时间：</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经营期限：</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姓    名：</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性别：</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年龄：</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职务：</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身份证号码：</w:t>
      </w:r>
      <w:r>
        <w:rPr>
          <w:rFonts w:hint="eastAsia" w:asciiTheme="minorEastAsia" w:hAnsiTheme="minorEastAsia" w:eastAsiaTheme="minorEastAsia" w:cstheme="minorEastAsia"/>
          <w:color w:val="auto"/>
          <w:sz w:val="21"/>
          <w:szCs w:val="21"/>
          <w:highlight w:val="none"/>
          <w:u w:val="single"/>
          <w:lang w:eastAsia="zh-CN"/>
        </w:rPr>
        <w:t xml:space="preserve">                               </w:t>
      </w:r>
    </w:p>
    <w:p>
      <w:pPr>
        <w:autoSpaceDE w:val="0"/>
        <w:autoSpaceDN w:val="0"/>
        <w:adjustRightInd w:val="0"/>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系</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的法定代表人。</w:t>
      </w:r>
    </w:p>
    <w:p>
      <w:pPr>
        <w:autoSpaceDE w:val="0"/>
        <w:autoSpaceDN w:val="0"/>
        <w:adjustRightInd w:val="0"/>
        <w:spacing w:line="4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p>
    <w:p>
      <w:pPr>
        <w:autoSpaceDE w:val="0"/>
        <w:autoSpaceDN w:val="0"/>
        <w:adjustRightInd w:val="0"/>
        <w:spacing w:line="400" w:lineRule="exact"/>
        <w:ind w:right="-660" w:rightChars="-33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特此证明。</w:t>
      </w:r>
    </w:p>
    <w:p>
      <w:pPr>
        <w:autoSpaceDE w:val="0"/>
        <w:autoSpaceDN w:val="0"/>
        <w:adjustRightInd w:val="0"/>
        <w:spacing w:line="400" w:lineRule="exact"/>
        <w:jc w:val="left"/>
        <w:rPr>
          <w:rFonts w:hint="eastAsia" w:asciiTheme="minorEastAsia" w:hAnsiTheme="minorEastAsia" w:eastAsiaTheme="minorEastAsia" w:cstheme="minorEastAsia"/>
          <w:color w:val="auto"/>
          <w:sz w:val="21"/>
          <w:szCs w:val="21"/>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rPr>
        <w:t>年  月   日</w:t>
      </w:r>
      <w:r>
        <w:rPr>
          <w:rFonts w:hint="eastAsia" w:asciiTheme="minorEastAsia" w:hAnsiTheme="minorEastAsia" w:eastAsiaTheme="minorEastAsia" w:cstheme="minorEastAsia"/>
          <w:color w:val="auto"/>
          <w:sz w:val="24"/>
          <w:szCs w:val="28"/>
          <w:highlight w:val="none"/>
        </w:rPr>
        <w:t xml:space="preserve">     </w:t>
      </w:r>
    </w:p>
    <w:p>
      <w:pPr>
        <w:pStyle w:val="56"/>
        <w:rPr>
          <w:rFonts w:hint="eastAsia" w:asciiTheme="minorEastAsia" w:hAnsiTheme="minorEastAsia" w:eastAsiaTheme="minorEastAsia" w:cstheme="minorEastAsia"/>
          <w:color w:val="auto"/>
          <w:highlight w:val="none"/>
          <w:lang w:eastAsia="zh-CN"/>
        </w:rPr>
      </w:pPr>
    </w:p>
    <w:tbl>
      <w:tblPr>
        <w:tblStyle w:val="3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jc w:val="center"/>
        </w:trPr>
        <w:tc>
          <w:tcPr>
            <w:tcW w:w="8720" w:type="dxa"/>
          </w:tcPr>
          <w:p>
            <w:pPr>
              <w:pStyle w:val="5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贴附“法定代表人身份证复印件”</w:t>
            </w:r>
          </w:p>
        </w:tc>
      </w:tr>
    </w:tbl>
    <w:p>
      <w:pPr>
        <w:snapToGrid w:val="0"/>
        <w:spacing w:line="360" w:lineRule="exact"/>
        <w:jc w:val="left"/>
        <w:rPr>
          <w:rFonts w:hint="eastAsia" w:asciiTheme="minorEastAsia" w:hAnsiTheme="minorEastAsia" w:eastAsiaTheme="minorEastAsia" w:cstheme="minorEastAsia"/>
          <w:b/>
          <w:bCs/>
          <w:color w:val="auto"/>
          <w:sz w:val="24"/>
          <w:szCs w:val="24"/>
          <w:highlight w:val="none"/>
          <w:lang w:eastAsia="zh-CN"/>
        </w:rPr>
      </w:pPr>
    </w:p>
    <w:p>
      <w:pPr>
        <w:snapToGrid w:val="0"/>
        <w:spacing w:line="360" w:lineRule="exact"/>
        <w:ind w:firstLine="3855" w:firstLineChars="1600"/>
        <w:jc w:val="left"/>
        <w:rPr>
          <w:rFonts w:hint="eastAsia" w:asciiTheme="minorEastAsia" w:hAnsiTheme="minorEastAsia" w:eastAsiaTheme="minorEastAsia" w:cstheme="minorEastAsia"/>
          <w:b/>
          <w:bCs/>
          <w:color w:val="auto"/>
          <w:sz w:val="24"/>
          <w:szCs w:val="24"/>
          <w:highlight w:val="none"/>
          <w:lang w:eastAsia="zh-CN"/>
        </w:rPr>
      </w:pPr>
    </w:p>
    <w:p>
      <w:pPr>
        <w:pStyle w:val="27"/>
        <w:rPr>
          <w:rFonts w:hint="eastAsia" w:asciiTheme="minorEastAsia" w:hAnsiTheme="minorEastAsia" w:eastAsiaTheme="minorEastAsia" w:cstheme="minorEastAsia"/>
          <w:b/>
          <w:bCs/>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snapToGrid w:val="0"/>
        <w:spacing w:line="360" w:lineRule="exact"/>
        <w:ind w:firstLine="3855" w:firstLineChars="1600"/>
        <w:jc w:val="left"/>
        <w:rPr>
          <w:rFonts w:hint="eastAsia" w:asciiTheme="minorEastAsia" w:hAnsiTheme="minorEastAsia" w:eastAsiaTheme="minorEastAsia" w:cstheme="minorEastAsia"/>
          <w:b/>
          <w:bCs/>
          <w:color w:val="auto"/>
          <w:sz w:val="24"/>
          <w:szCs w:val="24"/>
          <w:highlight w:val="none"/>
          <w:lang w:eastAsia="zh-CN"/>
        </w:rPr>
      </w:pPr>
    </w:p>
    <w:p>
      <w:pPr>
        <w:pStyle w:val="55"/>
        <w:rPr>
          <w:rFonts w:hint="eastAsia"/>
          <w:color w:val="auto"/>
          <w:highlight w:val="none"/>
          <w:lang w:eastAsia="zh-CN"/>
        </w:rPr>
      </w:pPr>
    </w:p>
    <w:p>
      <w:pPr>
        <w:snapToGrid w:val="0"/>
        <w:spacing w:line="360" w:lineRule="exact"/>
        <w:jc w:val="left"/>
        <w:rPr>
          <w:rFonts w:hint="eastAsia" w:asciiTheme="minorEastAsia" w:hAnsiTheme="minorEastAsia" w:eastAsiaTheme="minorEastAsia" w:cstheme="minorEastAsia"/>
          <w:b/>
          <w:bCs/>
          <w:color w:val="auto"/>
          <w:sz w:val="24"/>
          <w:szCs w:val="24"/>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法定代表人授权委托书和委托代理人身份证复印件</w:t>
      </w:r>
    </w:p>
    <w:p>
      <w:pPr>
        <w:snapToGrid w:val="0"/>
        <w:spacing w:line="360" w:lineRule="exact"/>
        <w:rPr>
          <w:rFonts w:hint="eastAsia" w:asciiTheme="minorEastAsia" w:hAnsiTheme="minorEastAsia" w:eastAsiaTheme="minorEastAsia" w:cstheme="minorEastAsia"/>
          <w:bCs/>
          <w:color w:val="auto"/>
          <w:sz w:val="21"/>
          <w:szCs w:val="21"/>
          <w:highlight w:val="none"/>
          <w:lang w:eastAsia="zh-CN"/>
        </w:rPr>
      </w:pPr>
    </w:p>
    <w:p>
      <w:pPr>
        <w:snapToGrid w:val="0"/>
        <w:spacing w:line="36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致：</w:t>
      </w:r>
      <w:r>
        <w:rPr>
          <w:rFonts w:hint="eastAsia" w:asciiTheme="minorEastAsia" w:hAnsiTheme="minorEastAsia" w:eastAsiaTheme="minorEastAsia" w:cstheme="minorEastAsia"/>
          <w:bCs/>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（采购代理机构名称）</w:t>
      </w:r>
      <w:r>
        <w:rPr>
          <w:rFonts w:hint="eastAsia" w:asciiTheme="minorEastAsia" w:hAnsiTheme="minorEastAsia" w:eastAsiaTheme="minorEastAsia" w:cstheme="minorEastAsia"/>
          <w:color w:val="auto"/>
          <w:sz w:val="21"/>
          <w:szCs w:val="21"/>
          <w:highlight w:val="none"/>
          <w:lang w:eastAsia="zh-CN"/>
        </w:rPr>
        <w:t>：</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我</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（姓名）系</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（投标人名称）的法定代表人，现授权委托本单位在职职工 </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（姓名）以我方的名义参加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（项目名称、项目编号、分标号）的投标活动，并代表我方全权办理针对上述项目的投标、开标、评标、签约等具体事务和签署相关文件。</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我方对被授权人的签名事项负全部责任。</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在撤销授权的书面通知以前，本授权书一直有效。被授权人在授权书有效期内签署的所有文件不因授权的撤销而失效。</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被授权人无转委托权，特此委托。</w:t>
      </w:r>
    </w:p>
    <w:p>
      <w:pPr>
        <w:snapToGrid w:val="0"/>
        <w:spacing w:line="360" w:lineRule="exact"/>
        <w:ind w:firstLine="420"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被授权人签名：</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法定代表人签名：</w:t>
      </w:r>
      <w:r>
        <w:rPr>
          <w:rFonts w:hint="eastAsia" w:asciiTheme="minorEastAsia" w:hAnsiTheme="minorEastAsia" w:eastAsiaTheme="minorEastAsia" w:cstheme="minorEastAsia"/>
          <w:color w:val="auto"/>
          <w:sz w:val="21"/>
          <w:szCs w:val="21"/>
          <w:highlight w:val="none"/>
          <w:u w:val="single"/>
          <w:lang w:eastAsia="zh-CN"/>
        </w:rPr>
        <w:t xml:space="preserve">          </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所在部门职务：</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职务：</w:t>
      </w:r>
      <w:r>
        <w:rPr>
          <w:rFonts w:hint="eastAsia" w:asciiTheme="minorEastAsia" w:hAnsiTheme="minorEastAsia" w:eastAsiaTheme="minorEastAsia" w:cstheme="minorEastAsia"/>
          <w:color w:val="auto"/>
          <w:sz w:val="21"/>
          <w:szCs w:val="21"/>
          <w:highlight w:val="none"/>
          <w:u w:val="single"/>
          <w:lang w:eastAsia="zh-CN"/>
        </w:rPr>
        <w:t xml:space="preserve">           </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被授权人身份证号码：</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p>
    <w:p>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手机号：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p>
      <w:pPr>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pStyle w:val="56"/>
        <w:rPr>
          <w:rFonts w:hint="eastAsia" w:asciiTheme="minorEastAsia" w:hAnsiTheme="minorEastAsia" w:eastAsiaTheme="minorEastAsia" w:cstheme="minorEastAsia"/>
          <w:color w:val="auto"/>
          <w:sz w:val="21"/>
          <w:szCs w:val="21"/>
          <w:highlight w:val="none"/>
        </w:rPr>
      </w:pPr>
    </w:p>
    <w:tbl>
      <w:tblPr>
        <w:tblStyle w:val="3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8720" w:type="dxa"/>
          </w:tcPr>
          <w:p>
            <w:pPr>
              <w:pStyle w:val="5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贴附“委托代理人身份证复印件”</w:t>
            </w:r>
          </w:p>
        </w:tc>
      </w:tr>
    </w:tbl>
    <w:p>
      <w:pPr>
        <w:pStyle w:val="56"/>
        <w:jc w:val="center"/>
        <w:rPr>
          <w:rFonts w:hint="eastAsia" w:asciiTheme="minorEastAsia" w:hAnsiTheme="minorEastAsia" w:eastAsiaTheme="minorEastAsia" w:cstheme="minorEastAsia"/>
          <w:color w:val="auto"/>
          <w:sz w:val="21"/>
          <w:szCs w:val="21"/>
          <w:highlight w:val="none"/>
          <w:lang w:eastAsia="zh-CN"/>
        </w:rPr>
      </w:pPr>
    </w:p>
    <w:p>
      <w:pPr>
        <w:snapToGrid w:val="0"/>
        <w:spacing w:line="360" w:lineRule="exact"/>
        <w:ind w:firstLine="4620" w:firstLineChars="2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p>
    <w:p>
      <w:pPr>
        <w:snapToGrid w:val="0"/>
        <w:spacing w:line="360" w:lineRule="exact"/>
        <w:rPr>
          <w:rFonts w:hint="eastAsia" w:asciiTheme="minorEastAsia" w:hAnsiTheme="minorEastAsia" w:eastAsiaTheme="minorEastAsia" w:cstheme="minorEastAsia"/>
          <w:color w:val="auto"/>
          <w:sz w:val="21"/>
          <w:szCs w:val="21"/>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pStyle w:val="56"/>
        <w:spacing w:line="360" w:lineRule="exact"/>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pStyle w:val="56"/>
        <w:rPr>
          <w:rFonts w:hint="eastAsia" w:asciiTheme="minorEastAsia" w:hAnsiTheme="minorEastAsia" w:eastAsiaTheme="minorEastAsia" w:cstheme="minorEastAsia"/>
          <w:color w:val="auto"/>
          <w:sz w:val="21"/>
          <w:szCs w:val="21"/>
          <w:highlight w:val="none"/>
          <w:lang w:eastAsia="zh-CN"/>
        </w:rPr>
      </w:pPr>
    </w:p>
    <w:p>
      <w:pPr>
        <w:keepNext/>
        <w:snapToGrid w:val="0"/>
        <w:spacing w:line="360" w:lineRule="exact"/>
        <w:rPr>
          <w:rFonts w:hint="eastAsia" w:asciiTheme="minorEastAsia" w:hAnsiTheme="minorEastAsia" w:eastAsiaTheme="minorEastAsia" w:cstheme="minorEastAsia"/>
          <w:b/>
          <w:bCs/>
          <w:color w:val="auto"/>
          <w:sz w:val="24"/>
          <w:szCs w:val="24"/>
          <w:highlight w:val="none"/>
          <w:lang w:eastAsia="zh-CN"/>
        </w:rPr>
      </w:pPr>
    </w:p>
    <w:p>
      <w:pPr>
        <w:keepNext/>
        <w:snapToGrid w:val="0"/>
        <w:spacing w:line="360" w:lineRule="exact"/>
        <w:rPr>
          <w:rFonts w:hint="eastAsia" w:asciiTheme="minorEastAsia" w:hAnsiTheme="minorEastAsia" w:eastAsiaTheme="minorEastAsia" w:cstheme="minorEastAsia"/>
          <w:b/>
          <w:bCs/>
          <w:color w:val="auto"/>
          <w:sz w:val="24"/>
          <w:szCs w:val="24"/>
          <w:highlight w:val="none"/>
          <w:lang w:eastAsia="zh-CN"/>
        </w:rPr>
      </w:pPr>
    </w:p>
    <w:p>
      <w:pPr>
        <w:pStyle w:val="56"/>
        <w:rPr>
          <w:rFonts w:hint="eastAsia" w:asciiTheme="minorEastAsia" w:hAnsiTheme="minorEastAsia" w:eastAsiaTheme="minorEastAsia" w:cstheme="minorEastAsia"/>
          <w:color w:val="auto"/>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adjustRightInd w:val="0"/>
        <w:snapToGrid w:val="0"/>
        <w:spacing w:line="340" w:lineRule="exact"/>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商务响应表</w:t>
      </w:r>
    </w:p>
    <w:p>
      <w:pPr>
        <w:pStyle w:val="56"/>
        <w:rPr>
          <w:rFonts w:hint="eastAsia" w:asciiTheme="minorEastAsia" w:hAnsiTheme="minorEastAsia" w:eastAsiaTheme="minorEastAsia" w:cstheme="minorEastAsia"/>
          <w:color w:val="auto"/>
          <w:highlight w:val="none"/>
          <w:lang w:eastAsia="zh-CN"/>
        </w:rPr>
      </w:pPr>
    </w:p>
    <w:tbl>
      <w:tblPr>
        <w:tblStyle w:val="38"/>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9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hint="eastAsia" w:asciiTheme="minorEastAsia" w:hAnsiTheme="minorEastAsia" w:eastAsiaTheme="minorEastAsia" w:cstheme="minorEastAsia"/>
                <w:color w:val="auto"/>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hint="eastAsia" w:asciiTheme="minorEastAsia" w:hAnsiTheme="minorEastAsia" w:eastAsiaTheme="minorEastAsia" w:cstheme="minorEastAsia"/>
                <w:color w:val="auto"/>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hint="eastAsia" w:asciiTheme="minorEastAsia" w:hAnsiTheme="minorEastAsia" w:eastAsiaTheme="minorEastAsia" w:cstheme="minorEastAsia"/>
                <w:color w:val="auto"/>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43"/>
              <w:rPr>
                <w:rFonts w:hint="eastAsia" w:asciiTheme="minorEastAsia" w:hAnsiTheme="minorEastAsia" w:eastAsiaTheme="minorEastAsia" w:cstheme="minorEastAsia"/>
                <w:color w:val="auto"/>
                <w:sz w:val="21"/>
                <w:szCs w:val="21"/>
                <w:highlight w:val="none"/>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43"/>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hint="eastAsia" w:asciiTheme="minorEastAsia" w:hAnsiTheme="minorEastAsia" w:eastAsiaTheme="minorEastAsia" w:cstheme="minorEastAsia"/>
                <w:color w:val="auto"/>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105" w:hanging="105" w:hangingChars="50"/>
              <w:rPr>
                <w:rFonts w:hint="eastAsia" w:asciiTheme="minorEastAsia" w:hAnsiTheme="minorEastAsia" w:eastAsiaTheme="minorEastAsia" w:cstheme="minorEastAsia"/>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hint="eastAsia" w:asciiTheme="minorEastAsia" w:hAnsiTheme="minorEastAsia" w:eastAsiaTheme="minorEastAsia" w:cstheme="minorEastAsia"/>
                <w:color w:val="auto"/>
                <w:sz w:val="21"/>
                <w:szCs w:val="21"/>
                <w:highlight w:val="none"/>
              </w:rPr>
            </w:pPr>
          </w:p>
        </w:tc>
      </w:tr>
    </w:tbl>
    <w:p>
      <w:pPr>
        <w:snapToGrid w:val="0"/>
        <w:spacing w:before="120" w:beforeLines="50" w:after="120" w:afterLines="50" w:line="36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说明：按照“第三章 货物需求一览表 商务要求”部分逐一填写。</w:t>
      </w:r>
    </w:p>
    <w:p>
      <w:pPr>
        <w:snapToGrid w:val="0"/>
        <w:spacing w:before="120" w:beforeLines="50" w:after="120" w:afterLines="50" w:line="360" w:lineRule="exact"/>
        <w:rPr>
          <w:rFonts w:hint="eastAsia" w:asciiTheme="minorEastAsia" w:hAnsiTheme="minorEastAsia" w:eastAsiaTheme="minorEastAsia" w:cstheme="minorEastAsia"/>
          <w:color w:val="auto"/>
          <w:sz w:val="21"/>
          <w:szCs w:val="21"/>
          <w:highlight w:val="none"/>
          <w:lang w:eastAsia="zh-CN"/>
        </w:rPr>
      </w:pPr>
    </w:p>
    <w:p>
      <w:pPr>
        <w:pStyle w:val="27"/>
        <w:rPr>
          <w:rFonts w:hint="eastAsia" w:asciiTheme="minorEastAsia" w:hAnsiTheme="minorEastAsia" w:eastAsiaTheme="minorEastAsia" w:cstheme="minorEastAsia"/>
          <w:color w:val="auto"/>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wordWrap w:val="0"/>
        <w:topLinePunct/>
        <w:adjustRightInd w:val="0"/>
        <w:snapToGrid w:val="0"/>
        <w:spacing w:line="40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pStyle w:val="56"/>
        <w:rPr>
          <w:rFonts w:hint="eastAsia" w:asciiTheme="minorEastAsia" w:hAnsiTheme="minorEastAsia" w:eastAsiaTheme="minorEastAsia" w:cstheme="minorEastAsia"/>
          <w:b/>
          <w:color w:val="auto"/>
          <w:sz w:val="21"/>
          <w:szCs w:val="21"/>
          <w:highlight w:val="none"/>
          <w:lang w:eastAsia="zh-CN"/>
        </w:rPr>
      </w:pPr>
    </w:p>
    <w:p>
      <w:pPr>
        <w:wordWrap w:val="0"/>
        <w:topLinePunct/>
        <w:adjustRightInd w:val="0"/>
        <w:snapToGrid w:val="0"/>
        <w:spacing w:line="40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p>
    <w:p>
      <w:pPr>
        <w:wordWrap w:val="0"/>
        <w:topLinePunct/>
        <w:adjustRightInd w:val="0"/>
        <w:snapToGrid w:val="0"/>
        <w:spacing w:line="40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p>
    <w:p>
      <w:pPr>
        <w:wordWrap w:val="0"/>
        <w:topLinePunct/>
        <w:adjustRightInd w:val="0"/>
        <w:snapToGrid w:val="0"/>
        <w:spacing w:line="400" w:lineRule="exact"/>
        <w:ind w:firstLine="422" w:firstLineChars="200"/>
        <w:jc w:val="left"/>
        <w:rPr>
          <w:rFonts w:hint="eastAsia" w:asciiTheme="minorEastAsia" w:hAnsiTheme="minorEastAsia" w:eastAsiaTheme="minorEastAsia" w:cstheme="minorEastAsia"/>
          <w:b/>
          <w:bCs/>
          <w:color w:val="auto"/>
          <w:sz w:val="21"/>
          <w:szCs w:val="21"/>
          <w:highlight w:val="none"/>
          <w:lang w:eastAsia="zh-CN"/>
        </w:rPr>
      </w:pPr>
    </w:p>
    <w:p>
      <w:pPr>
        <w:snapToGrid w:val="0"/>
        <w:spacing w:line="360" w:lineRule="exact"/>
        <w:rPr>
          <w:rFonts w:hint="eastAsia" w:asciiTheme="minorEastAsia" w:hAnsiTheme="minorEastAsia" w:eastAsiaTheme="minorEastAsia" w:cstheme="minorEastAsia"/>
          <w:b/>
          <w:color w:val="auto"/>
          <w:sz w:val="21"/>
          <w:szCs w:val="21"/>
          <w:highlight w:val="none"/>
          <w:u w:val="double"/>
          <w:lang w:eastAsia="zh-CN"/>
        </w:rPr>
      </w:pPr>
    </w:p>
    <w:p>
      <w:pPr>
        <w:snapToGrid w:val="0"/>
        <w:spacing w:line="360" w:lineRule="exact"/>
        <w:jc w:val="left"/>
        <w:rPr>
          <w:rFonts w:hint="eastAsia" w:asciiTheme="minorEastAsia" w:hAnsiTheme="minorEastAsia" w:eastAsiaTheme="minorEastAsia" w:cstheme="minorEastAsia"/>
          <w:b/>
          <w:color w:val="auto"/>
          <w:sz w:val="21"/>
          <w:szCs w:val="21"/>
          <w:highlight w:val="none"/>
          <w:lang w:eastAsia="zh-CN"/>
        </w:rPr>
      </w:pPr>
    </w:p>
    <w:p>
      <w:pPr>
        <w:snapToGrid w:val="0"/>
        <w:spacing w:line="360" w:lineRule="exact"/>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技术响应表</w:t>
      </w:r>
    </w:p>
    <w:p>
      <w:pPr>
        <w:snapToGrid w:val="0"/>
        <w:spacing w:line="360" w:lineRule="exact"/>
        <w:jc w:val="left"/>
        <w:rPr>
          <w:rFonts w:hint="eastAsia" w:asciiTheme="minorEastAsia" w:hAnsiTheme="minorEastAsia" w:eastAsiaTheme="minorEastAsia" w:cstheme="minorEastAsia"/>
          <w:b/>
          <w:color w:val="auto"/>
          <w:sz w:val="21"/>
          <w:szCs w:val="21"/>
          <w:highlight w:val="none"/>
          <w:lang w:eastAsia="zh-CN"/>
        </w:rPr>
      </w:pPr>
    </w:p>
    <w:tbl>
      <w:tblPr>
        <w:tblStyle w:val="38"/>
        <w:tblW w:w="100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1725"/>
        <w:gridCol w:w="1665"/>
        <w:gridCol w:w="90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vMerge w:val="restart"/>
            <w:tcBorders>
              <w:top w:val="single" w:color="auto" w:sz="4" w:space="0"/>
              <w:left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04" w:name="_Toc28819"/>
            <w:bookmarkStart w:id="205" w:name="_Toc17873"/>
            <w:bookmarkStart w:id="206" w:name="_Toc11258"/>
            <w:r>
              <w:rPr>
                <w:rFonts w:hint="eastAsia" w:asciiTheme="minorEastAsia" w:hAnsiTheme="minorEastAsia" w:eastAsiaTheme="minorEastAsia" w:cstheme="minorEastAsia"/>
                <w:color w:val="auto"/>
                <w:szCs w:val="21"/>
                <w:highlight w:val="none"/>
              </w:rPr>
              <w:t>序号</w:t>
            </w:r>
            <w:bookmarkEnd w:id="204"/>
            <w:bookmarkEnd w:id="205"/>
            <w:bookmarkEnd w:id="206"/>
          </w:p>
        </w:tc>
        <w:tc>
          <w:tcPr>
            <w:tcW w:w="4259" w:type="dxa"/>
            <w:gridSpan w:val="2"/>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07" w:name="_Toc8845"/>
            <w:bookmarkStart w:id="208" w:name="_Toc254970699"/>
            <w:bookmarkStart w:id="209" w:name="_Toc16361"/>
            <w:bookmarkStart w:id="210" w:name="_Toc254970558"/>
            <w:bookmarkStart w:id="211" w:name="_Toc8742"/>
            <w:r>
              <w:rPr>
                <w:rFonts w:hint="eastAsia" w:asciiTheme="minorEastAsia" w:hAnsiTheme="minorEastAsia" w:eastAsiaTheme="minorEastAsia" w:cstheme="minorEastAsia"/>
                <w:color w:val="auto"/>
                <w:szCs w:val="21"/>
                <w:highlight w:val="none"/>
              </w:rPr>
              <w:t>招标文件要求</w:t>
            </w:r>
            <w:bookmarkEnd w:id="207"/>
            <w:bookmarkEnd w:id="208"/>
            <w:bookmarkEnd w:id="209"/>
            <w:bookmarkEnd w:id="210"/>
            <w:bookmarkEnd w:id="211"/>
          </w:p>
        </w:tc>
        <w:tc>
          <w:tcPr>
            <w:tcW w:w="3390" w:type="dxa"/>
            <w:gridSpan w:val="2"/>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12" w:name="_Toc2466"/>
            <w:bookmarkStart w:id="213" w:name="_Toc20342"/>
            <w:bookmarkStart w:id="214" w:name="_Toc254970700"/>
            <w:bookmarkStart w:id="215" w:name="_Toc254970559"/>
            <w:bookmarkStart w:id="216" w:name="_Toc10888"/>
            <w:r>
              <w:rPr>
                <w:rFonts w:hint="eastAsia" w:asciiTheme="minorEastAsia" w:hAnsiTheme="minorEastAsia" w:eastAsiaTheme="minorEastAsia" w:cstheme="minorEastAsia"/>
                <w:color w:val="auto"/>
                <w:szCs w:val="21"/>
                <w:highlight w:val="none"/>
              </w:rPr>
              <w:t>投标文件响应</w:t>
            </w:r>
            <w:bookmarkEnd w:id="212"/>
            <w:bookmarkEnd w:id="213"/>
            <w:bookmarkEnd w:id="214"/>
            <w:bookmarkEnd w:id="215"/>
            <w:bookmarkEnd w:id="216"/>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17" w:name="_Toc1895"/>
            <w:bookmarkStart w:id="218" w:name="_Toc3303"/>
            <w:bookmarkStart w:id="219" w:name="_Toc8600"/>
            <w:bookmarkStart w:id="220" w:name="_Toc254970560"/>
            <w:bookmarkStart w:id="221" w:name="_Toc254970701"/>
            <w:r>
              <w:rPr>
                <w:rFonts w:hint="eastAsia" w:asciiTheme="minorEastAsia" w:hAnsiTheme="minorEastAsia" w:eastAsiaTheme="minorEastAsia" w:cstheme="minorEastAsia"/>
                <w:color w:val="auto"/>
                <w:szCs w:val="21"/>
                <w:highlight w:val="none"/>
              </w:rPr>
              <w:t>偏离</w:t>
            </w:r>
            <w:bookmarkEnd w:id="217"/>
            <w:bookmarkEnd w:id="218"/>
            <w:bookmarkEnd w:id="219"/>
          </w:p>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22" w:name="_Toc31417"/>
            <w:bookmarkStart w:id="223" w:name="_Toc31855"/>
            <w:bookmarkStart w:id="224" w:name="_Toc14406"/>
            <w:r>
              <w:rPr>
                <w:rFonts w:hint="eastAsia" w:asciiTheme="minorEastAsia" w:hAnsiTheme="minorEastAsia" w:eastAsiaTheme="minorEastAsia" w:cstheme="minorEastAsia"/>
                <w:color w:val="auto"/>
                <w:szCs w:val="21"/>
                <w:highlight w:val="none"/>
              </w:rPr>
              <w:t>情况</w:t>
            </w:r>
            <w:bookmarkEnd w:id="220"/>
            <w:bookmarkEnd w:id="221"/>
            <w:bookmarkEnd w:id="222"/>
            <w:bookmarkEnd w:id="223"/>
            <w:bookmarkEnd w:id="224"/>
          </w:p>
        </w:tc>
        <w:tc>
          <w:tcPr>
            <w:tcW w:w="900" w:type="dxa"/>
            <w:vMerge w:val="restart"/>
            <w:tcBorders>
              <w:top w:val="single" w:color="auto" w:sz="4" w:space="0"/>
              <w:left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25" w:name="_Toc21288"/>
            <w:r>
              <w:rPr>
                <w:rFonts w:hint="eastAsia" w:asciiTheme="minorEastAsia" w:hAnsiTheme="minorEastAsia" w:eastAsiaTheme="minorEastAsia" w:cstheme="minorEastAsia"/>
                <w:color w:val="auto"/>
                <w:szCs w:val="21"/>
                <w:highlight w:val="none"/>
              </w:rPr>
              <w:t>证明材料所在页码</w:t>
            </w:r>
            <w:bookmarkEnd w:id="22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636" w:type="dxa"/>
            <w:vMerge w:val="continue"/>
            <w:tcBorders>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26" w:name="_Toc2517"/>
            <w:bookmarkStart w:id="227" w:name="_Toc11823"/>
            <w:bookmarkStart w:id="228" w:name="_Toc6628"/>
            <w:r>
              <w:rPr>
                <w:rFonts w:hint="eastAsia" w:asciiTheme="minorEastAsia" w:hAnsiTheme="minorEastAsia" w:eastAsiaTheme="minorEastAsia" w:cstheme="minorEastAsia"/>
                <w:color w:val="auto"/>
                <w:szCs w:val="21"/>
                <w:highlight w:val="none"/>
                <w:lang w:val="en-US" w:eastAsia="zh-CN"/>
              </w:rPr>
              <w:t>货物</w:t>
            </w:r>
            <w:r>
              <w:rPr>
                <w:rFonts w:hint="eastAsia" w:asciiTheme="minorEastAsia" w:hAnsiTheme="minorEastAsia" w:eastAsiaTheme="minorEastAsia" w:cstheme="minorEastAsia"/>
                <w:color w:val="auto"/>
                <w:szCs w:val="21"/>
                <w:highlight w:val="none"/>
              </w:rPr>
              <w:t>名称</w:t>
            </w:r>
            <w:bookmarkEnd w:id="226"/>
            <w:bookmarkEnd w:id="227"/>
            <w:bookmarkEnd w:id="228"/>
          </w:p>
        </w:tc>
        <w:tc>
          <w:tcPr>
            <w:tcW w:w="2743"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29" w:name="_Toc21623"/>
            <w:bookmarkStart w:id="230" w:name="_Toc20995"/>
            <w:bookmarkStart w:id="231" w:name="_Toc25802"/>
            <w:r>
              <w:rPr>
                <w:rFonts w:hint="eastAsia" w:asciiTheme="minorEastAsia" w:hAnsiTheme="minorEastAsia" w:eastAsiaTheme="minorEastAsia" w:cstheme="minorEastAsia"/>
                <w:color w:val="auto"/>
                <w:szCs w:val="21"/>
                <w:highlight w:val="none"/>
              </w:rPr>
              <w:t>性能及指标</w:t>
            </w:r>
            <w:bookmarkEnd w:id="229"/>
            <w:bookmarkEnd w:id="230"/>
            <w:bookmarkEnd w:id="231"/>
          </w:p>
        </w:tc>
        <w:tc>
          <w:tcPr>
            <w:tcW w:w="172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32" w:name="_Toc13086"/>
            <w:bookmarkStart w:id="233" w:name="_Toc254970704"/>
            <w:bookmarkStart w:id="234" w:name="_Toc27632"/>
            <w:bookmarkStart w:id="235" w:name="_Toc254970563"/>
            <w:bookmarkStart w:id="236" w:name="_Toc24573"/>
            <w:r>
              <w:rPr>
                <w:rFonts w:hint="eastAsia" w:asciiTheme="minorEastAsia" w:hAnsiTheme="minorEastAsia" w:eastAsiaTheme="minorEastAsia" w:cstheme="minorEastAsia"/>
                <w:color w:val="auto"/>
                <w:szCs w:val="21"/>
                <w:highlight w:val="none"/>
                <w:lang w:val="en-US" w:eastAsia="zh-CN"/>
              </w:rPr>
              <w:t>货物</w:t>
            </w:r>
            <w:r>
              <w:rPr>
                <w:rFonts w:hint="eastAsia" w:asciiTheme="minorEastAsia" w:hAnsiTheme="minorEastAsia" w:eastAsiaTheme="minorEastAsia" w:cstheme="minorEastAsia"/>
                <w:color w:val="auto"/>
                <w:szCs w:val="21"/>
                <w:highlight w:val="none"/>
              </w:rPr>
              <w:t>名称</w:t>
            </w:r>
            <w:bookmarkEnd w:id="232"/>
            <w:bookmarkEnd w:id="233"/>
            <w:bookmarkEnd w:id="234"/>
            <w:bookmarkEnd w:id="235"/>
            <w:bookmarkEnd w:id="236"/>
          </w:p>
        </w:tc>
        <w:tc>
          <w:tcPr>
            <w:tcW w:w="166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0"/>
              <w:rPr>
                <w:rFonts w:hint="eastAsia" w:asciiTheme="minorEastAsia" w:hAnsiTheme="minorEastAsia" w:eastAsiaTheme="minorEastAsia" w:cstheme="minorEastAsia"/>
                <w:color w:val="auto"/>
                <w:szCs w:val="21"/>
                <w:highlight w:val="none"/>
              </w:rPr>
            </w:pPr>
            <w:bookmarkStart w:id="237" w:name="_Toc254970705"/>
            <w:bookmarkStart w:id="238" w:name="_Toc1367"/>
            <w:bookmarkStart w:id="239" w:name="_Toc10294"/>
            <w:bookmarkStart w:id="240" w:name="_Toc16666"/>
            <w:bookmarkStart w:id="241" w:name="_Toc254970564"/>
            <w:r>
              <w:rPr>
                <w:rFonts w:hint="eastAsia" w:asciiTheme="minorEastAsia" w:hAnsiTheme="minorEastAsia" w:eastAsiaTheme="minorEastAsia" w:cstheme="minorEastAsia"/>
                <w:color w:val="auto"/>
                <w:szCs w:val="21"/>
                <w:highlight w:val="none"/>
              </w:rPr>
              <w:t>性能及指标</w:t>
            </w:r>
            <w:bookmarkEnd w:id="237"/>
            <w:bookmarkEnd w:id="238"/>
            <w:bookmarkEnd w:id="239"/>
            <w:bookmarkEnd w:id="240"/>
            <w:bookmarkEnd w:id="241"/>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c>
          <w:tcPr>
            <w:tcW w:w="900" w:type="dxa"/>
            <w:vMerge w:val="continue"/>
            <w:tcBorders>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0"/>
              <w:rPr>
                <w:rFonts w:hint="eastAsia" w:asciiTheme="minorEastAsia" w:hAnsiTheme="minorEastAsia" w:eastAsiaTheme="minorEastAsia" w:cstheme="minorEastAsia"/>
                <w:color w:val="auto"/>
                <w:szCs w:val="21"/>
                <w:highlight w:val="none"/>
              </w:rPr>
            </w:pPr>
            <w:bookmarkStart w:id="242" w:name="_Toc22100"/>
            <w:bookmarkStart w:id="243" w:name="_Toc28596"/>
            <w:bookmarkStart w:id="244" w:name="_Toc29321"/>
            <w:r>
              <w:rPr>
                <w:rFonts w:hint="eastAsia" w:asciiTheme="minorEastAsia" w:hAnsiTheme="minorEastAsia" w:eastAsiaTheme="minorEastAsia" w:cstheme="minorEastAsia"/>
                <w:color w:val="auto"/>
                <w:szCs w:val="21"/>
                <w:highlight w:val="none"/>
              </w:rPr>
              <w:t>1</w:t>
            </w:r>
            <w:bookmarkEnd w:id="242"/>
            <w:bookmarkEnd w:id="243"/>
            <w:bookmarkEnd w:id="244"/>
          </w:p>
        </w:tc>
        <w:tc>
          <w:tcPr>
            <w:tcW w:w="1516"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0"/>
              <w:rPr>
                <w:rFonts w:hint="eastAsia" w:asciiTheme="minorEastAsia" w:hAnsiTheme="minorEastAsia" w:eastAsiaTheme="minorEastAsia" w:cstheme="minorEastAsia"/>
                <w:color w:val="auto"/>
                <w:szCs w:val="21"/>
                <w:highlight w:val="none"/>
              </w:rPr>
            </w:pPr>
            <w:bookmarkStart w:id="245" w:name="_Toc27890"/>
            <w:bookmarkStart w:id="246" w:name="_Toc8165"/>
            <w:bookmarkStart w:id="247" w:name="_Toc22296"/>
            <w:r>
              <w:rPr>
                <w:rFonts w:hint="eastAsia" w:asciiTheme="minorEastAsia" w:hAnsiTheme="minorEastAsia" w:eastAsiaTheme="minorEastAsia" w:cstheme="minorEastAsia"/>
                <w:color w:val="auto"/>
                <w:szCs w:val="21"/>
                <w:highlight w:val="none"/>
              </w:rPr>
              <w:t>2</w:t>
            </w:r>
            <w:bookmarkEnd w:id="245"/>
            <w:bookmarkEnd w:id="246"/>
            <w:bookmarkEnd w:id="247"/>
          </w:p>
        </w:tc>
        <w:tc>
          <w:tcPr>
            <w:tcW w:w="1516"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20" w:lineRule="exact"/>
              <w:jc w:val="center"/>
              <w:outlineLvl w:val="9"/>
              <w:rPr>
                <w:rFonts w:hint="eastAsia" w:asciiTheme="minorEastAsia" w:hAnsiTheme="minorEastAsia" w:eastAsiaTheme="minorEastAsia" w:cstheme="minorEastAsia"/>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1"/>
              <w:snapToGrid w:val="0"/>
              <w:spacing w:before="295" w:after="295" w:line="360" w:lineRule="exact"/>
              <w:jc w:val="center"/>
              <w:outlineLvl w:val="0"/>
              <w:rPr>
                <w:rFonts w:hint="eastAsia" w:asciiTheme="minorEastAsia" w:hAnsiTheme="minorEastAsia" w:eastAsiaTheme="minorEastAsia" w:cstheme="minorEastAsia"/>
                <w:color w:val="auto"/>
                <w:szCs w:val="21"/>
                <w:highlight w:val="none"/>
              </w:rPr>
            </w:pPr>
            <w:bookmarkStart w:id="248" w:name="_Toc20130"/>
            <w:bookmarkStart w:id="249" w:name="_Toc4297"/>
            <w:bookmarkStart w:id="250" w:name="_Toc11563"/>
            <w:r>
              <w:rPr>
                <w:rFonts w:hint="eastAsia" w:asciiTheme="minorEastAsia" w:hAnsiTheme="minorEastAsia" w:eastAsiaTheme="minorEastAsia" w:cstheme="minorEastAsia"/>
                <w:color w:val="auto"/>
                <w:szCs w:val="21"/>
                <w:highlight w:val="none"/>
              </w:rPr>
              <w:t>……</w:t>
            </w:r>
            <w:bookmarkEnd w:id="248"/>
            <w:bookmarkEnd w:id="249"/>
            <w:bookmarkEnd w:id="250"/>
          </w:p>
        </w:tc>
        <w:tc>
          <w:tcPr>
            <w:tcW w:w="1516" w:type="dxa"/>
            <w:tcBorders>
              <w:top w:val="single" w:color="auto" w:sz="4" w:space="0"/>
              <w:left w:val="single" w:color="auto" w:sz="4" w:space="0"/>
              <w:bottom w:val="single" w:color="auto" w:sz="4" w:space="0"/>
              <w:right w:val="single" w:color="auto" w:sz="4" w:space="0"/>
            </w:tcBorders>
            <w:vAlign w:val="center"/>
          </w:tcPr>
          <w:p>
            <w:pPr>
              <w:pStyle w:val="21"/>
              <w:snapToGrid w:val="0"/>
              <w:spacing w:before="295" w:after="295" w:line="360" w:lineRule="exact"/>
              <w:outlineLvl w:val="9"/>
              <w:rPr>
                <w:rFonts w:hint="eastAsia" w:asciiTheme="minorEastAsia" w:hAnsiTheme="minorEastAsia" w:eastAsiaTheme="minorEastAsia" w:cstheme="minorEastAsia"/>
                <w:color w:val="auto"/>
                <w:szCs w:val="21"/>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1"/>
              <w:snapToGrid w:val="0"/>
              <w:spacing w:line="360" w:lineRule="exact"/>
              <w:jc w:val="center"/>
              <w:outlineLvl w:val="9"/>
              <w:rPr>
                <w:rFonts w:hint="eastAsia" w:asciiTheme="minorEastAsia" w:hAnsiTheme="minorEastAsia" w:eastAsiaTheme="minorEastAsia" w:cstheme="minorEastAsia"/>
                <w:color w:val="auto"/>
                <w:szCs w:val="21"/>
                <w:highlight w:val="none"/>
              </w:rPr>
            </w:pPr>
          </w:p>
        </w:tc>
      </w:tr>
    </w:tbl>
    <w:p>
      <w:pPr>
        <w:pStyle w:val="17"/>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1、投标人应根据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w:t>
      </w:r>
    </w:p>
    <w:p>
      <w:pPr>
        <w:pStyle w:val="17"/>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2、如有提供证明材料的请在本表中应答证明材料具体位置。</w:t>
      </w:r>
    </w:p>
    <w:p>
      <w:pPr>
        <w:pStyle w:val="27"/>
        <w:rPr>
          <w:rFonts w:hint="eastAsia" w:asciiTheme="minorEastAsia" w:hAnsiTheme="minorEastAsia" w:eastAsiaTheme="minorEastAsia" w:cstheme="minorEastAsia"/>
          <w:color w:val="auto"/>
          <w:spacing w:val="20"/>
          <w:sz w:val="21"/>
          <w:szCs w:val="21"/>
          <w:highlight w:val="none"/>
          <w:lang w:eastAsia="zh-CN"/>
        </w:rPr>
      </w:pPr>
    </w:p>
    <w:p>
      <w:pPr>
        <w:rPr>
          <w:rFonts w:hint="eastAsia" w:asciiTheme="minorEastAsia" w:hAnsiTheme="minorEastAsia" w:eastAsiaTheme="minorEastAsia" w:cstheme="minorEastAsia"/>
          <w:color w:val="auto"/>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spacing w:line="600" w:lineRule="exact"/>
        <w:ind w:firstLine="3373" w:firstLineChars="1400"/>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p>
    <w:p>
      <w:pPr>
        <w:pStyle w:val="18"/>
        <w:rPr>
          <w:rFonts w:hint="eastAsia" w:asciiTheme="minorEastAsia" w:hAnsiTheme="minorEastAsia" w:eastAsiaTheme="minorEastAsia" w:cstheme="minorEastAsia"/>
          <w:color w:val="auto"/>
          <w:highlight w:val="none"/>
          <w:lang w:eastAsia="zh-CN"/>
        </w:rPr>
      </w:pPr>
    </w:p>
    <w:p>
      <w:pPr>
        <w:rPr>
          <w:rFonts w:hint="eastAsia"/>
          <w:color w:val="auto"/>
          <w:highlight w:val="none"/>
          <w:lang w:eastAsia="zh-CN"/>
        </w:rPr>
      </w:pPr>
    </w:p>
    <w:p>
      <w:pPr>
        <w:spacing w:line="600" w:lineRule="exact"/>
        <w:ind w:firstLine="3855" w:firstLineChars="16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产品质量保证书</w:t>
      </w:r>
    </w:p>
    <w:p>
      <w:pPr>
        <w:spacing w:line="500" w:lineRule="exact"/>
        <w:ind w:left="420" w:hanging="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致</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（采购人）：</w:t>
      </w:r>
    </w:p>
    <w:p>
      <w:pPr>
        <w:spacing w:line="5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我公司在此向贵方承诺：</w:t>
      </w:r>
    </w:p>
    <w:p>
      <w:pPr>
        <w:spacing w:line="5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我方参与投标的</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项目（编号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分标，一旦中标，我方保证按照招标文件文件和投标文件的要求提供合格的产品，如出现弄虚作假，包括掺杂、掺假、以假充真、以次充好、以不合格产品冒充合格产品的，我方愿按《政府采购法》、《民法典》、《产品质量法》、《消费者权益保护法》等法律法规规定，承担相应的经济责任和法律责任。</w:t>
      </w:r>
    </w:p>
    <w:p>
      <w:pPr>
        <w:spacing w:line="300" w:lineRule="auto"/>
        <w:rPr>
          <w:rFonts w:hint="eastAsia" w:asciiTheme="minorEastAsia" w:hAnsiTheme="minorEastAsia" w:eastAsiaTheme="minorEastAsia" w:cstheme="minorEastAsia"/>
          <w:b/>
          <w:color w:val="auto"/>
          <w:sz w:val="21"/>
          <w:szCs w:val="21"/>
          <w:highlight w:val="none"/>
          <w:lang w:eastAsia="zh-CN"/>
        </w:rPr>
      </w:pPr>
    </w:p>
    <w:p>
      <w:pPr>
        <w:spacing w:line="300" w:lineRule="auto"/>
        <w:ind w:left="420" w:hanging="420"/>
        <w:jc w:val="center"/>
        <w:rPr>
          <w:rFonts w:hint="eastAsia" w:asciiTheme="minorEastAsia" w:hAnsiTheme="minorEastAsia" w:eastAsiaTheme="minorEastAsia" w:cstheme="minorEastAsia"/>
          <w:b/>
          <w:color w:val="auto"/>
          <w:sz w:val="21"/>
          <w:szCs w:val="21"/>
          <w:highlight w:val="none"/>
          <w:lang w:eastAsia="zh-CN"/>
        </w:rPr>
      </w:pPr>
    </w:p>
    <w:p>
      <w:pPr>
        <w:autoSpaceDE w:val="0"/>
        <w:autoSpaceDN w:val="0"/>
        <w:spacing w:line="360" w:lineRule="auto"/>
        <w:ind w:firstLine="5040" w:firstLineChars="21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eastAsia="zh-CN"/>
        </w:rPr>
        <w:t>投标人名称（电子签章）：</w:t>
      </w:r>
    </w:p>
    <w:p>
      <w:pPr>
        <w:autoSpaceDE w:val="0"/>
        <w:autoSpaceDN w:val="0"/>
        <w:spacing w:line="360" w:lineRule="auto"/>
        <w:ind w:firstLine="6120" w:firstLineChars="255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zh-CN" w:eastAsia="zh-CN"/>
        </w:rPr>
        <w:t xml:space="preserve">日期：  </w:t>
      </w:r>
      <w:r>
        <w:rPr>
          <w:rFonts w:hint="eastAsia" w:asciiTheme="minorEastAsia" w:hAnsiTheme="minorEastAsia" w:eastAsiaTheme="minorEastAsia" w:cstheme="minorEastAsia"/>
          <w:color w:val="auto"/>
          <w:sz w:val="24"/>
          <w:szCs w:val="28"/>
          <w:highlight w:val="none"/>
          <w:lang w:eastAsia="zh-CN"/>
        </w:rPr>
        <w:t xml:space="preserve"> </w:t>
      </w:r>
      <w:r>
        <w:rPr>
          <w:rFonts w:hint="eastAsia" w:asciiTheme="minorEastAsia" w:hAnsiTheme="minorEastAsia" w:eastAsiaTheme="minorEastAsia" w:cstheme="minorEastAsia"/>
          <w:color w:val="auto"/>
          <w:sz w:val="24"/>
          <w:szCs w:val="28"/>
          <w:highlight w:val="none"/>
          <w:lang w:val="zh-CN" w:eastAsia="zh-CN"/>
        </w:rPr>
        <w:t>年  月   日</w:t>
      </w:r>
      <w:r>
        <w:rPr>
          <w:rFonts w:hint="eastAsia" w:asciiTheme="minorEastAsia" w:hAnsiTheme="minorEastAsia" w:eastAsiaTheme="minorEastAsia" w:cstheme="minorEastAsia"/>
          <w:color w:val="auto"/>
          <w:sz w:val="24"/>
          <w:szCs w:val="28"/>
          <w:highlight w:val="none"/>
          <w:lang w:eastAsia="zh-CN"/>
        </w:rPr>
        <w:t xml:space="preserve">     </w:t>
      </w:r>
    </w:p>
    <w:p>
      <w:pPr>
        <w:pStyle w:val="21"/>
        <w:spacing w:line="288" w:lineRule="auto"/>
        <w:jc w:val="center"/>
        <w:rPr>
          <w:rFonts w:hint="eastAsia" w:asciiTheme="minorEastAsia" w:hAnsiTheme="minorEastAsia" w:eastAsiaTheme="minorEastAsia" w:cstheme="minorEastAsia"/>
          <w:b/>
          <w:color w:val="auto"/>
          <w:szCs w:val="21"/>
          <w:highlight w:val="none"/>
        </w:rPr>
      </w:pPr>
    </w:p>
    <w:p>
      <w:pPr>
        <w:pStyle w:val="56"/>
        <w:rPr>
          <w:rFonts w:hint="eastAsia" w:asciiTheme="minorEastAsia" w:hAnsiTheme="minorEastAsia" w:eastAsiaTheme="minorEastAsia" w:cstheme="minorEastAsia"/>
          <w:b/>
          <w:color w:val="auto"/>
          <w:sz w:val="21"/>
          <w:szCs w:val="21"/>
          <w:highlight w:val="none"/>
          <w:u w:val="doubl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pStyle w:val="97"/>
        <w:jc w:val="both"/>
        <w:rPr>
          <w:rFonts w:hint="eastAsia" w:asciiTheme="minorEastAsia" w:hAnsiTheme="minorEastAsia" w:eastAsiaTheme="minorEastAsia" w:cstheme="minorEastAsia"/>
          <w:color w:val="auto"/>
          <w:sz w:val="21"/>
          <w:szCs w:val="21"/>
          <w:highlight w:val="none"/>
          <w:lang w:eastAsia="zh-CN"/>
        </w:rPr>
      </w:pPr>
    </w:p>
    <w:p>
      <w:pPr>
        <w:widowControl/>
        <w:spacing w:line="600" w:lineRule="exact"/>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附表</w:t>
      </w:r>
    </w:p>
    <w:p>
      <w:pPr>
        <w:bidi w:val="0"/>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统计上大中小微型企业划分标准</w:t>
      </w:r>
    </w:p>
    <w:tbl>
      <w:tblPr>
        <w:tblStyle w:val="3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pPr>
              <w:widowControl/>
              <w:spacing w:line="240" w:lineRule="exact"/>
              <w:jc w:val="center"/>
              <w:rPr>
                <w:rFonts w:hint="eastAsia" w:asciiTheme="minorEastAsia" w:hAnsiTheme="minorEastAsia" w:eastAsiaTheme="minorEastAsia" w:cstheme="minorEastAsia"/>
                <w:b/>
                <w:bCs/>
                <w:color w:val="auto"/>
                <w:sz w:val="18"/>
                <w:szCs w:val="21"/>
                <w:highlight w:val="none"/>
              </w:rPr>
            </w:pPr>
            <w:r>
              <w:rPr>
                <w:rFonts w:hint="eastAsia" w:asciiTheme="minorEastAsia" w:hAnsiTheme="minorEastAsia" w:eastAsiaTheme="minorEastAsia" w:cstheme="minorEastAsia"/>
                <w:b/>
                <w:bCs/>
                <w:color w:val="auto"/>
                <w:sz w:val="18"/>
                <w:szCs w:val="21"/>
                <w:highlight w:val="none"/>
              </w:rPr>
              <w:t>行业名称</w:t>
            </w:r>
          </w:p>
        </w:tc>
        <w:tc>
          <w:tcPr>
            <w:tcW w:w="1369"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指标名称</w:t>
            </w:r>
          </w:p>
        </w:tc>
        <w:tc>
          <w:tcPr>
            <w:tcW w:w="709"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lang w:eastAsia="zh-CN"/>
              </w:rPr>
            </w:pPr>
            <w:r>
              <w:rPr>
                <w:rFonts w:hint="eastAsia" w:asciiTheme="minorEastAsia" w:hAnsiTheme="minorEastAsia" w:eastAsiaTheme="minorEastAsia" w:cstheme="minorEastAsia"/>
                <w:b/>
                <w:bCs/>
                <w:color w:val="auto"/>
                <w:sz w:val="18"/>
                <w:szCs w:val="18"/>
                <w:highlight w:val="none"/>
              </w:rPr>
              <w:t>计量</w:t>
            </w:r>
          </w:p>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单位</w:t>
            </w:r>
          </w:p>
        </w:tc>
        <w:tc>
          <w:tcPr>
            <w:tcW w:w="1125"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大型</w:t>
            </w:r>
          </w:p>
        </w:tc>
        <w:tc>
          <w:tcPr>
            <w:tcW w:w="1701"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中型</w:t>
            </w:r>
          </w:p>
        </w:tc>
        <w:tc>
          <w:tcPr>
            <w:tcW w:w="1426"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小型</w:t>
            </w:r>
          </w:p>
        </w:tc>
        <w:tc>
          <w:tcPr>
            <w:tcW w:w="992" w:type="dxa"/>
            <w:shd w:val="clear" w:color="auto" w:fill="auto"/>
            <w:vAlign w:val="center"/>
          </w:tcPr>
          <w:p>
            <w:pPr>
              <w:widowControl/>
              <w:jc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农、林、牧、渔业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Y≥20000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500≤Y＜20000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50≤Y＜500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工业 *</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300≤X＜1000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20≤X＜300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Y≥40000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2000≤Y＜40000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300≤Y＜2000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建筑业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Y≥80000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6000≤Y＜80000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300≤Y＜6000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资产总额(Z)</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Z≥80000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5000≤Z＜80000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300≤Z＜5000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批发业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20≤X＜200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5≤X＜20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Y≥40000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5000≤Y＜40000</w:t>
            </w:r>
          </w:p>
        </w:tc>
        <w:tc>
          <w:tcPr>
            <w:tcW w:w="1426" w:type="dxa"/>
            <w:shd w:val="clear" w:color="auto" w:fill="auto"/>
            <w:vAlign w:val="center"/>
          </w:tcPr>
          <w:p>
            <w:pPr>
              <w:widowControl/>
              <w:ind w:left="-1" w:leftChars="-1" w:hanging="1"/>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1000≤Y＜5000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零售业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50≤X＜300</w:t>
            </w:r>
          </w:p>
        </w:tc>
        <w:tc>
          <w:tcPr>
            <w:tcW w:w="1426" w:type="dxa"/>
            <w:shd w:val="clear" w:color="auto" w:fill="auto"/>
            <w:vAlign w:val="center"/>
          </w:tcPr>
          <w:p>
            <w:pPr>
              <w:widowControl/>
              <w:ind w:left="-1" w:leftChars="-1" w:hanging="1"/>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10≤X＜50 </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Y≥20000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500≤Y＜20000</w:t>
            </w:r>
          </w:p>
        </w:tc>
        <w:tc>
          <w:tcPr>
            <w:tcW w:w="1426" w:type="dxa"/>
            <w:shd w:val="clear" w:color="auto" w:fill="auto"/>
            <w:vAlign w:val="center"/>
          </w:tcPr>
          <w:p>
            <w:pPr>
              <w:widowControl/>
              <w:ind w:left="-1" w:leftChars="-1" w:hanging="1"/>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100≤Y＜500 </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交通运输业 *</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300≤X＜1000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20≤X＜300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Y≥30000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3000≤Y＜30000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200≤Y＜3000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仓储业*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100≤X＜200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Y≥30000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1000≤Y＜30000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100≤Y＜1000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邮政业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300≤X＜1000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20≤X＜300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Y≥30000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2000≤Y＜30000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100≤Y＜2000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住宿业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2000≤Y＜10000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100≤Y＜2000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餐饮业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2000≤Y＜10000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100≤Y＜2000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信息传输业 *</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X≥2000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100≤X＜2000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1000≤Y＜100000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100≤Y＜1000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pacing w:val="-12"/>
                <w:sz w:val="18"/>
                <w:szCs w:val="18"/>
                <w:highlight w:val="none"/>
                <w:lang w:eastAsia="zh-CN"/>
              </w:rPr>
            </w:pPr>
            <w:r>
              <w:rPr>
                <w:rFonts w:hint="eastAsia" w:asciiTheme="minorEastAsia" w:hAnsiTheme="minorEastAsia" w:eastAsiaTheme="minorEastAsia" w:cstheme="minorEastAsia"/>
                <w:color w:val="auto"/>
                <w:spacing w:val="-12"/>
                <w:sz w:val="18"/>
                <w:szCs w:val="18"/>
                <w:highlight w:val="none"/>
                <w:lang w:eastAsia="zh-CN"/>
              </w:rPr>
              <w:t>软件和信息技术服</w:t>
            </w:r>
            <w:r>
              <w:rPr>
                <w:rFonts w:hint="eastAsia" w:asciiTheme="minorEastAsia" w:hAnsiTheme="minorEastAsia" w:eastAsiaTheme="minorEastAsia" w:cstheme="minorEastAsia"/>
                <w:color w:val="auto"/>
                <w:sz w:val="18"/>
                <w:szCs w:val="18"/>
                <w:highlight w:val="none"/>
                <w:lang w:eastAsia="zh-CN"/>
              </w:rPr>
              <w:t>务业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pacing w:val="-12"/>
                <w:sz w:val="18"/>
                <w:szCs w:val="18"/>
                <w:highlight w:val="none"/>
              </w:rPr>
            </w:pP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1000≤Y＜10000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50≤Y＜1000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房地产开发经营</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Y≥200000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1000≤Y＜200000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100≤Y＜1000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资产总额(Z)</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Z≥10000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5000≤Z＜10000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2000≤Z＜5000   </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物业管理</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300≤X＜1000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营业收入(Y)</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Y≥5000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1000≤Y＜5000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500≤Y＜1000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租赁和商务服务业</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hint="eastAsia" w:asciiTheme="minorEastAsia" w:hAnsiTheme="minorEastAsia" w:eastAsiaTheme="minorEastAsia" w:cstheme="minorEastAsia"/>
                <w:color w:val="auto"/>
                <w:sz w:val="18"/>
                <w:szCs w:val="18"/>
                <w:highlight w:val="none"/>
              </w:rPr>
            </w:pPr>
          </w:p>
        </w:tc>
        <w:tc>
          <w:tcPr>
            <w:tcW w:w="1369" w:type="dxa"/>
            <w:shd w:val="clear" w:color="auto" w:fill="auto"/>
            <w:vAlign w:val="center"/>
          </w:tcPr>
          <w:p>
            <w:pPr>
              <w:widowControl/>
              <w:spacing w:line="24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资产总额(Z)</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万元</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Z≥120000</w:t>
            </w:r>
          </w:p>
        </w:tc>
        <w:tc>
          <w:tcPr>
            <w:tcW w:w="1701"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8000≤Z＜120000</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100≤Z＜8000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其他未列明行业 *</w:t>
            </w:r>
          </w:p>
        </w:tc>
        <w:tc>
          <w:tcPr>
            <w:tcW w:w="136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从业人员(X)</w:t>
            </w:r>
          </w:p>
        </w:tc>
        <w:tc>
          <w:tcPr>
            <w:tcW w:w="709"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人</w:t>
            </w:r>
          </w:p>
        </w:tc>
        <w:tc>
          <w:tcPr>
            <w:tcW w:w="1125"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X≥300</w:t>
            </w:r>
          </w:p>
        </w:tc>
        <w:tc>
          <w:tcPr>
            <w:tcW w:w="1701" w:type="dxa"/>
            <w:shd w:val="clear" w:color="auto" w:fill="auto"/>
            <w:vAlign w:val="center"/>
          </w:tcPr>
          <w:p>
            <w:pPr>
              <w:widowControl/>
              <w:ind w:left="6" w:leftChars="-51" w:hanging="108" w:hangingChars="6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100≤X＜300 </w:t>
            </w:r>
          </w:p>
        </w:tc>
        <w:tc>
          <w:tcPr>
            <w:tcW w:w="1426"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10≤X＜100</w:t>
            </w:r>
          </w:p>
        </w:tc>
        <w:tc>
          <w:tcPr>
            <w:tcW w:w="992" w:type="dxa"/>
            <w:shd w:val="clear" w:color="auto" w:fill="auto"/>
            <w:vAlign w:val="center"/>
          </w:tcPr>
          <w:p>
            <w:pPr>
              <w:widowControl/>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X＜10</w:t>
            </w:r>
          </w:p>
        </w:tc>
      </w:tr>
    </w:tbl>
    <w:p>
      <w:pPr>
        <w:widowControl/>
        <w:adjustRightInd w:val="0"/>
        <w:snapToGrid w:val="0"/>
        <w:spacing w:line="288" w:lineRule="auto"/>
        <w:ind w:left="420" w:hanging="420" w:hanging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说明：</w:t>
      </w:r>
    </w:p>
    <w:p>
      <w:pPr>
        <w:widowControl/>
        <w:adjustRightInd w:val="0"/>
        <w:snapToGrid w:val="0"/>
        <w:spacing w:line="288"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1.大型、中型和小型企业须同时满足所列指标的下限，否则下划一档；微型企业只须满足所列指标中的一项即可。</w:t>
      </w:r>
    </w:p>
    <w:p>
      <w:pPr>
        <w:widowControl/>
        <w:adjustRightInd w:val="0"/>
        <w:snapToGrid w:val="0"/>
        <w:spacing w:line="288"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97"/>
        <w:ind w:firstLine="422"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stheme="minorEastAsia"/>
          <w:color w:val="auto"/>
          <w:sz w:val="21"/>
          <w:szCs w:val="21"/>
          <w:highlight w:val="none"/>
        </w:rPr>
        <w:t>（3）资产总额，采用资产总计代替。</w:t>
      </w:r>
    </w:p>
    <w:sectPr>
      <w:headerReference r:id="rId9" w:type="first"/>
      <w:footerReference r:id="rId11" w:type="first"/>
      <w:footerReference r:id="rId10" w:type="default"/>
      <w:pgSz w:w="11906" w:h="16838"/>
      <w:pgMar w:top="1440" w:right="1080" w:bottom="1440" w:left="1080" w:header="680" w:footer="68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42"/>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0</w: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42"/>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p>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color w:val="FFFFFF"/>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eastAsia="宋体"/>
        <w:color w:val="FFFFFF"/>
        <w:lang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right="360"/>
      <w:jc w:val="left"/>
    </w:pPr>
    <w:r>
      <w:rPr>
        <w:rFonts w:hint="eastAsia"/>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color w:val="000000"/>
      </w:rPr>
      <w:t>医疗器械采购</w:t>
    </w:r>
    <w:r>
      <w:rPr>
        <w:rFonts w:hint="eastAsia"/>
      </w:rPr>
      <w:t>（GXRHHG2010H031）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topLinePunct/>
    </w:pPr>
    <w:r>
      <w:rPr>
        <w:rFonts w:hint="eastAsia"/>
      </w:rPr>
      <w:t xml:space="preserve"> </w:t>
    </w:r>
    <w:r>
      <w:rPr>
        <w:rFonts w:hint="eastAsia" w:ascii="宋体" w:hAnsi="宋体" w:eastAsia="宋体"/>
      </w:rP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topLinePunct/>
    </w:pPr>
    <w:r>
      <w:rPr>
        <w:rFonts w:hint="eastAsia" w:ascii="宋体" w:hAnsi="宋体" w:eastAsia="宋体"/>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B690"/>
    <w:multiLevelType w:val="singleLevel"/>
    <w:tmpl w:val="0AF0B690"/>
    <w:lvl w:ilvl="0" w:tentative="0">
      <w:start w:val="5"/>
      <w:numFmt w:val="chineseCounting"/>
      <w:suff w:val="space"/>
      <w:lvlText w:val="第%1章"/>
      <w:lvlJc w:val="left"/>
      <w:rPr>
        <w:rFonts w:hint="eastAsia"/>
      </w:rPr>
    </w:lvl>
  </w:abstractNum>
  <w:abstractNum w:abstractNumId="1">
    <w:nsid w:val="4EE4595A"/>
    <w:multiLevelType w:val="singleLevel"/>
    <w:tmpl w:val="4EE4595A"/>
    <w:lvl w:ilvl="0" w:tentative="0">
      <w:start w:val="3"/>
      <w:numFmt w:val="chineseCounting"/>
      <w:suff w:val="space"/>
      <w:lvlText w:val="第%1章"/>
      <w:lvlJc w:val="left"/>
      <w:pPr>
        <w:ind w:left="2600"/>
      </w:pPr>
      <w:rPr>
        <w:rFonts w:hint="eastAsia"/>
        <w:sz w:val="32"/>
        <w:szCs w:val="32"/>
      </w:rPr>
    </w:lvl>
  </w:abstractNum>
  <w:abstractNum w:abstractNumId="2">
    <w:nsid w:val="59278A8F"/>
    <w:multiLevelType w:val="singleLevel"/>
    <w:tmpl w:val="59278A8F"/>
    <w:lvl w:ilvl="0" w:tentative="0">
      <w:start w:val="1"/>
      <w:numFmt w:val="decimal"/>
      <w:pStyle w:val="11"/>
      <w:lvlText w:val="%1."/>
      <w:lvlJc w:val="left"/>
      <w:pPr>
        <w:tabs>
          <w:tab w:val="left" w:pos="360"/>
        </w:tabs>
        <w:ind w:left="360" w:hanging="360"/>
      </w:pPr>
    </w:lvl>
  </w:abstractNum>
  <w:abstractNum w:abstractNumId="3">
    <w:nsid w:val="59F97582"/>
    <w:multiLevelType w:val="singleLevel"/>
    <w:tmpl w:val="59F97582"/>
    <w:lvl w:ilvl="0" w:tentative="0">
      <w:start w:val="4"/>
      <w:numFmt w:val="chineseCounting"/>
      <w:suff w:val="nothing"/>
      <w:lvlText w:val="%1 "/>
      <w:lvlJc w:val="left"/>
    </w:lvl>
  </w:abstractNum>
  <w:abstractNum w:abstractNumId="4">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EB270F"/>
    <w:multiLevelType w:val="singleLevel"/>
    <w:tmpl w:val="7FEB270F"/>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5"/>
  <w:drawingGridHorizontalSpacing w:val="200"/>
  <w:drawingGridVerticalSpacing w:val="16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MjRiYTQ4ODdiMWQ4YmMyN2YyZmQzY2UxYjBhY2IifQ=="/>
  </w:docVars>
  <w:rsids>
    <w:rsidRoot w:val="00172A27"/>
    <w:rsid w:val="00003FDE"/>
    <w:rsid w:val="000244A2"/>
    <w:rsid w:val="00061ADE"/>
    <w:rsid w:val="00063AE1"/>
    <w:rsid w:val="00067B0B"/>
    <w:rsid w:val="00087545"/>
    <w:rsid w:val="0009593A"/>
    <w:rsid w:val="000A392E"/>
    <w:rsid w:val="000A6BB8"/>
    <w:rsid w:val="000F7884"/>
    <w:rsid w:val="00102742"/>
    <w:rsid w:val="00103670"/>
    <w:rsid w:val="00116377"/>
    <w:rsid w:val="00123ED7"/>
    <w:rsid w:val="001361E3"/>
    <w:rsid w:val="001375D9"/>
    <w:rsid w:val="00172A27"/>
    <w:rsid w:val="00182BDE"/>
    <w:rsid w:val="001843AE"/>
    <w:rsid w:val="0019085F"/>
    <w:rsid w:val="0019322C"/>
    <w:rsid w:val="001C66D8"/>
    <w:rsid w:val="001F4DCF"/>
    <w:rsid w:val="00200690"/>
    <w:rsid w:val="00210BC6"/>
    <w:rsid w:val="00230886"/>
    <w:rsid w:val="002426B1"/>
    <w:rsid w:val="0024331A"/>
    <w:rsid w:val="0026422A"/>
    <w:rsid w:val="00271774"/>
    <w:rsid w:val="0029049C"/>
    <w:rsid w:val="002B24B5"/>
    <w:rsid w:val="002B53A8"/>
    <w:rsid w:val="002F05BA"/>
    <w:rsid w:val="003004FF"/>
    <w:rsid w:val="00300F28"/>
    <w:rsid w:val="003035C1"/>
    <w:rsid w:val="00316F31"/>
    <w:rsid w:val="00326DB3"/>
    <w:rsid w:val="003427A0"/>
    <w:rsid w:val="003503CA"/>
    <w:rsid w:val="00352BD3"/>
    <w:rsid w:val="00361D50"/>
    <w:rsid w:val="003743BB"/>
    <w:rsid w:val="00382E92"/>
    <w:rsid w:val="003864D0"/>
    <w:rsid w:val="00387AD6"/>
    <w:rsid w:val="003916EC"/>
    <w:rsid w:val="003B7FF0"/>
    <w:rsid w:val="003C2B42"/>
    <w:rsid w:val="003C776D"/>
    <w:rsid w:val="003D4CDC"/>
    <w:rsid w:val="003E5119"/>
    <w:rsid w:val="00411E6A"/>
    <w:rsid w:val="0042086F"/>
    <w:rsid w:val="0042382A"/>
    <w:rsid w:val="00426FBA"/>
    <w:rsid w:val="00430B90"/>
    <w:rsid w:val="004317B8"/>
    <w:rsid w:val="00437E88"/>
    <w:rsid w:val="00450E35"/>
    <w:rsid w:val="00461815"/>
    <w:rsid w:val="004700E4"/>
    <w:rsid w:val="00475221"/>
    <w:rsid w:val="004849A3"/>
    <w:rsid w:val="00486F9A"/>
    <w:rsid w:val="00492A05"/>
    <w:rsid w:val="004B130C"/>
    <w:rsid w:val="004B323C"/>
    <w:rsid w:val="004B57EC"/>
    <w:rsid w:val="004E266A"/>
    <w:rsid w:val="0050023C"/>
    <w:rsid w:val="00501912"/>
    <w:rsid w:val="005105E8"/>
    <w:rsid w:val="0052795F"/>
    <w:rsid w:val="00541E21"/>
    <w:rsid w:val="00542793"/>
    <w:rsid w:val="005560E3"/>
    <w:rsid w:val="00562038"/>
    <w:rsid w:val="005844DB"/>
    <w:rsid w:val="00593830"/>
    <w:rsid w:val="005B2860"/>
    <w:rsid w:val="005B3673"/>
    <w:rsid w:val="005B4523"/>
    <w:rsid w:val="005B6EBD"/>
    <w:rsid w:val="005D5E05"/>
    <w:rsid w:val="005D68F0"/>
    <w:rsid w:val="005F21AE"/>
    <w:rsid w:val="005F650D"/>
    <w:rsid w:val="00605905"/>
    <w:rsid w:val="00615A54"/>
    <w:rsid w:val="0061617B"/>
    <w:rsid w:val="00635713"/>
    <w:rsid w:val="00640273"/>
    <w:rsid w:val="00640A87"/>
    <w:rsid w:val="00651725"/>
    <w:rsid w:val="00652C23"/>
    <w:rsid w:val="00655B80"/>
    <w:rsid w:val="00663308"/>
    <w:rsid w:val="00694D08"/>
    <w:rsid w:val="006A7321"/>
    <w:rsid w:val="006B1A1E"/>
    <w:rsid w:val="006B3189"/>
    <w:rsid w:val="006B3894"/>
    <w:rsid w:val="006B49B2"/>
    <w:rsid w:val="006D1C2D"/>
    <w:rsid w:val="006F39B9"/>
    <w:rsid w:val="006F4B3F"/>
    <w:rsid w:val="006F6A84"/>
    <w:rsid w:val="00700DFE"/>
    <w:rsid w:val="00714121"/>
    <w:rsid w:val="007236D8"/>
    <w:rsid w:val="00735E2B"/>
    <w:rsid w:val="00756E73"/>
    <w:rsid w:val="00784DBF"/>
    <w:rsid w:val="007A4215"/>
    <w:rsid w:val="007B39F9"/>
    <w:rsid w:val="007E64AF"/>
    <w:rsid w:val="007F16C2"/>
    <w:rsid w:val="007F5CDD"/>
    <w:rsid w:val="007F70C3"/>
    <w:rsid w:val="00801D0B"/>
    <w:rsid w:val="00812976"/>
    <w:rsid w:val="0081544A"/>
    <w:rsid w:val="00815729"/>
    <w:rsid w:val="0082596F"/>
    <w:rsid w:val="008318AD"/>
    <w:rsid w:val="008347E1"/>
    <w:rsid w:val="00834AED"/>
    <w:rsid w:val="00835509"/>
    <w:rsid w:val="008415E9"/>
    <w:rsid w:val="00844C39"/>
    <w:rsid w:val="00855737"/>
    <w:rsid w:val="0087005E"/>
    <w:rsid w:val="008810C1"/>
    <w:rsid w:val="00882622"/>
    <w:rsid w:val="00896D04"/>
    <w:rsid w:val="008A2874"/>
    <w:rsid w:val="008C3525"/>
    <w:rsid w:val="008D1058"/>
    <w:rsid w:val="008E6B82"/>
    <w:rsid w:val="008F255B"/>
    <w:rsid w:val="00901864"/>
    <w:rsid w:val="00912167"/>
    <w:rsid w:val="009132A3"/>
    <w:rsid w:val="00937463"/>
    <w:rsid w:val="00961DB0"/>
    <w:rsid w:val="00976985"/>
    <w:rsid w:val="00985BE8"/>
    <w:rsid w:val="009A73DE"/>
    <w:rsid w:val="009A7FD3"/>
    <w:rsid w:val="009C31C8"/>
    <w:rsid w:val="009D5B1A"/>
    <w:rsid w:val="009E4769"/>
    <w:rsid w:val="00A14340"/>
    <w:rsid w:val="00A24DA6"/>
    <w:rsid w:val="00A327E4"/>
    <w:rsid w:val="00A36641"/>
    <w:rsid w:val="00A36ED3"/>
    <w:rsid w:val="00A410E6"/>
    <w:rsid w:val="00A41296"/>
    <w:rsid w:val="00A54EF3"/>
    <w:rsid w:val="00A57866"/>
    <w:rsid w:val="00A65182"/>
    <w:rsid w:val="00A71700"/>
    <w:rsid w:val="00A71D78"/>
    <w:rsid w:val="00A74169"/>
    <w:rsid w:val="00AA114A"/>
    <w:rsid w:val="00AA1507"/>
    <w:rsid w:val="00AA47E9"/>
    <w:rsid w:val="00AB789D"/>
    <w:rsid w:val="00AD4F2D"/>
    <w:rsid w:val="00B00D54"/>
    <w:rsid w:val="00B15E47"/>
    <w:rsid w:val="00B15EA4"/>
    <w:rsid w:val="00B20E1D"/>
    <w:rsid w:val="00B34ADF"/>
    <w:rsid w:val="00B44C43"/>
    <w:rsid w:val="00B563CC"/>
    <w:rsid w:val="00B7723D"/>
    <w:rsid w:val="00BA2EF3"/>
    <w:rsid w:val="00BF454E"/>
    <w:rsid w:val="00BF6E67"/>
    <w:rsid w:val="00C03B64"/>
    <w:rsid w:val="00C23079"/>
    <w:rsid w:val="00C53E9A"/>
    <w:rsid w:val="00C65F53"/>
    <w:rsid w:val="00C72A74"/>
    <w:rsid w:val="00C90F02"/>
    <w:rsid w:val="00CA4434"/>
    <w:rsid w:val="00CB607F"/>
    <w:rsid w:val="00CE6E82"/>
    <w:rsid w:val="00D02A60"/>
    <w:rsid w:val="00D059AF"/>
    <w:rsid w:val="00D14C1E"/>
    <w:rsid w:val="00D20350"/>
    <w:rsid w:val="00D23234"/>
    <w:rsid w:val="00D53A0F"/>
    <w:rsid w:val="00D54EC9"/>
    <w:rsid w:val="00D60B1D"/>
    <w:rsid w:val="00D73235"/>
    <w:rsid w:val="00D74425"/>
    <w:rsid w:val="00D77138"/>
    <w:rsid w:val="00D8018A"/>
    <w:rsid w:val="00D816AC"/>
    <w:rsid w:val="00D81CCB"/>
    <w:rsid w:val="00D868BF"/>
    <w:rsid w:val="00DB4D48"/>
    <w:rsid w:val="00DC2A2B"/>
    <w:rsid w:val="00DD47B2"/>
    <w:rsid w:val="00DE03F6"/>
    <w:rsid w:val="00DE689A"/>
    <w:rsid w:val="00DF07EA"/>
    <w:rsid w:val="00DF7C31"/>
    <w:rsid w:val="00E0367B"/>
    <w:rsid w:val="00E21DD6"/>
    <w:rsid w:val="00E23F36"/>
    <w:rsid w:val="00E267F5"/>
    <w:rsid w:val="00E2772F"/>
    <w:rsid w:val="00E27B1A"/>
    <w:rsid w:val="00E311FF"/>
    <w:rsid w:val="00E51599"/>
    <w:rsid w:val="00E76182"/>
    <w:rsid w:val="00E769DC"/>
    <w:rsid w:val="00E77649"/>
    <w:rsid w:val="00E80F83"/>
    <w:rsid w:val="00E966CB"/>
    <w:rsid w:val="00EA1528"/>
    <w:rsid w:val="00EA3062"/>
    <w:rsid w:val="00EB2293"/>
    <w:rsid w:val="00EB53CD"/>
    <w:rsid w:val="00EC6682"/>
    <w:rsid w:val="00F043D6"/>
    <w:rsid w:val="00F171E1"/>
    <w:rsid w:val="00F50CDF"/>
    <w:rsid w:val="00F50CED"/>
    <w:rsid w:val="00F53835"/>
    <w:rsid w:val="00F5747A"/>
    <w:rsid w:val="00F74E05"/>
    <w:rsid w:val="00F86D9B"/>
    <w:rsid w:val="00F90070"/>
    <w:rsid w:val="00F907CF"/>
    <w:rsid w:val="00FA6860"/>
    <w:rsid w:val="00FB425F"/>
    <w:rsid w:val="00FD0C65"/>
    <w:rsid w:val="00FD1DE6"/>
    <w:rsid w:val="00FD1DF0"/>
    <w:rsid w:val="00FD3889"/>
    <w:rsid w:val="00FD7633"/>
    <w:rsid w:val="00FE4EB5"/>
    <w:rsid w:val="00FE5231"/>
    <w:rsid w:val="012030A2"/>
    <w:rsid w:val="01286382"/>
    <w:rsid w:val="012F16F7"/>
    <w:rsid w:val="01310FDC"/>
    <w:rsid w:val="01332CA2"/>
    <w:rsid w:val="01541EA9"/>
    <w:rsid w:val="01543FC0"/>
    <w:rsid w:val="01657089"/>
    <w:rsid w:val="01713F44"/>
    <w:rsid w:val="017B5FFC"/>
    <w:rsid w:val="0183728A"/>
    <w:rsid w:val="01A116FC"/>
    <w:rsid w:val="01B4561C"/>
    <w:rsid w:val="01BF589C"/>
    <w:rsid w:val="01C47228"/>
    <w:rsid w:val="01C50530"/>
    <w:rsid w:val="01F036D4"/>
    <w:rsid w:val="021772B1"/>
    <w:rsid w:val="02400174"/>
    <w:rsid w:val="02434EA2"/>
    <w:rsid w:val="0252665D"/>
    <w:rsid w:val="02553F5F"/>
    <w:rsid w:val="026259A2"/>
    <w:rsid w:val="027A3F9F"/>
    <w:rsid w:val="028441F5"/>
    <w:rsid w:val="028C4EDD"/>
    <w:rsid w:val="02A62807"/>
    <w:rsid w:val="02A9706C"/>
    <w:rsid w:val="02BD3EC5"/>
    <w:rsid w:val="02E04C89"/>
    <w:rsid w:val="02E56FC6"/>
    <w:rsid w:val="02F516EA"/>
    <w:rsid w:val="02FF4E46"/>
    <w:rsid w:val="031C07A5"/>
    <w:rsid w:val="033F771B"/>
    <w:rsid w:val="0361681B"/>
    <w:rsid w:val="038A6F6C"/>
    <w:rsid w:val="038D3DD0"/>
    <w:rsid w:val="03A643B4"/>
    <w:rsid w:val="03BF48F7"/>
    <w:rsid w:val="03C4523A"/>
    <w:rsid w:val="03C644AD"/>
    <w:rsid w:val="03EF2A28"/>
    <w:rsid w:val="03F0790E"/>
    <w:rsid w:val="03F73119"/>
    <w:rsid w:val="04000A5C"/>
    <w:rsid w:val="040A2CF3"/>
    <w:rsid w:val="04477AD3"/>
    <w:rsid w:val="044F06A2"/>
    <w:rsid w:val="04501A74"/>
    <w:rsid w:val="046F6001"/>
    <w:rsid w:val="047675DD"/>
    <w:rsid w:val="04814856"/>
    <w:rsid w:val="04CF7C00"/>
    <w:rsid w:val="04D2626E"/>
    <w:rsid w:val="04E81B1A"/>
    <w:rsid w:val="04FB4623"/>
    <w:rsid w:val="050256FE"/>
    <w:rsid w:val="050504DC"/>
    <w:rsid w:val="05071319"/>
    <w:rsid w:val="05096E54"/>
    <w:rsid w:val="05453FE3"/>
    <w:rsid w:val="05464685"/>
    <w:rsid w:val="054664A5"/>
    <w:rsid w:val="05574E62"/>
    <w:rsid w:val="058977D9"/>
    <w:rsid w:val="058A4BA6"/>
    <w:rsid w:val="059336B1"/>
    <w:rsid w:val="05981969"/>
    <w:rsid w:val="05A941F2"/>
    <w:rsid w:val="05C30D0D"/>
    <w:rsid w:val="05CF2CB8"/>
    <w:rsid w:val="05DA5D0F"/>
    <w:rsid w:val="05E33A02"/>
    <w:rsid w:val="05E855AB"/>
    <w:rsid w:val="05F10C6A"/>
    <w:rsid w:val="05F936EA"/>
    <w:rsid w:val="06016B42"/>
    <w:rsid w:val="060C3799"/>
    <w:rsid w:val="06342967"/>
    <w:rsid w:val="063F38E3"/>
    <w:rsid w:val="064640DB"/>
    <w:rsid w:val="064E014A"/>
    <w:rsid w:val="06572188"/>
    <w:rsid w:val="065906F6"/>
    <w:rsid w:val="066A1CF1"/>
    <w:rsid w:val="06716F1B"/>
    <w:rsid w:val="067667CE"/>
    <w:rsid w:val="06811DB9"/>
    <w:rsid w:val="06840641"/>
    <w:rsid w:val="068C5CA4"/>
    <w:rsid w:val="06964591"/>
    <w:rsid w:val="06996569"/>
    <w:rsid w:val="06B50CF4"/>
    <w:rsid w:val="06B93618"/>
    <w:rsid w:val="06D0743C"/>
    <w:rsid w:val="06F05772"/>
    <w:rsid w:val="06FF7D4E"/>
    <w:rsid w:val="0700783C"/>
    <w:rsid w:val="071C1AB9"/>
    <w:rsid w:val="0725090D"/>
    <w:rsid w:val="07361B2C"/>
    <w:rsid w:val="074C35B5"/>
    <w:rsid w:val="07534192"/>
    <w:rsid w:val="076C662E"/>
    <w:rsid w:val="0775017A"/>
    <w:rsid w:val="07774745"/>
    <w:rsid w:val="07784B70"/>
    <w:rsid w:val="077C521D"/>
    <w:rsid w:val="07AA1094"/>
    <w:rsid w:val="07D53F12"/>
    <w:rsid w:val="07DF19DD"/>
    <w:rsid w:val="07E23849"/>
    <w:rsid w:val="07ED3379"/>
    <w:rsid w:val="07F630C2"/>
    <w:rsid w:val="07FB3367"/>
    <w:rsid w:val="08124A9A"/>
    <w:rsid w:val="08151011"/>
    <w:rsid w:val="08360B30"/>
    <w:rsid w:val="08575FBE"/>
    <w:rsid w:val="085D1723"/>
    <w:rsid w:val="085D3E09"/>
    <w:rsid w:val="08604909"/>
    <w:rsid w:val="08862C99"/>
    <w:rsid w:val="08867BF1"/>
    <w:rsid w:val="08937255"/>
    <w:rsid w:val="089A3C31"/>
    <w:rsid w:val="08C463E4"/>
    <w:rsid w:val="08C52D6F"/>
    <w:rsid w:val="08D13DDE"/>
    <w:rsid w:val="08E9605B"/>
    <w:rsid w:val="08F02AC4"/>
    <w:rsid w:val="08F21FDF"/>
    <w:rsid w:val="091C32AD"/>
    <w:rsid w:val="092766EA"/>
    <w:rsid w:val="09423BD8"/>
    <w:rsid w:val="09556D02"/>
    <w:rsid w:val="09561FC3"/>
    <w:rsid w:val="095B6D6F"/>
    <w:rsid w:val="096F69C3"/>
    <w:rsid w:val="097218F7"/>
    <w:rsid w:val="0972418C"/>
    <w:rsid w:val="09800821"/>
    <w:rsid w:val="09D73B28"/>
    <w:rsid w:val="09DD14F7"/>
    <w:rsid w:val="09E0252C"/>
    <w:rsid w:val="09E10026"/>
    <w:rsid w:val="09EC6903"/>
    <w:rsid w:val="0A7802DC"/>
    <w:rsid w:val="0A994DDC"/>
    <w:rsid w:val="0AAE4AE2"/>
    <w:rsid w:val="0ACD7131"/>
    <w:rsid w:val="0AD84D58"/>
    <w:rsid w:val="0ADE1535"/>
    <w:rsid w:val="0AE230E9"/>
    <w:rsid w:val="0AED602E"/>
    <w:rsid w:val="0B0D77B0"/>
    <w:rsid w:val="0B171B31"/>
    <w:rsid w:val="0B381634"/>
    <w:rsid w:val="0B393FE0"/>
    <w:rsid w:val="0B44435A"/>
    <w:rsid w:val="0B5A014A"/>
    <w:rsid w:val="0B5B22EB"/>
    <w:rsid w:val="0B6B7BF9"/>
    <w:rsid w:val="0B6F3DCE"/>
    <w:rsid w:val="0B7B175C"/>
    <w:rsid w:val="0BA576BF"/>
    <w:rsid w:val="0BAA7144"/>
    <w:rsid w:val="0BB86230"/>
    <w:rsid w:val="0BBC084E"/>
    <w:rsid w:val="0BBE75D4"/>
    <w:rsid w:val="0BC13A3D"/>
    <w:rsid w:val="0BE96EBF"/>
    <w:rsid w:val="0BEF4A34"/>
    <w:rsid w:val="0BF32F26"/>
    <w:rsid w:val="0C0444C5"/>
    <w:rsid w:val="0C0B3E50"/>
    <w:rsid w:val="0C27300E"/>
    <w:rsid w:val="0C4E54DD"/>
    <w:rsid w:val="0C691C6B"/>
    <w:rsid w:val="0C747FFC"/>
    <w:rsid w:val="0C7868D3"/>
    <w:rsid w:val="0C7A7140"/>
    <w:rsid w:val="0C844A23"/>
    <w:rsid w:val="0C946333"/>
    <w:rsid w:val="0C965FB3"/>
    <w:rsid w:val="0CB6451E"/>
    <w:rsid w:val="0CCC4B0B"/>
    <w:rsid w:val="0CEA3875"/>
    <w:rsid w:val="0CF9035B"/>
    <w:rsid w:val="0D0C1474"/>
    <w:rsid w:val="0D173089"/>
    <w:rsid w:val="0D2E6D19"/>
    <w:rsid w:val="0D2E70F4"/>
    <w:rsid w:val="0D3D0BDC"/>
    <w:rsid w:val="0D555D1A"/>
    <w:rsid w:val="0D582312"/>
    <w:rsid w:val="0D704FCF"/>
    <w:rsid w:val="0D8C2B0E"/>
    <w:rsid w:val="0D8D06B0"/>
    <w:rsid w:val="0DB7190D"/>
    <w:rsid w:val="0DBA2892"/>
    <w:rsid w:val="0DC23A0E"/>
    <w:rsid w:val="0DC94D0A"/>
    <w:rsid w:val="0DD128E2"/>
    <w:rsid w:val="0DDF4A84"/>
    <w:rsid w:val="0DE320AC"/>
    <w:rsid w:val="0DED5D9B"/>
    <w:rsid w:val="0E263246"/>
    <w:rsid w:val="0E2F7356"/>
    <w:rsid w:val="0E43798B"/>
    <w:rsid w:val="0E602036"/>
    <w:rsid w:val="0E633750"/>
    <w:rsid w:val="0E6363E0"/>
    <w:rsid w:val="0E705B37"/>
    <w:rsid w:val="0E8F3927"/>
    <w:rsid w:val="0E937FF7"/>
    <w:rsid w:val="0EA02AFE"/>
    <w:rsid w:val="0EAE52EF"/>
    <w:rsid w:val="0EB76628"/>
    <w:rsid w:val="0EC66F49"/>
    <w:rsid w:val="0EC73D3C"/>
    <w:rsid w:val="0EED6FE6"/>
    <w:rsid w:val="0F027D69"/>
    <w:rsid w:val="0F271CA8"/>
    <w:rsid w:val="0F426830"/>
    <w:rsid w:val="0F4B2FF3"/>
    <w:rsid w:val="0F4F093D"/>
    <w:rsid w:val="0F5D6F49"/>
    <w:rsid w:val="0F7B5526"/>
    <w:rsid w:val="0F7D7C0A"/>
    <w:rsid w:val="0F9F6A2F"/>
    <w:rsid w:val="0FA838C2"/>
    <w:rsid w:val="0FB35ED0"/>
    <w:rsid w:val="0FB748D6"/>
    <w:rsid w:val="0FD66E50"/>
    <w:rsid w:val="0FD90911"/>
    <w:rsid w:val="0FF15012"/>
    <w:rsid w:val="10211FC7"/>
    <w:rsid w:val="1023528A"/>
    <w:rsid w:val="1047115D"/>
    <w:rsid w:val="10487021"/>
    <w:rsid w:val="10490C73"/>
    <w:rsid w:val="1057184E"/>
    <w:rsid w:val="10743E95"/>
    <w:rsid w:val="1078664F"/>
    <w:rsid w:val="107D0C51"/>
    <w:rsid w:val="10847299"/>
    <w:rsid w:val="10932CD1"/>
    <w:rsid w:val="10D63C7B"/>
    <w:rsid w:val="10F178FB"/>
    <w:rsid w:val="110527BD"/>
    <w:rsid w:val="110C54D5"/>
    <w:rsid w:val="11137369"/>
    <w:rsid w:val="112514D8"/>
    <w:rsid w:val="1128589D"/>
    <w:rsid w:val="112A3B00"/>
    <w:rsid w:val="113128F4"/>
    <w:rsid w:val="113F225A"/>
    <w:rsid w:val="11525C8F"/>
    <w:rsid w:val="11726BC2"/>
    <w:rsid w:val="117719CC"/>
    <w:rsid w:val="118B5AD6"/>
    <w:rsid w:val="119D1305"/>
    <w:rsid w:val="11A01843"/>
    <w:rsid w:val="11A46064"/>
    <w:rsid w:val="11AB7203"/>
    <w:rsid w:val="11D17DFA"/>
    <w:rsid w:val="12156074"/>
    <w:rsid w:val="121B15B2"/>
    <w:rsid w:val="12314CD0"/>
    <w:rsid w:val="123F3465"/>
    <w:rsid w:val="12435284"/>
    <w:rsid w:val="124E4A8F"/>
    <w:rsid w:val="124F597E"/>
    <w:rsid w:val="12576C18"/>
    <w:rsid w:val="125E4936"/>
    <w:rsid w:val="12764995"/>
    <w:rsid w:val="12C703A3"/>
    <w:rsid w:val="12CF1C08"/>
    <w:rsid w:val="12D26E5A"/>
    <w:rsid w:val="12DD1185"/>
    <w:rsid w:val="12E91563"/>
    <w:rsid w:val="12F23C89"/>
    <w:rsid w:val="13185D0D"/>
    <w:rsid w:val="132528C6"/>
    <w:rsid w:val="13464504"/>
    <w:rsid w:val="13485299"/>
    <w:rsid w:val="135350C1"/>
    <w:rsid w:val="13862905"/>
    <w:rsid w:val="138F7BFA"/>
    <w:rsid w:val="13974C62"/>
    <w:rsid w:val="13A45004"/>
    <w:rsid w:val="13AC11AF"/>
    <w:rsid w:val="13CC0B78"/>
    <w:rsid w:val="13CF5D64"/>
    <w:rsid w:val="13D279D0"/>
    <w:rsid w:val="13D46B8F"/>
    <w:rsid w:val="13D6307A"/>
    <w:rsid w:val="140569B8"/>
    <w:rsid w:val="14162C01"/>
    <w:rsid w:val="141E0B8E"/>
    <w:rsid w:val="142A526B"/>
    <w:rsid w:val="14426F48"/>
    <w:rsid w:val="144512B9"/>
    <w:rsid w:val="14502EB0"/>
    <w:rsid w:val="14553873"/>
    <w:rsid w:val="14576EEE"/>
    <w:rsid w:val="145964AF"/>
    <w:rsid w:val="145D489D"/>
    <w:rsid w:val="146D2ABC"/>
    <w:rsid w:val="1479286A"/>
    <w:rsid w:val="147F38F9"/>
    <w:rsid w:val="148B6962"/>
    <w:rsid w:val="148E171F"/>
    <w:rsid w:val="14A35CE8"/>
    <w:rsid w:val="14A47052"/>
    <w:rsid w:val="14B46A8F"/>
    <w:rsid w:val="14B8240A"/>
    <w:rsid w:val="14C13E08"/>
    <w:rsid w:val="14CD5DA3"/>
    <w:rsid w:val="14D55ACD"/>
    <w:rsid w:val="14DB1E19"/>
    <w:rsid w:val="14EA708B"/>
    <w:rsid w:val="14FB6FF2"/>
    <w:rsid w:val="150E4C22"/>
    <w:rsid w:val="15164F69"/>
    <w:rsid w:val="152B39F5"/>
    <w:rsid w:val="152E6A46"/>
    <w:rsid w:val="154410F5"/>
    <w:rsid w:val="15475D78"/>
    <w:rsid w:val="15477966"/>
    <w:rsid w:val="15506043"/>
    <w:rsid w:val="15553E32"/>
    <w:rsid w:val="155B362D"/>
    <w:rsid w:val="156670AB"/>
    <w:rsid w:val="15697DE7"/>
    <w:rsid w:val="157A3AA2"/>
    <w:rsid w:val="158937AA"/>
    <w:rsid w:val="158C476E"/>
    <w:rsid w:val="158E6621"/>
    <w:rsid w:val="15961970"/>
    <w:rsid w:val="159A0182"/>
    <w:rsid w:val="15A34E55"/>
    <w:rsid w:val="15A7507E"/>
    <w:rsid w:val="15AE2D22"/>
    <w:rsid w:val="15C4624B"/>
    <w:rsid w:val="15E027E9"/>
    <w:rsid w:val="15F117A8"/>
    <w:rsid w:val="160429FB"/>
    <w:rsid w:val="162717AD"/>
    <w:rsid w:val="16797F2D"/>
    <w:rsid w:val="167F55F9"/>
    <w:rsid w:val="16987C99"/>
    <w:rsid w:val="16BA7CC3"/>
    <w:rsid w:val="16CB486A"/>
    <w:rsid w:val="16CE3909"/>
    <w:rsid w:val="16D3218C"/>
    <w:rsid w:val="16D85C88"/>
    <w:rsid w:val="170A70D7"/>
    <w:rsid w:val="170D06E0"/>
    <w:rsid w:val="171A5877"/>
    <w:rsid w:val="171C69AA"/>
    <w:rsid w:val="171F284E"/>
    <w:rsid w:val="17566556"/>
    <w:rsid w:val="177278E9"/>
    <w:rsid w:val="17906C88"/>
    <w:rsid w:val="17924332"/>
    <w:rsid w:val="17A6366F"/>
    <w:rsid w:val="17BF65DC"/>
    <w:rsid w:val="17C359BA"/>
    <w:rsid w:val="17CC658F"/>
    <w:rsid w:val="17D05A1A"/>
    <w:rsid w:val="17ED79FC"/>
    <w:rsid w:val="17FA400C"/>
    <w:rsid w:val="17FC2567"/>
    <w:rsid w:val="17FE16D8"/>
    <w:rsid w:val="18006155"/>
    <w:rsid w:val="18236CC4"/>
    <w:rsid w:val="182868AE"/>
    <w:rsid w:val="18522F76"/>
    <w:rsid w:val="18624A54"/>
    <w:rsid w:val="18705885"/>
    <w:rsid w:val="187C13DD"/>
    <w:rsid w:val="18A2644E"/>
    <w:rsid w:val="18A93985"/>
    <w:rsid w:val="18AA14FD"/>
    <w:rsid w:val="18AB3604"/>
    <w:rsid w:val="18C00DA1"/>
    <w:rsid w:val="18C747A0"/>
    <w:rsid w:val="18CC16D5"/>
    <w:rsid w:val="191434C4"/>
    <w:rsid w:val="19192456"/>
    <w:rsid w:val="192C277A"/>
    <w:rsid w:val="1953606A"/>
    <w:rsid w:val="195A4F69"/>
    <w:rsid w:val="1967588A"/>
    <w:rsid w:val="19695538"/>
    <w:rsid w:val="19831D50"/>
    <w:rsid w:val="198B5CB7"/>
    <w:rsid w:val="198E4D6D"/>
    <w:rsid w:val="1998580B"/>
    <w:rsid w:val="19AF5431"/>
    <w:rsid w:val="19B8346B"/>
    <w:rsid w:val="19C96EF3"/>
    <w:rsid w:val="19E47E89"/>
    <w:rsid w:val="1A02441E"/>
    <w:rsid w:val="1A0A6191"/>
    <w:rsid w:val="1A5B3AC3"/>
    <w:rsid w:val="1A7D44B8"/>
    <w:rsid w:val="1AA700C1"/>
    <w:rsid w:val="1AA85649"/>
    <w:rsid w:val="1B0803C8"/>
    <w:rsid w:val="1B162E30"/>
    <w:rsid w:val="1B290F15"/>
    <w:rsid w:val="1B2E2CD8"/>
    <w:rsid w:val="1B30771C"/>
    <w:rsid w:val="1B321E29"/>
    <w:rsid w:val="1B490032"/>
    <w:rsid w:val="1B6B3188"/>
    <w:rsid w:val="1B701839"/>
    <w:rsid w:val="1B7E7DF7"/>
    <w:rsid w:val="1B80312D"/>
    <w:rsid w:val="1B854D22"/>
    <w:rsid w:val="1BA40CA7"/>
    <w:rsid w:val="1BA50B8A"/>
    <w:rsid w:val="1BA92D7C"/>
    <w:rsid w:val="1BB6200A"/>
    <w:rsid w:val="1BD74B11"/>
    <w:rsid w:val="1C046B5F"/>
    <w:rsid w:val="1C0E1A98"/>
    <w:rsid w:val="1C167B36"/>
    <w:rsid w:val="1C1945A6"/>
    <w:rsid w:val="1C3C1EE0"/>
    <w:rsid w:val="1C3F3EDC"/>
    <w:rsid w:val="1C4567F4"/>
    <w:rsid w:val="1C4F709D"/>
    <w:rsid w:val="1C70018C"/>
    <w:rsid w:val="1C7A6502"/>
    <w:rsid w:val="1C8837E7"/>
    <w:rsid w:val="1CB64C9B"/>
    <w:rsid w:val="1CC659C3"/>
    <w:rsid w:val="1CCB786F"/>
    <w:rsid w:val="1CD80254"/>
    <w:rsid w:val="1CDB5968"/>
    <w:rsid w:val="1CE17609"/>
    <w:rsid w:val="1CEF625F"/>
    <w:rsid w:val="1CF40ED1"/>
    <w:rsid w:val="1CF72AFE"/>
    <w:rsid w:val="1CF72BCE"/>
    <w:rsid w:val="1D0023BC"/>
    <w:rsid w:val="1D057F8C"/>
    <w:rsid w:val="1D065424"/>
    <w:rsid w:val="1D120041"/>
    <w:rsid w:val="1D25067D"/>
    <w:rsid w:val="1D345FF7"/>
    <w:rsid w:val="1D3A0B63"/>
    <w:rsid w:val="1D532B00"/>
    <w:rsid w:val="1D5F08B3"/>
    <w:rsid w:val="1D601C12"/>
    <w:rsid w:val="1D660B43"/>
    <w:rsid w:val="1D793EB5"/>
    <w:rsid w:val="1D87271C"/>
    <w:rsid w:val="1D911DA9"/>
    <w:rsid w:val="1D941973"/>
    <w:rsid w:val="1DA055B9"/>
    <w:rsid w:val="1DA55279"/>
    <w:rsid w:val="1DAB4540"/>
    <w:rsid w:val="1DBC4A7C"/>
    <w:rsid w:val="1DC77417"/>
    <w:rsid w:val="1DCA77EF"/>
    <w:rsid w:val="1DD545C7"/>
    <w:rsid w:val="1DFD6C01"/>
    <w:rsid w:val="1E0217A7"/>
    <w:rsid w:val="1E0C009A"/>
    <w:rsid w:val="1E1D26E8"/>
    <w:rsid w:val="1E595A00"/>
    <w:rsid w:val="1E6A4AC7"/>
    <w:rsid w:val="1E864C59"/>
    <w:rsid w:val="1E912E3F"/>
    <w:rsid w:val="1E9A3EFE"/>
    <w:rsid w:val="1EAA0146"/>
    <w:rsid w:val="1EAF32E5"/>
    <w:rsid w:val="1EB006E0"/>
    <w:rsid w:val="1EF42F16"/>
    <w:rsid w:val="1EF84610"/>
    <w:rsid w:val="1F095131"/>
    <w:rsid w:val="1F2E7F16"/>
    <w:rsid w:val="1F47475D"/>
    <w:rsid w:val="1F5A0625"/>
    <w:rsid w:val="1F5C446C"/>
    <w:rsid w:val="1F5E4382"/>
    <w:rsid w:val="1F717558"/>
    <w:rsid w:val="1F7C2888"/>
    <w:rsid w:val="1F7D6E36"/>
    <w:rsid w:val="1F996695"/>
    <w:rsid w:val="1F9D34DF"/>
    <w:rsid w:val="1FA31B5D"/>
    <w:rsid w:val="1FA52578"/>
    <w:rsid w:val="1FB738D7"/>
    <w:rsid w:val="1FBD354A"/>
    <w:rsid w:val="1FBD4FCB"/>
    <w:rsid w:val="1FC00D66"/>
    <w:rsid w:val="1FCE7E42"/>
    <w:rsid w:val="1FD3713E"/>
    <w:rsid w:val="1FE402F7"/>
    <w:rsid w:val="1FEF72E1"/>
    <w:rsid w:val="20060E41"/>
    <w:rsid w:val="20541BF9"/>
    <w:rsid w:val="206B2CF7"/>
    <w:rsid w:val="206D2076"/>
    <w:rsid w:val="2081109B"/>
    <w:rsid w:val="20871035"/>
    <w:rsid w:val="20893ECB"/>
    <w:rsid w:val="20923496"/>
    <w:rsid w:val="20D235FB"/>
    <w:rsid w:val="20F62651"/>
    <w:rsid w:val="20FC27C6"/>
    <w:rsid w:val="210A5BB6"/>
    <w:rsid w:val="212305A2"/>
    <w:rsid w:val="21274C73"/>
    <w:rsid w:val="213A3C94"/>
    <w:rsid w:val="214F15B9"/>
    <w:rsid w:val="216B32E8"/>
    <w:rsid w:val="217A344A"/>
    <w:rsid w:val="217F7A57"/>
    <w:rsid w:val="21964021"/>
    <w:rsid w:val="21967733"/>
    <w:rsid w:val="21C2676E"/>
    <w:rsid w:val="21EE4DDC"/>
    <w:rsid w:val="220A2903"/>
    <w:rsid w:val="22193425"/>
    <w:rsid w:val="221C07CF"/>
    <w:rsid w:val="22353B2B"/>
    <w:rsid w:val="22385F5F"/>
    <w:rsid w:val="22441096"/>
    <w:rsid w:val="224A024D"/>
    <w:rsid w:val="224C3750"/>
    <w:rsid w:val="22551E62"/>
    <w:rsid w:val="226267E7"/>
    <w:rsid w:val="226A72A2"/>
    <w:rsid w:val="227B65E3"/>
    <w:rsid w:val="2280269A"/>
    <w:rsid w:val="22953D02"/>
    <w:rsid w:val="22D35E62"/>
    <w:rsid w:val="22D52136"/>
    <w:rsid w:val="22D6367D"/>
    <w:rsid w:val="22DB51A6"/>
    <w:rsid w:val="22ED32DA"/>
    <w:rsid w:val="22FE1B6F"/>
    <w:rsid w:val="230D6356"/>
    <w:rsid w:val="23151041"/>
    <w:rsid w:val="231E1F9F"/>
    <w:rsid w:val="23443A43"/>
    <w:rsid w:val="23564902"/>
    <w:rsid w:val="23906366"/>
    <w:rsid w:val="23961850"/>
    <w:rsid w:val="23B0014D"/>
    <w:rsid w:val="23C74DC1"/>
    <w:rsid w:val="23D33BDE"/>
    <w:rsid w:val="23E34059"/>
    <w:rsid w:val="23E45AB2"/>
    <w:rsid w:val="23E45E74"/>
    <w:rsid w:val="23EA6ABB"/>
    <w:rsid w:val="23FA3B82"/>
    <w:rsid w:val="23FA3F18"/>
    <w:rsid w:val="23FB3B3B"/>
    <w:rsid w:val="23FC3497"/>
    <w:rsid w:val="242A340E"/>
    <w:rsid w:val="242C5A4F"/>
    <w:rsid w:val="24391C2B"/>
    <w:rsid w:val="243A7A24"/>
    <w:rsid w:val="243D7784"/>
    <w:rsid w:val="243F5C4A"/>
    <w:rsid w:val="24443260"/>
    <w:rsid w:val="24596D0B"/>
    <w:rsid w:val="24766921"/>
    <w:rsid w:val="247E08B3"/>
    <w:rsid w:val="24812BBA"/>
    <w:rsid w:val="248E50C8"/>
    <w:rsid w:val="2494490F"/>
    <w:rsid w:val="24982AE4"/>
    <w:rsid w:val="24AD7D7F"/>
    <w:rsid w:val="24BD1999"/>
    <w:rsid w:val="24CA788F"/>
    <w:rsid w:val="24CD465D"/>
    <w:rsid w:val="24EB08AB"/>
    <w:rsid w:val="24F22898"/>
    <w:rsid w:val="24F41B79"/>
    <w:rsid w:val="250052C3"/>
    <w:rsid w:val="250222CC"/>
    <w:rsid w:val="251132B8"/>
    <w:rsid w:val="251D2038"/>
    <w:rsid w:val="253674C7"/>
    <w:rsid w:val="25371EEC"/>
    <w:rsid w:val="253B7081"/>
    <w:rsid w:val="254017AF"/>
    <w:rsid w:val="254C40BE"/>
    <w:rsid w:val="25501E0E"/>
    <w:rsid w:val="25800B12"/>
    <w:rsid w:val="25924832"/>
    <w:rsid w:val="25A10529"/>
    <w:rsid w:val="25A75EFF"/>
    <w:rsid w:val="25AE66E1"/>
    <w:rsid w:val="25B06D46"/>
    <w:rsid w:val="25CE52F9"/>
    <w:rsid w:val="25DA2A28"/>
    <w:rsid w:val="25FC3C24"/>
    <w:rsid w:val="26152681"/>
    <w:rsid w:val="261A6E2C"/>
    <w:rsid w:val="26303437"/>
    <w:rsid w:val="263504CF"/>
    <w:rsid w:val="264E2DAF"/>
    <w:rsid w:val="2650100D"/>
    <w:rsid w:val="26543C2E"/>
    <w:rsid w:val="265B18F9"/>
    <w:rsid w:val="26614B35"/>
    <w:rsid w:val="266369EF"/>
    <w:rsid w:val="267122DE"/>
    <w:rsid w:val="268C1DC5"/>
    <w:rsid w:val="269624CD"/>
    <w:rsid w:val="269C1F0B"/>
    <w:rsid w:val="26A17D3C"/>
    <w:rsid w:val="26AB6A95"/>
    <w:rsid w:val="26AE4916"/>
    <w:rsid w:val="26BD7452"/>
    <w:rsid w:val="26C72ED7"/>
    <w:rsid w:val="26CA6D5D"/>
    <w:rsid w:val="26CF1A0F"/>
    <w:rsid w:val="26DA186B"/>
    <w:rsid w:val="26E22E55"/>
    <w:rsid w:val="26F500DB"/>
    <w:rsid w:val="27052A6F"/>
    <w:rsid w:val="270D6149"/>
    <w:rsid w:val="273F35F4"/>
    <w:rsid w:val="274B0951"/>
    <w:rsid w:val="274E3909"/>
    <w:rsid w:val="274F111B"/>
    <w:rsid w:val="277508FF"/>
    <w:rsid w:val="278F7F7A"/>
    <w:rsid w:val="279738A0"/>
    <w:rsid w:val="27AD6AEB"/>
    <w:rsid w:val="27AF36B1"/>
    <w:rsid w:val="27B60980"/>
    <w:rsid w:val="27BA1991"/>
    <w:rsid w:val="27CA0655"/>
    <w:rsid w:val="27F519A4"/>
    <w:rsid w:val="2814454E"/>
    <w:rsid w:val="281954D5"/>
    <w:rsid w:val="281E3593"/>
    <w:rsid w:val="28233866"/>
    <w:rsid w:val="2826784C"/>
    <w:rsid w:val="282F1F8D"/>
    <w:rsid w:val="28463A4A"/>
    <w:rsid w:val="284D31E1"/>
    <w:rsid w:val="28601A8B"/>
    <w:rsid w:val="28656627"/>
    <w:rsid w:val="287518AD"/>
    <w:rsid w:val="288E3E57"/>
    <w:rsid w:val="289055F8"/>
    <w:rsid w:val="28C94B72"/>
    <w:rsid w:val="28CA2360"/>
    <w:rsid w:val="29057815"/>
    <w:rsid w:val="290B2129"/>
    <w:rsid w:val="291259A7"/>
    <w:rsid w:val="2923241B"/>
    <w:rsid w:val="293F234E"/>
    <w:rsid w:val="295419DA"/>
    <w:rsid w:val="29577FC4"/>
    <w:rsid w:val="29591E39"/>
    <w:rsid w:val="29693571"/>
    <w:rsid w:val="29696BFD"/>
    <w:rsid w:val="296F57EF"/>
    <w:rsid w:val="299F760C"/>
    <w:rsid w:val="29BA777C"/>
    <w:rsid w:val="29BD28CD"/>
    <w:rsid w:val="29BE05F2"/>
    <w:rsid w:val="29CB1608"/>
    <w:rsid w:val="29CE360C"/>
    <w:rsid w:val="29D01C9F"/>
    <w:rsid w:val="2A0C4A0C"/>
    <w:rsid w:val="2A4D4366"/>
    <w:rsid w:val="2A65641F"/>
    <w:rsid w:val="2A746FEB"/>
    <w:rsid w:val="2AA56849"/>
    <w:rsid w:val="2AAC79F9"/>
    <w:rsid w:val="2AE666DB"/>
    <w:rsid w:val="2AE93D1E"/>
    <w:rsid w:val="2AFC0D01"/>
    <w:rsid w:val="2B03016F"/>
    <w:rsid w:val="2B0538F2"/>
    <w:rsid w:val="2B102FB5"/>
    <w:rsid w:val="2B223FCE"/>
    <w:rsid w:val="2B236DE7"/>
    <w:rsid w:val="2B295CAA"/>
    <w:rsid w:val="2B4C38A9"/>
    <w:rsid w:val="2B6E79D3"/>
    <w:rsid w:val="2B883392"/>
    <w:rsid w:val="2BA76CD7"/>
    <w:rsid w:val="2BEB2DF4"/>
    <w:rsid w:val="2BEF39FC"/>
    <w:rsid w:val="2BF27BBC"/>
    <w:rsid w:val="2BFD36E6"/>
    <w:rsid w:val="2C0C011A"/>
    <w:rsid w:val="2C0D6CFD"/>
    <w:rsid w:val="2C1600FD"/>
    <w:rsid w:val="2C1D2053"/>
    <w:rsid w:val="2C385C17"/>
    <w:rsid w:val="2C4A6645"/>
    <w:rsid w:val="2C50709A"/>
    <w:rsid w:val="2C541C45"/>
    <w:rsid w:val="2C6512CA"/>
    <w:rsid w:val="2C6B108B"/>
    <w:rsid w:val="2C6C546F"/>
    <w:rsid w:val="2C70220F"/>
    <w:rsid w:val="2C9E492E"/>
    <w:rsid w:val="2CBD7124"/>
    <w:rsid w:val="2CC35E7E"/>
    <w:rsid w:val="2CC70BAB"/>
    <w:rsid w:val="2CE84B06"/>
    <w:rsid w:val="2D0568E8"/>
    <w:rsid w:val="2D1660E1"/>
    <w:rsid w:val="2D1F13EC"/>
    <w:rsid w:val="2D281F31"/>
    <w:rsid w:val="2D4A2EAC"/>
    <w:rsid w:val="2D53167B"/>
    <w:rsid w:val="2D570467"/>
    <w:rsid w:val="2D5B72F6"/>
    <w:rsid w:val="2D716F5D"/>
    <w:rsid w:val="2D901D4F"/>
    <w:rsid w:val="2D92250C"/>
    <w:rsid w:val="2D9F77BD"/>
    <w:rsid w:val="2DA95170"/>
    <w:rsid w:val="2DA96B01"/>
    <w:rsid w:val="2DDD43CD"/>
    <w:rsid w:val="2DE64B73"/>
    <w:rsid w:val="2DED4CD8"/>
    <w:rsid w:val="2DF44035"/>
    <w:rsid w:val="2E082C92"/>
    <w:rsid w:val="2E087C0E"/>
    <w:rsid w:val="2E111EF6"/>
    <w:rsid w:val="2E260937"/>
    <w:rsid w:val="2E390ACF"/>
    <w:rsid w:val="2E454E68"/>
    <w:rsid w:val="2E4B4B9C"/>
    <w:rsid w:val="2E533769"/>
    <w:rsid w:val="2E5B05AA"/>
    <w:rsid w:val="2E601123"/>
    <w:rsid w:val="2E6658F7"/>
    <w:rsid w:val="2E691866"/>
    <w:rsid w:val="2E8A5ECE"/>
    <w:rsid w:val="2E8D157A"/>
    <w:rsid w:val="2E95361B"/>
    <w:rsid w:val="2E9637FB"/>
    <w:rsid w:val="2E9B20E7"/>
    <w:rsid w:val="2EAC6AB3"/>
    <w:rsid w:val="2EAF4EAF"/>
    <w:rsid w:val="2EE47706"/>
    <w:rsid w:val="2F000DF7"/>
    <w:rsid w:val="2F0D7107"/>
    <w:rsid w:val="2F1A30A4"/>
    <w:rsid w:val="2F4171A8"/>
    <w:rsid w:val="2F62362F"/>
    <w:rsid w:val="2F766D04"/>
    <w:rsid w:val="2F895A6F"/>
    <w:rsid w:val="2FA743A8"/>
    <w:rsid w:val="2FB33A7D"/>
    <w:rsid w:val="2FB93180"/>
    <w:rsid w:val="2FBA6BB1"/>
    <w:rsid w:val="2FC6259F"/>
    <w:rsid w:val="2FCB5391"/>
    <w:rsid w:val="300660E1"/>
    <w:rsid w:val="30336A9F"/>
    <w:rsid w:val="30383BBC"/>
    <w:rsid w:val="303D27F3"/>
    <w:rsid w:val="305C5978"/>
    <w:rsid w:val="30673FA3"/>
    <w:rsid w:val="306E668A"/>
    <w:rsid w:val="30964AD1"/>
    <w:rsid w:val="30A91F61"/>
    <w:rsid w:val="30A9554F"/>
    <w:rsid w:val="30AD7F61"/>
    <w:rsid w:val="30C12BF7"/>
    <w:rsid w:val="30CA5838"/>
    <w:rsid w:val="30DE023D"/>
    <w:rsid w:val="30E16A06"/>
    <w:rsid w:val="30EC2BA0"/>
    <w:rsid w:val="30F56008"/>
    <w:rsid w:val="310038BD"/>
    <w:rsid w:val="31356C56"/>
    <w:rsid w:val="31364E15"/>
    <w:rsid w:val="3146347B"/>
    <w:rsid w:val="31520222"/>
    <w:rsid w:val="31564940"/>
    <w:rsid w:val="316840FC"/>
    <w:rsid w:val="316E2FA4"/>
    <w:rsid w:val="31762D15"/>
    <w:rsid w:val="318E12DA"/>
    <w:rsid w:val="319375DC"/>
    <w:rsid w:val="31966CB2"/>
    <w:rsid w:val="31977ED8"/>
    <w:rsid w:val="319815A7"/>
    <w:rsid w:val="31AE7611"/>
    <w:rsid w:val="31BD519C"/>
    <w:rsid w:val="31D2335F"/>
    <w:rsid w:val="31D55206"/>
    <w:rsid w:val="31DF3243"/>
    <w:rsid w:val="31E41CE9"/>
    <w:rsid w:val="31F93347"/>
    <w:rsid w:val="323B26F8"/>
    <w:rsid w:val="32447AA5"/>
    <w:rsid w:val="32705150"/>
    <w:rsid w:val="327F66B9"/>
    <w:rsid w:val="328714F2"/>
    <w:rsid w:val="32917078"/>
    <w:rsid w:val="329D0C8D"/>
    <w:rsid w:val="32AE4A9F"/>
    <w:rsid w:val="32B00F88"/>
    <w:rsid w:val="32B25BB9"/>
    <w:rsid w:val="32BC65E7"/>
    <w:rsid w:val="32BD61DB"/>
    <w:rsid w:val="32BE5EBF"/>
    <w:rsid w:val="32BF4B25"/>
    <w:rsid w:val="32CF5169"/>
    <w:rsid w:val="32EB24C0"/>
    <w:rsid w:val="331D2CEA"/>
    <w:rsid w:val="33340F7D"/>
    <w:rsid w:val="33367B5E"/>
    <w:rsid w:val="33430D33"/>
    <w:rsid w:val="33453DE1"/>
    <w:rsid w:val="33540C46"/>
    <w:rsid w:val="33694846"/>
    <w:rsid w:val="336B72E1"/>
    <w:rsid w:val="338101D3"/>
    <w:rsid w:val="3387347E"/>
    <w:rsid w:val="33904534"/>
    <w:rsid w:val="33A17B5A"/>
    <w:rsid w:val="33A61CB9"/>
    <w:rsid w:val="33BD1A8A"/>
    <w:rsid w:val="33C95567"/>
    <w:rsid w:val="33CC5722"/>
    <w:rsid w:val="33DC4DF9"/>
    <w:rsid w:val="33FB2DB6"/>
    <w:rsid w:val="33FD5133"/>
    <w:rsid w:val="34022063"/>
    <w:rsid w:val="340434E0"/>
    <w:rsid w:val="34204F76"/>
    <w:rsid w:val="343524B2"/>
    <w:rsid w:val="34473878"/>
    <w:rsid w:val="34773DE0"/>
    <w:rsid w:val="34872F9D"/>
    <w:rsid w:val="34896756"/>
    <w:rsid w:val="349C315B"/>
    <w:rsid w:val="349D121D"/>
    <w:rsid w:val="34B34F64"/>
    <w:rsid w:val="34BC1492"/>
    <w:rsid w:val="34C27B9B"/>
    <w:rsid w:val="34C67823"/>
    <w:rsid w:val="34DF61CE"/>
    <w:rsid w:val="34E95754"/>
    <w:rsid w:val="3539091B"/>
    <w:rsid w:val="353F0CC9"/>
    <w:rsid w:val="354719F1"/>
    <w:rsid w:val="354D7D49"/>
    <w:rsid w:val="355A7737"/>
    <w:rsid w:val="356A4C2D"/>
    <w:rsid w:val="35740C40"/>
    <w:rsid w:val="359676ED"/>
    <w:rsid w:val="35AB1391"/>
    <w:rsid w:val="35B05C49"/>
    <w:rsid w:val="35B13ECA"/>
    <w:rsid w:val="35C032BE"/>
    <w:rsid w:val="35E05D71"/>
    <w:rsid w:val="35F70081"/>
    <w:rsid w:val="362570C0"/>
    <w:rsid w:val="362C03EF"/>
    <w:rsid w:val="36300CFB"/>
    <w:rsid w:val="36334E4D"/>
    <w:rsid w:val="36486F8B"/>
    <w:rsid w:val="366D0E58"/>
    <w:rsid w:val="36724B65"/>
    <w:rsid w:val="369F7374"/>
    <w:rsid w:val="36A22AC0"/>
    <w:rsid w:val="36C04E1D"/>
    <w:rsid w:val="36D810D9"/>
    <w:rsid w:val="36E67606"/>
    <w:rsid w:val="370F7848"/>
    <w:rsid w:val="37102FB7"/>
    <w:rsid w:val="3743238D"/>
    <w:rsid w:val="37656A1F"/>
    <w:rsid w:val="377D0F3F"/>
    <w:rsid w:val="37852741"/>
    <w:rsid w:val="378E6E2A"/>
    <w:rsid w:val="378F513D"/>
    <w:rsid w:val="37A80BE0"/>
    <w:rsid w:val="37AE1C2E"/>
    <w:rsid w:val="37B336EE"/>
    <w:rsid w:val="37B855F7"/>
    <w:rsid w:val="37C628B3"/>
    <w:rsid w:val="37D17C49"/>
    <w:rsid w:val="37E40AC1"/>
    <w:rsid w:val="380421F3"/>
    <w:rsid w:val="3805337F"/>
    <w:rsid w:val="38070185"/>
    <w:rsid w:val="3808394E"/>
    <w:rsid w:val="38145D11"/>
    <w:rsid w:val="38366DA9"/>
    <w:rsid w:val="38493D4D"/>
    <w:rsid w:val="384A0770"/>
    <w:rsid w:val="384D6BB0"/>
    <w:rsid w:val="38607EC9"/>
    <w:rsid w:val="386C3837"/>
    <w:rsid w:val="38774730"/>
    <w:rsid w:val="387A34EE"/>
    <w:rsid w:val="388C0E52"/>
    <w:rsid w:val="38A65F39"/>
    <w:rsid w:val="38B21DB1"/>
    <w:rsid w:val="38B35383"/>
    <w:rsid w:val="38BC6BE9"/>
    <w:rsid w:val="38C90965"/>
    <w:rsid w:val="38F26560"/>
    <w:rsid w:val="38F37ADC"/>
    <w:rsid w:val="38FE4529"/>
    <w:rsid w:val="390356DE"/>
    <w:rsid w:val="390610F4"/>
    <w:rsid w:val="390B40FD"/>
    <w:rsid w:val="39233BC9"/>
    <w:rsid w:val="39435DA4"/>
    <w:rsid w:val="395F47E1"/>
    <w:rsid w:val="39744E6B"/>
    <w:rsid w:val="39753E71"/>
    <w:rsid w:val="397F62E3"/>
    <w:rsid w:val="398354CF"/>
    <w:rsid w:val="398648EE"/>
    <w:rsid w:val="398C5DC5"/>
    <w:rsid w:val="398C66E0"/>
    <w:rsid w:val="3993794D"/>
    <w:rsid w:val="399A1B61"/>
    <w:rsid w:val="39B3241B"/>
    <w:rsid w:val="39C2142E"/>
    <w:rsid w:val="39D26F6B"/>
    <w:rsid w:val="39D33D81"/>
    <w:rsid w:val="39DD52FC"/>
    <w:rsid w:val="39E123FD"/>
    <w:rsid w:val="3A1C2D7C"/>
    <w:rsid w:val="3A204156"/>
    <w:rsid w:val="3A377C73"/>
    <w:rsid w:val="3A593EA2"/>
    <w:rsid w:val="3A6374E1"/>
    <w:rsid w:val="3A691F6B"/>
    <w:rsid w:val="3A850402"/>
    <w:rsid w:val="3A962984"/>
    <w:rsid w:val="3AA466A4"/>
    <w:rsid w:val="3AC66028"/>
    <w:rsid w:val="3ACE2178"/>
    <w:rsid w:val="3AEB54BA"/>
    <w:rsid w:val="3AF05602"/>
    <w:rsid w:val="3B181335"/>
    <w:rsid w:val="3B182285"/>
    <w:rsid w:val="3B1944E6"/>
    <w:rsid w:val="3B281DC7"/>
    <w:rsid w:val="3B2D17A6"/>
    <w:rsid w:val="3B3F5808"/>
    <w:rsid w:val="3B40411F"/>
    <w:rsid w:val="3B487138"/>
    <w:rsid w:val="3B5612B9"/>
    <w:rsid w:val="3B600243"/>
    <w:rsid w:val="3B6405FB"/>
    <w:rsid w:val="3B642F93"/>
    <w:rsid w:val="3B80138E"/>
    <w:rsid w:val="3B89083B"/>
    <w:rsid w:val="3B985F13"/>
    <w:rsid w:val="3B9B6100"/>
    <w:rsid w:val="3BEA58B1"/>
    <w:rsid w:val="3BF40042"/>
    <w:rsid w:val="3C0C47F5"/>
    <w:rsid w:val="3C1A3083"/>
    <w:rsid w:val="3C2A03C4"/>
    <w:rsid w:val="3C391845"/>
    <w:rsid w:val="3C563ECF"/>
    <w:rsid w:val="3C577297"/>
    <w:rsid w:val="3C5D4096"/>
    <w:rsid w:val="3C7D0AD3"/>
    <w:rsid w:val="3C847C5D"/>
    <w:rsid w:val="3CA01D51"/>
    <w:rsid w:val="3CA21593"/>
    <w:rsid w:val="3CBA41AC"/>
    <w:rsid w:val="3CC911C7"/>
    <w:rsid w:val="3CC95D96"/>
    <w:rsid w:val="3CD42DDC"/>
    <w:rsid w:val="3CDE3B27"/>
    <w:rsid w:val="3CE430FC"/>
    <w:rsid w:val="3CF1188A"/>
    <w:rsid w:val="3CF45BF2"/>
    <w:rsid w:val="3D104F68"/>
    <w:rsid w:val="3D137E8E"/>
    <w:rsid w:val="3D367EEF"/>
    <w:rsid w:val="3D383580"/>
    <w:rsid w:val="3D3E0382"/>
    <w:rsid w:val="3D7B6C52"/>
    <w:rsid w:val="3D98370B"/>
    <w:rsid w:val="3D98426A"/>
    <w:rsid w:val="3DB568F8"/>
    <w:rsid w:val="3DBD0913"/>
    <w:rsid w:val="3DD17650"/>
    <w:rsid w:val="3DDB2309"/>
    <w:rsid w:val="3DDD78D6"/>
    <w:rsid w:val="3DFB0CF9"/>
    <w:rsid w:val="3DFC2539"/>
    <w:rsid w:val="3E0F7983"/>
    <w:rsid w:val="3E1047AD"/>
    <w:rsid w:val="3E105517"/>
    <w:rsid w:val="3E1E49D9"/>
    <w:rsid w:val="3E1F3122"/>
    <w:rsid w:val="3E2A38DE"/>
    <w:rsid w:val="3E491AE8"/>
    <w:rsid w:val="3E5E471A"/>
    <w:rsid w:val="3E8B5DDF"/>
    <w:rsid w:val="3E9C24D7"/>
    <w:rsid w:val="3EC447DC"/>
    <w:rsid w:val="3ECB572B"/>
    <w:rsid w:val="3ECE641A"/>
    <w:rsid w:val="3EDB4A95"/>
    <w:rsid w:val="3EFD4DD3"/>
    <w:rsid w:val="3EFE2981"/>
    <w:rsid w:val="3F086D61"/>
    <w:rsid w:val="3F2B54D2"/>
    <w:rsid w:val="3F2F5111"/>
    <w:rsid w:val="3F3831B5"/>
    <w:rsid w:val="3F5A01FC"/>
    <w:rsid w:val="3F6324B6"/>
    <w:rsid w:val="3F747922"/>
    <w:rsid w:val="3F753D18"/>
    <w:rsid w:val="3F761A63"/>
    <w:rsid w:val="3F9410E8"/>
    <w:rsid w:val="3FAB2584"/>
    <w:rsid w:val="3FB314FC"/>
    <w:rsid w:val="3FBA4E07"/>
    <w:rsid w:val="3FD768CC"/>
    <w:rsid w:val="3FDE1666"/>
    <w:rsid w:val="3FE67D2C"/>
    <w:rsid w:val="40025EBC"/>
    <w:rsid w:val="4021252A"/>
    <w:rsid w:val="402356C6"/>
    <w:rsid w:val="402D71F0"/>
    <w:rsid w:val="40302CFA"/>
    <w:rsid w:val="4039566C"/>
    <w:rsid w:val="403B7598"/>
    <w:rsid w:val="40427B4E"/>
    <w:rsid w:val="404339FD"/>
    <w:rsid w:val="409A440B"/>
    <w:rsid w:val="409F5428"/>
    <w:rsid w:val="40B1562D"/>
    <w:rsid w:val="40BD2208"/>
    <w:rsid w:val="40F819A8"/>
    <w:rsid w:val="40F9201A"/>
    <w:rsid w:val="41036F50"/>
    <w:rsid w:val="410D1E87"/>
    <w:rsid w:val="41103D0A"/>
    <w:rsid w:val="41107AB3"/>
    <w:rsid w:val="41177EF9"/>
    <w:rsid w:val="412C5CB1"/>
    <w:rsid w:val="41384CFB"/>
    <w:rsid w:val="413C605E"/>
    <w:rsid w:val="413E1CEA"/>
    <w:rsid w:val="413F24AF"/>
    <w:rsid w:val="4172666D"/>
    <w:rsid w:val="419A1160"/>
    <w:rsid w:val="41A1500D"/>
    <w:rsid w:val="41D50910"/>
    <w:rsid w:val="41EA08B5"/>
    <w:rsid w:val="42004FD7"/>
    <w:rsid w:val="4203190A"/>
    <w:rsid w:val="42440991"/>
    <w:rsid w:val="42912178"/>
    <w:rsid w:val="429C6A1E"/>
    <w:rsid w:val="42A66CE4"/>
    <w:rsid w:val="42D32DB1"/>
    <w:rsid w:val="42DE4A7F"/>
    <w:rsid w:val="42E966C5"/>
    <w:rsid w:val="431B31A5"/>
    <w:rsid w:val="432324B9"/>
    <w:rsid w:val="433E6B55"/>
    <w:rsid w:val="436157EC"/>
    <w:rsid w:val="43A7379F"/>
    <w:rsid w:val="43AE09CA"/>
    <w:rsid w:val="43AF2718"/>
    <w:rsid w:val="43B23B58"/>
    <w:rsid w:val="43D2650A"/>
    <w:rsid w:val="43D47D05"/>
    <w:rsid w:val="43E1499C"/>
    <w:rsid w:val="43E72BBB"/>
    <w:rsid w:val="43E86E0D"/>
    <w:rsid w:val="43F82293"/>
    <w:rsid w:val="44094A19"/>
    <w:rsid w:val="4412373D"/>
    <w:rsid w:val="444B1319"/>
    <w:rsid w:val="444C144A"/>
    <w:rsid w:val="445A19CB"/>
    <w:rsid w:val="44675168"/>
    <w:rsid w:val="4485335D"/>
    <w:rsid w:val="44AE49FA"/>
    <w:rsid w:val="44C147DB"/>
    <w:rsid w:val="44CA5BBB"/>
    <w:rsid w:val="44D437F2"/>
    <w:rsid w:val="44D84400"/>
    <w:rsid w:val="44DB0B3E"/>
    <w:rsid w:val="44DF77BD"/>
    <w:rsid w:val="44E87CFE"/>
    <w:rsid w:val="44F52199"/>
    <w:rsid w:val="44FD0DFE"/>
    <w:rsid w:val="4513292F"/>
    <w:rsid w:val="452428B8"/>
    <w:rsid w:val="45347B3E"/>
    <w:rsid w:val="45441531"/>
    <w:rsid w:val="454F78C2"/>
    <w:rsid w:val="4559518C"/>
    <w:rsid w:val="456C1E61"/>
    <w:rsid w:val="459031BE"/>
    <w:rsid w:val="45B42561"/>
    <w:rsid w:val="45C46E6C"/>
    <w:rsid w:val="45DA7928"/>
    <w:rsid w:val="45E53674"/>
    <w:rsid w:val="45F71F2D"/>
    <w:rsid w:val="460042E3"/>
    <w:rsid w:val="46196C74"/>
    <w:rsid w:val="462D24FB"/>
    <w:rsid w:val="46334947"/>
    <w:rsid w:val="463F2C33"/>
    <w:rsid w:val="465316EE"/>
    <w:rsid w:val="465E3302"/>
    <w:rsid w:val="46737A24"/>
    <w:rsid w:val="467B54C7"/>
    <w:rsid w:val="46914B8F"/>
    <w:rsid w:val="46965F46"/>
    <w:rsid w:val="469A5235"/>
    <w:rsid w:val="469A5FB6"/>
    <w:rsid w:val="46B20EE7"/>
    <w:rsid w:val="46BD7176"/>
    <w:rsid w:val="46C164E6"/>
    <w:rsid w:val="46C46241"/>
    <w:rsid w:val="46CA7A60"/>
    <w:rsid w:val="46CB7C7E"/>
    <w:rsid w:val="46DD66CA"/>
    <w:rsid w:val="46E10058"/>
    <w:rsid w:val="46E147D5"/>
    <w:rsid w:val="46E926FE"/>
    <w:rsid w:val="46F5150D"/>
    <w:rsid w:val="46F6477A"/>
    <w:rsid w:val="46FA70CD"/>
    <w:rsid w:val="46FC65DE"/>
    <w:rsid w:val="472E4229"/>
    <w:rsid w:val="47351EC7"/>
    <w:rsid w:val="473B636C"/>
    <w:rsid w:val="47426DF8"/>
    <w:rsid w:val="47533CD5"/>
    <w:rsid w:val="4759319A"/>
    <w:rsid w:val="476A6CB8"/>
    <w:rsid w:val="477479A1"/>
    <w:rsid w:val="4781136B"/>
    <w:rsid w:val="47882866"/>
    <w:rsid w:val="478D3D1C"/>
    <w:rsid w:val="479033A0"/>
    <w:rsid w:val="47A45B98"/>
    <w:rsid w:val="47B0417D"/>
    <w:rsid w:val="47B86C1D"/>
    <w:rsid w:val="47BE22B7"/>
    <w:rsid w:val="47C27EAB"/>
    <w:rsid w:val="47D1167F"/>
    <w:rsid w:val="47D602EB"/>
    <w:rsid w:val="47D9633E"/>
    <w:rsid w:val="47E549F6"/>
    <w:rsid w:val="47F27BA8"/>
    <w:rsid w:val="4801641E"/>
    <w:rsid w:val="480745B8"/>
    <w:rsid w:val="48084003"/>
    <w:rsid w:val="482D29B3"/>
    <w:rsid w:val="48310C7F"/>
    <w:rsid w:val="483E07EF"/>
    <w:rsid w:val="485508A7"/>
    <w:rsid w:val="485649FC"/>
    <w:rsid w:val="485C5346"/>
    <w:rsid w:val="487D32FD"/>
    <w:rsid w:val="48895321"/>
    <w:rsid w:val="48A0294C"/>
    <w:rsid w:val="48A436E9"/>
    <w:rsid w:val="48BA069A"/>
    <w:rsid w:val="48BF3D66"/>
    <w:rsid w:val="48BF4BDF"/>
    <w:rsid w:val="48C062EE"/>
    <w:rsid w:val="48C920F7"/>
    <w:rsid w:val="48D30B90"/>
    <w:rsid w:val="48F5643E"/>
    <w:rsid w:val="490B63E4"/>
    <w:rsid w:val="49441B46"/>
    <w:rsid w:val="494C6E4D"/>
    <w:rsid w:val="494D6D8E"/>
    <w:rsid w:val="497927E1"/>
    <w:rsid w:val="49810E5E"/>
    <w:rsid w:val="49825129"/>
    <w:rsid w:val="499264A7"/>
    <w:rsid w:val="49936277"/>
    <w:rsid w:val="4996509B"/>
    <w:rsid w:val="49A0390D"/>
    <w:rsid w:val="49A17BDC"/>
    <w:rsid w:val="49A67337"/>
    <w:rsid w:val="49A737AF"/>
    <w:rsid w:val="49B83F7E"/>
    <w:rsid w:val="49C04C0E"/>
    <w:rsid w:val="49C35B92"/>
    <w:rsid w:val="49C6090C"/>
    <w:rsid w:val="49C8459E"/>
    <w:rsid w:val="49CE58A0"/>
    <w:rsid w:val="49D81149"/>
    <w:rsid w:val="49EA40A6"/>
    <w:rsid w:val="49EF34DC"/>
    <w:rsid w:val="49F6512D"/>
    <w:rsid w:val="49FF506D"/>
    <w:rsid w:val="4A0550BC"/>
    <w:rsid w:val="4A2A3112"/>
    <w:rsid w:val="4A504658"/>
    <w:rsid w:val="4A5B3045"/>
    <w:rsid w:val="4A5B30D4"/>
    <w:rsid w:val="4A70372C"/>
    <w:rsid w:val="4A7F334D"/>
    <w:rsid w:val="4A940729"/>
    <w:rsid w:val="4AAB757B"/>
    <w:rsid w:val="4AC05FC0"/>
    <w:rsid w:val="4AC40C78"/>
    <w:rsid w:val="4AC655AC"/>
    <w:rsid w:val="4AC724FA"/>
    <w:rsid w:val="4AD25D50"/>
    <w:rsid w:val="4ADC40E1"/>
    <w:rsid w:val="4ADF42C5"/>
    <w:rsid w:val="4AF04194"/>
    <w:rsid w:val="4B3D106F"/>
    <w:rsid w:val="4B48263D"/>
    <w:rsid w:val="4B4A789D"/>
    <w:rsid w:val="4B5A748F"/>
    <w:rsid w:val="4B706B2D"/>
    <w:rsid w:val="4B8A54FE"/>
    <w:rsid w:val="4BA3693A"/>
    <w:rsid w:val="4BEB73A8"/>
    <w:rsid w:val="4C226310"/>
    <w:rsid w:val="4C293183"/>
    <w:rsid w:val="4C2939AB"/>
    <w:rsid w:val="4C336FBA"/>
    <w:rsid w:val="4C396E36"/>
    <w:rsid w:val="4C3F3A11"/>
    <w:rsid w:val="4C4E2CBD"/>
    <w:rsid w:val="4C57494D"/>
    <w:rsid w:val="4C5B0FC3"/>
    <w:rsid w:val="4C6378EA"/>
    <w:rsid w:val="4C787385"/>
    <w:rsid w:val="4C855396"/>
    <w:rsid w:val="4C945674"/>
    <w:rsid w:val="4CA76A05"/>
    <w:rsid w:val="4CAF6C9F"/>
    <w:rsid w:val="4CB224A6"/>
    <w:rsid w:val="4CC11D7A"/>
    <w:rsid w:val="4CD012C4"/>
    <w:rsid w:val="4CD40D99"/>
    <w:rsid w:val="4CEF423E"/>
    <w:rsid w:val="4CF936AF"/>
    <w:rsid w:val="4D0E0E67"/>
    <w:rsid w:val="4D260FA0"/>
    <w:rsid w:val="4D29525C"/>
    <w:rsid w:val="4D3177B3"/>
    <w:rsid w:val="4D5D2E7B"/>
    <w:rsid w:val="4D7D4DFB"/>
    <w:rsid w:val="4D815B38"/>
    <w:rsid w:val="4D935553"/>
    <w:rsid w:val="4D9A1043"/>
    <w:rsid w:val="4DB82B9E"/>
    <w:rsid w:val="4DB832FD"/>
    <w:rsid w:val="4DD51840"/>
    <w:rsid w:val="4DD66D36"/>
    <w:rsid w:val="4DE11507"/>
    <w:rsid w:val="4DE20EE7"/>
    <w:rsid w:val="4DE367DE"/>
    <w:rsid w:val="4DEA5F62"/>
    <w:rsid w:val="4DF542F3"/>
    <w:rsid w:val="4E0E741B"/>
    <w:rsid w:val="4E2A34C8"/>
    <w:rsid w:val="4E34731C"/>
    <w:rsid w:val="4E3B7854"/>
    <w:rsid w:val="4E4826DC"/>
    <w:rsid w:val="4E532CC9"/>
    <w:rsid w:val="4E8B1976"/>
    <w:rsid w:val="4E8F0CC4"/>
    <w:rsid w:val="4E984B80"/>
    <w:rsid w:val="4EB36F85"/>
    <w:rsid w:val="4EB71E32"/>
    <w:rsid w:val="4EB73F3D"/>
    <w:rsid w:val="4EB75602"/>
    <w:rsid w:val="4EB95335"/>
    <w:rsid w:val="4ECC6159"/>
    <w:rsid w:val="4ED5689F"/>
    <w:rsid w:val="4EE419FD"/>
    <w:rsid w:val="4EEB038B"/>
    <w:rsid w:val="4EEF2567"/>
    <w:rsid w:val="4F00648F"/>
    <w:rsid w:val="4F2D5593"/>
    <w:rsid w:val="4F4F1E6C"/>
    <w:rsid w:val="4F6734AF"/>
    <w:rsid w:val="4F693A80"/>
    <w:rsid w:val="4F714AE4"/>
    <w:rsid w:val="4F792D92"/>
    <w:rsid w:val="4F7F0E49"/>
    <w:rsid w:val="4F8C6E38"/>
    <w:rsid w:val="4F952547"/>
    <w:rsid w:val="4F9C11AB"/>
    <w:rsid w:val="4FA377A2"/>
    <w:rsid w:val="4FAD38AB"/>
    <w:rsid w:val="4FAD676B"/>
    <w:rsid w:val="4FB43531"/>
    <w:rsid w:val="4FB80E06"/>
    <w:rsid w:val="4FBE7162"/>
    <w:rsid w:val="4FCE75E2"/>
    <w:rsid w:val="4FD364D8"/>
    <w:rsid w:val="4FF1474E"/>
    <w:rsid w:val="50006E2D"/>
    <w:rsid w:val="50125E3D"/>
    <w:rsid w:val="50211AFD"/>
    <w:rsid w:val="50297892"/>
    <w:rsid w:val="504B2E04"/>
    <w:rsid w:val="50724E15"/>
    <w:rsid w:val="508B2546"/>
    <w:rsid w:val="50A8253B"/>
    <w:rsid w:val="50A93EF1"/>
    <w:rsid w:val="50BB4B91"/>
    <w:rsid w:val="50C46753"/>
    <w:rsid w:val="50C50F8F"/>
    <w:rsid w:val="50C95B12"/>
    <w:rsid w:val="50CC731F"/>
    <w:rsid w:val="50CE603E"/>
    <w:rsid w:val="50E35563"/>
    <w:rsid w:val="50EB7458"/>
    <w:rsid w:val="510B6912"/>
    <w:rsid w:val="51217E0B"/>
    <w:rsid w:val="51237E3E"/>
    <w:rsid w:val="51283613"/>
    <w:rsid w:val="51314E02"/>
    <w:rsid w:val="513F0401"/>
    <w:rsid w:val="5147244E"/>
    <w:rsid w:val="51596C70"/>
    <w:rsid w:val="51927164"/>
    <w:rsid w:val="51977585"/>
    <w:rsid w:val="51A229CF"/>
    <w:rsid w:val="51A759CE"/>
    <w:rsid w:val="51B165B8"/>
    <w:rsid w:val="51B42C01"/>
    <w:rsid w:val="51B606DA"/>
    <w:rsid w:val="51D1435E"/>
    <w:rsid w:val="51EE4687"/>
    <w:rsid w:val="5204189E"/>
    <w:rsid w:val="521C7F46"/>
    <w:rsid w:val="522762D7"/>
    <w:rsid w:val="5249616C"/>
    <w:rsid w:val="529F4C9C"/>
    <w:rsid w:val="52A47DC0"/>
    <w:rsid w:val="52BF2FD2"/>
    <w:rsid w:val="52C62286"/>
    <w:rsid w:val="52CA7674"/>
    <w:rsid w:val="52DA15FD"/>
    <w:rsid w:val="52E7693F"/>
    <w:rsid w:val="52EE6944"/>
    <w:rsid w:val="52F9524E"/>
    <w:rsid w:val="52FF4F1D"/>
    <w:rsid w:val="52FF767E"/>
    <w:rsid w:val="53031B8A"/>
    <w:rsid w:val="530A5087"/>
    <w:rsid w:val="53300617"/>
    <w:rsid w:val="533B26D7"/>
    <w:rsid w:val="534268D9"/>
    <w:rsid w:val="535B0F56"/>
    <w:rsid w:val="535B6612"/>
    <w:rsid w:val="535F3EDA"/>
    <w:rsid w:val="53600104"/>
    <w:rsid w:val="53635089"/>
    <w:rsid w:val="53744426"/>
    <w:rsid w:val="53772781"/>
    <w:rsid w:val="537C15A1"/>
    <w:rsid w:val="538254BE"/>
    <w:rsid w:val="53861892"/>
    <w:rsid w:val="538F329D"/>
    <w:rsid w:val="53922AE1"/>
    <w:rsid w:val="539622D0"/>
    <w:rsid w:val="53963F2F"/>
    <w:rsid w:val="539E013A"/>
    <w:rsid w:val="53AE4E59"/>
    <w:rsid w:val="53B27DD0"/>
    <w:rsid w:val="53C21DA5"/>
    <w:rsid w:val="53D03154"/>
    <w:rsid w:val="53D66273"/>
    <w:rsid w:val="541F5C0C"/>
    <w:rsid w:val="542F165A"/>
    <w:rsid w:val="54403622"/>
    <w:rsid w:val="544667CE"/>
    <w:rsid w:val="54471B54"/>
    <w:rsid w:val="54543C79"/>
    <w:rsid w:val="54725469"/>
    <w:rsid w:val="549459BA"/>
    <w:rsid w:val="549A7050"/>
    <w:rsid w:val="549F4CA5"/>
    <w:rsid w:val="54B06E89"/>
    <w:rsid w:val="54C8763E"/>
    <w:rsid w:val="54D810A7"/>
    <w:rsid w:val="54D91F12"/>
    <w:rsid w:val="54E24860"/>
    <w:rsid w:val="54FF3C4C"/>
    <w:rsid w:val="55017F84"/>
    <w:rsid w:val="55117C89"/>
    <w:rsid w:val="5529594A"/>
    <w:rsid w:val="553838C7"/>
    <w:rsid w:val="55401D6C"/>
    <w:rsid w:val="554F070D"/>
    <w:rsid w:val="555621DD"/>
    <w:rsid w:val="555D3B1E"/>
    <w:rsid w:val="55656F80"/>
    <w:rsid w:val="557939A9"/>
    <w:rsid w:val="557A1FB5"/>
    <w:rsid w:val="557B3B59"/>
    <w:rsid w:val="558979C6"/>
    <w:rsid w:val="558F2E48"/>
    <w:rsid w:val="55AD47CE"/>
    <w:rsid w:val="55B514D8"/>
    <w:rsid w:val="55BE4C30"/>
    <w:rsid w:val="55E31575"/>
    <w:rsid w:val="55E92281"/>
    <w:rsid w:val="55F95AD7"/>
    <w:rsid w:val="560D2069"/>
    <w:rsid w:val="560D493A"/>
    <w:rsid w:val="56497E00"/>
    <w:rsid w:val="565751FC"/>
    <w:rsid w:val="5679405A"/>
    <w:rsid w:val="568860F3"/>
    <w:rsid w:val="56894374"/>
    <w:rsid w:val="568C5A4B"/>
    <w:rsid w:val="569B62F5"/>
    <w:rsid w:val="569D5CCC"/>
    <w:rsid w:val="56BB462B"/>
    <w:rsid w:val="56C00271"/>
    <w:rsid w:val="56C01625"/>
    <w:rsid w:val="56C65BD3"/>
    <w:rsid w:val="56CA0498"/>
    <w:rsid w:val="57060A6B"/>
    <w:rsid w:val="57071445"/>
    <w:rsid w:val="570F628D"/>
    <w:rsid w:val="57106536"/>
    <w:rsid w:val="571421EF"/>
    <w:rsid w:val="571F02C5"/>
    <w:rsid w:val="5727472E"/>
    <w:rsid w:val="57283E0B"/>
    <w:rsid w:val="57292C34"/>
    <w:rsid w:val="574303F5"/>
    <w:rsid w:val="574A1DC1"/>
    <w:rsid w:val="57746489"/>
    <w:rsid w:val="57781F65"/>
    <w:rsid w:val="577A0392"/>
    <w:rsid w:val="5793367D"/>
    <w:rsid w:val="57BB7F71"/>
    <w:rsid w:val="57CF40C1"/>
    <w:rsid w:val="57DF0E3B"/>
    <w:rsid w:val="57E667DC"/>
    <w:rsid w:val="57E8255B"/>
    <w:rsid w:val="57FB5A25"/>
    <w:rsid w:val="58035304"/>
    <w:rsid w:val="58133334"/>
    <w:rsid w:val="58245561"/>
    <w:rsid w:val="582C477D"/>
    <w:rsid w:val="58543C62"/>
    <w:rsid w:val="585B2DCC"/>
    <w:rsid w:val="58661C72"/>
    <w:rsid w:val="58912A97"/>
    <w:rsid w:val="58A27D89"/>
    <w:rsid w:val="58B63457"/>
    <w:rsid w:val="58BA28E3"/>
    <w:rsid w:val="58C81614"/>
    <w:rsid w:val="58CB127E"/>
    <w:rsid w:val="58D56CC3"/>
    <w:rsid w:val="58D97E3F"/>
    <w:rsid w:val="58DC1C16"/>
    <w:rsid w:val="58E65065"/>
    <w:rsid w:val="58ED3C74"/>
    <w:rsid w:val="58F330C2"/>
    <w:rsid w:val="58F42DB2"/>
    <w:rsid w:val="58FA08E8"/>
    <w:rsid w:val="593A5EFA"/>
    <w:rsid w:val="59427C64"/>
    <w:rsid w:val="59515CCD"/>
    <w:rsid w:val="59522196"/>
    <w:rsid w:val="59707BDF"/>
    <w:rsid w:val="59752023"/>
    <w:rsid w:val="59763CCB"/>
    <w:rsid w:val="59820838"/>
    <w:rsid w:val="5991709B"/>
    <w:rsid w:val="59AD4BD2"/>
    <w:rsid w:val="59B65248"/>
    <w:rsid w:val="59C5611F"/>
    <w:rsid w:val="59D340B2"/>
    <w:rsid w:val="59D4166E"/>
    <w:rsid w:val="59EC59BE"/>
    <w:rsid w:val="5A1248BF"/>
    <w:rsid w:val="5A141C10"/>
    <w:rsid w:val="5A153559"/>
    <w:rsid w:val="5A1F28BD"/>
    <w:rsid w:val="5A230F48"/>
    <w:rsid w:val="5A3571E7"/>
    <w:rsid w:val="5A3C2880"/>
    <w:rsid w:val="5A416AC1"/>
    <w:rsid w:val="5A4264D8"/>
    <w:rsid w:val="5A495E92"/>
    <w:rsid w:val="5A4B7B15"/>
    <w:rsid w:val="5A6D0190"/>
    <w:rsid w:val="5A6D3852"/>
    <w:rsid w:val="5A7240F6"/>
    <w:rsid w:val="5A897D75"/>
    <w:rsid w:val="5AA327F0"/>
    <w:rsid w:val="5AAE60D0"/>
    <w:rsid w:val="5AC161E9"/>
    <w:rsid w:val="5ACE6DC6"/>
    <w:rsid w:val="5AD31961"/>
    <w:rsid w:val="5AD63805"/>
    <w:rsid w:val="5AD90D18"/>
    <w:rsid w:val="5AE34AD3"/>
    <w:rsid w:val="5AF62FE4"/>
    <w:rsid w:val="5AF9704F"/>
    <w:rsid w:val="5B223F90"/>
    <w:rsid w:val="5B285CE9"/>
    <w:rsid w:val="5B301727"/>
    <w:rsid w:val="5B4E585F"/>
    <w:rsid w:val="5B52110F"/>
    <w:rsid w:val="5B5846C9"/>
    <w:rsid w:val="5B632C39"/>
    <w:rsid w:val="5B705D94"/>
    <w:rsid w:val="5B73358B"/>
    <w:rsid w:val="5B864AD4"/>
    <w:rsid w:val="5B8A5D6E"/>
    <w:rsid w:val="5B8D543C"/>
    <w:rsid w:val="5B91519F"/>
    <w:rsid w:val="5BA64951"/>
    <w:rsid w:val="5BAC25EB"/>
    <w:rsid w:val="5C1F6E31"/>
    <w:rsid w:val="5C272C70"/>
    <w:rsid w:val="5C411637"/>
    <w:rsid w:val="5C477482"/>
    <w:rsid w:val="5C48646E"/>
    <w:rsid w:val="5C545D10"/>
    <w:rsid w:val="5C555369"/>
    <w:rsid w:val="5C6D7654"/>
    <w:rsid w:val="5C757E7F"/>
    <w:rsid w:val="5C7D6D25"/>
    <w:rsid w:val="5C987287"/>
    <w:rsid w:val="5CB43116"/>
    <w:rsid w:val="5CCD127A"/>
    <w:rsid w:val="5CD5324B"/>
    <w:rsid w:val="5CD765E0"/>
    <w:rsid w:val="5CE1390D"/>
    <w:rsid w:val="5CE7400F"/>
    <w:rsid w:val="5D1C428D"/>
    <w:rsid w:val="5D254C77"/>
    <w:rsid w:val="5D29112B"/>
    <w:rsid w:val="5D2B278E"/>
    <w:rsid w:val="5D763917"/>
    <w:rsid w:val="5D790367"/>
    <w:rsid w:val="5D852F87"/>
    <w:rsid w:val="5D8F2F40"/>
    <w:rsid w:val="5DA74947"/>
    <w:rsid w:val="5DBC6426"/>
    <w:rsid w:val="5DC14993"/>
    <w:rsid w:val="5E066CD2"/>
    <w:rsid w:val="5E0F4E7B"/>
    <w:rsid w:val="5E1E405F"/>
    <w:rsid w:val="5E26153F"/>
    <w:rsid w:val="5E29163F"/>
    <w:rsid w:val="5E3E346A"/>
    <w:rsid w:val="5E454C48"/>
    <w:rsid w:val="5E4577D3"/>
    <w:rsid w:val="5E47553D"/>
    <w:rsid w:val="5E723DA7"/>
    <w:rsid w:val="5E9F2932"/>
    <w:rsid w:val="5ED50624"/>
    <w:rsid w:val="5ED81592"/>
    <w:rsid w:val="5EDC3C7C"/>
    <w:rsid w:val="5EFF18D5"/>
    <w:rsid w:val="5F0258CC"/>
    <w:rsid w:val="5F0937D8"/>
    <w:rsid w:val="5F1437E3"/>
    <w:rsid w:val="5F2D5073"/>
    <w:rsid w:val="5F377091"/>
    <w:rsid w:val="5F476912"/>
    <w:rsid w:val="5F57217F"/>
    <w:rsid w:val="5F5B5684"/>
    <w:rsid w:val="5F62370B"/>
    <w:rsid w:val="5F6252AE"/>
    <w:rsid w:val="5F8800C7"/>
    <w:rsid w:val="5FAD001D"/>
    <w:rsid w:val="5FAE2505"/>
    <w:rsid w:val="5FD554D2"/>
    <w:rsid w:val="5FDA4D33"/>
    <w:rsid w:val="5FE254E8"/>
    <w:rsid w:val="5FE50461"/>
    <w:rsid w:val="5FFA6F16"/>
    <w:rsid w:val="600A2D2F"/>
    <w:rsid w:val="601102AA"/>
    <w:rsid w:val="601345A6"/>
    <w:rsid w:val="601A2EBA"/>
    <w:rsid w:val="6020654D"/>
    <w:rsid w:val="60215D26"/>
    <w:rsid w:val="602F02AA"/>
    <w:rsid w:val="603A6D77"/>
    <w:rsid w:val="604212CD"/>
    <w:rsid w:val="604E7853"/>
    <w:rsid w:val="60524457"/>
    <w:rsid w:val="60591A3E"/>
    <w:rsid w:val="605B3923"/>
    <w:rsid w:val="60737E23"/>
    <w:rsid w:val="607C27C5"/>
    <w:rsid w:val="607F4F7D"/>
    <w:rsid w:val="60863BD5"/>
    <w:rsid w:val="60C842D7"/>
    <w:rsid w:val="60F34760"/>
    <w:rsid w:val="61132728"/>
    <w:rsid w:val="61236980"/>
    <w:rsid w:val="61370EED"/>
    <w:rsid w:val="61483DB4"/>
    <w:rsid w:val="616943B5"/>
    <w:rsid w:val="61762179"/>
    <w:rsid w:val="61832854"/>
    <w:rsid w:val="61894704"/>
    <w:rsid w:val="618B0F77"/>
    <w:rsid w:val="61A822F9"/>
    <w:rsid w:val="61A96A35"/>
    <w:rsid w:val="61AF3D12"/>
    <w:rsid w:val="61B067D3"/>
    <w:rsid w:val="61B948EB"/>
    <w:rsid w:val="61BE322C"/>
    <w:rsid w:val="61BF394A"/>
    <w:rsid w:val="61C06846"/>
    <w:rsid w:val="61D96575"/>
    <w:rsid w:val="61E324A5"/>
    <w:rsid w:val="61F45D0A"/>
    <w:rsid w:val="61FD197B"/>
    <w:rsid w:val="620B40AD"/>
    <w:rsid w:val="622243A2"/>
    <w:rsid w:val="622E3EE6"/>
    <w:rsid w:val="622E4738"/>
    <w:rsid w:val="626323D0"/>
    <w:rsid w:val="62780FF4"/>
    <w:rsid w:val="628B3106"/>
    <w:rsid w:val="628D17BA"/>
    <w:rsid w:val="629038C3"/>
    <w:rsid w:val="62911344"/>
    <w:rsid w:val="62A90F28"/>
    <w:rsid w:val="62B031E9"/>
    <w:rsid w:val="62BB1735"/>
    <w:rsid w:val="62C47198"/>
    <w:rsid w:val="62C6574E"/>
    <w:rsid w:val="62DF6575"/>
    <w:rsid w:val="62EB31EC"/>
    <w:rsid w:val="62EC753E"/>
    <w:rsid w:val="62F12662"/>
    <w:rsid w:val="62F905F4"/>
    <w:rsid w:val="62FC3892"/>
    <w:rsid w:val="633330CC"/>
    <w:rsid w:val="63363EB7"/>
    <w:rsid w:val="638A735E"/>
    <w:rsid w:val="63A464DC"/>
    <w:rsid w:val="63AB1A91"/>
    <w:rsid w:val="63B44B67"/>
    <w:rsid w:val="63CB3A33"/>
    <w:rsid w:val="63CD076E"/>
    <w:rsid w:val="63DB3AFA"/>
    <w:rsid w:val="64037FC1"/>
    <w:rsid w:val="64837576"/>
    <w:rsid w:val="648E3A23"/>
    <w:rsid w:val="64C14E7B"/>
    <w:rsid w:val="650C50F9"/>
    <w:rsid w:val="650E5624"/>
    <w:rsid w:val="651D7306"/>
    <w:rsid w:val="651E0B4E"/>
    <w:rsid w:val="65474D35"/>
    <w:rsid w:val="654870A0"/>
    <w:rsid w:val="6552358E"/>
    <w:rsid w:val="65537B65"/>
    <w:rsid w:val="65540C76"/>
    <w:rsid w:val="655F2893"/>
    <w:rsid w:val="657D3011"/>
    <w:rsid w:val="658713A2"/>
    <w:rsid w:val="65A11F4C"/>
    <w:rsid w:val="65A20151"/>
    <w:rsid w:val="65A70B71"/>
    <w:rsid w:val="65C30B03"/>
    <w:rsid w:val="65EA7DC1"/>
    <w:rsid w:val="65F1746D"/>
    <w:rsid w:val="65F66288"/>
    <w:rsid w:val="65FF4C5D"/>
    <w:rsid w:val="660A04C6"/>
    <w:rsid w:val="660A3AE5"/>
    <w:rsid w:val="661159C2"/>
    <w:rsid w:val="661E073D"/>
    <w:rsid w:val="666D6FE3"/>
    <w:rsid w:val="66767360"/>
    <w:rsid w:val="668F585F"/>
    <w:rsid w:val="66995194"/>
    <w:rsid w:val="66A3772E"/>
    <w:rsid w:val="66A46773"/>
    <w:rsid w:val="66EF1BEE"/>
    <w:rsid w:val="670767B3"/>
    <w:rsid w:val="673F2C72"/>
    <w:rsid w:val="67456D79"/>
    <w:rsid w:val="674A63AC"/>
    <w:rsid w:val="67511747"/>
    <w:rsid w:val="67530DBD"/>
    <w:rsid w:val="675A6D1E"/>
    <w:rsid w:val="679B3AE9"/>
    <w:rsid w:val="679F57C4"/>
    <w:rsid w:val="67A057C4"/>
    <w:rsid w:val="67A33DD3"/>
    <w:rsid w:val="67C563CE"/>
    <w:rsid w:val="67DE53C1"/>
    <w:rsid w:val="67ED1B11"/>
    <w:rsid w:val="680A350A"/>
    <w:rsid w:val="680F3FE9"/>
    <w:rsid w:val="6813125A"/>
    <w:rsid w:val="681A6923"/>
    <w:rsid w:val="68407EDD"/>
    <w:rsid w:val="685516D6"/>
    <w:rsid w:val="685C7BC6"/>
    <w:rsid w:val="685F260D"/>
    <w:rsid w:val="6872088B"/>
    <w:rsid w:val="687801F3"/>
    <w:rsid w:val="68804688"/>
    <w:rsid w:val="688B2BC8"/>
    <w:rsid w:val="689E3524"/>
    <w:rsid w:val="68A04E37"/>
    <w:rsid w:val="68AB1A2E"/>
    <w:rsid w:val="68AE7CF8"/>
    <w:rsid w:val="68B333B8"/>
    <w:rsid w:val="68B37B9F"/>
    <w:rsid w:val="68B6315F"/>
    <w:rsid w:val="68BB2474"/>
    <w:rsid w:val="68BD2B94"/>
    <w:rsid w:val="68E258A1"/>
    <w:rsid w:val="68EC4874"/>
    <w:rsid w:val="69086F7B"/>
    <w:rsid w:val="690F2EED"/>
    <w:rsid w:val="69247D62"/>
    <w:rsid w:val="692E75CA"/>
    <w:rsid w:val="69356BE4"/>
    <w:rsid w:val="693670D1"/>
    <w:rsid w:val="69431418"/>
    <w:rsid w:val="697D0373"/>
    <w:rsid w:val="69847A68"/>
    <w:rsid w:val="69B64F08"/>
    <w:rsid w:val="69CB10D0"/>
    <w:rsid w:val="69E07846"/>
    <w:rsid w:val="69E54585"/>
    <w:rsid w:val="6A1A084E"/>
    <w:rsid w:val="6A2011E5"/>
    <w:rsid w:val="6A215CA0"/>
    <w:rsid w:val="6A372C18"/>
    <w:rsid w:val="6A3C2EAA"/>
    <w:rsid w:val="6A4F0AFF"/>
    <w:rsid w:val="6A50267B"/>
    <w:rsid w:val="6A572334"/>
    <w:rsid w:val="6A7C6F17"/>
    <w:rsid w:val="6A904323"/>
    <w:rsid w:val="6AA728E2"/>
    <w:rsid w:val="6AA866F0"/>
    <w:rsid w:val="6AAD5E11"/>
    <w:rsid w:val="6AC13AB9"/>
    <w:rsid w:val="6ACA0DBF"/>
    <w:rsid w:val="6AD13ABB"/>
    <w:rsid w:val="6ADD3E44"/>
    <w:rsid w:val="6AED067B"/>
    <w:rsid w:val="6AFD2496"/>
    <w:rsid w:val="6AFF5C1B"/>
    <w:rsid w:val="6B001065"/>
    <w:rsid w:val="6B095F99"/>
    <w:rsid w:val="6B2C7AEA"/>
    <w:rsid w:val="6B3314D2"/>
    <w:rsid w:val="6B403A04"/>
    <w:rsid w:val="6B4D3A49"/>
    <w:rsid w:val="6B5F004D"/>
    <w:rsid w:val="6B62463B"/>
    <w:rsid w:val="6B8776F9"/>
    <w:rsid w:val="6B90212A"/>
    <w:rsid w:val="6B96763C"/>
    <w:rsid w:val="6B976074"/>
    <w:rsid w:val="6BBB7487"/>
    <w:rsid w:val="6BBC1D22"/>
    <w:rsid w:val="6BCD5C74"/>
    <w:rsid w:val="6BFB0138"/>
    <w:rsid w:val="6BFD7789"/>
    <w:rsid w:val="6C0F21D5"/>
    <w:rsid w:val="6C24541E"/>
    <w:rsid w:val="6C344D3C"/>
    <w:rsid w:val="6C4504B1"/>
    <w:rsid w:val="6C5C00D6"/>
    <w:rsid w:val="6C786C77"/>
    <w:rsid w:val="6C7878B3"/>
    <w:rsid w:val="6C790F18"/>
    <w:rsid w:val="6C797AF0"/>
    <w:rsid w:val="6C867AAB"/>
    <w:rsid w:val="6C960F3B"/>
    <w:rsid w:val="6CB25261"/>
    <w:rsid w:val="6CF13215"/>
    <w:rsid w:val="6CF61EA1"/>
    <w:rsid w:val="6D211CF4"/>
    <w:rsid w:val="6D2E0ACA"/>
    <w:rsid w:val="6D5B28B0"/>
    <w:rsid w:val="6D621868"/>
    <w:rsid w:val="6D65469A"/>
    <w:rsid w:val="6D714693"/>
    <w:rsid w:val="6D7B3183"/>
    <w:rsid w:val="6D8D6725"/>
    <w:rsid w:val="6D9C2F10"/>
    <w:rsid w:val="6DA105C4"/>
    <w:rsid w:val="6DA67DD3"/>
    <w:rsid w:val="6DBF0705"/>
    <w:rsid w:val="6DC40400"/>
    <w:rsid w:val="6DEB6449"/>
    <w:rsid w:val="6E1D37EA"/>
    <w:rsid w:val="6E5508C9"/>
    <w:rsid w:val="6E5713D3"/>
    <w:rsid w:val="6E6140FE"/>
    <w:rsid w:val="6E7C56EF"/>
    <w:rsid w:val="6E9E614A"/>
    <w:rsid w:val="6EA62827"/>
    <w:rsid w:val="6EBB0EBA"/>
    <w:rsid w:val="6EC14738"/>
    <w:rsid w:val="6EC97B4B"/>
    <w:rsid w:val="6ECC4891"/>
    <w:rsid w:val="6EE17723"/>
    <w:rsid w:val="6EF91E6E"/>
    <w:rsid w:val="6F0313CA"/>
    <w:rsid w:val="6F054410"/>
    <w:rsid w:val="6F12410F"/>
    <w:rsid w:val="6F143370"/>
    <w:rsid w:val="6F166E39"/>
    <w:rsid w:val="6F186BEF"/>
    <w:rsid w:val="6F2E2693"/>
    <w:rsid w:val="6F2F1D02"/>
    <w:rsid w:val="6F3702A6"/>
    <w:rsid w:val="6F39679C"/>
    <w:rsid w:val="6F422009"/>
    <w:rsid w:val="6F486B43"/>
    <w:rsid w:val="6F5821E9"/>
    <w:rsid w:val="6F620589"/>
    <w:rsid w:val="6F677334"/>
    <w:rsid w:val="6F8A4A0A"/>
    <w:rsid w:val="6F8E6691"/>
    <w:rsid w:val="6F926F48"/>
    <w:rsid w:val="6F9A0DC2"/>
    <w:rsid w:val="6FA724C0"/>
    <w:rsid w:val="6FAD7138"/>
    <w:rsid w:val="6FE00103"/>
    <w:rsid w:val="6FED026F"/>
    <w:rsid w:val="701D437B"/>
    <w:rsid w:val="702657D6"/>
    <w:rsid w:val="702C7543"/>
    <w:rsid w:val="702C7A97"/>
    <w:rsid w:val="70535634"/>
    <w:rsid w:val="70726C73"/>
    <w:rsid w:val="7078162C"/>
    <w:rsid w:val="70901DF0"/>
    <w:rsid w:val="70A236FA"/>
    <w:rsid w:val="70BA2B7E"/>
    <w:rsid w:val="70D61420"/>
    <w:rsid w:val="70E035FF"/>
    <w:rsid w:val="70F136D4"/>
    <w:rsid w:val="70F57D72"/>
    <w:rsid w:val="70FD606C"/>
    <w:rsid w:val="71025D81"/>
    <w:rsid w:val="71060671"/>
    <w:rsid w:val="712533EC"/>
    <w:rsid w:val="713517A8"/>
    <w:rsid w:val="71383234"/>
    <w:rsid w:val="714E1979"/>
    <w:rsid w:val="71673F9B"/>
    <w:rsid w:val="716B1E44"/>
    <w:rsid w:val="717D06BD"/>
    <w:rsid w:val="71BB77C4"/>
    <w:rsid w:val="71E20153"/>
    <w:rsid w:val="71F070B4"/>
    <w:rsid w:val="721C7C83"/>
    <w:rsid w:val="722A535E"/>
    <w:rsid w:val="72310E6B"/>
    <w:rsid w:val="724442BA"/>
    <w:rsid w:val="724A7E11"/>
    <w:rsid w:val="724D696B"/>
    <w:rsid w:val="72576105"/>
    <w:rsid w:val="72587F6C"/>
    <w:rsid w:val="727B49DF"/>
    <w:rsid w:val="7284279E"/>
    <w:rsid w:val="72920F75"/>
    <w:rsid w:val="7296248F"/>
    <w:rsid w:val="7297440A"/>
    <w:rsid w:val="72B71F3B"/>
    <w:rsid w:val="72E754B3"/>
    <w:rsid w:val="730E6B3B"/>
    <w:rsid w:val="73481195"/>
    <w:rsid w:val="7349730C"/>
    <w:rsid w:val="735661DD"/>
    <w:rsid w:val="73630DD3"/>
    <w:rsid w:val="73716ED3"/>
    <w:rsid w:val="73804F65"/>
    <w:rsid w:val="73807B82"/>
    <w:rsid w:val="73927DA8"/>
    <w:rsid w:val="73A3513F"/>
    <w:rsid w:val="73A66A49"/>
    <w:rsid w:val="73AB3D2F"/>
    <w:rsid w:val="73AB5F89"/>
    <w:rsid w:val="73AB637E"/>
    <w:rsid w:val="73B61F92"/>
    <w:rsid w:val="73BF3D53"/>
    <w:rsid w:val="73C70602"/>
    <w:rsid w:val="73CD36A7"/>
    <w:rsid w:val="73E82D35"/>
    <w:rsid w:val="73E9403A"/>
    <w:rsid w:val="73FD7457"/>
    <w:rsid w:val="741D578E"/>
    <w:rsid w:val="7420337B"/>
    <w:rsid w:val="74376E85"/>
    <w:rsid w:val="745C1D20"/>
    <w:rsid w:val="747E1801"/>
    <w:rsid w:val="74810702"/>
    <w:rsid w:val="748E628F"/>
    <w:rsid w:val="748F004B"/>
    <w:rsid w:val="74A35919"/>
    <w:rsid w:val="74A57C4B"/>
    <w:rsid w:val="74AB43FE"/>
    <w:rsid w:val="74CB5A00"/>
    <w:rsid w:val="74E0106B"/>
    <w:rsid w:val="74F07818"/>
    <w:rsid w:val="74F2464C"/>
    <w:rsid w:val="75011284"/>
    <w:rsid w:val="750B50F8"/>
    <w:rsid w:val="751D78A1"/>
    <w:rsid w:val="7521426A"/>
    <w:rsid w:val="75435570"/>
    <w:rsid w:val="75441110"/>
    <w:rsid w:val="75581C92"/>
    <w:rsid w:val="756937A6"/>
    <w:rsid w:val="756E1C38"/>
    <w:rsid w:val="75787FC9"/>
    <w:rsid w:val="75866F5E"/>
    <w:rsid w:val="758E0BA3"/>
    <w:rsid w:val="75B00FA4"/>
    <w:rsid w:val="75B45DFF"/>
    <w:rsid w:val="75E20B7D"/>
    <w:rsid w:val="75E33E80"/>
    <w:rsid w:val="75E572F8"/>
    <w:rsid w:val="75FC4D15"/>
    <w:rsid w:val="76131508"/>
    <w:rsid w:val="7624741C"/>
    <w:rsid w:val="76316E3E"/>
    <w:rsid w:val="763C19CF"/>
    <w:rsid w:val="76595C07"/>
    <w:rsid w:val="766A3814"/>
    <w:rsid w:val="766E0017"/>
    <w:rsid w:val="76772AAD"/>
    <w:rsid w:val="76D138C1"/>
    <w:rsid w:val="76D24D3E"/>
    <w:rsid w:val="76D70B13"/>
    <w:rsid w:val="76D90CEF"/>
    <w:rsid w:val="76DB0BEA"/>
    <w:rsid w:val="76F319AA"/>
    <w:rsid w:val="76F7010B"/>
    <w:rsid w:val="770E390F"/>
    <w:rsid w:val="7732001F"/>
    <w:rsid w:val="775A028B"/>
    <w:rsid w:val="77706EEF"/>
    <w:rsid w:val="7774449B"/>
    <w:rsid w:val="777906C9"/>
    <w:rsid w:val="778D6BCE"/>
    <w:rsid w:val="77A26354"/>
    <w:rsid w:val="77D60771"/>
    <w:rsid w:val="77DE2FD8"/>
    <w:rsid w:val="77EB2EEA"/>
    <w:rsid w:val="783234F8"/>
    <w:rsid w:val="783A3050"/>
    <w:rsid w:val="78526E6F"/>
    <w:rsid w:val="78557A50"/>
    <w:rsid w:val="785C1FBF"/>
    <w:rsid w:val="786252CD"/>
    <w:rsid w:val="78694430"/>
    <w:rsid w:val="78715728"/>
    <w:rsid w:val="78761B5B"/>
    <w:rsid w:val="787C6235"/>
    <w:rsid w:val="787F7067"/>
    <w:rsid w:val="7880362F"/>
    <w:rsid w:val="78A052E1"/>
    <w:rsid w:val="78A83046"/>
    <w:rsid w:val="78B831EA"/>
    <w:rsid w:val="78C66D48"/>
    <w:rsid w:val="78E1295E"/>
    <w:rsid w:val="78F227FE"/>
    <w:rsid w:val="78F850A6"/>
    <w:rsid w:val="78FF080F"/>
    <w:rsid w:val="791F5947"/>
    <w:rsid w:val="791F7B85"/>
    <w:rsid w:val="795728B8"/>
    <w:rsid w:val="798A3C76"/>
    <w:rsid w:val="798F67E9"/>
    <w:rsid w:val="79943429"/>
    <w:rsid w:val="7998105A"/>
    <w:rsid w:val="79A55693"/>
    <w:rsid w:val="79B5371A"/>
    <w:rsid w:val="7A0E07E7"/>
    <w:rsid w:val="7A147790"/>
    <w:rsid w:val="7A2034DA"/>
    <w:rsid w:val="7A2709CD"/>
    <w:rsid w:val="7A376D56"/>
    <w:rsid w:val="7A3E45A5"/>
    <w:rsid w:val="7A427D64"/>
    <w:rsid w:val="7A4948A4"/>
    <w:rsid w:val="7A4F7F78"/>
    <w:rsid w:val="7A804666"/>
    <w:rsid w:val="7A893B99"/>
    <w:rsid w:val="7A980796"/>
    <w:rsid w:val="7A984624"/>
    <w:rsid w:val="7A9D3C6B"/>
    <w:rsid w:val="7AA40B71"/>
    <w:rsid w:val="7AB75E88"/>
    <w:rsid w:val="7AC259F7"/>
    <w:rsid w:val="7AD0650C"/>
    <w:rsid w:val="7AE76131"/>
    <w:rsid w:val="7AFB6536"/>
    <w:rsid w:val="7B002A85"/>
    <w:rsid w:val="7B121081"/>
    <w:rsid w:val="7B1F2BC5"/>
    <w:rsid w:val="7B4A3299"/>
    <w:rsid w:val="7B4D4648"/>
    <w:rsid w:val="7B7D7929"/>
    <w:rsid w:val="7B841B0E"/>
    <w:rsid w:val="7B861048"/>
    <w:rsid w:val="7B95754E"/>
    <w:rsid w:val="7B9C706E"/>
    <w:rsid w:val="7B9F205C"/>
    <w:rsid w:val="7BA55FC3"/>
    <w:rsid w:val="7BA92CD4"/>
    <w:rsid w:val="7BD35741"/>
    <w:rsid w:val="7BD400D4"/>
    <w:rsid w:val="7BD4262D"/>
    <w:rsid w:val="7BDF7C23"/>
    <w:rsid w:val="7BE26255"/>
    <w:rsid w:val="7BEB7F5D"/>
    <w:rsid w:val="7BF80823"/>
    <w:rsid w:val="7C0242FF"/>
    <w:rsid w:val="7C042C7D"/>
    <w:rsid w:val="7C0B2A10"/>
    <w:rsid w:val="7C1666A5"/>
    <w:rsid w:val="7C30325F"/>
    <w:rsid w:val="7C3874BD"/>
    <w:rsid w:val="7C5070E4"/>
    <w:rsid w:val="7C55741F"/>
    <w:rsid w:val="7C807618"/>
    <w:rsid w:val="7CAE5A9D"/>
    <w:rsid w:val="7CBC30C6"/>
    <w:rsid w:val="7CD35E95"/>
    <w:rsid w:val="7CDA062C"/>
    <w:rsid w:val="7CF8678F"/>
    <w:rsid w:val="7D0B2A17"/>
    <w:rsid w:val="7D101CB4"/>
    <w:rsid w:val="7D160944"/>
    <w:rsid w:val="7D190427"/>
    <w:rsid w:val="7D466F15"/>
    <w:rsid w:val="7D5E7849"/>
    <w:rsid w:val="7D6049F8"/>
    <w:rsid w:val="7D6623E7"/>
    <w:rsid w:val="7D7246CA"/>
    <w:rsid w:val="7D773241"/>
    <w:rsid w:val="7D921593"/>
    <w:rsid w:val="7D9475AC"/>
    <w:rsid w:val="7D9D7924"/>
    <w:rsid w:val="7DBA1CA3"/>
    <w:rsid w:val="7DC16B25"/>
    <w:rsid w:val="7DCD0287"/>
    <w:rsid w:val="7DDB3514"/>
    <w:rsid w:val="7DE51971"/>
    <w:rsid w:val="7DFB3DBD"/>
    <w:rsid w:val="7E087814"/>
    <w:rsid w:val="7E0B59D9"/>
    <w:rsid w:val="7E324E80"/>
    <w:rsid w:val="7E457734"/>
    <w:rsid w:val="7E474B33"/>
    <w:rsid w:val="7E4A003D"/>
    <w:rsid w:val="7E4D74B1"/>
    <w:rsid w:val="7E6A3B44"/>
    <w:rsid w:val="7E7A6445"/>
    <w:rsid w:val="7E9D3AAE"/>
    <w:rsid w:val="7EAD7761"/>
    <w:rsid w:val="7ED01709"/>
    <w:rsid w:val="7ED9655E"/>
    <w:rsid w:val="7EE235AB"/>
    <w:rsid w:val="7EFD6049"/>
    <w:rsid w:val="7F17453D"/>
    <w:rsid w:val="7F1801F5"/>
    <w:rsid w:val="7F2D5DEA"/>
    <w:rsid w:val="7F2E4837"/>
    <w:rsid w:val="7F354BE6"/>
    <w:rsid w:val="7F3A2352"/>
    <w:rsid w:val="7F3C5E9D"/>
    <w:rsid w:val="7F3E2634"/>
    <w:rsid w:val="7F545F9B"/>
    <w:rsid w:val="7F671E0F"/>
    <w:rsid w:val="7F684A2E"/>
    <w:rsid w:val="7F6E443F"/>
    <w:rsid w:val="7FA30658"/>
    <w:rsid w:val="7FD43E8E"/>
    <w:rsid w:val="7FE1373C"/>
    <w:rsid w:val="7FE630FD"/>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宋体"/>
      <w:lang w:val="en-US" w:eastAsia="en-US" w:bidi="ar-SA"/>
    </w:rPr>
  </w:style>
  <w:style w:type="paragraph" w:styleId="3">
    <w:name w:val="heading 1"/>
    <w:basedOn w:val="1"/>
    <w:next w:val="1"/>
    <w:link w:val="63"/>
    <w:qFormat/>
    <w:uiPriority w:val="0"/>
    <w:pPr>
      <w:keepNext/>
      <w:keepLines/>
      <w:spacing w:before="340" w:after="330" w:line="576" w:lineRule="auto"/>
      <w:outlineLvl w:val="0"/>
    </w:pPr>
    <w:rPr>
      <w:rFonts w:eastAsia="宋体" w:cs="Times New Roman"/>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22"/>
    <w:qFormat/>
    <w:uiPriority w:val="0"/>
    <w:pPr>
      <w:keepNext/>
      <w:keepLines/>
      <w:spacing w:before="260" w:after="260" w:line="413" w:lineRule="auto"/>
      <w:outlineLvl w:val="2"/>
    </w:pPr>
    <w:rPr>
      <w:rFonts w:eastAsia="宋体" w:cs="Times New Roman"/>
      <w:b/>
      <w:bCs/>
      <w:sz w:val="32"/>
      <w:szCs w:val="32"/>
    </w:rPr>
  </w:style>
  <w:style w:type="paragraph" w:styleId="5">
    <w:name w:val="heading 4"/>
    <w:basedOn w:val="1"/>
    <w:next w:val="1"/>
    <w:link w:val="82"/>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73"/>
    <w:qFormat/>
    <w:uiPriority w:val="0"/>
    <w:pPr>
      <w:keepNext/>
      <w:keepLines/>
      <w:spacing w:before="280" w:after="290" w:line="372" w:lineRule="auto"/>
      <w:outlineLvl w:val="4"/>
    </w:pPr>
    <w:rPr>
      <w:rFonts w:eastAsia="宋体" w:cs="Times New Roman"/>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17" w:lineRule="auto"/>
      <w:outlineLvl w:val="6"/>
    </w:pPr>
    <w:rPr>
      <w:b/>
      <w:bCs/>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style>
  <w:style w:type="paragraph" w:styleId="10">
    <w:name w:val="table of authorities"/>
    <w:basedOn w:val="1"/>
    <w:next w:val="1"/>
    <w:qFormat/>
    <w:uiPriority w:val="99"/>
    <w:pPr>
      <w:ind w:left="420" w:leftChars="200"/>
    </w:pPr>
  </w:style>
  <w:style w:type="paragraph" w:styleId="11">
    <w:name w:val="List Number"/>
    <w:basedOn w:val="1"/>
    <w:qFormat/>
    <w:uiPriority w:val="0"/>
    <w:pPr>
      <w:numPr>
        <w:ilvl w:val="0"/>
        <w:numId w:val="1"/>
      </w:numPr>
    </w:pPr>
  </w:style>
  <w:style w:type="paragraph" w:styleId="12">
    <w:name w:val="Normal Indent"/>
    <w:basedOn w:val="1"/>
    <w:next w:val="13"/>
    <w:qFormat/>
    <w:uiPriority w:val="0"/>
    <w:pPr>
      <w:ind w:firstLine="420" w:firstLineChars="200"/>
    </w:pPr>
  </w:style>
  <w:style w:type="paragraph" w:styleId="13">
    <w:name w:val="toc 4"/>
    <w:basedOn w:val="1"/>
    <w:next w:val="1"/>
    <w:unhideWhenUsed/>
    <w:qFormat/>
    <w:uiPriority w:val="39"/>
    <w:pPr>
      <w:ind w:left="1260" w:leftChars="600"/>
    </w:pPr>
  </w:style>
  <w:style w:type="paragraph" w:styleId="14">
    <w:name w:val="caption"/>
    <w:basedOn w:val="1"/>
    <w:next w:val="1"/>
    <w:qFormat/>
    <w:uiPriority w:val="0"/>
    <w:pPr>
      <w:spacing w:before="152" w:after="160"/>
    </w:pPr>
    <w:rPr>
      <w:rFonts w:ascii="Arial" w:hAnsi="Arial" w:eastAsia="黑体" w:cs="Arial"/>
    </w:rPr>
  </w:style>
  <w:style w:type="paragraph" w:styleId="15">
    <w:name w:val="Document Map"/>
    <w:basedOn w:val="1"/>
    <w:qFormat/>
    <w:uiPriority w:val="0"/>
    <w:pPr>
      <w:shd w:val="clear" w:color="auto" w:fill="000080"/>
    </w:pPr>
    <w:rPr>
      <w:rFonts w:ascii="宋体" w:hAnsi="Courier New"/>
      <w:kern w:val="2"/>
      <w:sz w:val="21"/>
      <w:shd w:val="clear" w:color="auto" w:fill="000080"/>
    </w:rPr>
  </w:style>
  <w:style w:type="paragraph" w:styleId="16">
    <w:name w:val="annotation text"/>
    <w:basedOn w:val="1"/>
    <w:qFormat/>
    <w:uiPriority w:val="0"/>
    <w:pPr>
      <w:jc w:val="left"/>
    </w:pPr>
  </w:style>
  <w:style w:type="paragraph" w:styleId="17">
    <w:name w:val="Body Text 3"/>
    <w:basedOn w:val="1"/>
    <w:qFormat/>
    <w:uiPriority w:val="0"/>
    <w:pPr>
      <w:widowControl/>
      <w:adjustRightInd w:val="0"/>
      <w:snapToGrid w:val="0"/>
      <w:spacing w:line="360" w:lineRule="auto"/>
    </w:pPr>
    <w:rPr>
      <w:rFonts w:ascii="宋体" w:hAnsi="Courier New"/>
      <w:color w:val="000000"/>
    </w:rPr>
  </w:style>
  <w:style w:type="paragraph" w:styleId="18">
    <w:name w:val="Body Text"/>
    <w:basedOn w:val="1"/>
    <w:next w:val="1"/>
    <w:qFormat/>
    <w:uiPriority w:val="0"/>
    <w:rPr>
      <w:rFonts w:ascii="金山简黑体" w:eastAsia="金山简黑体"/>
      <w:b/>
      <w:spacing w:val="-8"/>
      <w:sz w:val="44"/>
    </w:rPr>
  </w:style>
  <w:style w:type="paragraph" w:styleId="19">
    <w:name w:val="Body Text Indent"/>
    <w:basedOn w:val="1"/>
    <w:qFormat/>
    <w:uiPriority w:val="0"/>
    <w:pPr>
      <w:spacing w:line="200" w:lineRule="exact"/>
      <w:ind w:firstLine="301"/>
    </w:pPr>
    <w:rPr>
      <w:spacing w:val="-4"/>
      <w:sz w:val="18"/>
    </w:rPr>
  </w:style>
  <w:style w:type="paragraph" w:styleId="20">
    <w:name w:val="List 2"/>
    <w:basedOn w:val="1"/>
    <w:qFormat/>
    <w:uiPriority w:val="0"/>
    <w:pPr>
      <w:ind w:left="100" w:leftChars="200" w:hanging="200" w:hangingChars="200"/>
    </w:pPr>
  </w:style>
  <w:style w:type="paragraph" w:styleId="21">
    <w:name w:val="Plain Text"/>
    <w:basedOn w:val="1"/>
    <w:next w:val="1"/>
    <w:link w:val="76"/>
    <w:qFormat/>
    <w:uiPriority w:val="0"/>
    <w:rPr>
      <w:rFonts w:ascii="宋体" w:hAnsi="Courier New" w:eastAsia="宋体" w:cs="Times New Roman"/>
      <w:kern w:val="2"/>
      <w:sz w:val="21"/>
      <w:lang w:eastAsia="zh-CN"/>
    </w:rPr>
  </w:style>
  <w:style w:type="paragraph" w:styleId="22">
    <w:name w:val="Date"/>
    <w:basedOn w:val="1"/>
    <w:next w:val="1"/>
    <w:link w:val="64"/>
    <w:qFormat/>
    <w:uiPriority w:val="0"/>
    <w:pPr>
      <w:ind w:left="100" w:leftChars="2500"/>
    </w:pPr>
    <w:rPr>
      <w:rFonts w:ascii="宋体" w:hAnsi="Courier New" w:eastAsia="宋体" w:cs="Times New Roman"/>
      <w:bCs/>
      <w:kern w:val="2"/>
      <w:sz w:val="24"/>
      <w:lang w:eastAsia="zh-CN"/>
    </w:rPr>
  </w:style>
  <w:style w:type="paragraph" w:styleId="23">
    <w:name w:val="Body Text Indent 2"/>
    <w:basedOn w:val="1"/>
    <w:qFormat/>
    <w:uiPriority w:val="0"/>
    <w:pPr>
      <w:ind w:firstLine="480" w:firstLineChars="200"/>
      <w:jc w:val="left"/>
    </w:pPr>
    <w:rPr>
      <w:rFonts w:hAnsi="宋体"/>
      <w:sz w:val="24"/>
      <w:szCs w:val="24"/>
    </w:rPr>
  </w:style>
  <w:style w:type="paragraph" w:styleId="24">
    <w:name w:val="Balloon Text"/>
    <w:basedOn w:val="1"/>
    <w:qFormat/>
    <w:uiPriority w:val="0"/>
    <w:rPr>
      <w:sz w:val="18"/>
      <w:szCs w:val="18"/>
    </w:rPr>
  </w:style>
  <w:style w:type="paragraph" w:styleId="25">
    <w:name w:val="footer"/>
    <w:basedOn w:val="1"/>
    <w:next w:val="1"/>
    <w:qFormat/>
    <w:uiPriority w:val="0"/>
    <w:pPr>
      <w:tabs>
        <w:tab w:val="center" w:pos="4153"/>
        <w:tab w:val="right" w:pos="8306"/>
      </w:tabs>
      <w:snapToGrid w:val="0"/>
      <w:jc w:val="left"/>
    </w:pPr>
    <w:rPr>
      <w:rFonts w:ascii="宋体" w:hAnsi="Courier New"/>
      <w:kern w:val="2"/>
      <w:sz w:val="18"/>
    </w:rPr>
  </w:style>
  <w:style w:type="paragraph" w:styleId="26">
    <w:name w:val="header"/>
    <w:basedOn w:val="1"/>
    <w:link w:val="77"/>
    <w:qFormat/>
    <w:uiPriority w:val="0"/>
    <w:pPr>
      <w:pBdr>
        <w:bottom w:val="single" w:color="auto" w:sz="6" w:space="1"/>
      </w:pBdr>
      <w:tabs>
        <w:tab w:val="center" w:pos="4153"/>
        <w:tab w:val="right" w:pos="8306"/>
      </w:tabs>
      <w:snapToGrid w:val="0"/>
      <w:jc w:val="center"/>
    </w:pPr>
    <w:rPr>
      <w:rFonts w:ascii="宋体" w:hAnsi="Courier New" w:eastAsia="宋体" w:cs="Times New Roman"/>
      <w:kern w:val="2"/>
      <w:sz w:val="18"/>
      <w:lang w:eastAsia="zh-CN"/>
    </w:rPr>
  </w:style>
  <w:style w:type="paragraph" w:styleId="27">
    <w:name w:val="toc 1"/>
    <w:basedOn w:val="1"/>
    <w:next w:val="1"/>
    <w:qFormat/>
    <w:uiPriority w:val="0"/>
    <w:pPr>
      <w:tabs>
        <w:tab w:val="right" w:leader="dot" w:pos="9072"/>
      </w:tabs>
    </w:pPr>
    <w:rPr>
      <w:sz w:val="24"/>
      <w:szCs w:val="24"/>
    </w:rPr>
  </w:style>
  <w:style w:type="paragraph" w:styleId="28">
    <w:name w:val="List"/>
    <w:basedOn w:val="1"/>
    <w:qFormat/>
    <w:uiPriority w:val="0"/>
    <w:pPr>
      <w:ind w:left="200" w:hanging="200" w:hangingChars="200"/>
    </w:pPr>
  </w:style>
  <w:style w:type="paragraph" w:styleId="29">
    <w:name w:val="Body Text Indent 3"/>
    <w:basedOn w:val="1"/>
    <w:qFormat/>
    <w:uiPriority w:val="0"/>
    <w:pPr>
      <w:ind w:firstLine="420" w:firstLineChars="200"/>
      <w:jc w:val="left"/>
    </w:pPr>
    <w:rPr>
      <w:rFonts w:hAnsi="宋体"/>
      <w:szCs w:val="24"/>
    </w:rPr>
  </w:style>
  <w:style w:type="paragraph" w:styleId="30">
    <w:name w:val="toc 2"/>
    <w:basedOn w:val="1"/>
    <w:next w:val="1"/>
    <w:qFormat/>
    <w:uiPriority w:val="0"/>
    <w:pPr>
      <w:tabs>
        <w:tab w:val="right" w:leader="dot" w:pos="9072"/>
      </w:tabs>
      <w:ind w:left="420" w:leftChars="200"/>
    </w:pPr>
  </w:style>
  <w:style w:type="paragraph" w:styleId="31">
    <w:name w:val="Body Text 2"/>
    <w:basedOn w:val="1"/>
    <w:qFormat/>
    <w:uiPriority w:val="0"/>
    <w:pPr>
      <w:spacing w:after="120" w:line="480" w:lineRule="auto"/>
    </w:pPr>
  </w:style>
  <w:style w:type="paragraph" w:styleId="32">
    <w:name w:val="List Continue 2"/>
    <w:basedOn w:val="1"/>
    <w:qFormat/>
    <w:uiPriority w:val="0"/>
    <w:pPr>
      <w:spacing w:after="120"/>
      <w:ind w:left="840" w:leftChars="400"/>
    </w:pPr>
  </w:style>
  <w:style w:type="paragraph" w:styleId="33">
    <w:name w:val="Normal (Web)"/>
    <w:basedOn w:val="1"/>
    <w:qFormat/>
    <w:uiPriority w:val="0"/>
    <w:pPr>
      <w:widowControl/>
      <w:spacing w:before="100" w:beforeAutospacing="1" w:after="100" w:afterAutospacing="1"/>
      <w:jc w:val="left"/>
    </w:pPr>
    <w:rPr>
      <w:rFonts w:hAnsi="宋体"/>
      <w:sz w:val="24"/>
      <w:szCs w:val="24"/>
    </w:rPr>
  </w:style>
  <w:style w:type="paragraph" w:styleId="34">
    <w:name w:val="index 1"/>
    <w:basedOn w:val="1"/>
    <w:next w:val="1"/>
    <w:qFormat/>
    <w:uiPriority w:val="0"/>
  </w:style>
  <w:style w:type="paragraph" w:styleId="35">
    <w:name w:val="Title"/>
    <w:basedOn w:val="1"/>
    <w:next w:val="1"/>
    <w:qFormat/>
    <w:uiPriority w:val="0"/>
    <w:pPr>
      <w:spacing w:before="240" w:after="60"/>
      <w:jc w:val="center"/>
      <w:outlineLvl w:val="0"/>
    </w:pPr>
    <w:rPr>
      <w:rFonts w:ascii="Cambria" w:hAnsi="Cambria" w:eastAsia="宋体"/>
      <w:b/>
      <w:bCs/>
      <w:kern w:val="2"/>
      <w:sz w:val="32"/>
      <w:szCs w:val="32"/>
      <w:lang w:eastAsia="zh-CN"/>
    </w:rPr>
  </w:style>
  <w:style w:type="paragraph" w:styleId="36">
    <w:name w:val="annotation subject"/>
    <w:basedOn w:val="16"/>
    <w:next w:val="16"/>
    <w:qFormat/>
    <w:uiPriority w:val="0"/>
    <w:rPr>
      <w:b/>
      <w:bCs/>
    </w:rPr>
  </w:style>
  <w:style w:type="paragraph" w:styleId="37">
    <w:name w:val="Body Text First Indent"/>
    <w:basedOn w:val="18"/>
    <w:qFormat/>
    <w:uiPriority w:val="0"/>
    <w:pPr>
      <w:spacing w:after="120"/>
      <w:ind w:firstLine="420" w:firstLineChars="100"/>
    </w:pPr>
    <w:rPr>
      <w:rFonts w:ascii="Times New Roman" w:eastAsia="宋体"/>
      <w:b w:val="0"/>
      <w:spacing w:val="0"/>
      <w:sz w:val="21"/>
      <w:szCs w:val="24"/>
    </w:rPr>
  </w:style>
  <w:style w:type="table" w:styleId="39">
    <w:name w:val="Table Grid"/>
    <w:basedOn w:val="3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non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color w:val="0000FF"/>
      <w:u w:val="non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0"/>
    <w:rPr>
      <w:sz w:val="21"/>
      <w:szCs w:val="21"/>
    </w:rPr>
  </w:style>
  <w:style w:type="character" w:styleId="52">
    <w:name w:val="HTML Cite"/>
    <w:basedOn w:val="40"/>
    <w:qFormat/>
    <w:uiPriority w:val="0"/>
    <w:rPr>
      <w:vanish/>
    </w:rPr>
  </w:style>
  <w:style w:type="character" w:styleId="53">
    <w:name w:val="HTML Keyboard"/>
    <w:basedOn w:val="40"/>
    <w:semiHidden/>
    <w:unhideWhenUsed/>
    <w:qFormat/>
    <w:uiPriority w:val="0"/>
    <w:rPr>
      <w:rFonts w:hint="default" w:ascii="monospace" w:hAnsi="monospace" w:eastAsia="monospace" w:cs="monospace"/>
      <w:sz w:val="20"/>
    </w:rPr>
  </w:style>
  <w:style w:type="character" w:styleId="54">
    <w:name w:val="HTML Sample"/>
    <w:basedOn w:val="40"/>
    <w:qFormat/>
    <w:uiPriority w:val="0"/>
    <w:rPr>
      <w:rFonts w:ascii="monospace" w:hAnsi="monospace" w:eastAsia="monospace" w:cs="monospace"/>
    </w:rPr>
  </w:style>
  <w:style w:type="paragraph" w:customStyle="1" w:styleId="55">
    <w:name w:val="Title1"/>
    <w:basedOn w:val="1"/>
    <w:next w:val="1"/>
    <w:qFormat/>
    <w:uiPriority w:val="0"/>
    <w:pPr>
      <w:jc w:val="left"/>
      <w:outlineLvl w:val="0"/>
    </w:pPr>
    <w:rPr>
      <w:rFonts w:ascii="Calibri Light" w:hAnsi="Calibri Light" w:eastAsia="Arial Unicode MS"/>
      <w:b/>
    </w:rPr>
  </w:style>
  <w:style w:type="paragraph" w:customStyle="1" w:styleId="56">
    <w:name w:val="表格文字"/>
    <w:basedOn w:val="1"/>
    <w:qFormat/>
    <w:uiPriority w:val="0"/>
    <w:pPr>
      <w:spacing w:before="25" w:after="25"/>
      <w:jc w:val="left"/>
    </w:pPr>
    <w:rPr>
      <w:bCs/>
      <w:spacing w:val="10"/>
      <w:sz w:val="24"/>
    </w:rPr>
  </w:style>
  <w:style w:type="paragraph" w:customStyle="1" w:styleId="57">
    <w:name w:val="Default"/>
    <w:qFormat/>
    <w:uiPriority w:val="0"/>
    <w:pPr>
      <w:autoSpaceDE w:val="0"/>
      <w:autoSpaceDN w:val="0"/>
      <w:adjustRightInd w:val="0"/>
    </w:pPr>
    <w:rPr>
      <w:rFonts w:ascii="宋体" w:hAnsi="Calibri" w:eastAsia="Times New Roman" w:cs="宋体"/>
      <w:color w:val="000000"/>
      <w:sz w:val="24"/>
      <w:szCs w:val="24"/>
      <w:lang w:val="en-US" w:eastAsia="zh-CN" w:bidi="ar-SA"/>
    </w:rPr>
  </w:style>
  <w:style w:type="character" w:customStyle="1" w:styleId="58">
    <w:name w:val="font141"/>
    <w:qFormat/>
    <w:uiPriority w:val="0"/>
    <w:rPr>
      <w:rFonts w:hint="eastAsia" w:ascii="宋体" w:hAnsi="宋体" w:eastAsia="宋体" w:cs="宋体"/>
      <w:color w:val="000000"/>
      <w:sz w:val="20"/>
      <w:szCs w:val="20"/>
      <w:u w:val="none"/>
    </w:rPr>
  </w:style>
  <w:style w:type="character" w:customStyle="1" w:styleId="59">
    <w:name w:val="font51"/>
    <w:qFormat/>
    <w:uiPriority w:val="0"/>
    <w:rPr>
      <w:rFonts w:hint="eastAsia" w:ascii="宋体" w:hAnsi="宋体" w:eastAsia="宋体" w:cs="宋体"/>
      <w:b/>
      <w:color w:val="000000"/>
      <w:sz w:val="18"/>
      <w:szCs w:val="18"/>
    </w:rPr>
  </w:style>
  <w:style w:type="character" w:customStyle="1" w:styleId="60">
    <w:name w:val="標題 3 字元"/>
    <w:qFormat/>
    <w:uiPriority w:val="0"/>
    <w:rPr>
      <w:b/>
      <w:bCs/>
      <w:sz w:val="32"/>
      <w:szCs w:val="32"/>
    </w:rPr>
  </w:style>
  <w:style w:type="character" w:customStyle="1" w:styleId="61">
    <w:name w:val="普通文字 Char Char1"/>
    <w:qFormat/>
    <w:uiPriority w:val="0"/>
    <w:rPr>
      <w:rFonts w:ascii="宋体" w:hAnsi="Courier New" w:eastAsia="宋体"/>
      <w:kern w:val="2"/>
      <w:sz w:val="21"/>
      <w:lang w:val="en-US" w:eastAsia="zh-CN" w:bidi="ar-SA"/>
    </w:rPr>
  </w:style>
  <w:style w:type="character" w:customStyle="1" w:styleId="62">
    <w:name w:val="标题 3 Char Char"/>
    <w:qFormat/>
    <w:uiPriority w:val="0"/>
    <w:rPr>
      <w:rFonts w:eastAsia="宋体"/>
      <w:b/>
      <w:bCs/>
      <w:kern w:val="2"/>
      <w:sz w:val="32"/>
      <w:szCs w:val="32"/>
      <w:lang w:val="en-US" w:eastAsia="zh-CN" w:bidi="ar-SA"/>
    </w:rPr>
  </w:style>
  <w:style w:type="character" w:customStyle="1" w:styleId="63">
    <w:name w:val="标题 1 字符"/>
    <w:link w:val="3"/>
    <w:qFormat/>
    <w:uiPriority w:val="0"/>
    <w:rPr>
      <w:b/>
      <w:bCs/>
      <w:kern w:val="44"/>
      <w:sz w:val="44"/>
      <w:szCs w:val="44"/>
    </w:rPr>
  </w:style>
  <w:style w:type="character" w:customStyle="1" w:styleId="64">
    <w:name w:val="日期 字符"/>
    <w:link w:val="22"/>
    <w:qFormat/>
    <w:uiPriority w:val="0"/>
    <w:rPr>
      <w:rFonts w:ascii="宋体" w:hAnsi="Courier New" w:eastAsia="宋体"/>
      <w:bCs/>
      <w:kern w:val="2"/>
      <w:sz w:val="24"/>
      <w:lang w:val="en-US" w:eastAsia="zh-CN" w:bidi="ar-SA"/>
    </w:rPr>
  </w:style>
  <w:style w:type="character" w:customStyle="1" w:styleId="65">
    <w:name w:val="font151"/>
    <w:qFormat/>
    <w:uiPriority w:val="0"/>
    <w:rPr>
      <w:rFonts w:hint="eastAsia" w:ascii="宋体" w:hAnsi="宋体" w:eastAsia="宋体" w:cs="宋体"/>
      <w:color w:val="000000"/>
      <w:sz w:val="20"/>
      <w:szCs w:val="20"/>
      <w:u w:val="none"/>
    </w:rPr>
  </w:style>
  <w:style w:type="character" w:customStyle="1" w:styleId="66">
    <w:name w:val="font41"/>
    <w:basedOn w:val="40"/>
    <w:qFormat/>
    <w:uiPriority w:val="0"/>
    <w:rPr>
      <w:rFonts w:hint="eastAsia" w:ascii="宋体" w:hAnsi="宋体" w:eastAsia="宋体" w:cs="宋体"/>
      <w:color w:val="000000"/>
      <w:sz w:val="20"/>
      <w:szCs w:val="20"/>
      <w:u w:val="none"/>
    </w:rPr>
  </w:style>
  <w:style w:type="character" w:customStyle="1" w:styleId="67">
    <w:name w:val="font31"/>
    <w:qFormat/>
    <w:uiPriority w:val="0"/>
    <w:rPr>
      <w:rFonts w:hint="default" w:ascii="Arial" w:hAnsi="Arial" w:cs="Arial"/>
      <w:color w:val="000000"/>
      <w:sz w:val="20"/>
      <w:szCs w:val="20"/>
      <w:u w:val="none"/>
      <w:vertAlign w:val="superscript"/>
    </w:rPr>
  </w:style>
  <w:style w:type="character" w:customStyle="1" w:styleId="68">
    <w:name w:val="apple-style-span"/>
    <w:basedOn w:val="40"/>
    <w:qFormat/>
    <w:uiPriority w:val="0"/>
  </w:style>
  <w:style w:type="character" w:customStyle="1" w:styleId="69">
    <w:name w:val="font71"/>
    <w:qFormat/>
    <w:uiPriority w:val="0"/>
    <w:rPr>
      <w:rFonts w:hint="eastAsia" w:ascii="宋体" w:hAnsi="宋体" w:eastAsia="宋体" w:cs="宋体"/>
      <w:i/>
      <w:color w:val="000000"/>
      <w:sz w:val="18"/>
      <w:szCs w:val="18"/>
    </w:rPr>
  </w:style>
  <w:style w:type="character" w:customStyle="1" w:styleId="70">
    <w:name w:val="font91"/>
    <w:qFormat/>
    <w:uiPriority w:val="0"/>
    <w:rPr>
      <w:rFonts w:hint="eastAsia" w:ascii="宋体" w:hAnsi="宋体" w:eastAsia="宋体" w:cs="宋体"/>
      <w:color w:val="000000"/>
      <w:sz w:val="20"/>
      <w:szCs w:val="20"/>
    </w:rPr>
  </w:style>
  <w:style w:type="character" w:customStyle="1" w:styleId="71">
    <w:name w:val="marklong"/>
    <w:basedOn w:val="40"/>
    <w:qFormat/>
    <w:uiPriority w:val="0"/>
  </w:style>
  <w:style w:type="character" w:customStyle="1" w:styleId="72">
    <w:name w:val="font21"/>
    <w:qFormat/>
    <w:uiPriority w:val="0"/>
    <w:rPr>
      <w:rFonts w:hint="eastAsia" w:ascii="宋体" w:hAnsi="宋体" w:eastAsia="宋体" w:cs="宋体"/>
      <w:color w:val="000000"/>
      <w:sz w:val="18"/>
      <w:szCs w:val="18"/>
    </w:rPr>
  </w:style>
  <w:style w:type="character" w:customStyle="1" w:styleId="73">
    <w:name w:val="标题 5 字符"/>
    <w:link w:val="6"/>
    <w:qFormat/>
    <w:uiPriority w:val="0"/>
    <w:rPr>
      <w:b/>
      <w:bCs/>
      <w:sz w:val="28"/>
      <w:szCs w:val="28"/>
    </w:rPr>
  </w:style>
  <w:style w:type="character" w:customStyle="1" w:styleId="74">
    <w:name w:val="font01"/>
    <w:qFormat/>
    <w:uiPriority w:val="0"/>
    <w:rPr>
      <w:rFonts w:hint="eastAsia" w:ascii="宋体" w:hAnsi="宋体" w:eastAsia="宋体" w:cs="宋体"/>
      <w:color w:val="000000"/>
      <w:sz w:val="24"/>
      <w:szCs w:val="24"/>
      <w:u w:val="none"/>
      <w:vertAlign w:val="superscript"/>
    </w:rPr>
  </w:style>
  <w:style w:type="character" w:customStyle="1" w:styleId="75">
    <w:name w:val="contentheaderrev1"/>
    <w:qFormat/>
    <w:uiPriority w:val="0"/>
    <w:rPr>
      <w:rFonts w:hint="default" w:ascii="Arial" w:hAnsi="Arial" w:cs="Arial"/>
      <w:b/>
      <w:bCs/>
      <w:color w:val="FFFFFF"/>
      <w:sz w:val="18"/>
      <w:szCs w:val="18"/>
      <w:u w:val="none"/>
    </w:rPr>
  </w:style>
  <w:style w:type="character" w:customStyle="1" w:styleId="76">
    <w:name w:val="纯文本 字符"/>
    <w:link w:val="21"/>
    <w:qFormat/>
    <w:uiPriority w:val="0"/>
    <w:rPr>
      <w:rFonts w:ascii="宋体" w:hAnsi="Courier New" w:eastAsia="宋体"/>
      <w:kern w:val="2"/>
      <w:sz w:val="21"/>
      <w:lang w:val="en-US" w:eastAsia="zh-CN" w:bidi="ar-SA"/>
    </w:rPr>
  </w:style>
  <w:style w:type="character" w:customStyle="1" w:styleId="77">
    <w:name w:val="页眉 字符"/>
    <w:link w:val="26"/>
    <w:qFormat/>
    <w:uiPriority w:val="0"/>
    <w:rPr>
      <w:rFonts w:ascii="宋体" w:hAnsi="Courier New" w:eastAsia="宋体"/>
      <w:kern w:val="2"/>
      <w:sz w:val="18"/>
      <w:lang w:val="en-US" w:eastAsia="zh-CN" w:bidi="ar-SA"/>
    </w:rPr>
  </w:style>
  <w:style w:type="character" w:customStyle="1" w:styleId="78">
    <w:name w:val="font81"/>
    <w:qFormat/>
    <w:uiPriority w:val="0"/>
    <w:rPr>
      <w:rFonts w:hint="eastAsia" w:ascii="宋体" w:hAnsi="宋体" w:eastAsia="宋体" w:cs="宋体"/>
      <w:color w:val="000000"/>
      <w:sz w:val="20"/>
      <w:szCs w:val="20"/>
      <w:u w:val="none"/>
    </w:rPr>
  </w:style>
  <w:style w:type="character" w:customStyle="1" w:styleId="79">
    <w:name w:val="font101"/>
    <w:qFormat/>
    <w:uiPriority w:val="0"/>
    <w:rPr>
      <w:rFonts w:hint="default" w:ascii="Arial" w:hAnsi="Arial" w:cs="Arial"/>
      <w:b/>
      <w:color w:val="000000"/>
      <w:sz w:val="20"/>
      <w:szCs w:val="20"/>
      <w:u w:val="none"/>
    </w:rPr>
  </w:style>
  <w:style w:type="character" w:customStyle="1" w:styleId="80">
    <w:name w:val="font11"/>
    <w:qFormat/>
    <w:uiPriority w:val="0"/>
    <w:rPr>
      <w:rFonts w:hint="default" w:ascii="Times New Roman" w:hAnsi="Times New Roman" w:cs="Times New Roman"/>
      <w:color w:val="000000"/>
      <w:sz w:val="18"/>
      <w:szCs w:val="18"/>
    </w:rPr>
  </w:style>
  <w:style w:type="character" w:customStyle="1" w:styleId="81">
    <w:name w:val="font61"/>
    <w:qFormat/>
    <w:uiPriority w:val="0"/>
    <w:rPr>
      <w:rFonts w:hint="eastAsia" w:ascii="宋体" w:hAnsi="宋体" w:eastAsia="宋体" w:cs="宋体"/>
      <w:b/>
      <w:color w:val="000000"/>
      <w:sz w:val="18"/>
      <w:szCs w:val="18"/>
    </w:rPr>
  </w:style>
  <w:style w:type="character" w:customStyle="1" w:styleId="82">
    <w:name w:val="标题 4 字符"/>
    <w:link w:val="5"/>
    <w:qFormat/>
    <w:uiPriority w:val="0"/>
    <w:rPr>
      <w:rFonts w:ascii="Arial" w:hAnsi="Arial" w:eastAsia="黑体"/>
      <w:b/>
      <w:bCs/>
      <w:sz w:val="28"/>
      <w:szCs w:val="28"/>
    </w:rPr>
  </w:style>
  <w:style w:type="paragraph" w:customStyle="1" w:styleId="83">
    <w:name w:val="USE 4"/>
    <w:basedOn w:val="1"/>
    <w:qFormat/>
    <w:uiPriority w:val="0"/>
    <w:pPr>
      <w:widowControl/>
      <w:spacing w:line="360" w:lineRule="auto"/>
      <w:ind w:left="284" w:hanging="227"/>
      <w:jc w:val="left"/>
    </w:pPr>
    <w:rPr>
      <w:rFonts w:hAnsi="宋体"/>
      <w:sz w:val="24"/>
    </w:rPr>
  </w:style>
  <w:style w:type="paragraph" w:customStyle="1" w:styleId="84">
    <w:name w:val="地址 1"/>
    <w:next w:val="1"/>
    <w:qFormat/>
    <w:uiPriority w:val="0"/>
    <w:pPr>
      <w:jc w:val="center"/>
    </w:pPr>
    <w:rPr>
      <w:rFonts w:ascii="Arial" w:hAnsi="Arial" w:eastAsia="宋体" w:cs="Arial"/>
      <w:color w:val="CC3300"/>
      <w:kern w:val="28"/>
      <w:sz w:val="16"/>
      <w:szCs w:val="16"/>
      <w:lang w:val="en-US" w:eastAsia="en-US" w:bidi="ar-SA"/>
    </w:rPr>
  </w:style>
  <w:style w:type="paragraph" w:customStyle="1" w:styleId="85">
    <w:name w:val="Char Char1 Char Char Char Char"/>
    <w:basedOn w:val="1"/>
    <w:qFormat/>
    <w:uiPriority w:val="0"/>
    <w:pPr>
      <w:snapToGrid w:val="0"/>
      <w:spacing w:line="360" w:lineRule="auto"/>
      <w:ind w:firstLine="200" w:firstLineChars="200"/>
    </w:pPr>
    <w:rPr>
      <w:rFonts w:eastAsia="仿宋_GB2312"/>
      <w:sz w:val="24"/>
    </w:rPr>
  </w:style>
  <w:style w:type="paragraph" w:customStyle="1" w:styleId="86">
    <w:name w:val="样式 USE 1 + 行距: 单倍行距"/>
    <w:basedOn w:val="1"/>
    <w:qFormat/>
    <w:uiPriority w:val="0"/>
    <w:pPr>
      <w:widowControl/>
      <w:spacing w:line="180" w:lineRule="atLeast"/>
      <w:ind w:left="180"/>
      <w:jc w:val="left"/>
    </w:pPr>
    <w:rPr>
      <w:rFonts w:hAnsi="宋体"/>
      <w:b/>
      <w:bCs/>
      <w:sz w:val="24"/>
    </w:rPr>
  </w:style>
  <w:style w:type="paragraph" w:customStyle="1" w:styleId="87">
    <w:name w:val="Char1"/>
    <w:basedOn w:val="1"/>
    <w:qFormat/>
    <w:uiPriority w:val="0"/>
    <w:pPr>
      <w:tabs>
        <w:tab w:val="left" w:pos="360"/>
      </w:tabs>
    </w:pPr>
    <w:rPr>
      <w:sz w:val="24"/>
      <w:szCs w:val="24"/>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styleId="89">
    <w:name w:val="List Paragraph"/>
    <w:basedOn w:val="1"/>
    <w:qFormat/>
    <w:uiPriority w:val="0"/>
    <w:pPr>
      <w:ind w:firstLine="420" w:firstLineChars="200"/>
    </w:pPr>
    <w:rPr>
      <w:szCs w:val="24"/>
    </w:rPr>
  </w:style>
  <w:style w:type="paragraph" w:customStyle="1" w:styleId="90">
    <w:name w:val="列出段落1"/>
    <w:basedOn w:val="1"/>
    <w:qFormat/>
    <w:uiPriority w:val="0"/>
    <w:pPr>
      <w:ind w:firstLine="420" w:firstLineChars="200"/>
    </w:pPr>
  </w:style>
  <w:style w:type="paragraph" w:customStyle="1" w:styleId="91">
    <w:name w:val="Char Char Char Char"/>
    <w:basedOn w:val="1"/>
    <w:qFormat/>
    <w:uiPriority w:val="0"/>
    <w:pPr>
      <w:widowControl/>
      <w:spacing w:after="160" w:line="240" w:lineRule="exact"/>
      <w:jc w:val="left"/>
    </w:pPr>
    <w:rPr>
      <w:rFonts w:ascii="Verdana" w:hAnsi="Verdana" w:eastAsia="仿宋_GB2312"/>
      <w:sz w:val="24"/>
    </w:rPr>
  </w:style>
  <w:style w:type="paragraph" w:customStyle="1" w:styleId="92">
    <w:name w:val="Char"/>
    <w:basedOn w:val="1"/>
    <w:qFormat/>
    <w:uiPriority w:val="0"/>
    <w:pPr>
      <w:tabs>
        <w:tab w:val="left" w:pos="720"/>
      </w:tabs>
      <w:ind w:left="720" w:hanging="720"/>
    </w:pPr>
    <w:rPr>
      <w:sz w:val="24"/>
      <w:szCs w:val="24"/>
    </w:rPr>
  </w:style>
  <w:style w:type="paragraph" w:customStyle="1" w:styleId="93">
    <w:name w:val="简单回函地址"/>
    <w:basedOn w:val="1"/>
    <w:qFormat/>
    <w:uiPriority w:val="0"/>
  </w:style>
  <w:style w:type="paragraph" w:customStyle="1" w:styleId="94">
    <w:name w:val="Char Char Char Char Char Char Char Char Char Char Char Char Char"/>
    <w:basedOn w:val="15"/>
    <w:qFormat/>
    <w:uiPriority w:val="0"/>
  </w:style>
  <w:style w:type="paragraph" w:customStyle="1" w:styleId="95">
    <w:name w:val="正文2"/>
    <w:basedOn w:val="1"/>
    <w:qFormat/>
    <w:uiPriority w:val="0"/>
    <w:pPr>
      <w:spacing w:before="156" w:line="360" w:lineRule="auto"/>
      <w:ind w:firstLine="510" w:firstLineChars="200"/>
    </w:pPr>
    <w:rPr>
      <w:sz w:val="24"/>
    </w:rPr>
  </w:style>
  <w:style w:type="paragraph" w:customStyle="1" w:styleId="96">
    <w:name w:val="Char Char Char Char Char Char Char"/>
    <w:basedOn w:val="1"/>
    <w:qFormat/>
    <w:uiPriority w:val="0"/>
    <w:pPr>
      <w:widowControl/>
      <w:spacing w:after="160" w:line="240" w:lineRule="exact"/>
      <w:jc w:val="left"/>
    </w:pPr>
    <w:rPr>
      <w:szCs w:val="24"/>
    </w:rPr>
  </w:style>
  <w:style w:type="paragraph" w:customStyle="1" w:styleId="97">
    <w:name w:val="表内文字"/>
    <w:basedOn w:val="1"/>
    <w:qFormat/>
    <w:uiPriority w:val="0"/>
    <w:pPr>
      <w:snapToGrid w:val="0"/>
      <w:spacing w:line="320" w:lineRule="exact"/>
      <w:jc w:val="center"/>
    </w:pPr>
    <w:rPr>
      <w:rFonts w:ascii="宋体" w:hAnsi="宋体"/>
      <w:b/>
      <w:sz w:val="24"/>
    </w:rPr>
  </w:style>
  <w:style w:type="paragraph" w:customStyle="1" w:styleId="98">
    <w:name w:val="USE 3"/>
    <w:basedOn w:val="1"/>
    <w:qFormat/>
    <w:uiPriority w:val="0"/>
    <w:pPr>
      <w:widowControl/>
      <w:spacing w:line="360" w:lineRule="auto"/>
      <w:ind w:left="530" w:hanging="170"/>
      <w:jc w:val="left"/>
    </w:pPr>
    <w:rPr>
      <w:rFonts w:hAnsi="宋体"/>
      <w:sz w:val="24"/>
    </w:rPr>
  </w:style>
  <w:style w:type="paragraph" w:customStyle="1" w:styleId="99">
    <w:name w:val="Char11"/>
    <w:basedOn w:val="1"/>
    <w:qFormat/>
    <w:uiPriority w:val="0"/>
    <w:rPr>
      <w:rFonts w:ascii="仿宋_GB2312" w:eastAsia="仿宋_GB2312"/>
      <w:b/>
      <w:sz w:val="32"/>
      <w:szCs w:val="32"/>
    </w:rPr>
  </w:style>
  <w:style w:type="paragraph" w:customStyle="1" w:styleId="100">
    <w:name w:val="标准书眉_偶数页"/>
    <w:basedOn w:val="1"/>
    <w:next w:val="1"/>
    <w:qFormat/>
    <w:uiPriority w:val="0"/>
    <w:pPr>
      <w:widowControl/>
      <w:tabs>
        <w:tab w:val="center" w:pos="4154"/>
        <w:tab w:val="right" w:pos="8306"/>
      </w:tabs>
      <w:spacing w:after="120"/>
      <w:jc w:val="left"/>
    </w:pPr>
    <w:rPr>
      <w:lang w:eastAsia="zh-CN"/>
    </w:rPr>
  </w:style>
  <w:style w:type="paragraph" w:customStyle="1" w:styleId="101">
    <w:name w:val="p0"/>
    <w:basedOn w:val="1"/>
    <w:qFormat/>
    <w:uiPriority w:val="0"/>
    <w:pPr>
      <w:widowControl/>
    </w:pPr>
    <w:rPr>
      <w:szCs w:val="21"/>
    </w:rPr>
  </w:style>
  <w:style w:type="paragraph" w:customStyle="1" w:styleId="102">
    <w:name w:val="p17"/>
    <w:basedOn w:val="1"/>
    <w:qFormat/>
    <w:uiPriority w:val="0"/>
    <w:pPr>
      <w:widowControl/>
    </w:pPr>
    <w:rPr>
      <w:rFonts w:ascii="宋体" w:hAnsi="宋体" w:eastAsia="宋体"/>
      <w:sz w:val="21"/>
      <w:szCs w:val="21"/>
      <w:lang w:eastAsia="zh-CN"/>
    </w:rPr>
  </w:style>
  <w:style w:type="paragraph" w:customStyle="1" w:styleId="103">
    <w:name w:val="List Paragraph11"/>
    <w:basedOn w:val="1"/>
    <w:qFormat/>
    <w:uiPriority w:val="0"/>
    <w:pPr>
      <w:ind w:firstLine="420" w:firstLineChars="200"/>
    </w:pPr>
    <w:rPr>
      <w:rFonts w:ascii="Calibri" w:hAnsi="Calibri"/>
      <w:szCs w:val="22"/>
    </w:rPr>
  </w:style>
  <w:style w:type="paragraph" w:customStyle="1" w:styleId="104">
    <w:name w:val="Char Char2 Char"/>
    <w:basedOn w:val="1"/>
    <w:qFormat/>
    <w:uiPriority w:val="0"/>
    <w:rPr>
      <w:rFonts w:hAnsi="宋体"/>
      <w:b/>
      <w:sz w:val="28"/>
      <w:szCs w:val="28"/>
    </w:rPr>
  </w:style>
  <w:style w:type="paragraph" w:customStyle="1" w:styleId="105">
    <w:name w:val="1"/>
    <w:basedOn w:val="1"/>
    <w:next w:val="21"/>
    <w:qFormat/>
    <w:uiPriority w:val="0"/>
  </w:style>
  <w:style w:type="paragraph" w:customStyle="1" w:styleId="106">
    <w:name w:val="USE 5"/>
    <w:basedOn w:val="1"/>
    <w:qFormat/>
    <w:uiPriority w:val="0"/>
    <w:pPr>
      <w:widowControl/>
      <w:spacing w:line="360" w:lineRule="auto"/>
      <w:ind w:left="397" w:hanging="340"/>
      <w:jc w:val="left"/>
    </w:pPr>
    <w:rPr>
      <w:rFonts w:hAnsi="宋体"/>
      <w:sz w:val="24"/>
    </w:rPr>
  </w:style>
  <w:style w:type="paragraph" w:customStyle="1" w:styleId="107">
    <w:name w:val="Char1 Char Char Char Char Char Char"/>
    <w:basedOn w:val="1"/>
    <w:qFormat/>
    <w:uiPriority w:val="0"/>
    <w:rPr>
      <w:rFonts w:ascii="Tahoma" w:hAnsi="Tahoma"/>
      <w:sz w:val="24"/>
    </w:rPr>
  </w:style>
  <w:style w:type="paragraph" w:customStyle="1" w:styleId="108">
    <w:name w:val="USE 2"/>
    <w:basedOn w:val="1"/>
    <w:qFormat/>
    <w:uiPriority w:val="0"/>
    <w:pPr>
      <w:widowControl/>
      <w:spacing w:line="360" w:lineRule="auto"/>
      <w:ind w:left="3836" w:hanging="3836"/>
      <w:jc w:val="left"/>
    </w:pPr>
    <w:rPr>
      <w:rFonts w:hAnsi="宋体"/>
      <w:sz w:val="24"/>
    </w:rPr>
  </w:style>
  <w:style w:type="paragraph" w:customStyle="1" w:styleId="109">
    <w:name w:val="正文1"/>
    <w:basedOn w:val="1"/>
    <w:qFormat/>
    <w:uiPriority w:val="0"/>
  </w:style>
  <w:style w:type="paragraph" w:customStyle="1" w:styleId="110">
    <w:name w:val="样式1"/>
    <w:basedOn w:val="1"/>
    <w:qFormat/>
    <w:uiPriority w:val="0"/>
    <w:pPr>
      <w:autoSpaceDE w:val="0"/>
      <w:autoSpaceDN w:val="0"/>
      <w:adjustRightInd w:val="0"/>
      <w:spacing w:line="440" w:lineRule="atLeast"/>
      <w:ind w:firstLine="601"/>
      <w:textAlignment w:val="baseline"/>
    </w:pPr>
    <w:rPr>
      <w:sz w:val="28"/>
    </w:rPr>
  </w:style>
  <w:style w:type="paragraph" w:styleId="11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paragraph" w:customStyle="1" w:styleId="112">
    <w:name w:val="Char2"/>
    <w:basedOn w:val="1"/>
    <w:qFormat/>
    <w:uiPriority w:val="0"/>
    <w:pPr>
      <w:widowControl/>
      <w:spacing w:after="160" w:line="240" w:lineRule="exact"/>
      <w:jc w:val="left"/>
    </w:pPr>
    <w:rPr>
      <w:rFonts w:ascii="Verdana" w:hAnsi="Verdana"/>
    </w:rPr>
  </w:style>
  <w:style w:type="paragraph" w:customStyle="1" w:styleId="113">
    <w:name w:val="Char Char Char Char Char Char Char Char Char Char Char Char Char Char Char Char"/>
    <w:basedOn w:val="1"/>
    <w:qFormat/>
    <w:uiPriority w:val="0"/>
    <w:pPr>
      <w:tabs>
        <w:tab w:val="left" w:pos="360"/>
      </w:tabs>
      <w:spacing w:line="360" w:lineRule="auto"/>
      <w:ind w:left="482" w:firstLine="200" w:firstLineChars="200"/>
    </w:pPr>
    <w:rPr>
      <w:sz w:val="24"/>
      <w:szCs w:val="24"/>
    </w:rPr>
  </w:style>
  <w:style w:type="paragraph" w:customStyle="1" w:styleId="114">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115">
    <w:name w:val="List Paragraph1"/>
    <w:basedOn w:val="1"/>
    <w:qFormat/>
    <w:uiPriority w:val="0"/>
    <w:pPr>
      <w:ind w:firstLine="420" w:firstLineChars="200"/>
    </w:pPr>
    <w:rPr>
      <w:rFonts w:ascii="Calibri" w:hAnsi="Calibri"/>
      <w:szCs w:val="22"/>
    </w:rPr>
  </w:style>
  <w:style w:type="paragraph" w:customStyle="1" w:styleId="11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修订1"/>
    <w:hidden/>
    <w:semiHidden/>
    <w:qFormat/>
    <w:uiPriority w:val="99"/>
    <w:rPr>
      <w:rFonts w:ascii="Times New Roman" w:hAnsi="Times New Roman" w:eastAsia="Times New Roman" w:cs="宋体"/>
      <w:lang w:val="en-US" w:eastAsia="en-US" w:bidi="ar-SA"/>
    </w:rPr>
  </w:style>
  <w:style w:type="character" w:customStyle="1" w:styleId="118">
    <w:name w:val="hover1"/>
    <w:basedOn w:val="40"/>
    <w:qFormat/>
    <w:uiPriority w:val="0"/>
    <w:rPr>
      <w:color w:val="2590EB"/>
    </w:rPr>
  </w:style>
  <w:style w:type="character" w:customStyle="1" w:styleId="119">
    <w:name w:val="hover2"/>
    <w:basedOn w:val="40"/>
    <w:qFormat/>
    <w:uiPriority w:val="0"/>
    <w:rPr>
      <w:color w:val="2590EB"/>
    </w:rPr>
  </w:style>
  <w:style w:type="character" w:customStyle="1" w:styleId="120">
    <w:name w:val="hover3"/>
    <w:basedOn w:val="40"/>
    <w:qFormat/>
    <w:uiPriority w:val="0"/>
  </w:style>
  <w:style w:type="paragraph" w:customStyle="1" w:styleId="121">
    <w:name w:val="正文首行缩进1"/>
    <w:basedOn w:val="1"/>
    <w:qFormat/>
    <w:uiPriority w:val="99"/>
    <w:pPr>
      <w:spacing w:after="120"/>
      <w:ind w:firstLine="420" w:firstLineChars="100"/>
    </w:pPr>
  </w:style>
  <w:style w:type="character" w:customStyle="1" w:styleId="122">
    <w:name w:val="标题 3 字符"/>
    <w:basedOn w:val="40"/>
    <w:link w:val="4"/>
    <w:qFormat/>
    <w:uiPriority w:val="0"/>
    <w:rPr>
      <w:b/>
      <w:szCs w:val="20"/>
      <w:lang w:val="zh-CN"/>
    </w:rPr>
  </w:style>
  <w:style w:type="character" w:customStyle="1" w:styleId="123">
    <w:name w:val="hover"/>
    <w:basedOn w:val="40"/>
    <w:qFormat/>
    <w:uiPriority w:val="0"/>
  </w:style>
  <w:style w:type="paragraph" w:customStyle="1" w:styleId="124">
    <w:name w:val="Revision"/>
    <w:hidden/>
    <w:unhideWhenUsed/>
    <w:qFormat/>
    <w:uiPriority w:val="99"/>
    <w:rPr>
      <w:rFonts w:ascii="Times New Roman" w:hAnsi="Times New Roman" w:eastAsia="Times New Roman" w:cs="宋体"/>
      <w:lang w:val="en-US" w:eastAsia="en-US" w:bidi="ar-SA"/>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Table Paragraph"/>
    <w:basedOn w:val="1"/>
    <w:qFormat/>
    <w:uiPriority w:val="1"/>
    <w:rPr>
      <w:rFonts w:ascii="宋体" w:hAnsi="宋体" w:eastAsia="宋体" w:cs="宋体"/>
      <w:lang w:val="en-US" w:eastAsia="zh-CN" w:bidi="ar-SA"/>
    </w:rPr>
  </w:style>
  <w:style w:type="character" w:customStyle="1" w:styleId="127">
    <w:name w:val="font161"/>
    <w:basedOn w:val="40"/>
    <w:qFormat/>
    <w:uiPriority w:val="0"/>
    <w:rPr>
      <w:rFonts w:hint="eastAsia" w:ascii="等线" w:hAnsi="等线" w:eastAsia="等线" w:cs="等线"/>
      <w:color w:val="000000"/>
      <w:sz w:val="22"/>
      <w:szCs w:val="22"/>
      <w:u w:val="none"/>
    </w:rPr>
  </w:style>
  <w:style w:type="character" w:customStyle="1" w:styleId="128">
    <w:name w:val="font111"/>
    <w:basedOn w:val="40"/>
    <w:qFormat/>
    <w:uiPriority w:val="0"/>
    <w:rPr>
      <w:rFonts w:hint="default" w:ascii="Times New Roman" w:hAnsi="Times New Roman" w:cs="Times New Roman"/>
      <w:color w:val="000000"/>
      <w:sz w:val="20"/>
      <w:szCs w:val="20"/>
      <w:u w:val="none"/>
    </w:rPr>
  </w:style>
  <w:style w:type="character" w:customStyle="1" w:styleId="129">
    <w:name w:val="font131"/>
    <w:basedOn w:val="40"/>
    <w:qFormat/>
    <w:uiPriority w:val="0"/>
    <w:rPr>
      <w:rFonts w:hint="default" w:ascii="Times New Roman" w:hAnsi="Times New Roman" w:cs="Times New Roman"/>
      <w:color w:val="000000"/>
      <w:sz w:val="22"/>
      <w:szCs w:val="22"/>
      <w:u w:val="none"/>
    </w:rPr>
  </w:style>
  <w:style w:type="character" w:customStyle="1" w:styleId="130">
    <w:name w:val="font171"/>
    <w:basedOn w:val="40"/>
    <w:qFormat/>
    <w:uiPriority w:val="0"/>
    <w:rPr>
      <w:rFonts w:hint="eastAsia" w:ascii="宋体" w:hAnsi="宋体" w:eastAsia="宋体" w:cs="宋体"/>
      <w:color w:val="000000"/>
      <w:sz w:val="22"/>
      <w:szCs w:val="22"/>
      <w:u w:val="none"/>
    </w:rPr>
  </w:style>
  <w:style w:type="character" w:customStyle="1" w:styleId="131">
    <w:name w:val="font132"/>
    <w:basedOn w:val="4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广西建设工程机电设备招标中心</Company>
  <Pages>71</Pages>
  <Words>42580</Words>
  <Characters>48392</Characters>
  <Lines>349</Lines>
  <Paragraphs>98</Paragraphs>
  <TotalTime>36</TotalTime>
  <ScaleCrop>false</ScaleCrop>
  <LinksUpToDate>false</LinksUpToDate>
  <CharactersWithSpaces>51596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2020-06-30T05:35:00Z</dcterms:created>
  <dc:creator>杨光义</dc:creator>
  <cp:lastModifiedBy>永妍</cp:lastModifiedBy>
  <cp:lastPrinted>2025-09-30T06:21:00Z</cp:lastPrinted>
  <dcterms:modified xsi:type="dcterms:W3CDTF">2025-09-30T07:38:34Z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B9881A1BB1844A6DA67C401383989FB2_13</vt:lpwstr>
  </property>
  <property fmtid="{D5CDD505-2E9C-101B-9397-08002B2CF9AE}" pid="4" name="MSIP_Label_ff6dbec8-95a8-4638-9f5f-bd076536645c_Enabled">
    <vt:lpwstr>true</vt:lpwstr>
  </property>
  <property fmtid="{D5CDD505-2E9C-101B-9397-08002B2CF9AE}" pid="5" name="MSIP_Label_ff6dbec8-95a8-4638-9f5f-bd076536645c_SetDate">
    <vt:lpwstr>2024-05-27T05:09:55Z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2e8ee54c-90c9-46dd-8bec-d5f1012a4c48</vt:lpwstr>
  </property>
  <property fmtid="{D5CDD505-2E9C-101B-9397-08002B2CF9AE}" pid="10" name="MSIP_Label_ff6dbec8-95a8-4638-9f5f-bd076536645c_ContentBits">
    <vt:lpwstr>0</vt:lpwstr>
  </property>
  <property fmtid="{D5CDD505-2E9C-101B-9397-08002B2CF9AE}" pid="11" name="KSOTemplateDocerSaveRecord">
    <vt:lpwstr>eyJoZGlkIjoiODhlYTA5MGI1Zjk4YzMxOTNlY2U2MDNmMjM1MDhkMDkiLCJ1c2VySWQiOiIzNzEyOTUzOTQifQ==</vt:lpwstr>
  </property>
</Properties>
</file>