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707CA">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4F67B7BE">
      <w:pPr>
        <w:spacing w:before="165" w:beforeLines="50" w:line="360" w:lineRule="auto"/>
        <w:jc w:val="center"/>
        <w:rPr>
          <w:rFonts w:ascii="宋体" w:hAnsi="宋体" w:cs="宋体"/>
          <w:color w:val="auto"/>
          <w:sz w:val="52"/>
          <w:szCs w:val="52"/>
          <w:highlight w:val="none"/>
        </w:rPr>
      </w:pPr>
    </w:p>
    <w:p w14:paraId="00E7074A">
      <w:pPr>
        <w:spacing w:before="165" w:beforeLines="50" w:line="360" w:lineRule="auto"/>
        <w:jc w:val="center"/>
        <w:rPr>
          <w:rFonts w:ascii="宋体" w:hAnsi="宋体" w:cs="宋体"/>
          <w:color w:val="auto"/>
          <w:sz w:val="36"/>
          <w:szCs w:val="36"/>
          <w:highlight w:val="none"/>
        </w:rPr>
      </w:pPr>
    </w:p>
    <w:p w14:paraId="18800BC8">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0DA5FBE0">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14:paraId="0C4CC316">
      <w:pPr>
        <w:spacing w:line="360" w:lineRule="auto"/>
        <w:rPr>
          <w:rFonts w:ascii="宋体" w:hAnsi="宋体" w:cs="宋体"/>
          <w:b/>
          <w:color w:val="auto"/>
          <w:sz w:val="32"/>
          <w:szCs w:val="32"/>
          <w:highlight w:val="none"/>
        </w:rPr>
      </w:pPr>
    </w:p>
    <w:p w14:paraId="11D6D46F">
      <w:pPr>
        <w:spacing w:line="360" w:lineRule="auto"/>
        <w:jc w:val="center"/>
        <w:rPr>
          <w:rFonts w:ascii="宋体" w:hAnsi="宋体" w:cs="宋体"/>
          <w:b/>
          <w:color w:val="auto"/>
          <w:sz w:val="32"/>
          <w:szCs w:val="32"/>
          <w:highlight w:val="none"/>
        </w:rPr>
      </w:pPr>
    </w:p>
    <w:p w14:paraId="646A40F3">
      <w:pPr>
        <w:pStyle w:val="15"/>
        <w:snapToGrid w:val="0"/>
        <w:spacing w:before="50" w:after="120" w:line="360" w:lineRule="auto"/>
        <w:ind w:left="3295" w:leftChars="852" w:hanging="1506" w:hangingChars="500"/>
        <w:rPr>
          <w:rFonts w:hAnsi="宋体" w:cs="宋体"/>
          <w:b/>
          <w:bCs/>
          <w:color w:val="auto"/>
          <w:sz w:val="30"/>
          <w:szCs w:val="30"/>
          <w:highlight w:val="none"/>
        </w:rPr>
      </w:pPr>
      <w:r>
        <w:rPr>
          <w:rFonts w:hint="eastAsia" w:hAnsi="宋体" w:cs="宋体"/>
          <w:b/>
          <w:bCs/>
          <w:color w:val="auto"/>
          <w:sz w:val="30"/>
          <w:szCs w:val="30"/>
          <w:highlight w:val="none"/>
        </w:rPr>
        <w:t>项目名称：横州市第二高级中学校椅校区田径场塑胶跑道及配套灯光和广播项目</w:t>
      </w:r>
    </w:p>
    <w:p w14:paraId="01F091DD">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7308"/>
      <w:bookmarkStart w:id="1" w:name="_Toc681"/>
      <w:r>
        <w:rPr>
          <w:rFonts w:hint="eastAsia" w:hAnsi="宋体" w:cs="宋体"/>
          <w:b/>
          <w:bCs/>
          <w:color w:val="auto"/>
          <w:sz w:val="30"/>
          <w:szCs w:val="30"/>
          <w:highlight w:val="none"/>
        </w:rPr>
        <w:t>项目编号：</w:t>
      </w:r>
      <w:bookmarkEnd w:id="0"/>
      <w:bookmarkEnd w:id="1"/>
      <w:bookmarkStart w:id="2" w:name="_Toc31224"/>
      <w:bookmarkStart w:id="3" w:name="_Toc23882"/>
      <w:r>
        <w:rPr>
          <w:rFonts w:hint="eastAsia" w:hAnsi="宋体" w:cs="宋体"/>
          <w:b/>
          <w:bCs/>
          <w:color w:val="auto"/>
          <w:sz w:val="30"/>
          <w:szCs w:val="30"/>
          <w:highlight w:val="none"/>
          <w:lang w:eastAsia="zh-CN"/>
        </w:rPr>
        <w:t>NNZC2025-C2-270064-GXDY</w:t>
      </w:r>
    </w:p>
    <w:p w14:paraId="3822A8D4">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lang w:eastAsia="zh-CN"/>
        </w:rPr>
        <w:t>HZZC2025-C2-01143</w:t>
      </w:r>
    </w:p>
    <w:p w14:paraId="4842800D">
      <w:pPr>
        <w:pStyle w:val="15"/>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 xml:space="preserve">项目所属区划：南宁市横州市   </w:t>
      </w:r>
    </w:p>
    <w:p w14:paraId="3756C411">
      <w:pPr>
        <w:pStyle w:val="15"/>
        <w:snapToGrid w:val="0"/>
        <w:spacing w:before="50" w:after="120" w:line="360" w:lineRule="auto"/>
        <w:ind w:left="3310" w:leftChars="852" w:hanging="1521" w:hangingChars="505"/>
        <w:outlineLvl w:val="0"/>
        <w:rPr>
          <w:rFonts w:hAnsi="宋体" w:cs="宋体"/>
          <w:b/>
          <w:bCs/>
          <w:color w:val="auto"/>
          <w:sz w:val="30"/>
          <w:szCs w:val="30"/>
          <w:highlight w:val="none"/>
        </w:rPr>
      </w:pPr>
      <w:bookmarkStart w:id="4" w:name="_Toc19676"/>
      <w:bookmarkStart w:id="5" w:name="_Toc26813"/>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rPr>
        <w:t>横州市第二高级中学</w:t>
      </w:r>
    </w:p>
    <w:p w14:paraId="49B25FE5">
      <w:pPr>
        <w:pStyle w:val="15"/>
        <w:snapToGrid w:val="0"/>
        <w:spacing w:before="50" w:after="120" w:line="360" w:lineRule="auto"/>
        <w:ind w:firstLine="1783" w:firstLineChars="592"/>
        <w:outlineLvl w:val="0"/>
        <w:rPr>
          <w:rFonts w:hAnsi="宋体" w:cs="宋体"/>
          <w:b/>
          <w:bCs/>
          <w:color w:val="auto"/>
          <w:w w:val="95"/>
          <w:sz w:val="30"/>
          <w:szCs w:val="30"/>
          <w:highlight w:val="none"/>
        </w:rPr>
      </w:pPr>
      <w:bookmarkStart w:id="7" w:name="_Toc5106"/>
      <w:r>
        <w:rPr>
          <w:rFonts w:hint="eastAsia" w:hAnsi="宋体" w:cs="宋体"/>
          <w:b/>
          <w:bCs/>
          <w:color w:val="auto"/>
          <w:sz w:val="30"/>
          <w:szCs w:val="30"/>
          <w:highlight w:val="none"/>
        </w:rPr>
        <w:t>采购代理机构：</w:t>
      </w:r>
      <w:bookmarkEnd w:id="6"/>
      <w:bookmarkEnd w:id="7"/>
      <w:r>
        <w:rPr>
          <w:rFonts w:hint="eastAsia" w:hAnsi="宋体" w:cs="宋体"/>
          <w:b/>
          <w:bCs/>
          <w:color w:val="auto"/>
          <w:sz w:val="30"/>
          <w:szCs w:val="30"/>
          <w:highlight w:val="none"/>
        </w:rPr>
        <w:t>广西达元工程管理有限责任公司</w:t>
      </w:r>
    </w:p>
    <w:p w14:paraId="3A825C0B">
      <w:pPr>
        <w:pStyle w:val="15"/>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2025年5月</w:t>
      </w:r>
    </w:p>
    <w:p w14:paraId="0BAE73FE">
      <w:pPr>
        <w:widowControl/>
        <w:spacing w:line="360" w:lineRule="auto"/>
        <w:jc w:val="left"/>
        <w:rPr>
          <w:rFonts w:ascii="宋体" w:hAnsi="宋体" w:cs="宋体"/>
          <w:b/>
          <w:bCs/>
          <w:color w:val="auto"/>
          <w:w w:val="95"/>
          <w:kern w:val="0"/>
          <w:sz w:val="30"/>
          <w:szCs w:val="30"/>
          <w:highlight w:val="none"/>
        </w:rPr>
        <w:sectPr>
          <w:headerReference r:id="rId3" w:type="default"/>
          <w:pgSz w:w="11906" w:h="16838"/>
          <w:pgMar w:top="1440" w:right="1080" w:bottom="1440" w:left="1080" w:header="720" w:footer="720" w:gutter="0"/>
          <w:pgNumType w:start="1"/>
          <w:cols w:space="720" w:num="1"/>
          <w:docGrid w:type="lines" w:linePitch="331" w:charSpace="0"/>
        </w:sectPr>
      </w:pPr>
    </w:p>
    <w:p w14:paraId="3ABE87E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5D6D9E59">
      <w:pPr>
        <w:spacing w:line="400" w:lineRule="exact"/>
        <w:jc w:val="center"/>
        <w:rPr>
          <w:rFonts w:ascii="宋体" w:hAnsi="宋体" w:cs="宋体"/>
          <w:b/>
          <w:color w:val="auto"/>
          <w:sz w:val="44"/>
          <w:szCs w:val="44"/>
          <w:highlight w:val="none"/>
        </w:rPr>
      </w:pPr>
    </w:p>
    <w:p w14:paraId="651D9156">
      <w:pPr>
        <w:pStyle w:val="19"/>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79C1D1C6">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2B45011">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_Toc10702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5375436">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3BEEEC6">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A874246">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B673072">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72A861F">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30E6CCB">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BC0D9AA">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3D2984D">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BD37F1F">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29839DA">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CF21C80">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4553BD2">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33C7118">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7256D27">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C987462">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53802B4">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D81B34E">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71C8066">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97EFA7A">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9F042D5">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68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13156EC">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_Toc10609 \h </w:instrText>
      </w:r>
      <w:r>
        <w:rPr>
          <w:rFonts w:hint="eastAsia" w:ascii="宋体" w:hAnsi="宋体" w:cs="宋体"/>
          <w:color w:val="auto"/>
          <w:highlight w:val="none"/>
        </w:rPr>
        <w:fldChar w:fldCharType="separate"/>
      </w:r>
      <w:r>
        <w:rPr>
          <w:rFonts w:hint="eastAsia" w:ascii="宋体" w:hAnsi="宋体" w:cs="宋体"/>
          <w:color w:val="auto"/>
          <w:highlight w:val="none"/>
        </w:rPr>
        <w:t>69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9744569">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第一部分 通用合同条款</w:t>
      </w:r>
      <w:r>
        <w:rPr>
          <w:rFonts w:hint="eastAsia" w:ascii="宋体" w:hAnsi="宋体" w:cs="宋体"/>
          <w:color w:val="auto"/>
          <w:highlight w:val="none"/>
        </w:rPr>
        <w:tab/>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t>1</w:t>
      </w:r>
    </w:p>
    <w:p w14:paraId="35E19001">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第二部分 专用合同条款</w:t>
      </w:r>
      <w:r>
        <w:rPr>
          <w:rFonts w:hint="eastAsia" w:ascii="宋体" w:hAnsi="宋体" w:cs="宋体"/>
          <w:color w:val="auto"/>
          <w:highlight w:val="none"/>
        </w:rPr>
        <w:tab/>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t>12</w:t>
      </w:r>
      <w:bookmarkStart w:id="1805" w:name="_GoBack"/>
      <w:bookmarkEnd w:id="1805"/>
    </w:p>
    <w:p w14:paraId="4ACEF478">
      <w:pPr>
        <w:rPr>
          <w:color w:val="auto"/>
          <w:highlight w:val="none"/>
        </w:rPr>
      </w:pPr>
      <w:r>
        <w:rPr>
          <w:rFonts w:hint="eastAsia"/>
          <w:color w:val="auto"/>
          <w:highlight w:val="none"/>
        </w:rPr>
        <w:t>第七章 工程量清单</w:t>
      </w:r>
      <w:r>
        <w:rPr>
          <w:rFonts w:hint="eastAsia" w:ascii="宋体" w:hAnsi="宋体" w:cs="宋体"/>
          <w:color w:val="auto"/>
          <w:highlight w:val="none"/>
        </w:rPr>
        <w:t>................................................................128</w:t>
      </w:r>
    </w:p>
    <w:p w14:paraId="6D76D2D2">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第八章 质疑、投诉材料格式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_Toc22933 \h </w:instrText>
      </w:r>
      <w:r>
        <w:rPr>
          <w:rFonts w:hint="eastAsia" w:ascii="宋体" w:hAnsi="宋体" w:cs="宋体"/>
          <w:color w:val="auto"/>
          <w:highlight w:val="none"/>
        </w:rPr>
        <w:fldChar w:fldCharType="separate"/>
      </w:r>
      <w:r>
        <w:rPr>
          <w:rFonts w:hint="eastAsia" w:ascii="宋体" w:hAnsi="宋体" w:cs="宋体"/>
          <w:color w:val="auto"/>
          <w:highlight w:val="none"/>
        </w:rPr>
        <w:t>169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3384497">
      <w:pPr>
        <w:pStyle w:val="21"/>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19327B2A">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3EEDC009">
      <w:pPr>
        <w:spacing w:line="400" w:lineRule="exact"/>
        <w:jc w:val="center"/>
        <w:rPr>
          <w:rFonts w:ascii="宋体" w:hAnsi="宋体" w:cs="宋体"/>
          <w:b/>
          <w:color w:val="auto"/>
          <w:sz w:val="32"/>
          <w:szCs w:val="32"/>
          <w:highlight w:val="none"/>
        </w:rPr>
      </w:pPr>
    </w:p>
    <w:p w14:paraId="35431399">
      <w:pPr>
        <w:spacing w:line="400" w:lineRule="exact"/>
        <w:jc w:val="center"/>
        <w:rPr>
          <w:rFonts w:ascii="宋体" w:hAnsi="宋体" w:cs="宋体"/>
          <w:b/>
          <w:color w:val="auto"/>
          <w:sz w:val="32"/>
          <w:szCs w:val="32"/>
          <w:highlight w:val="none"/>
        </w:rPr>
      </w:pPr>
    </w:p>
    <w:p w14:paraId="1333B507">
      <w:pPr>
        <w:spacing w:line="400" w:lineRule="exact"/>
        <w:jc w:val="center"/>
        <w:rPr>
          <w:rFonts w:ascii="宋体" w:hAnsi="宋体" w:cs="宋体"/>
          <w:b/>
          <w:color w:val="auto"/>
          <w:sz w:val="32"/>
          <w:szCs w:val="32"/>
          <w:highlight w:val="none"/>
        </w:rPr>
      </w:pPr>
    </w:p>
    <w:p w14:paraId="0C8581CC">
      <w:pPr>
        <w:spacing w:line="400" w:lineRule="exact"/>
        <w:jc w:val="center"/>
        <w:rPr>
          <w:rFonts w:ascii="宋体" w:hAnsi="宋体" w:cs="宋体"/>
          <w:b/>
          <w:color w:val="auto"/>
          <w:sz w:val="32"/>
          <w:szCs w:val="32"/>
          <w:highlight w:val="none"/>
        </w:rPr>
      </w:pPr>
    </w:p>
    <w:p w14:paraId="64E9FA6D">
      <w:pPr>
        <w:widowControl/>
        <w:jc w:val="left"/>
        <w:rPr>
          <w:rFonts w:ascii="宋体" w:hAnsi="宋体" w:cs="宋体"/>
          <w:b/>
          <w:color w:val="auto"/>
          <w:sz w:val="32"/>
          <w:szCs w:val="32"/>
          <w:highlight w:val="none"/>
        </w:rPr>
        <w:sectPr>
          <w:footerReference r:id="rId4" w:type="default"/>
          <w:pgSz w:w="11906" w:h="16838"/>
          <w:pgMar w:top="1440" w:right="1080" w:bottom="1440" w:left="1080" w:header="851" w:footer="992" w:gutter="0"/>
          <w:pgNumType w:fmt="decimal" w:start="1"/>
          <w:cols w:space="720" w:num="1"/>
          <w:docGrid w:type="lines" w:linePitch="312" w:charSpace="0"/>
        </w:sectPr>
      </w:pPr>
    </w:p>
    <w:p w14:paraId="4CDC3F5F">
      <w:pPr>
        <w:pStyle w:val="2"/>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44229878"/>
      <w:bookmarkStart w:id="10" w:name="_Toc35393798"/>
      <w:bookmarkStart w:id="11" w:name="_Toc35393629"/>
      <w:bookmarkStart w:id="12" w:name="_Toc28359089"/>
      <w:bookmarkStart w:id="13" w:name="_Toc28359012"/>
      <w:bookmarkStart w:id="14" w:name="_Toc35393792"/>
      <w:bookmarkStart w:id="15" w:name="_Toc35393623"/>
      <w:bookmarkStart w:id="16" w:name="_Toc28359081"/>
      <w:bookmarkStart w:id="17" w:name="_Toc28359004"/>
    </w:p>
    <w:p w14:paraId="6135D500">
      <w:pPr>
        <w:rPr>
          <w:rFonts w:ascii="宋体" w:hAnsi="宋体" w:cs="宋体"/>
          <w:color w:val="auto"/>
          <w:highlight w:val="none"/>
        </w:rPr>
      </w:pPr>
    </w:p>
    <w:tbl>
      <w:tblPr>
        <w:tblStyle w:val="2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4C8E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793DD4E9">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2ACB4BE1">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hint="eastAsia" w:ascii="宋体" w:hAnsi="宋体" w:cs="宋体"/>
                <w:color w:val="auto"/>
                <w:szCs w:val="21"/>
                <w:highlight w:val="none"/>
                <w:u w:val="single"/>
              </w:rPr>
              <w:t xml:space="preserve"> 横州市第二高级中学校椅校区田径场塑胶跑道及配套灯光和广播项目</w:t>
            </w:r>
            <w:r>
              <w:rPr>
                <w:rFonts w:hint="eastAsia" w:ascii="宋体" w:hAnsi="宋体" w:cs="宋体"/>
                <w:color w:val="auto"/>
                <w:szCs w:val="21"/>
                <w:highlight w:val="none"/>
              </w:rPr>
              <w:t>采购项目的潜在供应商应在广西政府采购云平台（https://www.gcy.zfcg.gxzf.gov.cn）获取（下载）获取竞争性磋商文件，并于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166CAF01">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highlight w:val="none"/>
        </w:rPr>
      </w:pPr>
      <w:r>
        <w:rPr>
          <w:rFonts w:hint="eastAsia" w:ascii="宋体" w:hAnsi="宋体" w:cs="宋体"/>
          <w:b/>
          <w:color w:val="auto"/>
          <w:sz w:val="24"/>
          <w:highlight w:val="none"/>
        </w:rPr>
        <w:t>一、项目基本情况</w:t>
      </w:r>
      <w:bookmarkEnd w:id="9"/>
      <w:bookmarkEnd w:id="10"/>
      <w:bookmarkEnd w:id="11"/>
      <w:bookmarkEnd w:id="12"/>
      <w:bookmarkEnd w:id="13"/>
    </w:p>
    <w:p w14:paraId="6AB79E7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NNZC2025-C2-270064-GXDY</w:t>
      </w:r>
    </w:p>
    <w:p w14:paraId="64DFF712">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2.项目名称：横州市第二高级中学校椅校区田径场塑胶跑道及配套灯光和广播项目</w:t>
      </w:r>
    </w:p>
    <w:p w14:paraId="1DE6E0F4">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382BAA1B">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4.预算金额：1593141.70元</w:t>
      </w:r>
    </w:p>
    <w:p w14:paraId="476B2C3F">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rPr>
        <w:t>：同预算金额</w:t>
      </w:r>
    </w:p>
    <w:p w14:paraId="237B4EA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4"/>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27"/>
        <w:gridCol w:w="819"/>
        <w:gridCol w:w="823"/>
        <w:gridCol w:w="5541"/>
      </w:tblGrid>
      <w:tr w14:paraId="4A353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5EA4283E">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181E3574">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819" w:type="dxa"/>
            <w:tcBorders>
              <w:top w:val="single" w:color="auto" w:sz="4" w:space="0"/>
              <w:left w:val="single" w:color="auto" w:sz="4" w:space="0"/>
              <w:bottom w:val="single" w:color="auto" w:sz="4" w:space="0"/>
              <w:right w:val="single" w:color="auto" w:sz="4" w:space="0"/>
            </w:tcBorders>
            <w:vAlign w:val="center"/>
          </w:tcPr>
          <w:p w14:paraId="31E530E5">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823" w:type="dxa"/>
            <w:tcBorders>
              <w:top w:val="single" w:color="auto" w:sz="4" w:space="0"/>
              <w:left w:val="single" w:color="auto" w:sz="4" w:space="0"/>
              <w:bottom w:val="single" w:color="auto" w:sz="4" w:space="0"/>
              <w:right w:val="single" w:color="auto" w:sz="4" w:space="0"/>
            </w:tcBorders>
            <w:vAlign w:val="center"/>
          </w:tcPr>
          <w:p w14:paraId="14E484C2">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5541" w:type="dxa"/>
            <w:tcBorders>
              <w:top w:val="single" w:color="auto" w:sz="4" w:space="0"/>
              <w:left w:val="single" w:color="auto" w:sz="4" w:space="0"/>
              <w:bottom w:val="single" w:color="auto" w:sz="4" w:space="0"/>
              <w:right w:val="single" w:color="auto" w:sz="4" w:space="0"/>
            </w:tcBorders>
            <w:vAlign w:val="center"/>
          </w:tcPr>
          <w:p w14:paraId="08EE96A8">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14:paraId="25268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5AB5961C">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727" w:type="dxa"/>
            <w:tcBorders>
              <w:top w:val="single" w:color="auto" w:sz="4" w:space="0"/>
              <w:left w:val="single" w:color="auto" w:sz="4" w:space="0"/>
              <w:bottom w:val="single" w:color="auto" w:sz="4" w:space="0"/>
              <w:right w:val="single" w:color="auto" w:sz="4" w:space="0"/>
            </w:tcBorders>
            <w:vAlign w:val="center"/>
          </w:tcPr>
          <w:p w14:paraId="36903DCA">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横州市第二高级中学校椅校区田径场塑胶跑道及配套灯光和广播项目</w:t>
            </w:r>
          </w:p>
        </w:tc>
        <w:tc>
          <w:tcPr>
            <w:tcW w:w="819" w:type="dxa"/>
            <w:tcBorders>
              <w:top w:val="single" w:color="auto" w:sz="4" w:space="0"/>
              <w:left w:val="single" w:color="auto" w:sz="4" w:space="0"/>
              <w:bottom w:val="single" w:color="auto" w:sz="4" w:space="0"/>
              <w:right w:val="single" w:color="auto" w:sz="4" w:space="0"/>
            </w:tcBorders>
            <w:vAlign w:val="center"/>
          </w:tcPr>
          <w:p w14:paraId="62287EB7">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823" w:type="dxa"/>
            <w:tcBorders>
              <w:top w:val="single" w:color="auto" w:sz="4" w:space="0"/>
              <w:left w:val="single" w:color="auto" w:sz="4" w:space="0"/>
              <w:bottom w:val="single" w:color="auto" w:sz="4" w:space="0"/>
              <w:right w:val="single" w:color="auto" w:sz="4" w:space="0"/>
            </w:tcBorders>
            <w:vAlign w:val="center"/>
          </w:tcPr>
          <w:p w14:paraId="41B146DB">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5541" w:type="dxa"/>
            <w:tcBorders>
              <w:top w:val="single" w:color="auto" w:sz="4" w:space="0"/>
              <w:left w:val="single" w:color="auto" w:sz="4" w:space="0"/>
              <w:bottom w:val="single" w:color="auto" w:sz="4" w:space="0"/>
              <w:right w:val="single" w:color="auto" w:sz="4" w:space="0"/>
            </w:tcBorders>
            <w:vAlign w:val="center"/>
          </w:tcPr>
          <w:p w14:paraId="5FB35A11">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建设横州市第二高级中学校椅校区田径场塑胶跑道及配套灯光和广播项目1项</w:t>
            </w:r>
            <w:r>
              <w:rPr>
                <w:rFonts w:ascii="宋体" w:hAnsi="宋体" w:cs="宋体"/>
                <w:color w:val="auto"/>
                <w:szCs w:val="21"/>
                <w:highlight w:val="none"/>
              </w:rPr>
              <w:t>。具体内容见工程量清单。</w:t>
            </w:r>
          </w:p>
        </w:tc>
      </w:tr>
    </w:tbl>
    <w:p w14:paraId="4C53F32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7.合同履行期限：自签订合同之日起90日历天。</w:t>
      </w:r>
    </w:p>
    <w:p w14:paraId="25A0D2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14:paraId="6BE8A533">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Cs/>
          <w:color w:val="auto"/>
          <w:sz w:val="24"/>
          <w:highlight w:val="none"/>
        </w:rPr>
      </w:pPr>
      <w:bookmarkStart w:id="19" w:name="_Toc35393630"/>
      <w:bookmarkStart w:id="20" w:name="_Toc44229879"/>
      <w:bookmarkStart w:id="21" w:name="_Toc28359013"/>
      <w:bookmarkStart w:id="22" w:name="_Toc28359090"/>
      <w:bookmarkStart w:id="23" w:name="_Toc35393799"/>
      <w:r>
        <w:rPr>
          <w:rFonts w:hint="eastAsia" w:ascii="宋体" w:hAnsi="宋体" w:cs="宋体"/>
          <w:b/>
          <w:color w:val="auto"/>
          <w:kern w:val="44"/>
          <w:sz w:val="24"/>
          <w:highlight w:val="none"/>
        </w:rPr>
        <w:t>二、供应商的资格条件</w:t>
      </w:r>
      <w:bookmarkEnd w:id="19"/>
      <w:bookmarkEnd w:id="20"/>
      <w:bookmarkEnd w:id="21"/>
      <w:bookmarkEnd w:id="22"/>
      <w:bookmarkEnd w:id="23"/>
    </w:p>
    <w:p w14:paraId="34F341E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6CBBFB97">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2.落实政府采购政策需满足的资格要求：专门面向中小企业采购的项目（供应商应为中小微企业或监狱企业或残疾人福利性单位)；</w:t>
      </w:r>
    </w:p>
    <w:p w14:paraId="2255CF50">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3.本项目的特定资格要求：具备有效的建筑工程施工总承包叁级(含)以上资质，同时具有省级及以上建设行政主管部门颁发的安全生产许可证。在人员、设备、资金等方面具备相应的施工能力。</w:t>
      </w:r>
    </w:p>
    <w:p w14:paraId="07388D7B">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4.本项目的特定条件：</w:t>
      </w:r>
    </w:p>
    <w:p w14:paraId="551E99E8">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（1）拟投入本工程的项目经理须持有二级或二级以上建造师注册证书，专业是建筑工程专业（以建造师注册证书中“专业 类别”栏所填写的专业为准），同时持有省级或省级以上建设行政主管部门或其授权部门（机构）颁发的B类安全生产考核合格证书；</w:t>
      </w:r>
    </w:p>
    <w:p w14:paraId="0B718740">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（2）拟投入本工程的安全员应持有省级或省级以上建设行政主管部门或其授权部门（机构）颁发的c 类安全生产考核合格证书。本项目不接受有在建、已成交未开工或已列为其他项目成交候选人第一名的建造师作为项目经理（符合《广西壮族自治区建筑市场诚信卡管理暂行办法》第十六条第一款除外）。</w:t>
      </w:r>
    </w:p>
    <w:p w14:paraId="4C5401A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68B2F2">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D6E1D29">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14:paraId="61239581">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bookmarkStart w:id="24" w:name="_Toc28359082"/>
      <w:bookmarkStart w:id="25" w:name="_Toc35393624"/>
      <w:bookmarkStart w:id="26" w:name="_Toc28359005"/>
      <w:bookmarkStart w:id="27" w:name="_Toc35393793"/>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日9时30分</w:t>
      </w:r>
      <w:r>
        <w:rPr>
          <w:rFonts w:hint="eastAsia" w:ascii="宋体" w:hAnsi="宋体" w:cs="宋体"/>
          <w:bCs/>
          <w:color w:val="auto"/>
          <w:szCs w:val="21"/>
          <w:highlight w:val="none"/>
        </w:rPr>
        <w:t>（北京时间）止</w:t>
      </w:r>
      <w:r>
        <w:rPr>
          <w:rFonts w:hint="eastAsia" w:ascii="宋体" w:hAnsi="宋体" w:cs="宋体"/>
          <w:color w:val="auto"/>
          <w:szCs w:val="21"/>
          <w:highlight w:val="none"/>
        </w:rPr>
        <w:t>。</w:t>
      </w:r>
    </w:p>
    <w:p w14:paraId="4EF224B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736D7E5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售价：0元。</w:t>
      </w:r>
    </w:p>
    <w:p w14:paraId="4746E354">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14:paraId="767029C1">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日9时30分</w:t>
      </w:r>
    </w:p>
    <w:p w14:paraId="37AAC29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2、首次响应文件提交地点：</w:t>
      </w:r>
    </w:p>
    <w:p w14:paraId="3CBAB62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72B5220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373E728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CB7B3C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693B29D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b/>
          <w:bCs/>
          <w:color w:val="auto"/>
          <w:kern w:val="0"/>
          <w:szCs w:val="21"/>
          <w:highlight w:val="none"/>
        </w:rPr>
      </w:pPr>
      <w:r>
        <w:rPr>
          <w:rFonts w:hint="eastAsia" w:ascii="宋体" w:hAnsi="宋体" w:cs="宋体"/>
          <w:color w:val="auto"/>
          <w:kern w:val="0"/>
          <w:szCs w:val="21"/>
          <w:highlight w:val="none"/>
        </w:rPr>
        <w:t>3、CA证书在线解密：</w:t>
      </w:r>
      <w:r>
        <w:rPr>
          <w:rFonts w:hint="eastAsia" w:ascii="宋体" w:hAnsi="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417BC9F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3E4AC164">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0B9B0EEC">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日9时30分后</w:t>
      </w:r>
    </w:p>
    <w:p w14:paraId="145F23E6">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color w:val="auto"/>
          <w:szCs w:val="21"/>
          <w:highlight w:val="none"/>
          <w:u w:val="single"/>
        </w:rPr>
        <w:t>广西政府采购云平台开标大厅</w:t>
      </w:r>
      <w:r>
        <w:rPr>
          <w:rFonts w:hint="eastAsia" w:ascii="宋体" w:hAnsi="宋体" w:cs="宋体"/>
          <w:color w:val="auto"/>
          <w:szCs w:val="21"/>
          <w:highlight w:val="none"/>
          <w:u w:val="single"/>
        </w:rPr>
        <w:t xml:space="preserve"> </w:t>
      </w:r>
    </w:p>
    <w:p w14:paraId="4BB990B0">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bookmarkStart w:id="28" w:name="_Toc35393625"/>
      <w:bookmarkStart w:id="29" w:name="_Toc28359084"/>
      <w:bookmarkStart w:id="30" w:name="_Toc28359007"/>
      <w:bookmarkStart w:id="31" w:name="_Toc35393794"/>
      <w:r>
        <w:rPr>
          <w:rFonts w:hint="eastAsia" w:ascii="宋体" w:hAnsi="宋体" w:cs="宋体"/>
          <w:b/>
          <w:bCs/>
          <w:color w:val="auto"/>
          <w:sz w:val="24"/>
          <w:highlight w:val="none"/>
        </w:rPr>
        <w:t>六、公告期限</w:t>
      </w:r>
      <w:bookmarkEnd w:id="28"/>
      <w:bookmarkEnd w:id="29"/>
      <w:bookmarkEnd w:id="30"/>
      <w:bookmarkEnd w:id="31"/>
    </w:p>
    <w:p w14:paraId="6582F31C">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3ED447E8">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bookmarkStart w:id="32" w:name="_Toc35393795"/>
      <w:bookmarkStart w:id="33" w:name="_Toc35393626"/>
      <w:r>
        <w:rPr>
          <w:rFonts w:hint="eastAsia" w:ascii="宋体" w:hAnsi="宋体" w:cs="宋体"/>
          <w:b/>
          <w:bCs/>
          <w:color w:val="auto"/>
          <w:sz w:val="24"/>
          <w:highlight w:val="none"/>
        </w:rPr>
        <w:t>七、其他补充事宜</w:t>
      </w:r>
      <w:bookmarkEnd w:id="32"/>
      <w:bookmarkEnd w:id="33"/>
    </w:p>
    <w:p w14:paraId="2D01D4E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6C47FF88">
      <w:pPr>
        <w:keepNext w:val="0"/>
        <w:keepLines w:val="0"/>
        <w:pageBreakBefore w:val="0"/>
        <w:kinsoku/>
        <w:wordWrap/>
        <w:overflowPunct/>
        <w:topLinePunct w:val="0"/>
        <w:autoSpaceDE/>
        <w:autoSpaceDN/>
        <w:bidi w:val="0"/>
        <w:adjustRightInd/>
        <w:spacing w:line="360" w:lineRule="auto"/>
        <w:ind w:left="420" w:leftChars="200"/>
        <w:jc w:val="left"/>
        <w:textAlignment w:val="auto"/>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2.采购意向公开链接：http://www.ccgp-guangxi.gov.cn/site/detail?parentId=66601&amp;articleId=3Pi/ZDLTuesk0s+Gad0kEA==</w:t>
      </w:r>
    </w:p>
    <w:p w14:paraId="4AF21492">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bookmarkStart w:id="34" w:name="_Hlk37429585"/>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14:paraId="0E41B12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中国政府采购网（www.ccgp.gov.cn）、广西壮族自治区政府采购网（http://zfcg.gxzf.gov.cn/）、全国公共资源交易平台(广西·南宁)（http://ggzy.jgswj.gxzf.gov.cn/nnggzy/）</w:t>
      </w:r>
    </w:p>
    <w:p w14:paraId="398920E0">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6"/>
    <w:p w14:paraId="1EBC91B1">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6381824">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04D2A118">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55CFD13D">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506AF90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9D35B72">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04CF0ACB">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5F2C1C8E">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1.采购人信息</w:t>
      </w:r>
    </w:p>
    <w:p w14:paraId="1CCBD35B">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名称：横州市第二高级中学</w:t>
      </w:r>
    </w:p>
    <w:p w14:paraId="2A2828F2">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地址：横州市横州镇柳福北巷21号</w:t>
      </w:r>
    </w:p>
    <w:p w14:paraId="3773C1D4">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项目联系人：韦老师</w:t>
      </w:r>
    </w:p>
    <w:p w14:paraId="50A93A24">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0771-7261995</w:t>
      </w:r>
    </w:p>
    <w:p w14:paraId="3BDC8F22">
      <w:pPr>
        <w:keepNext w:val="0"/>
        <w:keepLines w:val="0"/>
        <w:pageBreakBefore w:val="0"/>
        <w:kinsoku/>
        <w:wordWrap/>
        <w:overflowPunct/>
        <w:topLinePunct w:val="0"/>
        <w:autoSpaceDE/>
        <w:autoSpaceDN/>
        <w:bidi w:val="0"/>
        <w:adjustRightInd/>
        <w:spacing w:line="360" w:lineRule="auto"/>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2.采购代理机构信息</w:t>
      </w:r>
    </w:p>
    <w:p w14:paraId="10B2F068">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名称：广西达元工程管理有限责任公司</w:t>
      </w:r>
    </w:p>
    <w:p w14:paraId="5FB82FC0">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地址：南宁市青秀区通达东路1号凤岭综合客运枢纽站长途客运站第五层D501、D502</w:t>
      </w:r>
    </w:p>
    <w:p w14:paraId="013A9067">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项目联系人：雷工</w:t>
      </w:r>
    </w:p>
    <w:p w14:paraId="46AC1080">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联系电话：0771-3159590</w:t>
      </w:r>
    </w:p>
    <w:p w14:paraId="3A9F686C">
      <w:pPr>
        <w:keepNext w:val="0"/>
        <w:keepLines w:val="0"/>
        <w:pageBreakBefore w:val="0"/>
        <w:kinsoku/>
        <w:wordWrap/>
        <w:overflowPunct/>
        <w:topLinePunct w:val="0"/>
        <w:autoSpaceDE/>
        <w:autoSpaceDN/>
        <w:bidi w:val="0"/>
        <w:adjustRightInd/>
        <w:spacing w:line="360" w:lineRule="auto"/>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3.项目联系方式</w:t>
      </w:r>
    </w:p>
    <w:p w14:paraId="3B42D3B7">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项目联系人：雷工</w:t>
      </w:r>
    </w:p>
    <w:p w14:paraId="26D7D487">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电话：0771-3159590</w:t>
      </w:r>
    </w:p>
    <w:p w14:paraId="0F43527F">
      <w:pPr>
        <w:pStyle w:val="9"/>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bookmarkStart w:id="37" w:name="_Toc10702"/>
      <w:r>
        <w:rPr>
          <w:rFonts w:hint="eastAsia" w:ascii="宋体" w:hAnsi="宋体"/>
          <w:color w:val="auto"/>
          <w:highlight w:val="none"/>
        </w:rPr>
        <w:t>附件： 1.CA证书申请方式及操作指南下载地址（登陆</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7"/>
          <w:rFonts w:ascii="宋体" w:hAnsi="宋体"/>
          <w:color w:val="auto"/>
          <w:highlight w:val="none"/>
        </w:rPr>
        <w:t>http://nncz.nanning.gov.cn/</w:t>
      </w:r>
      <w:r>
        <w:rPr>
          <w:rStyle w:val="27"/>
          <w:rFonts w:ascii="宋体" w:hAnsi="宋体"/>
          <w:color w:val="auto"/>
          <w:highlight w:val="none"/>
        </w:rPr>
        <w:fldChar w:fldCharType="end"/>
      </w:r>
      <w:r>
        <w:rPr>
          <w:rFonts w:hint="eastAsia" w:ascii="宋体" w:hAnsi="宋体"/>
          <w:color w:val="auto"/>
          <w:highlight w:val="none"/>
        </w:rPr>
        <w:t>（南宁市财政局官网）</w:t>
      </w:r>
      <w:r>
        <w:rPr>
          <w:rFonts w:ascii="宋体" w:hAnsi="宋体"/>
          <w:color w:val="auto"/>
          <w:highlight w:val="none"/>
        </w:rPr>
        <w:t>-</w:t>
      </w:r>
      <w:r>
        <w:rPr>
          <w:rFonts w:hint="eastAsia" w:ascii="宋体" w:hAnsi="宋体"/>
          <w:color w:val="auto"/>
          <w:highlight w:val="none"/>
        </w:rPr>
        <w:t>业务专题-政府采购监督管理-资料下载</w:t>
      </w:r>
      <w:r>
        <w:rPr>
          <w:rFonts w:ascii="宋体" w:hAnsi="宋体"/>
          <w:color w:val="auto"/>
          <w:highlight w:val="none"/>
        </w:rPr>
        <w:t>-</w:t>
      </w:r>
      <w:r>
        <w:rPr>
          <w:rFonts w:hint="eastAsia" w:ascii="宋体" w:hAnsi="宋体"/>
          <w:color w:val="auto"/>
          <w:highlight w:val="none"/>
        </w:rPr>
        <w:t>“广西政采云西部</w:t>
      </w:r>
      <w:r>
        <w:rPr>
          <w:rFonts w:ascii="宋体" w:hAnsi="宋体"/>
          <w:color w:val="auto"/>
          <w:highlight w:val="none"/>
        </w:rPr>
        <w:t>CA</w:t>
      </w:r>
      <w:r>
        <w:rPr>
          <w:rFonts w:hint="eastAsia" w:ascii="宋体" w:hAnsi="宋体"/>
          <w:color w:val="auto"/>
          <w:highlight w:val="none"/>
        </w:rPr>
        <w:t>办理方式”或“南宁市政采云</w:t>
      </w:r>
      <w:r>
        <w:rPr>
          <w:rFonts w:ascii="宋体" w:hAnsi="宋体"/>
          <w:color w:val="auto"/>
          <w:highlight w:val="none"/>
        </w:rPr>
        <w:t>CA</w:t>
      </w:r>
      <w:r>
        <w:rPr>
          <w:rFonts w:hint="eastAsia" w:ascii="宋体" w:hAnsi="宋体"/>
          <w:color w:val="auto"/>
          <w:highlight w:val="none"/>
        </w:rPr>
        <w:t>证书办理操作指南”）</w:t>
      </w:r>
    </w:p>
    <w:p w14:paraId="44683113">
      <w:pPr>
        <w:pStyle w:val="9"/>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2.电子投标文件制作与投送教程（在此网址下载：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Fonts w:ascii="宋体" w:hAnsi="宋体"/>
          <w:color w:val="auto"/>
          <w:highlight w:val="none"/>
          <w:u w:val="single"/>
        </w:rPr>
        <w:t>http://nncz.nanning.gov.cn/</w:t>
      </w:r>
      <w:r>
        <w:rPr>
          <w:rFonts w:ascii="宋体" w:hAnsi="宋体"/>
          <w:color w:val="auto"/>
          <w:highlight w:val="none"/>
          <w:u w:val="single"/>
        </w:rPr>
        <w:fldChar w:fldCharType="end"/>
      </w:r>
      <w:r>
        <w:rPr>
          <w:rFonts w:hint="eastAsia" w:ascii="宋体" w:hAnsi="宋体"/>
          <w:color w:val="auto"/>
          <w:highlight w:val="none"/>
        </w:rPr>
        <w:t>（南宁市财政局官网）</w:t>
      </w:r>
      <w:r>
        <w:rPr>
          <w:rFonts w:ascii="宋体" w:hAnsi="宋体"/>
          <w:color w:val="auto"/>
          <w:highlight w:val="none"/>
        </w:rPr>
        <w:t>-</w:t>
      </w:r>
      <w:r>
        <w:rPr>
          <w:rFonts w:hint="eastAsia" w:ascii="宋体" w:hAnsi="宋体"/>
          <w:color w:val="auto"/>
          <w:highlight w:val="none"/>
        </w:rPr>
        <w:t>业务专题-政府采购监督管理-资料下载-南宁市政府采购项目全流程电子化交易操作指南）</w:t>
      </w:r>
    </w:p>
    <w:p w14:paraId="2236ED16">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p>
    <w:p w14:paraId="7BBF3C92">
      <w:pPr>
        <w:keepNext w:val="0"/>
        <w:keepLines w:val="0"/>
        <w:pageBreakBefore w:val="0"/>
        <w:kinsoku/>
        <w:wordWrap/>
        <w:overflowPunct/>
        <w:topLinePunct w:val="0"/>
        <w:autoSpaceDE/>
        <w:autoSpaceDN/>
        <w:bidi w:val="0"/>
        <w:adjustRightInd/>
        <w:spacing w:line="360" w:lineRule="auto"/>
        <w:jc w:val="right"/>
        <w:textAlignment w:val="auto"/>
        <w:rPr>
          <w:rFonts w:ascii="宋体" w:hAnsi="宋体" w:cs="宋体"/>
          <w:color w:val="auto"/>
          <w:szCs w:val="21"/>
          <w:highlight w:val="none"/>
        </w:rPr>
      </w:pPr>
      <w:r>
        <w:rPr>
          <w:rFonts w:hint="eastAsia" w:ascii="宋体" w:hAnsi="宋体" w:cs="宋体"/>
          <w:color w:val="auto"/>
          <w:szCs w:val="21"/>
          <w:highlight w:val="none"/>
        </w:rPr>
        <w:t>广西达元工程管理有限责任公司</w:t>
      </w:r>
    </w:p>
    <w:p w14:paraId="523BCCCE">
      <w:pPr>
        <w:keepNext w:val="0"/>
        <w:keepLines w:val="0"/>
        <w:pageBreakBefore w:val="0"/>
        <w:kinsoku/>
        <w:wordWrap/>
        <w:overflowPunct/>
        <w:topLinePunct w:val="0"/>
        <w:autoSpaceDE/>
        <w:autoSpaceDN/>
        <w:bidi w:val="0"/>
        <w:adjustRightInd/>
        <w:spacing w:line="360" w:lineRule="auto"/>
        <w:ind w:firstLine="210" w:firstLineChars="100"/>
        <w:jc w:val="center"/>
        <w:textAlignment w:val="auto"/>
        <w:rPr>
          <w:rFonts w:ascii="宋体" w:hAnsi="宋体" w:cs="宋体"/>
          <w:color w:val="auto"/>
          <w:highlight w:val="none"/>
        </w:rPr>
      </w:pPr>
      <w:r>
        <w:rPr>
          <w:rFonts w:hint="eastAsia" w:ascii="宋体" w:hAnsi="宋体" w:cs="宋体"/>
          <w:color w:val="auto"/>
          <w:szCs w:val="21"/>
          <w:highlight w:val="none"/>
        </w:rPr>
        <w:t xml:space="preserve">                                                             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p>
    <w:p w14:paraId="54F825CB">
      <w:pPr>
        <w:widowControl/>
        <w:spacing w:line="360" w:lineRule="auto"/>
        <w:jc w:val="left"/>
        <w:rPr>
          <w:rFonts w:ascii="宋体" w:hAnsi="宋体" w:cs="宋体"/>
          <w:color w:val="auto"/>
          <w:sz w:val="24"/>
          <w:highlight w:val="none"/>
          <w:lang w:val="zh-CN"/>
        </w:rPr>
        <w:sectPr>
          <w:footerReference r:id="rId5" w:type="default"/>
          <w:pgSz w:w="11906" w:h="16838"/>
          <w:pgMar w:top="1440" w:right="1080" w:bottom="1440" w:left="1080" w:header="720" w:footer="720" w:gutter="0"/>
          <w:pgNumType w:fmt="decimal"/>
          <w:cols w:space="720" w:num="1"/>
          <w:docGrid w:type="lines" w:linePitch="331" w:charSpace="0"/>
        </w:sectPr>
      </w:pPr>
    </w:p>
    <w:p w14:paraId="302704EE">
      <w:pPr>
        <w:pStyle w:val="2"/>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14:paraId="171E3D4E">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5023340C">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2137132F">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780C3F8D">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7C166E98">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664ED16">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14:paraId="464D7AB0">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62553CDF">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5FB68745">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79482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3ABAE754">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53C00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2AA77F9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E331A7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5769BD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63FBBC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14D246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1F89D4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1C5A472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0BAD3B2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14:paraId="6A4C9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14:paraId="0E92E4E0">
            <w:pPr>
              <w:spacing w:line="360" w:lineRule="exact"/>
              <w:jc w:val="center"/>
              <w:rPr>
                <w:rFonts w:ascii="宋体" w:hAnsi="宋体" w:cs="宋体"/>
                <w:b/>
                <w:bCs/>
                <w:color w:val="auto"/>
                <w:highlight w:val="none"/>
              </w:rPr>
            </w:pPr>
          </w:p>
        </w:tc>
        <w:tc>
          <w:tcPr>
            <w:tcW w:w="420" w:type="dxa"/>
            <w:tcBorders>
              <w:top w:val="single" w:color="auto" w:sz="4" w:space="0"/>
              <w:left w:val="single" w:color="auto" w:sz="4" w:space="0"/>
              <w:right w:val="single" w:color="auto" w:sz="4" w:space="0"/>
            </w:tcBorders>
            <w:vAlign w:val="center"/>
          </w:tcPr>
          <w:p w14:paraId="7985E1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right w:val="single" w:color="auto" w:sz="4" w:space="0"/>
            </w:tcBorders>
            <w:vAlign w:val="center"/>
          </w:tcPr>
          <w:p w14:paraId="2CB053D4">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横州市第二高级中学校椅校区田径场塑胶跑道及配套灯光和广播项目</w:t>
            </w:r>
          </w:p>
        </w:tc>
        <w:tc>
          <w:tcPr>
            <w:tcW w:w="464" w:type="dxa"/>
            <w:tcBorders>
              <w:top w:val="single" w:color="auto" w:sz="4" w:space="0"/>
              <w:left w:val="single" w:color="auto" w:sz="4" w:space="0"/>
              <w:right w:val="single" w:color="auto" w:sz="4" w:space="0"/>
            </w:tcBorders>
            <w:vAlign w:val="center"/>
          </w:tcPr>
          <w:p w14:paraId="099351BA">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42" w:type="dxa"/>
            <w:tcBorders>
              <w:top w:val="single" w:color="auto" w:sz="4" w:space="0"/>
              <w:left w:val="single" w:color="auto" w:sz="4" w:space="0"/>
              <w:right w:val="single" w:color="auto" w:sz="4" w:space="0"/>
            </w:tcBorders>
            <w:vAlign w:val="center"/>
          </w:tcPr>
          <w:p w14:paraId="43F05E9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787" w:type="dxa"/>
            <w:tcBorders>
              <w:top w:val="single" w:color="auto" w:sz="4" w:space="0"/>
              <w:left w:val="single" w:color="auto" w:sz="4" w:space="0"/>
              <w:right w:val="single" w:color="auto" w:sz="4" w:space="0"/>
            </w:tcBorders>
            <w:vAlign w:val="center"/>
          </w:tcPr>
          <w:p w14:paraId="5F33D25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一、工程概况</w:t>
            </w:r>
          </w:p>
          <w:p w14:paraId="527DBF56">
            <w:pPr>
              <w:pStyle w:val="29"/>
              <w:ind w:firstLine="420" w:firstLineChars="200"/>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1.项目拟建地点南宁市横县校椅镇东街202号</w:t>
            </w:r>
          </w:p>
          <w:p w14:paraId="79050FDA">
            <w:pPr>
              <w:pStyle w:val="29"/>
              <w:ind w:firstLine="420" w:firstLineChars="200"/>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2.拟建规模及主要建设内容:铺设塑胶跑道面积约5478平方米，高杆灯4盏，广播音箱8个，健身器械一套等。</w:t>
            </w:r>
          </w:p>
          <w:p w14:paraId="38526B69">
            <w:pPr>
              <w:pStyle w:val="29"/>
              <w:ind w:firstLine="420" w:firstLineChars="200"/>
              <w:jc w:val="left"/>
              <w:rPr>
                <w:rFonts w:eastAsia="宋体"/>
                <w:b w:val="0"/>
                <w:color w:val="auto"/>
                <w:highlight w:val="none"/>
              </w:rPr>
            </w:pPr>
            <w:r>
              <w:rPr>
                <w:rFonts w:hint="eastAsia" w:ascii="宋体" w:hAnsi="宋体" w:eastAsia="宋体" w:cs="宋体"/>
                <w:b w:val="0"/>
                <w:color w:val="auto"/>
                <w:szCs w:val="21"/>
                <w:highlight w:val="none"/>
              </w:rPr>
              <w:t>3.工程内容：建设横州市第二高级中学校椅校区田径场塑胶跑道及配套灯光和广播项目1项。具体内容见工程量清单。</w:t>
            </w:r>
          </w:p>
        </w:tc>
        <w:tc>
          <w:tcPr>
            <w:tcW w:w="727" w:type="dxa"/>
            <w:tcBorders>
              <w:top w:val="single" w:color="auto" w:sz="4" w:space="0"/>
              <w:left w:val="single" w:color="auto" w:sz="4" w:space="0"/>
              <w:right w:val="single" w:color="auto" w:sz="4" w:space="0"/>
            </w:tcBorders>
            <w:vAlign w:val="center"/>
          </w:tcPr>
          <w:p w14:paraId="430CDF3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1593141.70</w:t>
            </w:r>
          </w:p>
        </w:tc>
        <w:tc>
          <w:tcPr>
            <w:tcW w:w="1188" w:type="dxa"/>
            <w:tcBorders>
              <w:top w:val="single" w:color="auto" w:sz="4" w:space="0"/>
              <w:left w:val="single" w:color="auto" w:sz="4" w:space="0"/>
              <w:right w:val="single" w:color="auto" w:sz="4" w:space="0"/>
            </w:tcBorders>
            <w:vAlign w:val="center"/>
          </w:tcPr>
          <w:p w14:paraId="080467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建筑业</w:t>
            </w:r>
          </w:p>
        </w:tc>
      </w:tr>
      <w:tr w14:paraId="221E2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5"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30CD643E">
            <w:pPr>
              <w:spacing w:line="360" w:lineRule="exact"/>
              <w:jc w:val="center"/>
              <w:rPr>
                <w:rFonts w:ascii="宋体" w:hAnsi="宋体" w:cs="宋体"/>
                <w:color w:val="auto"/>
                <w:highlight w:val="none"/>
              </w:rPr>
            </w:pPr>
          </w:p>
          <w:p w14:paraId="4F2A7B12">
            <w:pPr>
              <w:spacing w:line="360" w:lineRule="exact"/>
              <w:jc w:val="center"/>
              <w:rPr>
                <w:rFonts w:ascii="宋体" w:hAnsi="宋体" w:cs="宋体"/>
                <w:color w:val="auto"/>
                <w:highlight w:val="none"/>
              </w:rPr>
            </w:pPr>
          </w:p>
          <w:p w14:paraId="7E1964C3">
            <w:pPr>
              <w:spacing w:line="360" w:lineRule="exact"/>
              <w:jc w:val="center"/>
              <w:rPr>
                <w:rFonts w:ascii="宋体" w:hAnsi="宋体" w:cs="宋体"/>
                <w:color w:val="auto"/>
                <w:highlight w:val="none"/>
              </w:rPr>
            </w:pPr>
            <w:r>
              <w:rPr>
                <w:rFonts w:hint="eastAsia" w:ascii="宋体" w:hAnsi="宋体" w:cs="宋体"/>
                <w:color w:val="auto"/>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148C9B5D">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一、合同签订期：自</w:t>
            </w:r>
            <w:r>
              <w:rPr>
                <w:rFonts w:hint="eastAsia" w:ascii="宋体" w:hAnsi="宋体" w:cs="宋体"/>
                <w:bCs/>
                <w:color w:val="auto"/>
                <w:highlight w:val="none"/>
              </w:rPr>
              <w:t>成交</w:t>
            </w:r>
            <w:r>
              <w:rPr>
                <w:rFonts w:hint="eastAsia" w:ascii="宋体" w:hAnsi="宋体" w:cs="宋体"/>
                <w:color w:val="auto"/>
                <w:highlight w:val="none"/>
              </w:rPr>
              <w:t>通知书发出之日起 25 日内（注：</w:t>
            </w:r>
            <w:r>
              <w:rPr>
                <w:rFonts w:hint="eastAsia" w:ascii="宋体" w:hAnsi="宋体" w:cs="宋体"/>
                <w:bCs/>
                <w:color w:val="auto"/>
                <w:highlight w:val="none"/>
              </w:rPr>
              <w:t>成交</w:t>
            </w:r>
            <w:r>
              <w:rPr>
                <w:rFonts w:hint="eastAsia" w:ascii="宋体" w:hAnsi="宋体" w:cs="宋体"/>
                <w:color w:val="auto"/>
                <w:highlight w:val="none"/>
              </w:rPr>
              <w:t>通知书发出之日起25日内必须签订合同。）</w:t>
            </w:r>
          </w:p>
          <w:p w14:paraId="54FBE8C8">
            <w:pPr>
              <w:widowControl/>
              <w:shd w:val="clear" w:color="auto" w:fill="FFFFFF"/>
              <w:spacing w:line="360" w:lineRule="exac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二、合同履行期限：工期：自签订合同之日起90日历天。</w:t>
            </w:r>
          </w:p>
          <w:p w14:paraId="441AD940">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三、提交服务成果地点：采购人指定地点。</w:t>
            </w:r>
          </w:p>
          <w:p w14:paraId="128FF9DF">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▲四、工程质量要求：达到</w:t>
            </w:r>
            <w:bookmarkStart w:id="38" w:name="EB4d4b13a461124532a79c71ae440db6f7"/>
            <w:r>
              <w:rPr>
                <w:rFonts w:hint="eastAsia" w:ascii="宋体" w:hAnsi="宋体" w:cs="宋体"/>
                <w:color w:val="auto"/>
                <w:highlight w:val="none"/>
              </w:rPr>
              <w:t>国家施工验收规范合格</w:t>
            </w:r>
            <w:bookmarkEnd w:id="38"/>
            <w:r>
              <w:rPr>
                <w:rFonts w:hint="eastAsia" w:ascii="宋体" w:hAnsi="宋体" w:cs="宋体"/>
                <w:color w:val="auto"/>
                <w:highlight w:val="none"/>
              </w:rPr>
              <w:t>标准。</w:t>
            </w:r>
          </w:p>
          <w:p w14:paraId="2F0CF6BA">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五、其他要求：</w:t>
            </w:r>
          </w:p>
          <w:p w14:paraId="5B4AC3E1">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1、本项目采用工程量清单报价。供应商应结合自身因素进行工程量清单报价，但不得超出采购预算价或最高限价，否则磋商无效。供应商必须就所投工程的全部内容作完整唯一报价，漏项报价的或有选择的或有条件的报价，其磋商无效。</w:t>
            </w:r>
          </w:p>
          <w:p w14:paraId="10EE46F0">
            <w:pPr>
              <w:widowControl/>
              <w:shd w:val="clear" w:color="auto" w:fill="FFFFFF"/>
              <w:spacing w:line="360" w:lineRule="exact"/>
              <w:ind w:firstLine="211" w:firstLineChars="100"/>
              <w:rPr>
                <w:rFonts w:ascii="宋体" w:hAnsi="宋体" w:cs="宋体"/>
                <w:b/>
                <w:bCs/>
                <w:color w:val="auto"/>
                <w:highlight w:val="none"/>
              </w:rPr>
            </w:pPr>
            <w:r>
              <w:rPr>
                <w:rFonts w:hint="eastAsia" w:ascii="宋体" w:hAnsi="宋体" w:cs="宋体"/>
                <w:b/>
                <w:bCs/>
                <w:color w:val="auto"/>
                <w:highlight w:val="none"/>
              </w:rPr>
              <w:t>首次报价与最后报价一致的，最后报价不需上传工程量清单；首次报价与最后报价不一致的，最后报价必须上传工程量清单。</w:t>
            </w:r>
          </w:p>
          <w:p w14:paraId="400E02C7">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▲2、报价必须含以下部分，包括：</w:t>
            </w:r>
          </w:p>
          <w:p w14:paraId="4F973BCF">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2.1 工程量清单中的每一子目须填入单价或价格，且只允许有一个报价。</w:t>
            </w:r>
          </w:p>
          <w:p w14:paraId="0EDA93CA">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2.2 .1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14C679C6">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11BD8BA2">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6832F419">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2.5 承包人用于本合同工程的各类装备的提供、运输、维护、拆卸、拼装等支付的费用，已包括在工程量清单的单价与总额价之中。</w:t>
            </w:r>
          </w:p>
          <w:p w14:paraId="6AEF9AFF">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2.6 工程量清单中各项金额均以人民币（元）结算。</w:t>
            </w:r>
          </w:p>
          <w:p w14:paraId="62F70240">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2.8 暂列金额（不含计日工总额）的数量及拟用子目的说明：详见工程量清单 。</w:t>
            </w:r>
          </w:p>
          <w:p w14:paraId="66D978F2">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2.9 暂估价的数量及拟用子目的说明：详见工程量清单。</w:t>
            </w:r>
          </w:p>
          <w:p w14:paraId="2E545EB4">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2.10供应商必须按照采购人提供的工程量清单格式填写，不可擅自修改工程量清单，磋商报价清单（已标价工程量清单）与采购人提供的工程量清单有任何不一致的，将做无效磋商处理。如供应商对采购人提供的工程量清单有疑问或异议，应在磋商文件规定的时间前发出询疑，要求采购人（或采购代理机构）对采购文件予以澄清，当采购文件、采购文件的修改、补充在同一内容表述不一致时，以最后经的更正、补遗、澄清为准。</w:t>
            </w:r>
          </w:p>
          <w:p w14:paraId="3D21DE8F">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2.11编制依据：详见工程量清单。</w:t>
            </w:r>
          </w:p>
          <w:p w14:paraId="0C603737">
            <w:pPr>
              <w:widowControl/>
              <w:shd w:val="clear" w:color="auto" w:fill="FFFFFF"/>
              <w:spacing w:line="360" w:lineRule="exact"/>
              <w:ind w:firstLine="420" w:firstLineChars="200"/>
              <w:rPr>
                <w:rFonts w:ascii="宋体" w:hAnsi="宋体" w:cs="宋体"/>
                <w:dstrike/>
                <w:color w:val="auto"/>
                <w:highlight w:val="none"/>
              </w:rPr>
            </w:pPr>
            <w:r>
              <w:rPr>
                <w:rFonts w:hint="eastAsia" w:ascii="宋体" w:hAnsi="宋体" w:cs="宋体"/>
                <w:color w:val="auto"/>
                <w:highlight w:val="none"/>
              </w:rPr>
              <w:t>▲3.付款方式：</w:t>
            </w:r>
          </w:p>
          <w:p w14:paraId="064A4209">
            <w:pPr>
              <w:widowControl/>
              <w:shd w:val="clear" w:color="auto" w:fill="FFFFFF"/>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3.1预付款支付比例或金额：</w:t>
            </w:r>
            <w:r>
              <w:rPr>
                <w:rFonts w:hint="eastAsia" w:hAnsi="宋体" w:cs="宋体"/>
                <w:color w:val="auto"/>
                <w:highlight w:val="none"/>
              </w:rPr>
              <w:t>合同价款扣除暂列金额后的 10%</w:t>
            </w:r>
            <w:r>
              <w:rPr>
                <w:rFonts w:hint="eastAsia" w:ascii="宋体" w:hAnsi="宋体" w:cs="宋体"/>
                <w:color w:val="auto"/>
                <w:highlight w:val="none"/>
              </w:rPr>
              <w:t>【备注：政府投资项目应严格执行工程预付款制度，工程预付款应不低于合同总价（扣除暂列金额）的10%（最高不超过30%，并与工程进度款分期按约定比例抵扣）】</w:t>
            </w:r>
          </w:p>
          <w:p w14:paraId="4CAD2355">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3.2工程款按进度支付，合同内进度款支付限额为已完成工程价款的80%，工程变更部分进度款支付限额为已完成工程价款的60%；工程完工验收达到质量要求，结算经审计后并向发包人提交完整的竣工资料，工程款支付至结算总价的97%（含已支付的）；发包人按工程价款结算总额的3%预留工程质量保修金，待工程质量保修期满后返还，工程保修期满后退还给承包人（无息）。</w:t>
            </w:r>
          </w:p>
          <w:p w14:paraId="1F0E1B9B">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▲4.工程质量保修期和缺陷责任期的具体期限：</w:t>
            </w:r>
            <w:r>
              <w:rPr>
                <w:rFonts w:hint="eastAsia" w:ascii="宋体" w:hAnsi="宋体" w:cs="宋体"/>
                <w:color w:val="auto"/>
                <w:szCs w:val="21"/>
                <w:highlight w:val="none"/>
                <w:u w:val="single"/>
              </w:rPr>
              <w:t>通过竣工验收后</w:t>
            </w:r>
            <w:r>
              <w:rPr>
                <w:rFonts w:hint="eastAsia" w:cs="宋体"/>
                <w:color w:val="auto"/>
                <w:szCs w:val="21"/>
                <w:highlight w:val="none"/>
                <w:u w:val="single"/>
              </w:rPr>
              <w:t>两</w:t>
            </w:r>
            <w:r>
              <w:rPr>
                <w:rFonts w:hint="eastAsia" w:ascii="宋体" w:hAnsi="宋体" w:cs="宋体"/>
                <w:color w:val="auto"/>
                <w:szCs w:val="21"/>
                <w:highlight w:val="none"/>
                <w:u w:val="single"/>
              </w:rPr>
              <w:t>年</w:t>
            </w:r>
            <w:r>
              <w:rPr>
                <w:rFonts w:hint="eastAsia" w:ascii="宋体" w:hAnsi="宋体" w:cs="宋体"/>
                <w:color w:val="auto"/>
                <w:highlight w:val="none"/>
              </w:rPr>
              <w:t>。</w:t>
            </w:r>
          </w:p>
        </w:tc>
      </w:tr>
    </w:tbl>
    <w:p w14:paraId="321F7B30">
      <w:pPr>
        <w:pStyle w:val="9"/>
        <w:spacing w:line="360" w:lineRule="exact"/>
        <w:ind w:firstLine="420" w:firstLineChars="200"/>
        <w:rPr>
          <w:rFonts w:ascii="宋体" w:hAnsi="宋体" w:cs="宋体"/>
          <w:color w:val="auto"/>
          <w:szCs w:val="21"/>
          <w:highlight w:val="none"/>
        </w:rPr>
      </w:pPr>
    </w:p>
    <w:p w14:paraId="216DC65E">
      <w:pPr>
        <w:widowControl/>
        <w:spacing w:line="360" w:lineRule="exact"/>
        <w:jc w:val="left"/>
        <w:rPr>
          <w:rFonts w:ascii="宋体" w:hAnsi="宋体" w:cs="宋体"/>
          <w:b/>
          <w:bCs/>
          <w:color w:val="auto"/>
          <w:szCs w:val="21"/>
          <w:highlight w:val="none"/>
        </w:rPr>
        <w:sectPr>
          <w:pgSz w:w="11910" w:h="16840"/>
          <w:pgMar w:top="1440" w:right="1080" w:bottom="1440" w:left="1080" w:header="720" w:footer="720" w:gutter="0"/>
          <w:pgNumType w:fmt="decimal"/>
          <w:cols w:space="720" w:num="1"/>
        </w:sectPr>
      </w:pPr>
    </w:p>
    <w:p w14:paraId="56FF1BD2">
      <w:pPr>
        <w:pStyle w:val="15"/>
        <w:jc w:val="left"/>
        <w:rPr>
          <w:rFonts w:hAnsi="宋体" w:cs="宋体"/>
          <w:color w:val="auto"/>
          <w:sz w:val="32"/>
          <w:szCs w:val="32"/>
          <w:highlight w:val="none"/>
        </w:rPr>
      </w:pPr>
      <w:r>
        <w:rPr>
          <w:rFonts w:hint="eastAsia" w:hAnsi="宋体" w:cs="宋体"/>
          <w:color w:val="auto"/>
          <w:sz w:val="32"/>
          <w:szCs w:val="32"/>
          <w:highlight w:val="none"/>
        </w:rPr>
        <w:t>附件1：</w:t>
      </w:r>
    </w:p>
    <w:p w14:paraId="6C531D9D">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0742A50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6FA3D80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23B1513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72D04C23">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0259ADA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7BFC092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3ED9F26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2A1726B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043D27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21A400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BAFA0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03294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5FDB1C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665B6E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198C4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CC472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293D25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F2034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7A1FF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291D5F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12A7B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F8AE7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234576F">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C018C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8A4D5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B2CCF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77B384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1F9F84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3155B8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2806C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550FAE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E94DD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28DC8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0C0E92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56C379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40A745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9450E38">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842F9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697710B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58E7F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23C1A7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474B56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678192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E83F7B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0EC720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78D33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30C90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25E071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77FC7D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12FE06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4ADA0E7">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F9888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78AC5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7F78A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25913E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55C4EF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90A74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9B709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532F2D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F5A64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A6644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09897D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0CFCC6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83D9A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F082A73">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ECC9D7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433EA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CC2C0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4DD684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3B89FF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A921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D43564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7CA1B0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27DA4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A3F5C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65334C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388FA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8C2207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0C48A23">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3678F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68A23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43DAD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5D2127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13376D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BF7D4E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A27EC1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1A837C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CCCE3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4DF1A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595A05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F1C84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CDCEF8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449045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CF43D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25DE1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E943A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488DBC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35DCBC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452F9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351B8C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4F856F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8C038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1C539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9C918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17B7B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607CB1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0DBAECB">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6FEDB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826E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6EADC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0CE5A3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52048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9FD7F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378675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300938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AD8A8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382AB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216DA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59504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E8EBCB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1A78AB2">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8FD7F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6805D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E9E5F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538198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C350E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AAEA2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AF471F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2FFB49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357EA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B69CF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089005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C969A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2930B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9059EA1">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41E04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68C11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C1D9E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38E1BD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A4695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68CEA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049F08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055693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CF0A9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BB9FE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6ACEE1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E8E30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295B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C47C0F">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BC082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705BF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792C4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1C3CE1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276236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5DA6D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35F5F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3BA8FF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C498B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BA43A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CAA96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2ADA5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AC4ED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E457F11">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70050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E957C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E6238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4E7F51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212EED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AF4D78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EC0CE1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36D178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375BD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D587D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4A7840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45C7A2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65BC56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50D2563">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3C443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36859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1651F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3D71FB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510DBB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DFCDF3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6FE9B4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6D0F7B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73DB0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11600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759A92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734B85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C689EAC">
        <w:tblPrEx>
          <w:tblCellMar>
            <w:top w:w="0" w:type="dxa"/>
            <w:left w:w="108" w:type="dxa"/>
            <w:bottom w:w="0" w:type="dxa"/>
            <w:right w:w="108" w:type="dxa"/>
          </w:tblCellMar>
        </w:tblPrEx>
        <w:trPr>
          <w:trHeight w:val="90" w:hRule="atLeast"/>
        </w:trPr>
        <w:tc>
          <w:tcPr>
            <w:tcW w:w="1985" w:type="dxa"/>
            <w:vMerge w:val="continue"/>
            <w:tcBorders>
              <w:top w:val="nil"/>
              <w:left w:val="single" w:color="auto" w:sz="4" w:space="0"/>
              <w:bottom w:val="single" w:color="auto" w:sz="4" w:space="0"/>
              <w:right w:val="single" w:color="auto" w:sz="4" w:space="0"/>
            </w:tcBorders>
            <w:vAlign w:val="center"/>
          </w:tcPr>
          <w:p w14:paraId="54221F14">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26AD9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9832E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1105E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0542CB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0298D9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0373EE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251AB4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749804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DC4C1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B43F9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732136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72AD8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22E2A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366A38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A656F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5DB27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40FB8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27899F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0599C9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CC4208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B8FB0F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5B1D26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1868C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0CA2A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2AE86E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7C1D5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9727803">
      <w:pPr>
        <w:spacing w:line="560" w:lineRule="exact"/>
        <w:ind w:firstLine="525" w:firstLineChars="250"/>
        <w:rPr>
          <w:rFonts w:ascii="宋体" w:hAnsi="宋体" w:cs="宋体"/>
          <w:color w:val="auto"/>
          <w:kern w:val="0"/>
          <w:sz w:val="20"/>
          <w:szCs w:val="21"/>
          <w:highlight w:val="none"/>
        </w:rPr>
        <w:sectPr>
          <w:pgSz w:w="11906" w:h="16838"/>
          <w:pgMar w:top="1440" w:right="1080" w:bottom="1440" w:left="1080" w:header="720" w:footer="720" w:gutter="0"/>
          <w:pgNumType w:fmt="decimal"/>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B42F232">
      <w:pPr>
        <w:pStyle w:val="2"/>
        <w:jc w:val="center"/>
        <w:rPr>
          <w:rFonts w:ascii="宋体" w:hAnsi="宋体" w:cs="宋体"/>
          <w:color w:val="auto"/>
          <w:highlight w:val="none"/>
        </w:rPr>
      </w:pPr>
      <w:bookmarkStart w:id="39" w:name="_Toc32550"/>
      <w:r>
        <w:rPr>
          <w:rFonts w:hint="eastAsia" w:ascii="宋体" w:hAnsi="宋体" w:cs="宋体"/>
          <w:bCs w:val="0"/>
          <w:color w:val="auto"/>
          <w:sz w:val="32"/>
          <w:szCs w:val="32"/>
          <w:highlight w:val="none"/>
        </w:rPr>
        <w:t>第三章 供应商须知</w:t>
      </w:r>
      <w:bookmarkEnd w:id="39"/>
    </w:p>
    <w:p w14:paraId="46F4A45C">
      <w:pPr>
        <w:pStyle w:val="3"/>
        <w:jc w:val="center"/>
        <w:rPr>
          <w:rFonts w:ascii="宋体" w:hAnsi="宋体" w:cs="宋体"/>
          <w:color w:val="auto"/>
          <w:highlight w:val="none"/>
        </w:rPr>
      </w:pPr>
      <w:bookmarkStart w:id="40" w:name="_Toc28882"/>
      <w:r>
        <w:rPr>
          <w:rFonts w:hint="eastAsia" w:ascii="宋体" w:hAnsi="宋体" w:cs="宋体"/>
          <w:b w:val="0"/>
          <w:color w:val="auto"/>
          <w:highlight w:val="none"/>
        </w:rPr>
        <w:t>第一节 供应商须知前附表</w:t>
      </w:r>
      <w:bookmarkEnd w:id="40"/>
    </w:p>
    <w:tbl>
      <w:tblPr>
        <w:tblStyle w:val="2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04802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34734B4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782C9EE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42C9D6C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31A75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94A64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3D78D84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6FE3D835">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2E363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39EE4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4C4027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60887D26">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20B52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E9360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551BD1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3F23AC55">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63013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59899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30F123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065D209C">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14:paraId="5B079F6F">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□允许转包/分包</w:t>
            </w:r>
          </w:p>
          <w:p w14:paraId="5E0443D2">
            <w:pPr>
              <w:pStyle w:val="9"/>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761E850E">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1430A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52279F6">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79C063A1">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1CBDB169">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0FA17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A64C6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0A5BC05C">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71460C49">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4042443E">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916162">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2024年10月至2025年4月期间连续 3 个月</w:t>
            </w:r>
            <w:r>
              <w:rPr>
                <w:rFonts w:hint="eastAsia" w:ascii="宋体" w:hAnsi="宋体" w:cs="宋体"/>
                <w:color w:val="auto"/>
                <w:szCs w:val="21"/>
                <w:highlight w:val="none"/>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8C5188">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2024年10月至2025年4月期间连续 3 个月</w:t>
            </w:r>
            <w:r>
              <w:rPr>
                <w:rFonts w:hint="eastAsia" w:ascii="宋体" w:hAnsi="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5E1D3BF">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4.供应商财务状况报告：提供</w:t>
            </w:r>
            <w:r>
              <w:rPr>
                <w:rFonts w:hint="eastAsia" w:ascii="宋体" w:hAnsi="宋体" w:cs="宋体"/>
                <w:color w:val="auto"/>
                <w:szCs w:val="21"/>
                <w:highlight w:val="none"/>
                <w:u w:val="single"/>
              </w:rPr>
              <w:t>2023年或2024年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19995F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16BA0B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FF35A2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29B7EFC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8.中小企业声明函或残疾人福利性单位声明函或属于监狱企业的证明文件；（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45413B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9.资格证书：</w:t>
            </w:r>
            <w:r>
              <w:rPr>
                <w:rFonts w:ascii="Calibri" w:hAnsi="Calibri" w:cs="Calibri"/>
                <w:color w:val="auto"/>
                <w:szCs w:val="21"/>
                <w:highlight w:val="none"/>
              </w:rPr>
              <w:t>①</w:t>
            </w:r>
            <w:r>
              <w:rPr>
                <w:rFonts w:hint="eastAsia" w:ascii="Calibri" w:hAnsi="Calibri" w:cs="Calibri"/>
                <w:color w:val="auto"/>
                <w:szCs w:val="21"/>
                <w:highlight w:val="none"/>
              </w:rPr>
              <w:t>供应商</w:t>
            </w:r>
            <w:r>
              <w:rPr>
                <w:rFonts w:hint="eastAsia" w:ascii="宋体" w:hAnsi="宋体" w:cs="宋体"/>
                <w:color w:val="auto"/>
                <w:szCs w:val="21"/>
                <w:highlight w:val="none"/>
              </w:rPr>
              <w:t>建筑工程施工总承包叁级(含)以上资质证书，</w:t>
            </w:r>
            <w:r>
              <w:rPr>
                <w:rFonts w:hint="eastAsia" w:ascii="Calibri" w:hAnsi="Calibri" w:cs="Calibri"/>
                <w:color w:val="auto"/>
                <w:szCs w:val="21"/>
                <w:highlight w:val="none"/>
              </w:rPr>
              <w:t>同时持有</w:t>
            </w:r>
            <w:r>
              <w:rPr>
                <w:rFonts w:hint="eastAsia" w:ascii="宋体" w:hAnsi="宋体" w:cs="宋体"/>
                <w:color w:val="auto"/>
                <w:szCs w:val="21"/>
                <w:highlight w:val="none"/>
              </w:rPr>
              <w:t>省级及以上建设行政主管部门颁发的安全生产许可证；</w:t>
            </w:r>
            <w:r>
              <w:rPr>
                <w:rFonts w:ascii="Calibri" w:hAnsi="Calibri" w:cs="Calibri"/>
                <w:color w:val="auto"/>
                <w:szCs w:val="21"/>
                <w:highlight w:val="none"/>
              </w:rPr>
              <w:t>②</w:t>
            </w:r>
            <w:r>
              <w:rPr>
                <w:rFonts w:hint="eastAsia" w:ascii="宋体" w:hAnsi="宋体" w:cs="宋体"/>
                <w:color w:val="auto"/>
                <w:szCs w:val="21"/>
                <w:highlight w:val="none"/>
              </w:rPr>
              <w:t>拟投入本工程的项目经理具有二级或二级以上建造师注册证书，专业是建筑工程专业（以建造师注册证书中“专业 类别”栏所填写的专业为准），同时持有省级或省级以上建设行政主管部门或其授权部门（机构）颁发的B类安全生产考核合格证书；</w:t>
            </w:r>
            <w:r>
              <w:rPr>
                <w:rFonts w:ascii="Calibri" w:hAnsi="Calibri" w:cs="Calibri"/>
                <w:color w:val="auto"/>
                <w:szCs w:val="21"/>
                <w:highlight w:val="none"/>
              </w:rPr>
              <w:t>③拟投入本</w:t>
            </w:r>
            <w:r>
              <w:rPr>
                <w:rFonts w:hint="eastAsia" w:ascii="Calibri" w:hAnsi="Calibri" w:cs="Calibri"/>
                <w:color w:val="auto"/>
                <w:szCs w:val="21"/>
                <w:highlight w:val="none"/>
              </w:rPr>
              <w:t>工程</w:t>
            </w:r>
            <w:r>
              <w:rPr>
                <w:rFonts w:ascii="Calibri" w:hAnsi="Calibri" w:cs="Calibri"/>
                <w:color w:val="auto"/>
                <w:szCs w:val="21"/>
                <w:highlight w:val="none"/>
              </w:rPr>
              <w:t>的安全员应持有省级或省级以上</w:t>
            </w:r>
            <w:r>
              <w:rPr>
                <w:rFonts w:hint="eastAsia" w:ascii="Calibri" w:hAnsi="Calibri" w:cs="Calibri"/>
                <w:color w:val="auto"/>
                <w:szCs w:val="21"/>
                <w:highlight w:val="none"/>
              </w:rPr>
              <w:t>建设行政主管部门</w:t>
            </w:r>
            <w:r>
              <w:rPr>
                <w:rFonts w:ascii="Calibri" w:hAnsi="Calibri" w:cs="Calibri"/>
                <w:color w:val="auto"/>
                <w:szCs w:val="21"/>
                <w:highlight w:val="none"/>
              </w:rPr>
              <w:t>或其授权部门（机构）颁发的c 类安全生产考核合格证书。</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147EE7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10、除磋商文件规定必须提供以外，供应商认为需要提供的其他证明材料；</w:t>
            </w:r>
          </w:p>
          <w:p w14:paraId="36CEC10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01ABF76C">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5F506E12">
            <w:pPr>
              <w:pStyle w:val="9"/>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534E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42F442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3C4CD587">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4DE4D4D8">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E0634D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54B6CA0">
            <w:pPr>
              <w:spacing w:line="360" w:lineRule="auto"/>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6970BA8">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73789CD">
            <w:pPr>
              <w:spacing w:line="360" w:lineRule="auto"/>
              <w:rPr>
                <w:rFonts w:ascii="宋体" w:hAnsi="宋体" w:cs="宋体"/>
                <w:color w:val="auto"/>
                <w:szCs w:val="21"/>
                <w:highlight w:val="none"/>
              </w:rPr>
            </w:pPr>
            <w:r>
              <w:rPr>
                <w:rFonts w:hint="eastAsia" w:ascii="宋体" w:hAnsi="宋体" w:cs="宋体"/>
                <w:color w:val="auto"/>
                <w:szCs w:val="21"/>
                <w:highlight w:val="none"/>
              </w:rPr>
              <w:t>5.竞标人情况介绍；</w:t>
            </w:r>
          </w:p>
          <w:p w14:paraId="66382D19">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61CA0992">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15D2D067">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093B7C41">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7FB78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3D1A2A6">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3DA4B43">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2113726E">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B89FEA9">
            <w:pPr>
              <w:spacing w:line="360" w:lineRule="auto"/>
              <w:rPr>
                <w:rFonts w:ascii="宋体" w:hAnsi="宋体" w:cs="宋体"/>
                <w:color w:val="auto"/>
                <w:szCs w:val="21"/>
                <w:highlight w:val="none"/>
              </w:rPr>
            </w:pPr>
            <w:r>
              <w:rPr>
                <w:rFonts w:hint="eastAsia" w:ascii="宋体" w:hAnsi="宋体" w:cs="宋体"/>
                <w:color w:val="auto"/>
                <w:szCs w:val="21"/>
                <w:highlight w:val="none"/>
              </w:rPr>
              <w:t>2.施工组织设计；</w:t>
            </w:r>
          </w:p>
          <w:p w14:paraId="18BDB919">
            <w:pPr>
              <w:spacing w:line="360" w:lineRule="auto"/>
              <w:rPr>
                <w:rFonts w:ascii="宋体" w:hAnsi="宋体" w:cs="宋体"/>
                <w:color w:val="auto"/>
                <w:szCs w:val="21"/>
                <w:highlight w:val="none"/>
              </w:rPr>
            </w:pPr>
            <w:r>
              <w:rPr>
                <w:rFonts w:hint="eastAsia" w:ascii="宋体" w:hAnsi="宋体" w:cs="宋体"/>
                <w:color w:val="auto"/>
                <w:szCs w:val="21"/>
                <w:highlight w:val="none"/>
              </w:rPr>
              <w:t>3.售后服务承诺；（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3DEA9A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4.项目实施人员一览表； </w:t>
            </w:r>
          </w:p>
          <w:p w14:paraId="72C922F6">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3A0E1138">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1852115E">
            <w:pPr>
              <w:spacing w:line="360" w:lineRule="auto"/>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4039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6A31C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678550EB">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787FCC4F">
            <w:pPr>
              <w:spacing w:line="360" w:lineRule="auto"/>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74EF9815">
            <w:pPr>
              <w:spacing w:line="360" w:lineRule="auto"/>
              <w:rPr>
                <w:rFonts w:ascii="宋体" w:hAnsi="宋体" w:cs="宋体"/>
                <w:b/>
                <w:bCs/>
                <w:color w:val="auto"/>
                <w:szCs w:val="21"/>
                <w:highlight w:val="none"/>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p w14:paraId="13A11E7E">
            <w:pPr>
              <w:spacing w:line="360" w:lineRule="auto"/>
              <w:rPr>
                <w:rFonts w:ascii="宋体" w:hAnsi="宋体" w:cs="宋体"/>
                <w:b/>
                <w:bCs/>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bCs/>
                <w:color w:val="auto"/>
                <w:szCs w:val="21"/>
                <w:highlight w:val="none"/>
              </w:rPr>
              <w:t>（必须提供，否则响应文件按无效响应处理）</w:t>
            </w:r>
          </w:p>
        </w:tc>
      </w:tr>
      <w:tr w14:paraId="4F153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1369B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0A40E8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3456F7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FD4C76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2.响应文件电子版密封方式：电子响应文件通过平台有效CA加密后在“广西政府采购云平台”平台投送。（操作方式见公告附件“电子响应文件制作与投送教程”）</w:t>
            </w:r>
          </w:p>
        </w:tc>
      </w:tr>
      <w:tr w14:paraId="1D22C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A05AC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1B3780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018897E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7FFA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76EE8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6D224C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45D67779">
            <w:pPr>
              <w:pStyle w:val="7"/>
              <w:numPr>
                <w:ilvl w:val="0"/>
                <w:numId w:val="0"/>
              </w:numPr>
              <w:tabs>
                <w:tab w:val="left" w:pos="720"/>
                <w:tab w:val="left" w:pos="840"/>
              </w:tabs>
              <w:snapToGrid w:val="0"/>
              <w:spacing w:after="120"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17857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B7253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68C081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688D0F2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7CE8A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ACD76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16604D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77672217">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5B3D6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A521490">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D11CB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5C1BFD7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1982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9D6CE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44E5E8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2E70C41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1D0E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CB3AD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29524A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7C9B25A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59B97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0CBC89A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32AFFC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163857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1CB5EB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4E47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1339EC4">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EF12B6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086D083D">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0CBE5A40">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2B29E17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41BC21D1">
            <w:pPr>
              <w:pStyle w:val="9"/>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58D1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13596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47A818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67491CA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16BD1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FD69C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752257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1074CC9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3A02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E0A73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1AE385B9">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361B013">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44F7E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09C2FF4">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215CAB38">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6F9CB48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广西达元工程管理有限责任公司</w:t>
            </w:r>
            <w:r>
              <w:rPr>
                <w:rFonts w:hint="eastAsia" w:ascii="宋体" w:hAnsi="宋体" w:cs="宋体"/>
                <w:color w:val="auto"/>
                <w:szCs w:val="21"/>
                <w:highlight w:val="none"/>
              </w:rPr>
              <w:t>部门；</w:t>
            </w:r>
          </w:p>
          <w:p w14:paraId="0F1438BF">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0771-3159590</w:t>
            </w:r>
          </w:p>
          <w:p w14:paraId="0338E1B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南宁市青秀区通达东路1号凤岭综合客运枢纽站长途客运站第五层D501、D502</w:t>
            </w:r>
            <w:r>
              <w:rPr>
                <w:rFonts w:hint="eastAsia" w:ascii="宋体" w:hAnsi="宋体" w:cs="宋体"/>
                <w:color w:val="auto"/>
                <w:szCs w:val="21"/>
                <w:highlight w:val="none"/>
              </w:rPr>
              <w:t xml:space="preserve"> </w:t>
            </w:r>
          </w:p>
          <w:p w14:paraId="2D970CE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横州市第二高级中学</w:t>
            </w:r>
            <w:r>
              <w:rPr>
                <w:rFonts w:hint="eastAsia" w:ascii="宋体" w:hAnsi="宋体" w:cs="宋体"/>
                <w:color w:val="auto"/>
                <w:szCs w:val="21"/>
                <w:highlight w:val="none"/>
              </w:rPr>
              <w:t>部门；</w:t>
            </w:r>
          </w:p>
          <w:p w14:paraId="51775F5A">
            <w:pPr>
              <w:snapToGrid w:val="0"/>
              <w:spacing w:line="38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0771-7261995</w:t>
            </w:r>
          </w:p>
          <w:p w14:paraId="0ECE170E">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通讯地址：横州市横州镇柳福北巷21号 </w:t>
            </w:r>
          </w:p>
        </w:tc>
      </w:tr>
      <w:tr w14:paraId="2CCE8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BD20B48">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D821DCE">
            <w:pPr>
              <w:spacing w:line="38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31E5BFF5">
            <w:pPr>
              <w:snapToGrid w:val="0"/>
              <w:spacing w:line="38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p>
        </w:tc>
      </w:tr>
      <w:tr w14:paraId="485D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14CA3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57A603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6834358">
            <w:pPr>
              <w:snapToGrid w:val="0"/>
              <w:spacing w:line="38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6F34B6AE">
            <w:pPr>
              <w:snapToGrid w:val="0"/>
              <w:spacing w:line="380" w:lineRule="exact"/>
              <w:rPr>
                <w:rFonts w:ascii="宋体" w:hAnsi="宋体" w:cs="宋体"/>
                <w:color w:val="auto"/>
                <w:highlight w:val="none"/>
              </w:rPr>
            </w:pPr>
            <w:r>
              <w:rPr>
                <w:rFonts w:hint="eastAsia" w:ascii="宋体" w:hAnsi="宋体" w:cs="宋体"/>
                <w:color w:val="auto"/>
                <w:highlight w:val="none"/>
              </w:rPr>
              <w:t>2、邮寄地址：</w:t>
            </w:r>
          </w:p>
          <w:p w14:paraId="1CDCBF5F">
            <w:pPr>
              <w:snapToGrid w:val="0"/>
              <w:spacing w:line="380" w:lineRule="exact"/>
              <w:rPr>
                <w:rFonts w:ascii="宋体" w:hAnsi="宋体" w:cs="宋体"/>
                <w:color w:val="auto"/>
                <w:highlight w:val="none"/>
              </w:rPr>
            </w:pPr>
            <w:r>
              <w:rPr>
                <w:rFonts w:hint="eastAsia" w:ascii="宋体" w:hAnsi="宋体" w:cs="宋体"/>
                <w:color w:val="auto"/>
                <w:highlight w:val="none"/>
              </w:rPr>
              <w:t>名称：南宁市横州市财政局</w:t>
            </w:r>
          </w:p>
          <w:p w14:paraId="5F9699CF">
            <w:pPr>
              <w:snapToGrid w:val="0"/>
              <w:spacing w:line="380" w:lineRule="exact"/>
              <w:rPr>
                <w:rFonts w:ascii="宋体" w:hAnsi="宋体" w:cs="宋体"/>
                <w:color w:val="auto"/>
                <w:highlight w:val="none"/>
              </w:rPr>
            </w:pPr>
            <w:r>
              <w:rPr>
                <w:rFonts w:hint="eastAsia" w:ascii="宋体" w:hAnsi="宋体" w:cs="宋体"/>
                <w:color w:val="auto"/>
                <w:highlight w:val="none"/>
              </w:rPr>
              <w:t>地址：广西横州市横州镇柳明路022号</w:t>
            </w:r>
          </w:p>
          <w:p w14:paraId="7F0D2191">
            <w:pPr>
              <w:snapToGrid w:val="0"/>
              <w:spacing w:line="380" w:lineRule="exact"/>
              <w:rPr>
                <w:rFonts w:ascii="宋体" w:hAnsi="宋体" w:cs="宋体"/>
                <w:color w:val="auto"/>
                <w:highlight w:val="none"/>
              </w:rPr>
            </w:pPr>
            <w:r>
              <w:rPr>
                <w:rFonts w:hint="eastAsia" w:ascii="宋体" w:hAnsi="宋体" w:cs="宋体"/>
                <w:color w:val="auto"/>
                <w:highlight w:val="none"/>
              </w:rPr>
              <w:t>联系电话：0771-7233567</w:t>
            </w:r>
          </w:p>
        </w:tc>
      </w:tr>
      <w:tr w14:paraId="4B3A2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76238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0CDF08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279AB07B">
            <w:pPr>
              <w:pStyle w:val="15"/>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0E48830F">
            <w:pPr>
              <w:pStyle w:val="15"/>
              <w:snapToGrid w:val="0"/>
              <w:spacing w:line="360" w:lineRule="auto"/>
              <w:rPr>
                <w:rFonts w:hAnsi="宋体" w:cs="宋体"/>
                <w:color w:val="auto"/>
                <w:sz w:val="21"/>
                <w:highlight w:val="none"/>
              </w:rPr>
            </w:pPr>
            <w:r>
              <w:rPr>
                <w:rFonts w:hint="eastAsia" w:hAnsi="宋体" w:cs="宋体"/>
                <w:color w:val="auto"/>
                <w:sz w:val="21"/>
                <w:highlight w:val="none"/>
              </w:rPr>
              <w:t>☑是    □ 否</w:t>
            </w:r>
          </w:p>
          <w:p w14:paraId="077BED46">
            <w:pPr>
              <w:pStyle w:val="15"/>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6375BB0F">
            <w:pPr>
              <w:pStyle w:val="15"/>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15962B2F">
            <w:pPr>
              <w:pStyle w:val="15"/>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10379865">
            <w:pPr>
              <w:pStyle w:val="15"/>
              <w:snapToGrid w:val="0"/>
              <w:spacing w:line="380" w:lineRule="exact"/>
              <w:rPr>
                <w:rFonts w:hAnsi="宋体" w:cs="宋体"/>
                <w:color w:val="auto"/>
                <w:sz w:val="21"/>
                <w:highlight w:val="none"/>
              </w:rPr>
            </w:pPr>
            <w:r>
              <w:rPr>
                <w:rFonts w:hint="eastAsia" w:hAnsi="宋体" w:cs="宋体"/>
                <w:color w:val="auto"/>
                <w:sz w:val="21"/>
                <w:highlight w:val="none"/>
              </w:rPr>
              <w:t>3.采购代理费收取标准：</w:t>
            </w:r>
          </w:p>
          <w:p w14:paraId="4D1DE595">
            <w:pPr>
              <w:pStyle w:val="15"/>
              <w:snapToGrid w:val="0"/>
              <w:spacing w:line="380" w:lineRule="exact"/>
              <w:rPr>
                <w:rFonts w:hAnsi="宋体" w:cs="宋体"/>
                <w:color w:val="auto"/>
                <w:sz w:val="21"/>
                <w:highlight w:val="none"/>
              </w:rPr>
            </w:pPr>
            <w:r>
              <w:rPr>
                <w:rFonts w:hint="eastAsia" w:hAnsi="宋体" w:cs="宋体"/>
                <w:color w:val="auto"/>
                <w:sz w:val="21"/>
                <w:highlight w:val="none"/>
              </w:rPr>
              <w:t>本项目委托招标代理服务费按《发改价格[2011]534 号文》、桂价费[2011]55 号广西壮族自治区物价局所规定的工程招标类基准价格乘以相应下浮系数25%计取。采购代理费由采购代理机构向成交供应商收取。成交供应商在领取成交通知书前一次性向采购代理机构付清采购代理费。</w:t>
            </w:r>
          </w:p>
          <w:tbl>
            <w:tblPr>
              <w:tblStyle w:val="24"/>
              <w:tblW w:w="6633" w:type="dxa"/>
              <w:jc w:val="center"/>
              <w:tblLayout w:type="fixed"/>
              <w:tblCellMar>
                <w:top w:w="0" w:type="dxa"/>
                <w:left w:w="108" w:type="dxa"/>
                <w:bottom w:w="0" w:type="dxa"/>
                <w:right w:w="108" w:type="dxa"/>
              </w:tblCellMar>
            </w:tblPr>
            <w:tblGrid>
              <w:gridCol w:w="3854"/>
              <w:gridCol w:w="2779"/>
            </w:tblGrid>
            <w:tr w14:paraId="65526F48">
              <w:trPr>
                <w:trHeight w:val="602" w:hRule="atLeast"/>
                <w:jc w:val="center"/>
              </w:trPr>
              <w:tc>
                <w:tcPr>
                  <w:tcW w:w="3854" w:type="dxa"/>
                  <w:tcBorders>
                    <w:top w:val="single" w:color="auto" w:sz="4" w:space="0"/>
                    <w:left w:val="single" w:color="auto" w:sz="4" w:space="0"/>
                    <w:bottom w:val="single" w:color="auto" w:sz="4" w:space="0"/>
                    <w:right w:val="single" w:color="auto" w:sz="4" w:space="0"/>
                  </w:tcBorders>
                  <w:vAlign w:val="center"/>
                </w:tcPr>
                <w:p w14:paraId="03FEE592">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中标（成交）金额（万元）范围</w:t>
                  </w:r>
                </w:p>
              </w:tc>
              <w:tc>
                <w:tcPr>
                  <w:tcW w:w="2779" w:type="dxa"/>
                  <w:tcBorders>
                    <w:top w:val="single" w:color="auto" w:sz="4" w:space="0"/>
                    <w:left w:val="nil"/>
                    <w:bottom w:val="single" w:color="auto" w:sz="4" w:space="0"/>
                    <w:right w:val="single" w:color="auto" w:sz="4" w:space="0"/>
                  </w:tcBorders>
                  <w:vAlign w:val="center"/>
                </w:tcPr>
                <w:p w14:paraId="74456770">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费率</w:t>
                  </w:r>
                </w:p>
              </w:tc>
            </w:tr>
            <w:tr w14:paraId="454C72AC">
              <w:tblPrEx>
                <w:tblCellMar>
                  <w:top w:w="0" w:type="dxa"/>
                  <w:left w:w="108" w:type="dxa"/>
                  <w:bottom w:w="0" w:type="dxa"/>
                  <w:right w:w="108" w:type="dxa"/>
                </w:tblCellMar>
              </w:tblPrEx>
              <w:trPr>
                <w:trHeight w:val="375" w:hRule="atLeast"/>
                <w:jc w:val="center"/>
              </w:trPr>
              <w:tc>
                <w:tcPr>
                  <w:tcW w:w="3854" w:type="dxa"/>
                  <w:tcBorders>
                    <w:top w:val="nil"/>
                    <w:left w:val="single" w:color="auto" w:sz="4" w:space="0"/>
                    <w:bottom w:val="single" w:color="auto" w:sz="4" w:space="0"/>
                    <w:right w:val="single" w:color="auto" w:sz="4" w:space="0"/>
                  </w:tcBorders>
                  <w:noWrap/>
                  <w:vAlign w:val="center"/>
                </w:tcPr>
                <w:p w14:paraId="14005AEA">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100及以下</w:t>
                  </w:r>
                </w:p>
              </w:tc>
              <w:tc>
                <w:tcPr>
                  <w:tcW w:w="2779" w:type="dxa"/>
                  <w:tcBorders>
                    <w:top w:val="nil"/>
                    <w:left w:val="nil"/>
                    <w:bottom w:val="single" w:color="auto" w:sz="4" w:space="0"/>
                    <w:right w:val="single" w:color="auto" w:sz="4" w:space="0"/>
                  </w:tcBorders>
                  <w:noWrap/>
                  <w:vAlign w:val="center"/>
                </w:tcPr>
                <w:p w14:paraId="0530943F">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1.00%</w:t>
                  </w:r>
                </w:p>
              </w:tc>
            </w:tr>
            <w:tr w14:paraId="4FF8155F">
              <w:tblPrEx>
                <w:tblCellMar>
                  <w:top w:w="0" w:type="dxa"/>
                  <w:left w:w="108" w:type="dxa"/>
                  <w:bottom w:w="0" w:type="dxa"/>
                  <w:right w:w="108" w:type="dxa"/>
                </w:tblCellMar>
              </w:tblPrEx>
              <w:trPr>
                <w:trHeight w:val="375" w:hRule="atLeast"/>
                <w:jc w:val="center"/>
              </w:trPr>
              <w:tc>
                <w:tcPr>
                  <w:tcW w:w="3854" w:type="dxa"/>
                  <w:tcBorders>
                    <w:top w:val="nil"/>
                    <w:left w:val="single" w:color="auto" w:sz="4" w:space="0"/>
                    <w:bottom w:val="single" w:color="auto" w:sz="4" w:space="0"/>
                    <w:right w:val="single" w:color="auto" w:sz="4" w:space="0"/>
                  </w:tcBorders>
                  <w:noWrap/>
                  <w:vAlign w:val="center"/>
                </w:tcPr>
                <w:p w14:paraId="3873CA1F">
                  <w:pPr>
                    <w:spacing w:line="360" w:lineRule="auto"/>
                    <w:ind w:firstLine="573"/>
                    <w:jc w:val="center"/>
                    <w:rPr>
                      <w:rFonts w:ascii="宋体" w:hAnsi="宋体" w:cs="宋体"/>
                      <w:color w:val="auto"/>
                      <w:szCs w:val="21"/>
                      <w:highlight w:val="none"/>
                    </w:rPr>
                  </w:pPr>
                  <w:r>
                    <w:rPr>
                      <w:rFonts w:ascii="宋体" w:hAnsi="宋体" w:cs="宋体"/>
                      <w:color w:val="auto"/>
                      <w:szCs w:val="21"/>
                      <w:highlight w:val="none"/>
                    </w:rPr>
                    <w:t>100-500</w:t>
                  </w:r>
                </w:p>
              </w:tc>
              <w:tc>
                <w:tcPr>
                  <w:tcW w:w="2779" w:type="dxa"/>
                  <w:tcBorders>
                    <w:top w:val="nil"/>
                    <w:left w:val="nil"/>
                    <w:bottom w:val="single" w:color="auto" w:sz="4" w:space="0"/>
                    <w:right w:val="single" w:color="auto" w:sz="4" w:space="0"/>
                  </w:tcBorders>
                  <w:noWrap/>
                  <w:vAlign w:val="center"/>
                </w:tcPr>
                <w:p w14:paraId="39E5CC4D">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0.70%</w:t>
                  </w:r>
                </w:p>
              </w:tc>
            </w:tr>
          </w:tbl>
          <w:p w14:paraId="1C2327A6">
            <w:pPr>
              <w:pStyle w:val="15"/>
              <w:snapToGrid w:val="0"/>
              <w:spacing w:line="380" w:lineRule="exact"/>
              <w:rPr>
                <w:rFonts w:hAnsi="宋体" w:cs="宋体"/>
                <w:color w:val="auto"/>
                <w:sz w:val="21"/>
                <w:highlight w:val="none"/>
              </w:rPr>
            </w:pPr>
            <w:r>
              <w:rPr>
                <w:rFonts w:hint="eastAsia" w:hAnsi="宋体" w:cs="宋体"/>
                <w:color w:val="auto"/>
                <w:sz w:val="21"/>
                <w:highlight w:val="none"/>
              </w:rPr>
              <w:t>4. 采购代理费收取银行账户</w:t>
            </w:r>
          </w:p>
          <w:p w14:paraId="223CE091">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开户名称：广西达元工程管理有限责任公司南宁分公司 </w:t>
            </w:r>
          </w:p>
          <w:p w14:paraId="4E412C2A">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开户银行：中国建设银行股份有限公司南宁佛子岭路支行 </w:t>
            </w:r>
          </w:p>
          <w:p w14:paraId="7B1A16DE">
            <w:pPr>
              <w:pStyle w:val="15"/>
              <w:snapToGrid w:val="0"/>
              <w:spacing w:line="380" w:lineRule="exact"/>
              <w:rPr>
                <w:rFonts w:hAnsi="宋体" w:cs="宋体"/>
                <w:color w:val="auto"/>
                <w:sz w:val="21"/>
                <w:highlight w:val="none"/>
              </w:rPr>
            </w:pPr>
            <w:r>
              <w:rPr>
                <w:rFonts w:hint="eastAsia" w:hAnsi="宋体" w:cs="宋体"/>
                <w:color w:val="auto"/>
                <w:sz w:val="21"/>
                <w:highlight w:val="none"/>
              </w:rPr>
              <w:t>银行账号：4505 0160 4787 0000 1689</w:t>
            </w:r>
          </w:p>
        </w:tc>
      </w:tr>
      <w:tr w14:paraId="3F17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746E2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74FB2B73">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483227E1">
            <w:pPr>
              <w:pStyle w:val="15"/>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21BA9810">
            <w:pPr>
              <w:pStyle w:val="15"/>
              <w:snapToGrid w:val="0"/>
              <w:spacing w:line="360" w:lineRule="auto"/>
              <w:rPr>
                <w:rFonts w:hAnsi="宋体" w:cs="宋体"/>
                <w:b/>
                <w:color w:val="auto"/>
                <w:sz w:val="21"/>
                <w:highlight w:val="none"/>
              </w:rPr>
            </w:pPr>
            <w:r>
              <w:rPr>
                <w:rFonts w:hint="eastAsia" w:hAnsi="宋体" w:cs="宋体"/>
                <w:b/>
                <w:color w:val="auto"/>
                <w:sz w:val="21"/>
                <w:highlight w:val="none"/>
              </w:rPr>
              <w:t>法律责任：</w:t>
            </w:r>
          </w:p>
          <w:p w14:paraId="06A4CF9A">
            <w:pPr>
              <w:pStyle w:val="15"/>
              <w:snapToGrid w:val="0"/>
              <w:spacing w:line="360" w:lineRule="auto"/>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78EF64E">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C18C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15335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2D16B3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1EA8EE11">
            <w:pPr>
              <w:pStyle w:val="15"/>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AD4F568">
            <w:pPr>
              <w:pStyle w:val="15"/>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2B3B871">
            <w:pPr>
              <w:pStyle w:val="15"/>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788DADE7">
            <w:pPr>
              <w:pStyle w:val="15"/>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745151D6">
            <w:pPr>
              <w:pStyle w:val="15"/>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512B780C">
      <w:pPr>
        <w:pStyle w:val="3"/>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1" w:name="_Toc23846"/>
      <w:r>
        <w:rPr>
          <w:rFonts w:hint="eastAsia" w:ascii="宋体" w:hAnsi="宋体" w:cs="宋体"/>
          <w:b w:val="0"/>
          <w:color w:val="auto"/>
          <w:highlight w:val="none"/>
        </w:rPr>
        <w:t>第二节 供应商须知正文</w:t>
      </w:r>
      <w:bookmarkEnd w:id="41"/>
    </w:p>
    <w:p w14:paraId="01AC48DF">
      <w:pPr>
        <w:pStyle w:val="4"/>
        <w:spacing w:before="0" w:after="0" w:line="360" w:lineRule="auto"/>
        <w:ind w:firstLine="640" w:firstLineChars="200"/>
        <w:rPr>
          <w:rFonts w:ascii="宋体" w:hAnsi="宋体" w:cs="宋体"/>
          <w:b w:val="0"/>
          <w:color w:val="auto"/>
          <w:highlight w:val="none"/>
        </w:rPr>
      </w:pPr>
      <w:bookmarkStart w:id="42" w:name="_Toc20691"/>
      <w:r>
        <w:rPr>
          <w:rFonts w:hint="eastAsia" w:ascii="宋体" w:hAnsi="宋体" w:cs="宋体"/>
          <w:b w:val="0"/>
          <w:color w:val="auto"/>
          <w:highlight w:val="none"/>
        </w:rPr>
        <w:t>一、总则</w:t>
      </w:r>
      <w:bookmarkEnd w:id="42"/>
    </w:p>
    <w:p w14:paraId="2A57EBF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730639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FD582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482CEB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381609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DD9E23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3A2D4A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0D336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277048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35C788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60701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35484B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32FC7A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2D36B3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5DB4E8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300D6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46CEE2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62B246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47B85C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AAFA1C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700954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BBDD8D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662ACF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944C0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6DD95C46">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402EC9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8368C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69C7EF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29A6B22">
      <w:pPr>
        <w:spacing w:line="360" w:lineRule="auto"/>
        <w:ind w:firstLine="482" w:firstLineChars="200"/>
        <w:rPr>
          <w:rFonts w:ascii="宋体" w:hAnsi="宋体" w:cs="宋体"/>
          <w:b/>
          <w:bCs/>
          <w:color w:val="auto"/>
          <w:sz w:val="24"/>
          <w:highlight w:val="none"/>
        </w:rPr>
      </w:pPr>
      <w:bookmarkStart w:id="43" w:name="_Toc254970532"/>
      <w:bookmarkStart w:id="44" w:name="_Toc254970673"/>
      <w:r>
        <w:rPr>
          <w:rFonts w:hint="eastAsia" w:ascii="宋体" w:hAnsi="宋体" w:cs="宋体"/>
          <w:b/>
          <w:bCs/>
          <w:color w:val="auto"/>
          <w:sz w:val="24"/>
          <w:highlight w:val="none"/>
        </w:rPr>
        <w:t>7.特别说明</w:t>
      </w:r>
      <w:bookmarkEnd w:id="43"/>
      <w:bookmarkEnd w:id="44"/>
    </w:p>
    <w:p w14:paraId="3989E9B5">
      <w:pPr>
        <w:spacing w:line="360" w:lineRule="auto"/>
        <w:ind w:firstLine="420" w:firstLineChars="200"/>
        <w:rPr>
          <w:rFonts w:ascii="宋体" w:hAnsi="宋体" w:cs="宋体"/>
          <w:color w:val="auto"/>
          <w:szCs w:val="21"/>
          <w:highlight w:val="none"/>
        </w:rPr>
      </w:pPr>
      <w:bookmarkStart w:id="45" w:name="_8.1提供相同品牌产品且通过资格审查、符合性审查的不同投标人参加同一合"/>
      <w:bookmarkEnd w:id="45"/>
      <w:r>
        <w:rPr>
          <w:rFonts w:hint="eastAsia" w:ascii="宋体" w:hAnsi="宋体" w:cs="宋体"/>
          <w:color w:val="auto"/>
          <w:szCs w:val="21"/>
          <w:highlight w:val="none"/>
        </w:rPr>
        <w:t>7.1</w:t>
      </w:r>
      <w:bookmarkStart w:id="4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6"/>
    <w:p w14:paraId="0D65A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76BE4E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70CB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087838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B331F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0CF6A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21A5B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D9F37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55C7A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B76D9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20516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4E481A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9C5D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E44FB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7FD0F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19F6F0E">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747C4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0C18F5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46678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5546E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CA323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0835E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C903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5394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F788F6F">
      <w:pPr>
        <w:pStyle w:val="4"/>
        <w:spacing w:before="0" w:after="0" w:line="360" w:lineRule="auto"/>
        <w:ind w:firstLine="640" w:firstLineChars="200"/>
        <w:rPr>
          <w:rFonts w:ascii="宋体" w:hAnsi="宋体" w:cs="宋体"/>
          <w:b w:val="0"/>
          <w:bCs w:val="0"/>
          <w:color w:val="auto"/>
          <w:highlight w:val="none"/>
        </w:rPr>
      </w:pPr>
      <w:bookmarkStart w:id="47" w:name="_Toc5567"/>
      <w:bookmarkStart w:id="48" w:name="_Toc254970675"/>
      <w:bookmarkStart w:id="49" w:name="_Toc254970534"/>
      <w:r>
        <w:rPr>
          <w:rFonts w:hint="eastAsia" w:ascii="宋体" w:hAnsi="宋体" w:cs="宋体"/>
          <w:b w:val="0"/>
          <w:bCs w:val="0"/>
          <w:color w:val="auto"/>
          <w:highlight w:val="none"/>
        </w:rPr>
        <w:t>二、磋商文件</w:t>
      </w:r>
      <w:bookmarkEnd w:id="47"/>
      <w:bookmarkEnd w:id="48"/>
      <w:bookmarkEnd w:id="49"/>
    </w:p>
    <w:p w14:paraId="1CD3CF6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0A7F76D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23EFE16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7D3ABE0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5EEA69F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512798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4AA50C7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4FC61AC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工程量清单</w:t>
      </w:r>
    </w:p>
    <w:p w14:paraId="1CEC702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第八章 质疑、投诉材料格式。</w:t>
      </w:r>
    </w:p>
    <w:p w14:paraId="7B77142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44AC80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6EDC73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3AFD72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29BCFA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57C8E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2691DB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70342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E6F0798">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14:paraId="15BCB6CF">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0" w:name="_Toc18770"/>
      <w:r>
        <w:rPr>
          <w:rFonts w:hint="eastAsia" w:ascii="宋体" w:hAnsi="宋体" w:cs="宋体"/>
          <w:b w:val="0"/>
          <w:bCs w:val="0"/>
          <w:color w:val="auto"/>
          <w:highlight w:val="none"/>
        </w:rPr>
        <w:t>三、响应文件的编制</w:t>
      </w:r>
      <w:bookmarkEnd w:id="50"/>
    </w:p>
    <w:p w14:paraId="68F10CB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0A914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5B8BEBA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456F3F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6255552E">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D656E57">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605C3AD9">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0C6616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1C9A35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16FA59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4AF8FD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71E9B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7EDC8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0D262D53">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503065C9">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70E3D8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502D4E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0ED832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7A7AAA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029E54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61E657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1"/>
    <w:p w14:paraId="2BEE394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252521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14871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A3228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353C4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7A3B32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6D8CB5B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3BC960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0FCE34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27EED0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2"/>
      <w:r>
        <w:rPr>
          <w:rFonts w:hint="eastAsia" w:ascii="宋体" w:hAnsi="宋体" w:cs="宋体"/>
          <w:color w:val="auto"/>
          <w:szCs w:val="21"/>
          <w:highlight w:val="none"/>
        </w:rPr>
        <w:t>，否则其响应文件按无效响应处理。骑缝盖公章不视为在规定位置盖章。</w:t>
      </w:r>
    </w:p>
    <w:p w14:paraId="7E3D93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376CC1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5B31EB8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4A55EFA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5BE58F8">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6656A425">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152112B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63587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2F648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3A2162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051696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8D56E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733024AD">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20A4685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6AF62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2CB0C9BE">
      <w:pPr>
        <w:spacing w:line="360" w:lineRule="auto"/>
        <w:ind w:firstLine="482" w:firstLineChars="200"/>
        <w:rPr>
          <w:rFonts w:ascii="宋体" w:hAnsi="宋体" w:cs="宋体"/>
          <w:b/>
          <w:bCs/>
          <w:color w:val="auto"/>
          <w:sz w:val="24"/>
          <w:highlight w:val="none"/>
        </w:rPr>
      </w:pPr>
      <w:bookmarkStart w:id="53" w:name="_Hlk45702405"/>
      <w:r>
        <w:rPr>
          <w:rFonts w:hint="eastAsia" w:ascii="宋体" w:hAnsi="宋体" w:cs="宋体"/>
          <w:b/>
          <w:bCs/>
          <w:color w:val="auto"/>
          <w:sz w:val="24"/>
          <w:highlight w:val="none"/>
        </w:rPr>
        <w:t>22. 首次响应文件的退回</w:t>
      </w:r>
    </w:p>
    <w:p w14:paraId="5C71B6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3DF5DE5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46D65F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3"/>
    </w:p>
    <w:p w14:paraId="344BA70D">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4" w:name="_Toc16642"/>
      <w:r>
        <w:rPr>
          <w:rFonts w:hint="eastAsia" w:ascii="宋体" w:hAnsi="宋体" w:cs="宋体"/>
          <w:b w:val="0"/>
          <w:bCs w:val="0"/>
          <w:color w:val="auto"/>
          <w:highlight w:val="none"/>
        </w:rPr>
        <w:t>四、评审及磋商</w:t>
      </w:r>
      <w:bookmarkEnd w:id="54"/>
    </w:p>
    <w:p w14:paraId="1BB3D50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023530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06B65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C0A8A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31F9B8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13A985B0">
      <w:pPr>
        <w:pStyle w:val="15"/>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4093AD22">
      <w:pPr>
        <w:pStyle w:val="15"/>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6D57A0FC">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4EB936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45CE56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74D8A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491C0F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779971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33C53F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5B1D64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A97A41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4E63A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2765D2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2C6DDF9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EEE656E">
      <w:pPr>
        <w:pStyle w:val="4"/>
        <w:spacing w:before="0" w:after="0" w:line="360" w:lineRule="auto"/>
        <w:ind w:firstLine="480" w:firstLineChars="150"/>
        <w:rPr>
          <w:rFonts w:ascii="宋体" w:hAnsi="宋体" w:cs="宋体"/>
          <w:b w:val="0"/>
          <w:bCs w:val="0"/>
          <w:color w:val="auto"/>
          <w:highlight w:val="none"/>
        </w:rPr>
      </w:pPr>
      <w:bookmarkStart w:id="55" w:name="_Toc5736"/>
      <w:r>
        <w:rPr>
          <w:rFonts w:hint="eastAsia" w:ascii="宋体" w:hAnsi="宋体" w:cs="宋体"/>
          <w:b w:val="0"/>
          <w:bCs w:val="0"/>
          <w:color w:val="auto"/>
          <w:highlight w:val="none"/>
        </w:rPr>
        <w:t>五、成交及合同</w:t>
      </w:r>
      <w:bookmarkEnd w:id="55"/>
    </w:p>
    <w:p w14:paraId="4704931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72A871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0577FA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763E0F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F8871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E45F00E">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00467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21A5BC14">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4E4D96B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03E9A69E">
      <w:pPr>
        <w:pStyle w:val="33"/>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761EE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F3AA7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5E919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DB88756">
      <w:pPr>
        <w:pStyle w:val="33"/>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663314F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74DB3F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0F81A9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494DB9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2F05791">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556736F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27DA17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AF1290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1606E5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35E8B1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391EA1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45BA9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66FE5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F0581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9EDE1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21F80A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0D3E4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AD478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B1FA99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886A4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E9F92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C465EF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6" w:name="_Toc80205930"/>
    </w:p>
    <w:p w14:paraId="72B005E8">
      <w:pPr>
        <w:pStyle w:val="4"/>
        <w:spacing w:before="0" w:after="0" w:line="360" w:lineRule="auto"/>
        <w:ind w:firstLine="315" w:firstLineChars="98"/>
        <w:rPr>
          <w:rFonts w:ascii="宋体" w:hAnsi="宋体" w:cs="宋体"/>
          <w:b w:val="0"/>
          <w:color w:val="auto"/>
          <w:highlight w:val="none"/>
        </w:rPr>
      </w:pPr>
      <w:bookmarkStart w:id="57"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6"/>
      <w:bookmarkEnd w:id="57"/>
    </w:p>
    <w:p w14:paraId="4F7A21F3">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6043A369">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CDC781">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56AD4895">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3B9705">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997292">
      <w:pPr>
        <w:pStyle w:val="4"/>
        <w:spacing w:before="0" w:after="0" w:line="360" w:lineRule="auto"/>
        <w:ind w:firstLine="320" w:firstLineChars="100"/>
        <w:rPr>
          <w:rFonts w:ascii="宋体" w:hAnsi="宋体" w:cs="宋体"/>
          <w:b w:val="0"/>
          <w:bCs w:val="0"/>
          <w:color w:val="auto"/>
          <w:highlight w:val="none"/>
        </w:rPr>
      </w:pPr>
      <w:bookmarkStart w:id="58" w:name="_Toc14884"/>
      <w:r>
        <w:rPr>
          <w:rFonts w:hint="eastAsia" w:ascii="宋体" w:hAnsi="宋体" w:cs="宋体"/>
          <w:b w:val="0"/>
          <w:bCs w:val="0"/>
          <w:color w:val="auto"/>
          <w:highlight w:val="none"/>
        </w:rPr>
        <w:t>七、其他事项</w:t>
      </w:r>
      <w:bookmarkEnd w:id="58"/>
    </w:p>
    <w:p w14:paraId="3F4C2D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372BC897">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2462AE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56EB3155">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58D719F3">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78C1CF42">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06504A79">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3827A030">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3C8B5E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4F6DE8C3">
      <w:pPr>
        <w:pStyle w:val="15"/>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6B210541">
      <w:pPr>
        <w:pStyle w:val="15"/>
        <w:numPr>
          <w:ilvl w:val="0"/>
          <w:numId w:val="2"/>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7"/>
          <w:rFonts w:hint="eastAsia" w:hAnsi="宋体" w:cs="宋体"/>
          <w:color w:val="auto"/>
          <w:sz w:val="21"/>
          <w:highlight w:val="none"/>
        </w:rPr>
        <w:fldChar w:fldCharType="end"/>
      </w:r>
    </w:p>
    <w:p w14:paraId="2A4AEAB5">
      <w:pPr>
        <w:pStyle w:val="15"/>
        <w:numPr>
          <w:ilvl w:val="0"/>
          <w:numId w:val="2"/>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14:paraId="77325458">
      <w:pPr>
        <w:pStyle w:val="2"/>
        <w:jc w:val="center"/>
        <w:rPr>
          <w:rFonts w:ascii="宋体" w:hAnsi="宋体" w:cs="宋体"/>
          <w:color w:val="auto"/>
          <w:highlight w:val="none"/>
        </w:rPr>
      </w:pPr>
      <w:bookmarkStart w:id="59" w:name="_Toc25106"/>
      <w:r>
        <w:rPr>
          <w:rFonts w:hint="eastAsia" w:ascii="宋体" w:hAnsi="宋体" w:cs="宋体"/>
          <w:color w:val="auto"/>
          <w:highlight w:val="none"/>
        </w:rPr>
        <w:t>第四章  评审程序、评审方法和评审标准</w:t>
      </w:r>
      <w:bookmarkEnd w:id="59"/>
    </w:p>
    <w:p w14:paraId="55116708">
      <w:pPr>
        <w:pStyle w:val="3"/>
        <w:jc w:val="center"/>
        <w:rPr>
          <w:rFonts w:ascii="宋体" w:hAnsi="宋体" w:cs="宋体"/>
          <w:b w:val="0"/>
          <w:color w:val="auto"/>
          <w:highlight w:val="none"/>
        </w:rPr>
      </w:pPr>
      <w:bookmarkStart w:id="60" w:name="_Toc30181"/>
      <w:r>
        <w:rPr>
          <w:rFonts w:hint="eastAsia" w:ascii="宋体" w:hAnsi="宋体" w:cs="宋体"/>
          <w:b w:val="0"/>
          <w:color w:val="auto"/>
          <w:highlight w:val="none"/>
        </w:rPr>
        <w:t>第一节 评审程序和评审方法</w:t>
      </w:r>
      <w:bookmarkEnd w:id="60"/>
    </w:p>
    <w:p w14:paraId="7EFD6FB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413075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3502B9B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327EBF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5CED9A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755606E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7"/>
          <w:rFonts w:hint="eastAsia" w:ascii="宋体" w:hAnsi="宋体" w:cs="宋体"/>
          <w:color w:val="auto"/>
          <w:highlight w:val="none"/>
        </w:rPr>
        <w:t>www.creditchina.gov.cn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7"/>
          <w:rFonts w:hint="eastAsia" w:ascii="宋体" w:hAnsi="宋体" w:cs="宋体"/>
          <w:color w:val="auto"/>
          <w:highlight w:val="none"/>
        </w:rPr>
        <w:t>www.ccgp.gov.cn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4ABFFE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99F11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349E2B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EADA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32662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3C382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EDA42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25DA9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FE5A82C">
      <w:pPr>
        <w:spacing w:line="360" w:lineRule="auto"/>
        <w:ind w:firstLine="420" w:firstLineChars="200"/>
        <w:rPr>
          <w:rFonts w:ascii="宋体" w:hAnsi="宋体" w:cs="宋体"/>
          <w:color w:val="auto"/>
          <w:szCs w:val="21"/>
          <w:highlight w:val="none"/>
        </w:rPr>
      </w:pPr>
      <w:bookmarkStart w:id="6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1"/>
    </w:p>
    <w:p w14:paraId="519157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0EFCE2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37BFAB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8EFC0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052E1A">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821FCC7">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95F1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2F070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7E1B6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0D0D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2CDFA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A6135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5272FF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769FCB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6053C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D87B8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3C3C6F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F3907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4494F9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68DCC3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2E1640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79B2A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22BFF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3E448B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17761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36EC76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670B5E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20404A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0141E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8337C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3EDCB9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75DDFB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3894C1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168F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772FE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B2AD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2C1087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00E63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F5FC541">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5F46142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86C03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F0C89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AC665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57F1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2E0C5707">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5C3B2732">
      <w:pPr>
        <w:pStyle w:val="33"/>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8DBF899">
      <w:pPr>
        <w:pStyle w:val="33"/>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6A2D872E">
      <w:pPr>
        <w:pStyle w:val="33"/>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45B5EEF6">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7C98F4C3">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6088BD07">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2FB39C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13E718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155A8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279C4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5B26B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6665FC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249065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2E6082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4ECA95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DF087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7F2B43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3856DA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4B3F4D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6A4AF3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776403C4">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184081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221F4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3C0E9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519C56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E6783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4E677B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700C89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E240C0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EF87DE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432A761">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14:paraId="6DE1CD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0438DE2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6D2D84C">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68EE2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14:paraId="59ECCC7A">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w:t>
      </w:r>
    </w:p>
    <w:tbl>
      <w:tblPr>
        <w:tblStyle w:val="2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3D55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6F5B2113">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086" w:type="dxa"/>
            <w:vAlign w:val="center"/>
          </w:tcPr>
          <w:p w14:paraId="56B3A904">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110" w:type="dxa"/>
            <w:vAlign w:val="center"/>
          </w:tcPr>
          <w:p w14:paraId="3E9549E6">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72" w:type="dxa"/>
            <w:vAlign w:val="center"/>
          </w:tcPr>
          <w:p w14:paraId="35C8938A">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33D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14:paraId="1C09E429">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6" w:type="dxa"/>
            <w:vAlign w:val="center"/>
          </w:tcPr>
          <w:p w14:paraId="33ECFD17">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7110" w:type="dxa"/>
          </w:tcPr>
          <w:p w14:paraId="5C1E90D6">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（1）本项目为专门面向中小企业采购项目，不执行价格扣除优惠政策，评审报价＝最后报价；</w:t>
            </w:r>
          </w:p>
          <w:p w14:paraId="0BC6E0A9">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34AB0451">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6CD40731">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（4）以进入比较与评价环节的评审报价最低的为基准价，基准价得分为</w:t>
            </w:r>
            <w:r>
              <w:rPr>
                <w:rFonts w:hint="eastAsia" w:hAnsi="宋体" w:cs="宋体"/>
                <w:bCs/>
                <w:color w:val="auto"/>
                <w:kern w:val="2"/>
                <w:sz w:val="21"/>
                <w:highlight w:val="none"/>
                <w:u w:val="single"/>
              </w:rPr>
              <w:t xml:space="preserve"> 20</w:t>
            </w:r>
            <w:r>
              <w:rPr>
                <w:rFonts w:hint="eastAsia" w:hAnsi="宋体" w:cs="宋体"/>
                <w:bCs/>
                <w:color w:val="auto"/>
                <w:kern w:val="2"/>
                <w:sz w:val="21"/>
                <w:highlight w:val="none"/>
              </w:rPr>
              <w:t>分。</w:t>
            </w:r>
          </w:p>
          <w:p w14:paraId="527B0DE2">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（5）价格分计算公式：</w:t>
            </w:r>
          </w:p>
          <w:p w14:paraId="1B333F1A">
            <w:pPr>
              <w:pStyle w:val="15"/>
              <w:spacing w:line="360" w:lineRule="exact"/>
              <w:ind w:firstLine="420" w:firstLineChars="200"/>
              <w:rPr>
                <w:rFonts w:hAnsi="宋体" w:cs="宋体"/>
                <w:bCs/>
                <w:color w:val="auto"/>
                <w:sz w:val="21"/>
                <w:highlight w:val="none"/>
              </w:rPr>
            </w:pPr>
            <w:r>
              <w:rPr>
                <w:rFonts w:hint="eastAsia" w:hAnsi="宋体" w:cs="宋体"/>
                <w:bCs/>
                <w:color w:val="auto"/>
                <w:kern w:val="2"/>
                <w:sz w:val="21"/>
                <w:highlight w:val="none"/>
              </w:rPr>
              <w:t>报价得分=基准价/评审报价×</w:t>
            </w:r>
            <w:r>
              <w:rPr>
                <w:rFonts w:hint="eastAsia" w:hAnsi="宋体" w:cs="宋体"/>
                <w:bCs/>
                <w:color w:val="auto"/>
                <w:kern w:val="2"/>
                <w:sz w:val="21"/>
                <w:highlight w:val="none"/>
                <w:u w:val="single"/>
              </w:rPr>
              <w:t xml:space="preserve"> 20 </w:t>
            </w:r>
            <w:r>
              <w:rPr>
                <w:rFonts w:hint="eastAsia" w:hAnsi="宋体" w:cs="宋体"/>
                <w:bCs/>
                <w:color w:val="auto"/>
                <w:kern w:val="2"/>
                <w:sz w:val="21"/>
                <w:highlight w:val="none"/>
              </w:rPr>
              <w:t>分</w:t>
            </w:r>
          </w:p>
        </w:tc>
        <w:tc>
          <w:tcPr>
            <w:tcW w:w="772" w:type="dxa"/>
            <w:vAlign w:val="center"/>
          </w:tcPr>
          <w:p w14:paraId="77AB54B8">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20分</w:t>
            </w:r>
          </w:p>
        </w:tc>
      </w:tr>
      <w:tr w14:paraId="099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14:paraId="43812037">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086" w:type="dxa"/>
            <w:vAlign w:val="center"/>
          </w:tcPr>
          <w:p w14:paraId="6C233E09">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施工组织设计评分标准</w:t>
            </w:r>
          </w:p>
        </w:tc>
        <w:tc>
          <w:tcPr>
            <w:tcW w:w="7110" w:type="dxa"/>
            <w:vAlign w:val="center"/>
          </w:tcPr>
          <w:p w14:paraId="6C305A11">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772" w:type="dxa"/>
            <w:vAlign w:val="center"/>
          </w:tcPr>
          <w:p w14:paraId="561DB583">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70分</w:t>
            </w:r>
          </w:p>
        </w:tc>
      </w:tr>
      <w:tr w14:paraId="3E99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14:paraId="324BF2A6">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086" w:type="dxa"/>
            <w:vAlign w:val="center"/>
          </w:tcPr>
          <w:p w14:paraId="6BECD0BC">
            <w:pPr>
              <w:spacing w:line="360" w:lineRule="auto"/>
              <w:rPr>
                <w:rFonts w:ascii="宋体" w:hAnsi="宋体" w:cs="宋体"/>
                <w:bCs/>
                <w:color w:val="auto"/>
                <w:kern w:val="0"/>
                <w:szCs w:val="21"/>
                <w:highlight w:val="none"/>
              </w:rPr>
            </w:pPr>
            <w:r>
              <w:rPr>
                <w:rFonts w:hint="eastAsia" w:cs="宋体"/>
                <w:color w:val="auto"/>
                <w:kern w:val="0"/>
                <w:highlight w:val="none"/>
              </w:rPr>
              <w:t>主要施工方法及</w:t>
            </w:r>
            <w:r>
              <w:rPr>
                <w:rFonts w:hint="eastAsia"/>
                <w:color w:val="auto"/>
                <w:kern w:val="0"/>
                <w:szCs w:val="21"/>
                <w:highlight w:val="none"/>
              </w:rPr>
              <w:t>技术措施</w:t>
            </w:r>
            <w:r>
              <w:rPr>
                <w:rFonts w:hint="eastAsia" w:cs="宋体"/>
                <w:color w:val="auto"/>
                <w:kern w:val="0"/>
                <w:highlight w:val="none"/>
              </w:rPr>
              <w:t>（满分</w:t>
            </w:r>
            <w:r>
              <w:rPr>
                <w:rFonts w:hint="eastAsia"/>
                <w:color w:val="auto"/>
                <w:kern w:val="0"/>
                <w:highlight w:val="none"/>
              </w:rPr>
              <w:t>10</w:t>
            </w:r>
            <w:r>
              <w:rPr>
                <w:rFonts w:hint="eastAsia" w:cs="宋体"/>
                <w:color w:val="auto"/>
                <w:kern w:val="0"/>
                <w:highlight w:val="none"/>
              </w:rPr>
              <w:t>分）</w:t>
            </w:r>
          </w:p>
        </w:tc>
        <w:tc>
          <w:tcPr>
            <w:tcW w:w="7110" w:type="dxa"/>
            <w:vAlign w:val="center"/>
          </w:tcPr>
          <w:p w14:paraId="137C5941">
            <w:pPr>
              <w:spacing w:line="360" w:lineRule="auto"/>
              <w:ind w:firstLine="420" w:firstLineChars="200"/>
              <w:jc w:val="left"/>
              <w:rPr>
                <w:rFonts w:ascii="宋体" w:hAnsi="Courier New"/>
                <w:bCs/>
                <w:color w:val="auto"/>
                <w:szCs w:val="20"/>
                <w:highlight w:val="none"/>
              </w:rPr>
            </w:pPr>
            <w:r>
              <w:rPr>
                <w:rFonts w:hint="eastAsia" w:ascii="宋体" w:hAnsi="宋体" w:cs="宋体"/>
                <w:color w:val="auto"/>
                <w:highlight w:val="none"/>
              </w:rPr>
              <w:t>由各评委根据供应商提供的</w:t>
            </w:r>
            <w:r>
              <w:rPr>
                <w:rFonts w:hint="eastAsia" w:cs="宋体"/>
                <w:color w:val="auto"/>
                <w:kern w:val="0"/>
                <w:highlight w:val="none"/>
              </w:rPr>
              <w:t>主要施工方法</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，不提供</w:t>
            </w:r>
            <w:r>
              <w:rPr>
                <w:rFonts w:hint="eastAsia" w:cs="宋体"/>
                <w:color w:val="auto"/>
                <w:kern w:val="0"/>
                <w:highlight w:val="none"/>
              </w:rPr>
              <w:t>主要施工方法</w:t>
            </w:r>
            <w:r>
              <w:rPr>
                <w:rFonts w:ascii="宋体" w:hAnsi="宋体" w:cs="宋体"/>
                <w:color w:val="auto"/>
                <w:highlight w:val="none"/>
              </w:rPr>
              <w:t>的不得分</w:t>
            </w:r>
            <w:r>
              <w:rPr>
                <w:rFonts w:hint="eastAsia" w:ascii="宋体" w:hAnsi="Courier New"/>
                <w:bCs/>
                <w:color w:val="auto"/>
                <w:szCs w:val="20"/>
                <w:highlight w:val="none"/>
              </w:rPr>
              <w:t>。</w:t>
            </w:r>
          </w:p>
          <w:p w14:paraId="23A45894">
            <w:pPr>
              <w:spacing w:line="360" w:lineRule="auto"/>
              <w:ind w:firstLine="420" w:firstLineChars="200"/>
              <w:jc w:val="left"/>
              <w:rPr>
                <w:rFonts w:cs="宋体"/>
                <w:color w:val="auto"/>
                <w:kern w:val="0"/>
                <w:highlight w:val="none"/>
              </w:rPr>
            </w:pPr>
            <w:r>
              <w:rPr>
                <w:rFonts w:hint="eastAsia" w:cs="宋体"/>
                <w:color w:val="auto"/>
                <w:kern w:val="0"/>
                <w:highlight w:val="none"/>
              </w:rPr>
              <w:t>四档（10分）：各主要分部施工方法符合项目实际、</w:t>
            </w:r>
            <w:r>
              <w:rPr>
                <w:rFonts w:hint="eastAsia" w:ascii="宋体" w:hAnsi="宋体"/>
                <w:color w:val="auto"/>
                <w:kern w:val="0"/>
                <w:szCs w:val="21"/>
                <w:highlight w:val="none"/>
              </w:rPr>
              <w:t>符合规范要求</w:t>
            </w:r>
            <w:r>
              <w:rPr>
                <w:rFonts w:hint="eastAsia" w:cs="宋体"/>
                <w:color w:val="auto"/>
                <w:kern w:val="0"/>
                <w:highlight w:val="none"/>
              </w:rPr>
              <w:t>，</w:t>
            </w:r>
            <w:r>
              <w:rPr>
                <w:rFonts w:hint="eastAsia" w:ascii="宋体" w:hAnsi="宋体"/>
                <w:color w:val="auto"/>
                <w:kern w:val="0"/>
                <w:szCs w:val="21"/>
                <w:highlight w:val="none"/>
              </w:rPr>
              <w:t>技术措施具体、有效、成熟，</w:t>
            </w:r>
            <w:r>
              <w:rPr>
                <w:rFonts w:hint="eastAsia" w:cs="宋体"/>
                <w:color w:val="auto"/>
                <w:kern w:val="0"/>
                <w:highlight w:val="none"/>
              </w:rPr>
              <w:t>工艺先进、方法科学合理。</w:t>
            </w:r>
          </w:p>
          <w:p w14:paraId="7E0E7BC8">
            <w:pPr>
              <w:spacing w:line="360" w:lineRule="auto"/>
              <w:ind w:firstLine="420" w:firstLineChars="200"/>
              <w:jc w:val="left"/>
              <w:rPr>
                <w:rFonts w:cs="宋体"/>
                <w:color w:val="auto"/>
                <w:kern w:val="0"/>
                <w:highlight w:val="none"/>
              </w:rPr>
            </w:pPr>
            <w:r>
              <w:rPr>
                <w:rFonts w:hint="eastAsia" w:cs="宋体"/>
                <w:color w:val="auto"/>
                <w:kern w:val="0"/>
                <w:highlight w:val="none"/>
              </w:rPr>
              <w:t>三档（7分）：各主要分部施工方法符合项目实际、</w:t>
            </w:r>
            <w:r>
              <w:rPr>
                <w:rFonts w:hint="eastAsia" w:ascii="宋体" w:hAnsi="宋体"/>
                <w:color w:val="auto"/>
                <w:kern w:val="0"/>
                <w:szCs w:val="21"/>
                <w:highlight w:val="none"/>
              </w:rPr>
              <w:t>符合规范要求</w:t>
            </w:r>
            <w:r>
              <w:rPr>
                <w:rFonts w:hint="eastAsia" w:cs="宋体"/>
                <w:color w:val="auto"/>
                <w:kern w:val="0"/>
                <w:highlight w:val="none"/>
              </w:rPr>
              <w:t>，有完整的施工技术方案，工艺和方法有效、可行。</w:t>
            </w:r>
          </w:p>
          <w:p w14:paraId="078A3539">
            <w:pPr>
              <w:widowControl/>
              <w:spacing w:line="360" w:lineRule="auto"/>
              <w:ind w:firstLine="420" w:firstLineChars="200"/>
              <w:rPr>
                <w:rFonts w:cs="宋体"/>
                <w:color w:val="auto"/>
                <w:kern w:val="0"/>
                <w:highlight w:val="none"/>
              </w:rPr>
            </w:pPr>
            <w:r>
              <w:rPr>
                <w:rFonts w:hint="eastAsia" w:cs="宋体"/>
                <w:color w:val="auto"/>
                <w:kern w:val="0"/>
                <w:highlight w:val="none"/>
              </w:rPr>
              <w:t xml:space="preserve">二档（5分）：各主要分部施工方法基本符合项目实际，施工技术方案基本齐全，方法基本合理、基本可行。 </w:t>
            </w:r>
          </w:p>
          <w:p w14:paraId="14C8237C">
            <w:pPr>
              <w:ind w:firstLine="420" w:firstLineChars="200"/>
              <w:rPr>
                <w:rFonts w:ascii="宋体" w:hAnsi="宋体" w:cs="宋体"/>
                <w:color w:val="auto"/>
                <w:highlight w:val="none"/>
              </w:rPr>
            </w:pPr>
            <w:r>
              <w:rPr>
                <w:rFonts w:hint="eastAsia" w:cs="宋体"/>
                <w:color w:val="auto"/>
                <w:kern w:val="0"/>
                <w:highlight w:val="none"/>
              </w:rPr>
              <w:t>一档（2分）：各主要分部施工方法针对性差，或施工技术方案内容不完整，或工艺落后或方法不合理，不能指导具体施工。</w:t>
            </w:r>
          </w:p>
        </w:tc>
        <w:tc>
          <w:tcPr>
            <w:tcW w:w="772" w:type="dxa"/>
            <w:vAlign w:val="center"/>
          </w:tcPr>
          <w:p w14:paraId="56D33130">
            <w:pPr>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10分</w:t>
            </w:r>
          </w:p>
        </w:tc>
      </w:tr>
      <w:tr w14:paraId="4B15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36B8E3B">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086" w:type="dxa"/>
            <w:vAlign w:val="center"/>
          </w:tcPr>
          <w:p w14:paraId="06B3F9D0">
            <w:pPr>
              <w:adjustRightInd w:val="0"/>
              <w:spacing w:line="320" w:lineRule="exact"/>
              <w:textAlignment w:val="baseline"/>
              <w:rPr>
                <w:rFonts w:ascii="宋体" w:hAnsi="宋体" w:cs="宋体"/>
                <w:bCs/>
                <w:color w:val="auto"/>
                <w:kern w:val="0"/>
                <w:szCs w:val="21"/>
                <w:highlight w:val="none"/>
              </w:rPr>
            </w:pPr>
            <w:r>
              <w:rPr>
                <w:rFonts w:hint="eastAsia" w:ascii="宋体" w:hAnsi="宋体" w:cs="宋体"/>
                <w:color w:val="auto"/>
                <w:highlight w:val="none"/>
              </w:rPr>
              <w:t>确保工程质量的技术组织措施（满分10分）</w:t>
            </w:r>
          </w:p>
        </w:tc>
        <w:tc>
          <w:tcPr>
            <w:tcW w:w="7110" w:type="dxa"/>
            <w:vAlign w:val="center"/>
          </w:tcPr>
          <w:p w14:paraId="5B16B0F2">
            <w:pPr>
              <w:spacing w:line="360" w:lineRule="auto"/>
              <w:ind w:firstLine="420" w:firstLineChars="200"/>
              <w:rPr>
                <w:rFonts w:ascii="宋体" w:hAnsi="Courier New"/>
                <w:bCs/>
                <w:color w:val="auto"/>
                <w:szCs w:val="20"/>
                <w:highlight w:val="none"/>
              </w:rPr>
            </w:pPr>
            <w:r>
              <w:rPr>
                <w:rFonts w:hint="eastAsia" w:ascii="宋体" w:hAnsi="宋体" w:cs="宋体"/>
                <w:color w:val="auto"/>
                <w:highlight w:val="none"/>
              </w:rPr>
              <w:t>由各评委根据供应商提供的确保工程质量的技术组织措施</w:t>
            </w:r>
            <w:r>
              <w:rPr>
                <w:rFonts w:hint="eastAsia" w:cs="宋体"/>
                <w:color w:val="auto"/>
                <w:kern w:val="0"/>
                <w:highlight w:val="none"/>
              </w:rPr>
              <w:t>，</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，不提供确保工程质量的技术组织措施</w:t>
            </w:r>
            <w:r>
              <w:rPr>
                <w:rFonts w:ascii="宋体" w:hAnsi="宋体" w:cs="宋体"/>
                <w:color w:val="auto"/>
                <w:highlight w:val="none"/>
              </w:rPr>
              <w:t>的不得分</w:t>
            </w:r>
            <w:r>
              <w:rPr>
                <w:rFonts w:hint="eastAsia" w:ascii="宋体" w:hAnsi="Courier New"/>
                <w:bCs/>
                <w:color w:val="auto"/>
                <w:szCs w:val="20"/>
                <w:highlight w:val="none"/>
              </w:rPr>
              <w:t>。</w:t>
            </w:r>
          </w:p>
          <w:p w14:paraId="136074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四档(10分)：有专门的质量技术管理班子和制度，且人员配备合理，制度健全，应用新技术、新工艺、新材料、新设备，针对项目实际提出先进、可行、具体的质量技术保证措施，超过采购文件的质量要求及施工验收规范要求。 </w:t>
            </w:r>
          </w:p>
          <w:p w14:paraId="6E2F7C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三档(7分)：有质量技术管理班子和制度，且人员配备合理，制度健全针对项目实际提出先进、可行、具体的质量技术保证措施，满足采购文件的质量要求。 </w:t>
            </w:r>
          </w:p>
          <w:p w14:paraId="7CECED9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二档(5分)：具体措施可行，满足采购文件的质量要求。</w:t>
            </w:r>
          </w:p>
          <w:p w14:paraId="5CBFF290">
            <w:pPr>
              <w:spacing w:line="400" w:lineRule="exact"/>
              <w:ind w:firstLine="420"/>
              <w:rPr>
                <w:rFonts w:ascii="宋体" w:hAnsi="宋体" w:cs="宋体"/>
                <w:bCs/>
                <w:color w:val="auto"/>
                <w:kern w:val="0"/>
                <w:szCs w:val="21"/>
                <w:highlight w:val="none"/>
              </w:rPr>
            </w:pPr>
            <w:r>
              <w:rPr>
                <w:rFonts w:hint="eastAsia" w:ascii="宋体" w:hAnsi="宋体" w:cs="宋体"/>
                <w:color w:val="auto"/>
                <w:highlight w:val="none"/>
              </w:rPr>
              <w:t>一档(2分)：措施不可行，没有质量违约责任承诺。</w:t>
            </w:r>
          </w:p>
        </w:tc>
        <w:tc>
          <w:tcPr>
            <w:tcW w:w="772" w:type="dxa"/>
            <w:vAlign w:val="center"/>
          </w:tcPr>
          <w:p w14:paraId="595054AD">
            <w:pPr>
              <w:spacing w:line="360" w:lineRule="exact"/>
              <w:jc w:val="center"/>
              <w:rPr>
                <w:rFonts w:ascii="宋体" w:hAnsi="宋体" w:cs="宋体"/>
                <w:color w:val="auto"/>
                <w:kern w:val="0"/>
                <w:szCs w:val="21"/>
                <w:highlight w:val="none"/>
              </w:rPr>
            </w:pPr>
            <w:r>
              <w:rPr>
                <w:rFonts w:hint="eastAsia" w:ascii="宋体" w:hAnsi="宋体" w:cs="宋体"/>
                <w:bCs/>
                <w:color w:val="auto"/>
                <w:kern w:val="0"/>
                <w:szCs w:val="21"/>
                <w:highlight w:val="none"/>
              </w:rPr>
              <w:t>10分</w:t>
            </w:r>
          </w:p>
        </w:tc>
      </w:tr>
      <w:tr w14:paraId="4593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CFF9C1A">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1086" w:type="dxa"/>
            <w:vAlign w:val="center"/>
          </w:tcPr>
          <w:p w14:paraId="794F2839">
            <w:pPr>
              <w:adjustRightInd w:val="0"/>
              <w:spacing w:line="400" w:lineRule="exact"/>
              <w:textAlignment w:val="baseline"/>
              <w:rPr>
                <w:rFonts w:ascii="宋体" w:hAnsi="宋体" w:cs="宋体"/>
                <w:bCs/>
                <w:color w:val="auto"/>
                <w:szCs w:val="21"/>
                <w:highlight w:val="none"/>
              </w:rPr>
            </w:pPr>
            <w:r>
              <w:rPr>
                <w:rFonts w:hint="eastAsia" w:ascii="宋体" w:hAnsi="宋体" w:cs="宋体"/>
                <w:color w:val="auto"/>
                <w:highlight w:val="none"/>
              </w:rPr>
              <w:t>确保安全生产的技术组织措施（满分10分）</w:t>
            </w:r>
          </w:p>
        </w:tc>
        <w:tc>
          <w:tcPr>
            <w:tcW w:w="7110" w:type="dxa"/>
            <w:vAlign w:val="center"/>
          </w:tcPr>
          <w:p w14:paraId="7179537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由各评委根据供应商提供的确保安全生产的技术组织措施</w:t>
            </w:r>
            <w:r>
              <w:rPr>
                <w:rFonts w:hint="eastAsia" w:cs="宋体"/>
                <w:color w:val="auto"/>
                <w:kern w:val="0"/>
                <w:highlight w:val="none"/>
              </w:rPr>
              <w:t>，</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，不提供确保安全生产的技术组织措施的不得分。</w:t>
            </w:r>
          </w:p>
          <w:p w14:paraId="7F1F85E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四档(10分)：针对项目实际情况，有专门的安全管理人员和制度，制度清晰、健全、可行，现场防火、应急救援、社会治安安全措施有先进、具体、完整、可行，符合实际且满足有关安全技术标准要求。</w:t>
            </w:r>
          </w:p>
          <w:p w14:paraId="0BBD3F2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三档(7分)：针对项目实际情况，有基本合理的措施、制度，且具体、完整，满足有关安全技术标准要求。 </w:t>
            </w:r>
          </w:p>
          <w:p w14:paraId="30CA3B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二档(5分)：有基本合理的措施，安全技术标准要求采用正确。</w:t>
            </w:r>
          </w:p>
          <w:p w14:paraId="79F8E006">
            <w:pPr>
              <w:ind w:firstLine="420" w:firstLineChars="200"/>
              <w:rPr>
                <w:rFonts w:ascii="宋体" w:hAnsi="宋体" w:cs="宋体"/>
                <w:color w:val="auto"/>
                <w:highlight w:val="none"/>
              </w:rPr>
            </w:pPr>
            <w:r>
              <w:rPr>
                <w:rFonts w:hint="eastAsia" w:ascii="宋体" w:hAnsi="宋体" w:cs="宋体"/>
                <w:color w:val="auto"/>
                <w:highlight w:val="none"/>
              </w:rPr>
              <w:t>一档(2分)：安全文明措施不合理，安全技术标准要求采用不正确。</w:t>
            </w:r>
          </w:p>
        </w:tc>
        <w:tc>
          <w:tcPr>
            <w:tcW w:w="772" w:type="dxa"/>
            <w:vAlign w:val="center"/>
          </w:tcPr>
          <w:p w14:paraId="2FE60BFB">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40C8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29A8244">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2.4</w:t>
            </w:r>
          </w:p>
        </w:tc>
        <w:tc>
          <w:tcPr>
            <w:tcW w:w="1086" w:type="dxa"/>
            <w:vAlign w:val="center"/>
          </w:tcPr>
          <w:p w14:paraId="0BB8797F">
            <w:pPr>
              <w:adjustRightInd w:val="0"/>
              <w:spacing w:line="400" w:lineRule="exact"/>
              <w:textAlignment w:val="baseline"/>
              <w:rPr>
                <w:rFonts w:ascii="宋体" w:hAnsi="宋体" w:cs="宋体"/>
                <w:bCs/>
                <w:color w:val="auto"/>
                <w:szCs w:val="21"/>
                <w:highlight w:val="none"/>
              </w:rPr>
            </w:pPr>
            <w:r>
              <w:rPr>
                <w:rFonts w:hint="eastAsia" w:ascii="宋体" w:hAnsi="宋体" w:cs="宋体"/>
                <w:color w:val="auto"/>
                <w:highlight w:val="none"/>
              </w:rPr>
              <w:t>确保工期的技术组织措施（满分10分）</w:t>
            </w:r>
          </w:p>
        </w:tc>
        <w:tc>
          <w:tcPr>
            <w:tcW w:w="7110" w:type="dxa"/>
            <w:vAlign w:val="center"/>
          </w:tcPr>
          <w:p w14:paraId="5EF19EE0">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由各评委根据供应商提供的确保工期的技术组织措施</w:t>
            </w:r>
            <w:r>
              <w:rPr>
                <w:rFonts w:hint="eastAsia" w:cs="宋体"/>
                <w:color w:val="auto"/>
                <w:kern w:val="0"/>
                <w:highlight w:val="none"/>
              </w:rPr>
              <w:t>，</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，不提供确保工期的技术组织措施的不得分。</w:t>
            </w:r>
          </w:p>
          <w:p w14:paraId="0D5A7EEF">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(10分)：在施工工艺、施工方法、材料选用、劳动力安排、技术等方面有保证工期的具体措施且措施得当，有控制工期的施工进度计划。有施工总进度表或施工网络图，各项计划图表编制完善，安排科学合理，网络图关键线路清晰，关键节点的控制措施有力、合理、可行，进度违约责任承诺具体。</w:t>
            </w:r>
          </w:p>
          <w:p w14:paraId="2ECD1DA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三档(7分)：关键线路清晰、准确、完整，计划编制可行，有控制工期的施工进度可行计划。有完整的施工总进度表或施工网络图，关键节点的控制措施合理、可行，进度违约责任承诺具体。 </w:t>
            </w:r>
          </w:p>
          <w:p w14:paraId="1C0D623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二档(5分)：关键线路基本准确，计划编制基本合理，有控制工期的施工进度可行计划。有完整的施工总进度表或施工网络图，关键节点的控制措施基本可行，进度违约责任承诺具体。 </w:t>
            </w:r>
          </w:p>
          <w:p w14:paraId="3FE433F6">
            <w:pPr>
              <w:ind w:firstLine="420" w:firstLineChars="200"/>
              <w:rPr>
                <w:rFonts w:ascii="宋体" w:hAnsi="宋体" w:cs="宋体"/>
                <w:color w:val="auto"/>
                <w:highlight w:val="none"/>
              </w:rPr>
            </w:pPr>
            <w:r>
              <w:rPr>
                <w:rFonts w:hint="eastAsia" w:ascii="宋体" w:hAnsi="宋体" w:cs="宋体"/>
                <w:color w:val="auto"/>
                <w:highlight w:val="none"/>
              </w:rPr>
              <w:t>一档(2分)：关键线路不准确，计划编制不合理，无控制工期的施工进度可行计划。无完整的施工总进度表或施工网络图，关键节点的控制不可行，没有进度违约责任承诺。</w:t>
            </w:r>
          </w:p>
        </w:tc>
        <w:tc>
          <w:tcPr>
            <w:tcW w:w="772" w:type="dxa"/>
            <w:vAlign w:val="center"/>
          </w:tcPr>
          <w:p w14:paraId="77109875">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39DD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E2BC6BF">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2.5</w:t>
            </w:r>
          </w:p>
        </w:tc>
        <w:tc>
          <w:tcPr>
            <w:tcW w:w="1086" w:type="dxa"/>
            <w:vAlign w:val="center"/>
          </w:tcPr>
          <w:p w14:paraId="56759043">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color w:val="auto"/>
                <w:highlight w:val="none"/>
              </w:rPr>
              <w:t>工程施工的重点和难点及保证措施</w:t>
            </w:r>
            <w:r>
              <w:rPr>
                <w:rFonts w:hint="eastAsia" w:cs="宋体"/>
                <w:color w:val="auto"/>
                <w:kern w:val="0"/>
                <w:highlight w:val="none"/>
              </w:rPr>
              <w:t>（满分</w:t>
            </w:r>
            <w:r>
              <w:rPr>
                <w:rFonts w:hint="eastAsia"/>
                <w:color w:val="auto"/>
                <w:kern w:val="0"/>
                <w:highlight w:val="none"/>
              </w:rPr>
              <w:t>10</w:t>
            </w:r>
            <w:r>
              <w:rPr>
                <w:rFonts w:hint="eastAsia" w:cs="宋体"/>
                <w:color w:val="auto"/>
                <w:kern w:val="0"/>
                <w:highlight w:val="none"/>
              </w:rPr>
              <w:t>分）</w:t>
            </w:r>
          </w:p>
        </w:tc>
        <w:tc>
          <w:tcPr>
            <w:tcW w:w="7110" w:type="dxa"/>
            <w:vAlign w:val="center"/>
          </w:tcPr>
          <w:p w14:paraId="78FC4AC6">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由各评委根据供应商提供的工程施工的重点和难点及保证措施</w:t>
            </w:r>
            <w:r>
              <w:rPr>
                <w:rFonts w:hint="eastAsia" w:cs="宋体"/>
                <w:color w:val="auto"/>
                <w:kern w:val="0"/>
                <w:highlight w:val="none"/>
              </w:rPr>
              <w:t>，</w:t>
            </w:r>
            <w:r>
              <w:rPr>
                <w:rFonts w:hint="eastAsia" w:ascii="宋体" w:hAnsi="宋体" w:cs="宋体"/>
                <w:color w:val="auto"/>
                <w:highlight w:val="none"/>
              </w:rPr>
              <w:t>确定其所属档次及分值，未提供工程施工的重点和难点及保证措施的不得分。</w:t>
            </w:r>
          </w:p>
          <w:p w14:paraId="5FE3D34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四档(10分)：对本项目关键技术、工艺有深入的表述，对重点、难点有先进合理的施工措施并有可行的安全措施，解决方案完整、经济、安全、切实可行，措施得力。</w:t>
            </w:r>
          </w:p>
          <w:p w14:paraId="6FC13966">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三档(7分)：对本项目关键技术、工艺有深入的表述，对重点、难点有合理的建议，解决方案经济、安全、基本可行。 </w:t>
            </w:r>
          </w:p>
          <w:p w14:paraId="73C03CDA">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二档(5分)：对本项目关键技术有一定了解，对重点、难点有建议，解决方案基本可行。</w:t>
            </w:r>
          </w:p>
          <w:p w14:paraId="7F8AF528">
            <w:pPr>
              <w:ind w:firstLine="420" w:firstLineChars="200"/>
              <w:rPr>
                <w:rFonts w:ascii="宋体" w:hAnsi="宋体" w:cs="宋体"/>
                <w:color w:val="auto"/>
                <w:highlight w:val="none"/>
              </w:rPr>
            </w:pPr>
            <w:r>
              <w:rPr>
                <w:rFonts w:hint="eastAsia" w:ascii="宋体" w:hAnsi="宋体" w:cs="宋体"/>
                <w:color w:val="auto"/>
                <w:highlight w:val="none"/>
              </w:rPr>
              <w:t>一档（2分）：对本项目关键技术有表述，对重点、难点有建议，解决方案不可行。</w:t>
            </w:r>
          </w:p>
        </w:tc>
        <w:tc>
          <w:tcPr>
            <w:tcW w:w="772" w:type="dxa"/>
            <w:vAlign w:val="center"/>
          </w:tcPr>
          <w:p w14:paraId="31993C6C">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3058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FBBC6D3">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2.6</w:t>
            </w:r>
          </w:p>
        </w:tc>
        <w:tc>
          <w:tcPr>
            <w:tcW w:w="1086" w:type="dxa"/>
            <w:vAlign w:val="center"/>
          </w:tcPr>
          <w:p w14:paraId="27124906">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color w:val="auto"/>
                <w:highlight w:val="none"/>
              </w:rPr>
              <w:t>施工机械设备情况（</w:t>
            </w:r>
            <w:r>
              <w:rPr>
                <w:rFonts w:hint="eastAsia" w:cs="宋体"/>
                <w:color w:val="auto"/>
                <w:kern w:val="0"/>
                <w:highlight w:val="none"/>
              </w:rPr>
              <w:t>满分</w:t>
            </w:r>
            <w:r>
              <w:rPr>
                <w:rFonts w:hint="eastAsia"/>
                <w:color w:val="auto"/>
                <w:kern w:val="0"/>
                <w:highlight w:val="none"/>
              </w:rPr>
              <w:t>5</w:t>
            </w:r>
            <w:r>
              <w:rPr>
                <w:rFonts w:hint="eastAsia" w:cs="宋体"/>
                <w:color w:val="auto"/>
                <w:kern w:val="0"/>
                <w:highlight w:val="none"/>
              </w:rPr>
              <w:t>分）</w:t>
            </w:r>
          </w:p>
        </w:tc>
        <w:tc>
          <w:tcPr>
            <w:tcW w:w="7110" w:type="dxa"/>
            <w:vAlign w:val="center"/>
          </w:tcPr>
          <w:p w14:paraId="128AF5C3">
            <w:pPr>
              <w:widowControl/>
              <w:spacing w:line="360" w:lineRule="auto"/>
              <w:ind w:firstLine="420" w:firstLineChars="200"/>
              <w:rPr>
                <w:rFonts w:cs="宋体"/>
                <w:color w:val="auto"/>
                <w:kern w:val="0"/>
                <w:highlight w:val="none"/>
              </w:rPr>
            </w:pPr>
            <w:r>
              <w:rPr>
                <w:rFonts w:hint="eastAsia" w:ascii="宋体" w:hAnsi="宋体" w:cs="宋体"/>
                <w:color w:val="auto"/>
                <w:highlight w:val="none"/>
              </w:rPr>
              <w:t>由各评委根据供应商提供的施工机械设备情况</w:t>
            </w:r>
            <w:r>
              <w:rPr>
                <w:rFonts w:hint="eastAsia" w:cs="宋体"/>
                <w:color w:val="auto"/>
                <w:kern w:val="0"/>
                <w:highlight w:val="none"/>
              </w:rPr>
              <w:t>，</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，未提供施工机械设备情况</w:t>
            </w:r>
            <w:r>
              <w:rPr>
                <w:rFonts w:ascii="宋体" w:hAnsi="宋体" w:cs="宋体"/>
                <w:color w:val="auto"/>
                <w:highlight w:val="none"/>
              </w:rPr>
              <w:t>的不得分</w:t>
            </w:r>
            <w:r>
              <w:rPr>
                <w:rFonts w:hint="eastAsia" w:ascii="宋体" w:hAnsi="Courier New"/>
                <w:bCs/>
                <w:color w:val="auto"/>
                <w:szCs w:val="20"/>
                <w:highlight w:val="none"/>
              </w:rPr>
              <w:t>。</w:t>
            </w:r>
          </w:p>
          <w:p w14:paraId="45520288">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四档（5分）：投入的施工机械、设备、机具有详细的组织计划且计划周密，设备数量、选型配置、进场时间安排合理，满足施工需要。</w:t>
            </w:r>
          </w:p>
          <w:p w14:paraId="625CD2D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三档（4分）：投入的施工机械、设备、机具有组织计划，设备数量、选型配置、进场投入计划与进度计划呼应，满足施工需要。</w:t>
            </w:r>
          </w:p>
          <w:p w14:paraId="7C9E8BF2">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二档（3分）：投入的施工机械、设备、机具有组织计划，与进度计划呼应，满足施工需要。</w:t>
            </w:r>
          </w:p>
          <w:p w14:paraId="7ACCEC80">
            <w:pPr>
              <w:ind w:firstLine="420" w:firstLineChars="200"/>
              <w:rPr>
                <w:rFonts w:ascii="宋体" w:hAnsi="宋体" w:cs="宋体"/>
                <w:color w:val="auto"/>
                <w:highlight w:val="none"/>
              </w:rPr>
            </w:pPr>
            <w:r>
              <w:rPr>
                <w:rFonts w:hint="eastAsia" w:ascii="宋体" w:hAnsi="宋体" w:cs="宋体"/>
                <w:color w:val="auto"/>
                <w:highlight w:val="none"/>
              </w:rPr>
              <w:t>一档（1分）：投入的施工机械、设备、机具，基本满足施工需要。</w:t>
            </w:r>
          </w:p>
        </w:tc>
        <w:tc>
          <w:tcPr>
            <w:tcW w:w="772" w:type="dxa"/>
            <w:vAlign w:val="center"/>
          </w:tcPr>
          <w:p w14:paraId="756ACA2D">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r>
      <w:tr w14:paraId="6EEA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D8CE9C3">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2.7</w:t>
            </w:r>
          </w:p>
        </w:tc>
        <w:tc>
          <w:tcPr>
            <w:tcW w:w="1086" w:type="dxa"/>
            <w:vAlign w:val="center"/>
          </w:tcPr>
          <w:p w14:paraId="73C7F824">
            <w:pPr>
              <w:adjustRightInd w:val="0"/>
              <w:spacing w:line="400" w:lineRule="exact"/>
              <w:jc w:val="center"/>
              <w:textAlignment w:val="baseline"/>
              <w:rPr>
                <w:rFonts w:ascii="宋体" w:hAnsi="宋体" w:cs="宋体"/>
                <w:bCs/>
                <w:color w:val="auto"/>
                <w:szCs w:val="21"/>
                <w:highlight w:val="none"/>
              </w:rPr>
            </w:pPr>
            <w:r>
              <w:rPr>
                <w:rFonts w:hint="eastAsia" w:cs="宋体"/>
                <w:color w:val="auto"/>
                <w:kern w:val="0"/>
                <w:highlight w:val="none"/>
              </w:rPr>
              <w:t>劳动力安排计划（满分</w:t>
            </w:r>
            <w:r>
              <w:rPr>
                <w:rFonts w:hint="eastAsia"/>
                <w:color w:val="auto"/>
                <w:kern w:val="0"/>
                <w:highlight w:val="none"/>
              </w:rPr>
              <w:t>5</w:t>
            </w:r>
            <w:r>
              <w:rPr>
                <w:rFonts w:hint="eastAsia" w:cs="宋体"/>
                <w:color w:val="auto"/>
                <w:kern w:val="0"/>
                <w:highlight w:val="none"/>
              </w:rPr>
              <w:t>分）</w:t>
            </w:r>
          </w:p>
        </w:tc>
        <w:tc>
          <w:tcPr>
            <w:tcW w:w="7110" w:type="dxa"/>
            <w:vAlign w:val="center"/>
          </w:tcPr>
          <w:p w14:paraId="1FBE7EA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由各评委根据供应商提供的</w:t>
            </w:r>
            <w:r>
              <w:rPr>
                <w:rFonts w:hint="eastAsia" w:cs="宋体"/>
                <w:color w:val="auto"/>
                <w:kern w:val="0"/>
                <w:highlight w:val="none"/>
              </w:rPr>
              <w:t>劳动力安排计划，</w:t>
            </w:r>
            <w:r>
              <w:rPr>
                <w:rFonts w:hint="eastAsia" w:ascii="宋体" w:hAnsi="宋体" w:cs="宋体"/>
                <w:color w:val="auto"/>
                <w:highlight w:val="none"/>
              </w:rPr>
              <w:t>确定其所属档次及分值，未提供</w:t>
            </w:r>
            <w:r>
              <w:rPr>
                <w:rFonts w:hint="eastAsia" w:cs="宋体"/>
                <w:color w:val="auto"/>
                <w:kern w:val="0"/>
                <w:highlight w:val="none"/>
              </w:rPr>
              <w:t>劳动力安排计划</w:t>
            </w:r>
            <w:r>
              <w:rPr>
                <w:rFonts w:hint="eastAsia" w:ascii="宋体" w:hAnsi="宋体" w:cs="宋体"/>
                <w:color w:val="auto"/>
                <w:highlight w:val="none"/>
              </w:rPr>
              <w:t>的不得分。</w:t>
            </w:r>
          </w:p>
          <w:p w14:paraId="4BF00B5B">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四档（5分）：各主要施工工序有详细周密的劳动力安排计划，各工种劳动力安排计划齐全，劳动力投入与进度计划呼应合理，完全符合满足本项目的施工需要。</w:t>
            </w:r>
          </w:p>
          <w:p w14:paraId="6C84977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三档（4分）：各主要施工工序有完整的劳动力安排计划，有各工种劳动力安排计划，劳动力投入计划明细，较好的响应满足施工需要。</w:t>
            </w:r>
          </w:p>
          <w:p w14:paraId="301D7707">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二档（3分）：各施工工序及各工种有相应劳动力安排计划框架，劳动力投入合理，满足施工需要。</w:t>
            </w:r>
          </w:p>
          <w:p w14:paraId="58A62E5D">
            <w:pPr>
              <w:ind w:firstLine="420" w:firstLineChars="200"/>
              <w:rPr>
                <w:rFonts w:ascii="宋体" w:hAnsi="宋体" w:cs="宋体"/>
                <w:color w:val="auto"/>
                <w:highlight w:val="none"/>
              </w:rPr>
            </w:pPr>
            <w:r>
              <w:rPr>
                <w:rFonts w:hint="eastAsia" w:ascii="宋体" w:hAnsi="宋体" w:cs="宋体"/>
                <w:color w:val="auto"/>
                <w:highlight w:val="none"/>
              </w:rPr>
              <w:t>一档（1分）：各施工工序及工种有大概的劳动力安排计划表述，基本满足施工需要。</w:t>
            </w:r>
          </w:p>
        </w:tc>
        <w:tc>
          <w:tcPr>
            <w:tcW w:w="772" w:type="dxa"/>
            <w:vAlign w:val="center"/>
          </w:tcPr>
          <w:p w14:paraId="6F47129D">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r>
      <w:tr w14:paraId="6A08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6E12D4F">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2.8</w:t>
            </w:r>
          </w:p>
        </w:tc>
        <w:tc>
          <w:tcPr>
            <w:tcW w:w="1086" w:type="dxa"/>
            <w:vAlign w:val="center"/>
          </w:tcPr>
          <w:p w14:paraId="21F734AB">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项目实施人员评分标准</w:t>
            </w:r>
            <w:r>
              <w:rPr>
                <w:rFonts w:hint="eastAsia" w:cs="宋体"/>
                <w:color w:val="auto"/>
                <w:kern w:val="0"/>
                <w:highlight w:val="none"/>
              </w:rPr>
              <w:t>（满分</w:t>
            </w:r>
            <w:r>
              <w:rPr>
                <w:rFonts w:hint="eastAsia"/>
                <w:color w:val="auto"/>
                <w:kern w:val="0"/>
                <w:highlight w:val="none"/>
              </w:rPr>
              <w:t>10</w:t>
            </w:r>
            <w:r>
              <w:rPr>
                <w:rFonts w:hint="eastAsia" w:cs="宋体"/>
                <w:color w:val="auto"/>
                <w:kern w:val="0"/>
                <w:highlight w:val="none"/>
              </w:rPr>
              <w:t>分）</w:t>
            </w:r>
          </w:p>
        </w:tc>
        <w:tc>
          <w:tcPr>
            <w:tcW w:w="7110" w:type="dxa"/>
            <w:vAlign w:val="center"/>
          </w:tcPr>
          <w:p w14:paraId="6D5F82A1">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（1）项目经理：拟投入本项目的项目经理具有建筑工程专业中级及以上技术职称得5分。</w:t>
            </w:r>
          </w:p>
          <w:p w14:paraId="62804544">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（2）其他人员（不含项目经理）：拟投入本项目的人员至少包括安全员、施工员、质量员、材料员，且均具有相应岗位资格证书的，得基础分5分，不满足得0分。</w:t>
            </w:r>
          </w:p>
          <w:p w14:paraId="7DA471BE">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注：（1）响应文件中提供上述人员证书复印件并加盖竞标人单位公章，否则不计分。</w:t>
            </w:r>
          </w:p>
        </w:tc>
        <w:tc>
          <w:tcPr>
            <w:tcW w:w="772" w:type="dxa"/>
            <w:vAlign w:val="center"/>
          </w:tcPr>
          <w:p w14:paraId="5A9FE941">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13A7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7219CDF">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1086" w:type="dxa"/>
            <w:vAlign w:val="center"/>
          </w:tcPr>
          <w:p w14:paraId="0813CE38">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商务分</w:t>
            </w:r>
          </w:p>
        </w:tc>
        <w:tc>
          <w:tcPr>
            <w:tcW w:w="7110" w:type="dxa"/>
            <w:vAlign w:val="center"/>
          </w:tcPr>
          <w:p w14:paraId="6D71CE67">
            <w:pPr>
              <w:pStyle w:val="15"/>
              <w:spacing w:line="400" w:lineRule="exact"/>
              <w:ind w:firstLine="2310" w:firstLineChars="1100"/>
              <w:rPr>
                <w:rFonts w:hAnsi="宋体" w:cs="宋体"/>
                <w:bCs/>
                <w:color w:val="auto"/>
                <w:sz w:val="21"/>
                <w:highlight w:val="none"/>
              </w:rPr>
            </w:pPr>
            <w:r>
              <w:rPr>
                <w:rFonts w:hint="eastAsia" w:hAnsi="宋体" w:cs="宋体"/>
                <w:bCs/>
                <w:color w:val="auto"/>
                <w:sz w:val="21"/>
                <w:highlight w:val="none"/>
              </w:rPr>
              <w:t>评审因素</w:t>
            </w:r>
          </w:p>
        </w:tc>
        <w:tc>
          <w:tcPr>
            <w:tcW w:w="772" w:type="dxa"/>
            <w:vAlign w:val="center"/>
          </w:tcPr>
          <w:p w14:paraId="3102EC54">
            <w:pPr>
              <w:spacing w:line="320" w:lineRule="exact"/>
              <w:jc w:val="center"/>
              <w:rPr>
                <w:rFonts w:ascii="宋体" w:hAnsi="宋体" w:cs="宋体"/>
                <w:color w:val="auto"/>
                <w:kern w:val="0"/>
                <w:szCs w:val="21"/>
                <w:highlight w:val="none"/>
              </w:rPr>
            </w:pPr>
          </w:p>
        </w:tc>
      </w:tr>
      <w:tr w14:paraId="79A2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3972006">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3.1</w:t>
            </w:r>
          </w:p>
        </w:tc>
        <w:tc>
          <w:tcPr>
            <w:tcW w:w="1086" w:type="dxa"/>
            <w:vAlign w:val="center"/>
          </w:tcPr>
          <w:p w14:paraId="3939CCFB">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业绩分</w:t>
            </w:r>
          </w:p>
        </w:tc>
        <w:tc>
          <w:tcPr>
            <w:tcW w:w="7110" w:type="dxa"/>
            <w:vAlign w:val="center"/>
          </w:tcPr>
          <w:p w14:paraId="1041EDAF">
            <w:pPr>
              <w:pStyle w:val="15"/>
              <w:spacing w:line="400" w:lineRule="exact"/>
              <w:ind w:firstLine="420" w:firstLineChars="200"/>
              <w:rPr>
                <w:rFonts w:hAnsi="宋体" w:cs="宋体"/>
                <w:bCs/>
                <w:color w:val="auto"/>
                <w:sz w:val="21"/>
                <w:szCs w:val="21"/>
                <w:highlight w:val="none"/>
              </w:rPr>
            </w:pPr>
            <w:r>
              <w:rPr>
                <w:rFonts w:hint="eastAsia" w:hAnsi="宋体"/>
                <w:bCs/>
                <w:color w:val="auto"/>
                <w:sz w:val="21"/>
                <w:szCs w:val="21"/>
                <w:highlight w:val="none"/>
              </w:rPr>
              <w:t>供应商自2022年1月1日以来承接过类似项目（建筑工程施工）的每个得2分，此项满分6分。（业绩证明材料</w:t>
            </w:r>
            <w:r>
              <w:rPr>
                <w:rFonts w:hint="eastAsia"/>
                <w:color w:val="auto"/>
                <w:sz w:val="21"/>
                <w:szCs w:val="21"/>
                <w:highlight w:val="none"/>
              </w:rPr>
              <w:t>须</w:t>
            </w:r>
            <w:r>
              <w:rPr>
                <w:rFonts w:hint="eastAsia" w:hAnsi="宋体"/>
                <w:bCs/>
                <w:color w:val="auto"/>
                <w:sz w:val="21"/>
                <w:szCs w:val="21"/>
                <w:highlight w:val="none"/>
              </w:rPr>
              <w:t>提供合同复印件或中标（成交）通知书复印件，不提供不得分）。</w:t>
            </w:r>
          </w:p>
        </w:tc>
        <w:tc>
          <w:tcPr>
            <w:tcW w:w="772" w:type="dxa"/>
            <w:vAlign w:val="center"/>
          </w:tcPr>
          <w:p w14:paraId="40461095">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6分</w:t>
            </w:r>
          </w:p>
        </w:tc>
      </w:tr>
      <w:tr w14:paraId="7280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CB7DE11">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3.2</w:t>
            </w:r>
          </w:p>
        </w:tc>
        <w:tc>
          <w:tcPr>
            <w:tcW w:w="1086" w:type="dxa"/>
            <w:vAlign w:val="center"/>
          </w:tcPr>
          <w:p w14:paraId="33B68D52">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信誉分</w:t>
            </w:r>
          </w:p>
        </w:tc>
        <w:tc>
          <w:tcPr>
            <w:tcW w:w="7110" w:type="dxa"/>
            <w:vAlign w:val="center"/>
          </w:tcPr>
          <w:p w14:paraId="4EC91F2E">
            <w:pPr>
              <w:pStyle w:val="15"/>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供应商提供ISO三大管理体系认证（包括质量</w:t>
            </w:r>
            <w:r>
              <w:rPr>
                <w:rFonts w:ascii="Arial" w:hAnsi="Arial" w:cs="Arial"/>
                <w:color w:val="auto"/>
                <w:sz w:val="21"/>
                <w:szCs w:val="21"/>
                <w:highlight w:val="none"/>
                <w:shd w:val="clear" w:color="auto" w:fill="FFFFFF"/>
              </w:rPr>
              <w:t>管理体系认证、环境管理体系认证和职业健康安全管理体系认证</w:t>
            </w:r>
            <w:r>
              <w:rPr>
                <w:rFonts w:hint="eastAsia" w:hAnsi="宋体"/>
                <w:bCs/>
                <w:color w:val="auto"/>
                <w:sz w:val="21"/>
                <w:szCs w:val="21"/>
                <w:highlight w:val="none"/>
              </w:rPr>
              <w:t>），每提供一项得1分，全部提供得4分，此项满分4分。</w:t>
            </w:r>
          </w:p>
        </w:tc>
        <w:tc>
          <w:tcPr>
            <w:tcW w:w="772" w:type="dxa"/>
            <w:vAlign w:val="center"/>
          </w:tcPr>
          <w:p w14:paraId="4F84A908">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4分</w:t>
            </w:r>
          </w:p>
        </w:tc>
      </w:tr>
      <w:tr w14:paraId="73AC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0091044D">
            <w:pPr>
              <w:pStyle w:val="15"/>
              <w:spacing w:line="360" w:lineRule="exact"/>
              <w:rPr>
                <w:rFonts w:hAnsi="宋体" w:cs="宋体"/>
                <w:bCs/>
                <w:color w:val="auto"/>
                <w:sz w:val="21"/>
                <w:highlight w:val="none"/>
              </w:rPr>
            </w:pPr>
            <w:r>
              <w:rPr>
                <w:rFonts w:hint="eastAsia" w:hAnsi="宋体" w:cs="宋体"/>
                <w:bCs/>
                <w:color w:val="auto"/>
                <w:sz w:val="21"/>
                <w:highlight w:val="none"/>
              </w:rPr>
              <w:t>总得分＝1＋2+3</w:t>
            </w:r>
          </w:p>
        </w:tc>
        <w:tc>
          <w:tcPr>
            <w:tcW w:w="772" w:type="dxa"/>
            <w:vAlign w:val="center"/>
          </w:tcPr>
          <w:p w14:paraId="0A377634">
            <w:pPr>
              <w:widowControl/>
              <w:spacing w:line="360" w:lineRule="exact"/>
              <w:jc w:val="center"/>
              <w:rPr>
                <w:rFonts w:ascii="宋体" w:hAnsi="宋体" w:cs="宋体"/>
                <w:color w:val="auto"/>
                <w:kern w:val="0"/>
                <w:szCs w:val="21"/>
                <w:highlight w:val="none"/>
              </w:rPr>
            </w:pPr>
          </w:p>
        </w:tc>
      </w:tr>
    </w:tbl>
    <w:p w14:paraId="48869C12">
      <w:pPr>
        <w:pStyle w:val="15"/>
        <w:spacing w:line="360" w:lineRule="exact"/>
        <w:ind w:firstLine="420" w:firstLineChars="200"/>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3ED47371">
      <w:pPr>
        <w:spacing w:line="360" w:lineRule="auto"/>
        <w:ind w:firstLine="420" w:firstLineChars="200"/>
        <w:rPr>
          <w:rFonts w:ascii="宋体" w:hAnsi="宋体" w:cs="宋体"/>
          <w:color w:val="auto"/>
          <w:highlight w:val="none"/>
        </w:rPr>
      </w:pPr>
      <w:bookmarkStart w:id="62" w:name="_Toc80205935"/>
      <w:r>
        <w:rPr>
          <w:rFonts w:hint="eastAsia" w:ascii="宋体" w:hAnsi="宋体" w:cs="宋体"/>
          <w:color w:val="auto"/>
          <w:highlight w:val="none"/>
        </w:rPr>
        <w:t>8.3.终止竞争性磋商采购活动</w:t>
      </w:r>
    </w:p>
    <w:p w14:paraId="64E40C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160DCED">
      <w:pPr>
        <w:pStyle w:val="3"/>
        <w:spacing w:before="0" w:after="0" w:line="360" w:lineRule="auto"/>
        <w:ind w:firstLine="640" w:firstLineChars="200"/>
        <w:jc w:val="center"/>
        <w:rPr>
          <w:rFonts w:ascii="宋体" w:hAnsi="宋体" w:cs="宋体"/>
          <w:b w:val="0"/>
          <w:color w:val="auto"/>
          <w:highlight w:val="none"/>
        </w:rPr>
      </w:pPr>
    </w:p>
    <w:p w14:paraId="087DE029">
      <w:pPr>
        <w:pStyle w:val="3"/>
        <w:spacing w:before="0" w:after="0" w:line="360" w:lineRule="auto"/>
        <w:ind w:firstLine="640" w:firstLineChars="200"/>
        <w:jc w:val="center"/>
        <w:rPr>
          <w:rFonts w:ascii="宋体" w:hAnsi="宋体" w:cs="宋体"/>
          <w:b w:val="0"/>
          <w:color w:val="auto"/>
          <w:highlight w:val="none"/>
        </w:rPr>
      </w:pPr>
      <w:bookmarkStart w:id="63" w:name="_Toc1930"/>
      <w:r>
        <w:rPr>
          <w:rFonts w:hint="eastAsia" w:ascii="宋体" w:hAnsi="宋体" w:cs="宋体"/>
          <w:b w:val="0"/>
          <w:color w:val="auto"/>
          <w:highlight w:val="none"/>
        </w:rPr>
        <w:t>第二节 评标报告</w:t>
      </w:r>
      <w:bookmarkEnd w:id="62"/>
      <w:bookmarkEnd w:id="63"/>
    </w:p>
    <w:p w14:paraId="35A07AF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079779B8">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18B50A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2A57D282">
      <w:pPr>
        <w:pStyle w:val="33"/>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9CBFDD9">
      <w:pPr>
        <w:pStyle w:val="3"/>
        <w:spacing w:before="0" w:after="0" w:line="360" w:lineRule="auto"/>
        <w:ind w:firstLine="640" w:firstLineChars="200"/>
        <w:jc w:val="center"/>
        <w:rPr>
          <w:rFonts w:ascii="宋体" w:hAnsi="宋体" w:cs="宋体"/>
          <w:b w:val="0"/>
          <w:color w:val="auto"/>
          <w:highlight w:val="none"/>
        </w:rPr>
      </w:pPr>
      <w:bookmarkStart w:id="64" w:name="_Toc80205936"/>
      <w:bookmarkStart w:id="65" w:name="_Toc23409"/>
      <w:r>
        <w:rPr>
          <w:rFonts w:hint="eastAsia" w:ascii="宋体" w:hAnsi="宋体" w:cs="宋体"/>
          <w:b w:val="0"/>
          <w:color w:val="auto"/>
          <w:highlight w:val="none"/>
        </w:rPr>
        <w:t>第三节 评审过程的保密与录像</w:t>
      </w:r>
      <w:bookmarkEnd w:id="64"/>
      <w:bookmarkEnd w:id="65"/>
    </w:p>
    <w:p w14:paraId="580CCD7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5EED3F3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0CEA2F">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309E5F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14:paraId="0394C8E4">
      <w:pPr>
        <w:pStyle w:val="3"/>
        <w:jc w:val="center"/>
        <w:rPr>
          <w:rFonts w:ascii="宋体" w:hAnsi="宋体" w:cs="宋体"/>
          <w:color w:val="auto"/>
          <w:highlight w:val="none"/>
        </w:rPr>
      </w:pPr>
    </w:p>
    <w:p w14:paraId="702E8A40">
      <w:pPr>
        <w:pStyle w:val="3"/>
        <w:jc w:val="center"/>
        <w:rPr>
          <w:rFonts w:ascii="宋体" w:hAnsi="宋体" w:cs="宋体"/>
          <w:color w:val="auto"/>
          <w:highlight w:val="none"/>
        </w:rPr>
      </w:pPr>
    </w:p>
    <w:p w14:paraId="4491815B">
      <w:pPr>
        <w:pStyle w:val="3"/>
        <w:jc w:val="center"/>
        <w:rPr>
          <w:rFonts w:ascii="宋体" w:hAnsi="宋体" w:cs="宋体"/>
          <w:color w:val="auto"/>
          <w:highlight w:val="none"/>
        </w:rPr>
      </w:pPr>
    </w:p>
    <w:p w14:paraId="633D6129">
      <w:pPr>
        <w:pStyle w:val="3"/>
        <w:jc w:val="center"/>
        <w:rPr>
          <w:rFonts w:ascii="宋体" w:hAnsi="宋体" w:cs="宋体"/>
          <w:color w:val="auto"/>
          <w:highlight w:val="none"/>
        </w:rPr>
      </w:pPr>
    </w:p>
    <w:p w14:paraId="448EEA3E">
      <w:pPr>
        <w:pStyle w:val="3"/>
        <w:rPr>
          <w:rFonts w:ascii="宋体" w:hAnsi="宋体" w:cs="宋体"/>
          <w:color w:val="auto"/>
          <w:highlight w:val="none"/>
        </w:rPr>
      </w:pPr>
    </w:p>
    <w:p w14:paraId="00861059">
      <w:pPr>
        <w:pStyle w:val="2"/>
        <w:jc w:val="center"/>
        <w:rPr>
          <w:rFonts w:ascii="宋体" w:hAnsi="宋体" w:cs="宋体"/>
          <w:color w:val="auto"/>
          <w:highlight w:val="none"/>
        </w:rPr>
      </w:pPr>
      <w:bookmarkStart w:id="66" w:name="_Toc13484"/>
      <w:r>
        <w:rPr>
          <w:rFonts w:hint="eastAsia" w:ascii="宋体" w:hAnsi="宋体" w:cs="宋体"/>
          <w:color w:val="auto"/>
          <w:highlight w:val="none"/>
        </w:rPr>
        <w:t>第五章 响应文件格式</w:t>
      </w:r>
      <w:bookmarkEnd w:id="66"/>
    </w:p>
    <w:p w14:paraId="1CEAE050">
      <w:pPr>
        <w:widowControl/>
        <w:spacing w:line="576" w:lineRule="auto"/>
        <w:jc w:val="left"/>
        <w:rPr>
          <w:rFonts w:ascii="宋体" w:hAnsi="宋体" w:cs="宋体"/>
          <w:b/>
          <w:bCs/>
          <w:color w:val="auto"/>
          <w:kern w:val="44"/>
          <w:sz w:val="44"/>
          <w:szCs w:val="44"/>
          <w:highlight w:val="none"/>
        </w:rPr>
        <w:sectPr>
          <w:pgSz w:w="11910" w:h="16840"/>
          <w:pgMar w:top="1440" w:right="1080" w:bottom="1440" w:left="1080" w:header="720" w:footer="720" w:gutter="0"/>
          <w:pgNumType w:fmt="decimal"/>
          <w:cols w:space="720" w:num="1"/>
        </w:sectPr>
      </w:pPr>
    </w:p>
    <w:p w14:paraId="4C04B732">
      <w:pPr>
        <w:pStyle w:val="3"/>
        <w:jc w:val="center"/>
        <w:rPr>
          <w:rFonts w:ascii="宋体" w:hAnsi="宋体" w:cs="宋体"/>
          <w:b w:val="0"/>
          <w:color w:val="auto"/>
          <w:highlight w:val="none"/>
        </w:rPr>
      </w:pPr>
      <w:bookmarkStart w:id="67" w:name="_Toc7129"/>
      <w:bookmarkStart w:id="68" w:name="_Toc80205938"/>
      <w:r>
        <w:rPr>
          <w:rFonts w:hint="eastAsia" w:ascii="宋体" w:hAnsi="宋体" w:cs="宋体"/>
          <w:b w:val="0"/>
          <w:color w:val="auto"/>
          <w:highlight w:val="none"/>
        </w:rPr>
        <w:t>第一节 封面格式</w:t>
      </w:r>
      <w:bookmarkEnd w:id="67"/>
      <w:bookmarkEnd w:id="68"/>
    </w:p>
    <w:p w14:paraId="2D31BE4A">
      <w:pPr>
        <w:snapToGrid w:val="0"/>
        <w:spacing w:before="120" w:beforeLines="50" w:after="50"/>
        <w:rPr>
          <w:rFonts w:ascii="宋体" w:hAnsi="宋体" w:cs="宋体"/>
          <w:color w:val="auto"/>
          <w:sz w:val="24"/>
          <w:szCs w:val="20"/>
          <w:highlight w:val="none"/>
        </w:rPr>
      </w:pPr>
    </w:p>
    <w:p w14:paraId="3354DFC2">
      <w:pPr>
        <w:snapToGrid w:val="0"/>
        <w:spacing w:before="120" w:beforeLines="50" w:after="50"/>
        <w:jc w:val="center"/>
        <w:rPr>
          <w:rFonts w:ascii="宋体" w:hAnsi="宋体" w:cs="宋体"/>
          <w:bCs/>
          <w:color w:val="auto"/>
          <w:sz w:val="24"/>
          <w:szCs w:val="20"/>
          <w:highlight w:val="none"/>
        </w:rPr>
      </w:pPr>
    </w:p>
    <w:p w14:paraId="1FFE6563">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13352321">
      <w:pPr>
        <w:snapToGrid w:val="0"/>
        <w:spacing w:before="120" w:beforeLines="50" w:after="50"/>
        <w:rPr>
          <w:rFonts w:ascii="宋体" w:hAnsi="宋体" w:cs="宋体"/>
          <w:bCs/>
          <w:color w:val="auto"/>
          <w:sz w:val="24"/>
          <w:szCs w:val="20"/>
          <w:highlight w:val="none"/>
        </w:rPr>
      </w:pPr>
    </w:p>
    <w:p w14:paraId="0A1E364F">
      <w:pPr>
        <w:snapToGrid w:val="0"/>
        <w:spacing w:before="120" w:beforeLines="50" w:after="50"/>
        <w:rPr>
          <w:rFonts w:ascii="宋体" w:hAnsi="宋体" w:cs="宋体"/>
          <w:bCs/>
          <w:color w:val="auto"/>
          <w:sz w:val="24"/>
          <w:szCs w:val="20"/>
          <w:highlight w:val="none"/>
        </w:rPr>
      </w:pPr>
    </w:p>
    <w:p w14:paraId="62E75203">
      <w:pPr>
        <w:snapToGrid w:val="0"/>
        <w:spacing w:before="120" w:beforeLines="50" w:after="50"/>
        <w:rPr>
          <w:rFonts w:ascii="宋体" w:hAnsi="宋体" w:cs="宋体"/>
          <w:bCs/>
          <w:color w:val="auto"/>
          <w:sz w:val="32"/>
          <w:szCs w:val="32"/>
          <w:highlight w:val="none"/>
        </w:rPr>
      </w:pPr>
    </w:p>
    <w:p w14:paraId="30FE6E2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69" w:name="PO_3000001868_PM002_2"/>
      <w:r>
        <w:rPr>
          <w:rFonts w:hint="eastAsia" w:ascii="宋体" w:hAnsi="宋体" w:cs="宋体"/>
          <w:bCs/>
          <w:color w:val="auto"/>
          <w:sz w:val="32"/>
          <w:szCs w:val="32"/>
          <w:highlight w:val="none"/>
        </w:rPr>
        <w:t>[项目名称]</w:t>
      </w:r>
      <w:bookmarkEnd w:id="69"/>
    </w:p>
    <w:p w14:paraId="4EE33000">
      <w:pPr>
        <w:snapToGrid w:val="0"/>
        <w:spacing w:before="120" w:beforeLines="50" w:after="50"/>
        <w:ind w:firstLine="480" w:firstLineChars="150"/>
        <w:rPr>
          <w:rFonts w:ascii="宋体" w:hAnsi="宋体" w:cs="宋体"/>
          <w:bCs/>
          <w:color w:val="auto"/>
          <w:sz w:val="32"/>
          <w:szCs w:val="32"/>
          <w:highlight w:val="none"/>
        </w:rPr>
      </w:pPr>
    </w:p>
    <w:p w14:paraId="5CE3469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0" w:name="PO_3000001868_PM001_4"/>
      <w:r>
        <w:rPr>
          <w:rFonts w:hint="eastAsia" w:ascii="宋体" w:hAnsi="宋体" w:cs="宋体"/>
          <w:bCs/>
          <w:color w:val="auto"/>
          <w:sz w:val="32"/>
          <w:szCs w:val="32"/>
          <w:highlight w:val="none"/>
        </w:rPr>
        <w:t>[项目编号]</w:t>
      </w:r>
      <w:bookmarkEnd w:id="70"/>
    </w:p>
    <w:p w14:paraId="307B0FD5">
      <w:pPr>
        <w:snapToGrid w:val="0"/>
        <w:spacing w:before="120" w:beforeLines="50" w:after="50"/>
        <w:ind w:firstLine="480" w:firstLineChars="150"/>
        <w:rPr>
          <w:rFonts w:ascii="宋体" w:hAnsi="宋体" w:cs="宋体"/>
          <w:bCs/>
          <w:color w:val="auto"/>
          <w:sz w:val="32"/>
          <w:szCs w:val="32"/>
          <w:highlight w:val="none"/>
        </w:rPr>
      </w:pPr>
    </w:p>
    <w:p w14:paraId="1C1B9D25">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C352BE8">
      <w:pPr>
        <w:snapToGrid w:val="0"/>
        <w:spacing w:before="120" w:beforeLines="50" w:after="50"/>
        <w:rPr>
          <w:rFonts w:ascii="宋体" w:hAnsi="宋体" w:cs="宋体"/>
          <w:bCs/>
          <w:color w:val="auto"/>
          <w:sz w:val="32"/>
          <w:szCs w:val="32"/>
          <w:highlight w:val="none"/>
        </w:rPr>
      </w:pPr>
    </w:p>
    <w:p w14:paraId="18BFF7BA">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57D649F">
      <w:pPr>
        <w:snapToGrid w:val="0"/>
        <w:spacing w:before="120" w:beforeLines="50" w:after="50"/>
        <w:rPr>
          <w:rFonts w:ascii="宋体" w:hAnsi="宋体" w:cs="宋体"/>
          <w:bCs/>
          <w:color w:val="auto"/>
          <w:sz w:val="32"/>
          <w:szCs w:val="32"/>
          <w:highlight w:val="none"/>
        </w:rPr>
      </w:pPr>
    </w:p>
    <w:p w14:paraId="4DD976A2">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36F7787F">
      <w:pPr>
        <w:snapToGrid w:val="0"/>
        <w:spacing w:before="120" w:beforeLines="50" w:after="50"/>
        <w:ind w:firstLine="5440" w:firstLineChars="1700"/>
        <w:jc w:val="center"/>
        <w:rPr>
          <w:rFonts w:ascii="宋体" w:hAnsi="宋体" w:cs="宋体"/>
          <w:bCs/>
          <w:color w:val="auto"/>
          <w:sz w:val="32"/>
          <w:szCs w:val="32"/>
          <w:highlight w:val="none"/>
        </w:rPr>
      </w:pPr>
    </w:p>
    <w:p w14:paraId="65B7A851">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2031BD99">
      <w:pPr>
        <w:widowControl/>
        <w:jc w:val="left"/>
        <w:rPr>
          <w:rFonts w:ascii="宋体" w:hAnsi="宋体" w:cs="宋体"/>
          <w:color w:val="auto"/>
          <w:highlight w:val="none"/>
        </w:rPr>
        <w:sectPr>
          <w:pgSz w:w="11910" w:h="16840"/>
          <w:pgMar w:top="1440" w:right="1080" w:bottom="1440" w:left="1080" w:header="720" w:footer="720" w:gutter="0"/>
          <w:pgNumType w:fmt="decimal"/>
          <w:cols w:space="720" w:num="1"/>
        </w:sectPr>
      </w:pPr>
    </w:p>
    <w:p w14:paraId="4BF1B202">
      <w:pPr>
        <w:pStyle w:val="3"/>
        <w:jc w:val="center"/>
        <w:rPr>
          <w:rFonts w:ascii="宋体" w:hAnsi="宋体" w:cs="宋体"/>
          <w:bCs w:val="0"/>
          <w:color w:val="auto"/>
          <w:highlight w:val="none"/>
        </w:rPr>
      </w:pPr>
      <w:bookmarkStart w:id="71" w:name="_Toc30886"/>
      <w:bookmarkStart w:id="72" w:name="_Toc80205939"/>
      <w:r>
        <w:rPr>
          <w:rFonts w:hint="eastAsia" w:ascii="宋体" w:hAnsi="宋体" w:cs="宋体"/>
          <w:bCs w:val="0"/>
          <w:color w:val="auto"/>
          <w:highlight w:val="none"/>
        </w:rPr>
        <w:t>第二节 资格证明文件格式</w:t>
      </w:r>
      <w:bookmarkEnd w:id="71"/>
      <w:bookmarkEnd w:id="72"/>
    </w:p>
    <w:p w14:paraId="3A8BBFBA">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BD46001">
      <w:pPr>
        <w:snapToGrid w:val="0"/>
        <w:spacing w:before="120" w:beforeLines="50" w:after="50"/>
        <w:rPr>
          <w:rFonts w:ascii="宋体" w:hAnsi="宋体" w:cs="宋体"/>
          <w:color w:val="auto"/>
          <w:sz w:val="24"/>
          <w:szCs w:val="20"/>
          <w:highlight w:val="none"/>
        </w:rPr>
      </w:pPr>
    </w:p>
    <w:p w14:paraId="428498CC">
      <w:pPr>
        <w:snapToGrid w:val="0"/>
        <w:spacing w:before="120" w:beforeLines="50" w:after="50"/>
        <w:rPr>
          <w:rFonts w:ascii="宋体" w:hAnsi="宋体" w:cs="宋体"/>
          <w:color w:val="auto"/>
          <w:sz w:val="24"/>
          <w:szCs w:val="20"/>
          <w:highlight w:val="none"/>
        </w:rPr>
      </w:pPr>
    </w:p>
    <w:p w14:paraId="1ABC8436">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6D544316">
      <w:pPr>
        <w:snapToGrid w:val="0"/>
        <w:spacing w:before="120" w:beforeLines="50" w:after="50"/>
        <w:rPr>
          <w:rFonts w:ascii="宋体" w:hAnsi="宋体" w:cs="宋体"/>
          <w:bCs/>
          <w:color w:val="auto"/>
          <w:sz w:val="24"/>
          <w:szCs w:val="20"/>
          <w:highlight w:val="none"/>
        </w:rPr>
      </w:pPr>
    </w:p>
    <w:p w14:paraId="4FDB200D">
      <w:pPr>
        <w:snapToGrid w:val="0"/>
        <w:spacing w:before="120" w:beforeLines="50" w:after="50"/>
        <w:rPr>
          <w:rFonts w:ascii="宋体" w:hAnsi="宋体" w:cs="宋体"/>
          <w:bCs/>
          <w:color w:val="auto"/>
          <w:sz w:val="24"/>
          <w:szCs w:val="20"/>
          <w:highlight w:val="none"/>
        </w:rPr>
      </w:pPr>
    </w:p>
    <w:p w14:paraId="396E408C">
      <w:pPr>
        <w:snapToGrid w:val="0"/>
        <w:spacing w:before="120" w:beforeLines="50" w:after="50"/>
        <w:rPr>
          <w:rFonts w:ascii="宋体" w:hAnsi="宋体" w:cs="宋体"/>
          <w:bCs/>
          <w:color w:val="auto"/>
          <w:sz w:val="24"/>
          <w:szCs w:val="20"/>
          <w:highlight w:val="none"/>
        </w:rPr>
      </w:pPr>
    </w:p>
    <w:p w14:paraId="09F681F9">
      <w:pPr>
        <w:snapToGrid w:val="0"/>
        <w:spacing w:before="120" w:beforeLines="50" w:after="50"/>
        <w:rPr>
          <w:rFonts w:ascii="宋体" w:hAnsi="宋体" w:cs="宋体"/>
          <w:bCs/>
          <w:color w:val="auto"/>
          <w:sz w:val="24"/>
          <w:szCs w:val="20"/>
          <w:highlight w:val="none"/>
        </w:rPr>
      </w:pPr>
    </w:p>
    <w:p w14:paraId="1F5B5AB4">
      <w:pPr>
        <w:snapToGrid w:val="0"/>
        <w:spacing w:before="120" w:beforeLines="50" w:after="50"/>
        <w:rPr>
          <w:rFonts w:ascii="宋体" w:hAnsi="宋体" w:cs="宋体"/>
          <w:bCs/>
          <w:color w:val="auto"/>
          <w:sz w:val="24"/>
          <w:szCs w:val="20"/>
          <w:highlight w:val="none"/>
        </w:rPr>
      </w:pPr>
    </w:p>
    <w:p w14:paraId="3691A559">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3" w:name="PO_3000001868_PM002_3"/>
      <w:r>
        <w:rPr>
          <w:rFonts w:hint="eastAsia" w:ascii="宋体" w:hAnsi="宋体" w:cs="宋体"/>
          <w:bCs/>
          <w:color w:val="auto"/>
          <w:sz w:val="32"/>
          <w:szCs w:val="32"/>
          <w:highlight w:val="none"/>
        </w:rPr>
        <w:t>[项目名称]</w:t>
      </w:r>
      <w:bookmarkEnd w:id="73"/>
    </w:p>
    <w:p w14:paraId="2C3166C7">
      <w:pPr>
        <w:snapToGrid w:val="0"/>
        <w:spacing w:before="120" w:beforeLines="50" w:after="50"/>
        <w:ind w:firstLine="720" w:firstLineChars="225"/>
        <w:rPr>
          <w:rFonts w:ascii="宋体" w:hAnsi="宋体" w:cs="宋体"/>
          <w:bCs/>
          <w:color w:val="auto"/>
          <w:sz w:val="32"/>
          <w:szCs w:val="32"/>
          <w:highlight w:val="none"/>
        </w:rPr>
      </w:pPr>
    </w:p>
    <w:p w14:paraId="64C715BF">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4" w:name="PO_3000001868_PM001_5"/>
      <w:r>
        <w:rPr>
          <w:rFonts w:hint="eastAsia" w:ascii="宋体" w:hAnsi="宋体" w:cs="宋体"/>
          <w:bCs/>
          <w:color w:val="auto"/>
          <w:sz w:val="32"/>
          <w:szCs w:val="32"/>
          <w:highlight w:val="none"/>
        </w:rPr>
        <w:t>[项目编号]</w:t>
      </w:r>
      <w:bookmarkEnd w:id="74"/>
    </w:p>
    <w:p w14:paraId="3B5131F6">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2658CFC">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E138924">
      <w:pPr>
        <w:snapToGrid w:val="0"/>
        <w:spacing w:before="120" w:beforeLines="50" w:after="50"/>
        <w:ind w:firstLine="720" w:firstLineChars="225"/>
        <w:rPr>
          <w:rFonts w:ascii="宋体" w:hAnsi="宋体" w:cs="宋体"/>
          <w:bCs/>
          <w:color w:val="auto"/>
          <w:sz w:val="32"/>
          <w:szCs w:val="32"/>
          <w:highlight w:val="none"/>
        </w:rPr>
      </w:pPr>
    </w:p>
    <w:p w14:paraId="2BD25A24">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09B2130">
      <w:pPr>
        <w:pStyle w:val="8"/>
        <w:snapToGrid w:val="0"/>
        <w:spacing w:before="50" w:after="50"/>
        <w:ind w:firstLine="720" w:firstLineChars="225"/>
        <w:rPr>
          <w:rFonts w:ascii="宋体" w:hAnsi="宋体" w:cs="宋体"/>
          <w:bCs/>
          <w:color w:val="auto"/>
          <w:sz w:val="32"/>
          <w:szCs w:val="32"/>
          <w:highlight w:val="none"/>
        </w:rPr>
      </w:pPr>
    </w:p>
    <w:p w14:paraId="3E4DACF8">
      <w:pPr>
        <w:pStyle w:val="8"/>
        <w:snapToGrid w:val="0"/>
        <w:spacing w:before="50" w:after="50"/>
        <w:ind w:firstLine="720" w:firstLineChars="225"/>
        <w:rPr>
          <w:rFonts w:ascii="宋体" w:hAnsi="宋体" w:cs="宋体"/>
          <w:bCs/>
          <w:color w:val="auto"/>
          <w:sz w:val="32"/>
          <w:szCs w:val="32"/>
          <w:highlight w:val="none"/>
        </w:rPr>
      </w:pPr>
    </w:p>
    <w:p w14:paraId="267BCCAC">
      <w:pPr>
        <w:pStyle w:val="8"/>
        <w:snapToGrid w:val="0"/>
        <w:spacing w:before="50" w:after="50"/>
        <w:ind w:firstLine="720" w:firstLineChars="225"/>
        <w:rPr>
          <w:rFonts w:ascii="宋体" w:hAnsi="宋体" w:cs="宋体"/>
          <w:bCs/>
          <w:color w:val="auto"/>
          <w:sz w:val="32"/>
          <w:szCs w:val="32"/>
          <w:highlight w:val="none"/>
        </w:rPr>
      </w:pPr>
    </w:p>
    <w:p w14:paraId="2BAAB0D7">
      <w:pPr>
        <w:pStyle w:val="8"/>
        <w:snapToGrid w:val="0"/>
        <w:spacing w:before="50" w:after="50"/>
        <w:ind w:firstLine="1280" w:firstLineChars="400"/>
        <w:rPr>
          <w:rFonts w:ascii="宋体" w:hAnsi="宋体" w:cs="宋体"/>
          <w:bCs/>
          <w:color w:val="auto"/>
          <w:sz w:val="32"/>
          <w:szCs w:val="32"/>
          <w:highlight w:val="none"/>
        </w:rPr>
      </w:pPr>
    </w:p>
    <w:p w14:paraId="1E983CA3">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9F90736">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4D6EAF43">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2B864D42">
      <w:pPr>
        <w:snapToGrid w:val="0"/>
        <w:spacing w:line="360" w:lineRule="auto"/>
        <w:rPr>
          <w:rFonts w:ascii="宋体" w:hAnsi="宋体" w:cs="宋体"/>
          <w:color w:val="auto"/>
          <w:kern w:val="0"/>
          <w:sz w:val="24"/>
          <w:highlight w:val="none"/>
        </w:rPr>
      </w:pPr>
    </w:p>
    <w:p w14:paraId="038E0A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47C09A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63A712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7680F2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0B0D66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056B2D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71780D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06E05B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八、中小企业声明函或残疾人福利性单位声明函或属于监狱企业的证明文件</w:t>
      </w:r>
      <w:r>
        <w:rPr>
          <w:rFonts w:hint="eastAsia" w:ascii="宋体" w:hAnsi="宋体" w:cs="宋体"/>
          <w:color w:val="auto"/>
          <w:kern w:val="0"/>
          <w:sz w:val="24"/>
          <w:highlight w:val="none"/>
        </w:rPr>
        <w:t>…（页码）</w:t>
      </w:r>
    </w:p>
    <w:p w14:paraId="345EEB1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九、资格证书：①供应商建筑工程施工总承包叁级(含)以上资质证书，同时持有省级及以上建设行政主管部门颁发的安全生产许可证；②拟投入本工程的项目经理具有二级或二级以上建造师注册证书，专业是建筑工程专业（以建造师注册证书中“专业 类别”栏所填写的专业为准），同时持有省级或省级以上建设行政主管部门或其授权部门（机构）颁发的B类安全生产考核合格证书；③拟投入本工程的安全员应持有省级或省级以上建设行政主管部门或其授权部门（机构）颁发的c 类安全生产考核合格证书。（必须提供，否则响应文件按无效响应处理）</w:t>
      </w:r>
      <w:r>
        <w:rPr>
          <w:rFonts w:hint="eastAsia" w:ascii="宋体" w:hAnsi="宋体" w:cs="宋体"/>
          <w:color w:val="auto"/>
          <w:kern w:val="0"/>
          <w:sz w:val="24"/>
          <w:highlight w:val="none"/>
        </w:rPr>
        <w:t>………………（页码）</w:t>
      </w:r>
    </w:p>
    <w:p w14:paraId="3F37B609">
      <w:pPr>
        <w:spacing w:line="360" w:lineRule="auto"/>
        <w:rPr>
          <w:rFonts w:ascii="宋体" w:hAnsi="宋体" w:cs="宋体"/>
          <w:b/>
          <w:bCs/>
          <w:color w:val="auto"/>
          <w:sz w:val="24"/>
          <w:highlight w:val="none"/>
        </w:rPr>
      </w:pPr>
    </w:p>
    <w:p w14:paraId="46C0A0D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2F1DF5C5">
      <w:pPr>
        <w:snapToGrid w:val="0"/>
        <w:spacing w:before="120" w:beforeLines="50" w:after="50" w:line="360" w:lineRule="auto"/>
        <w:ind w:left="142" w:firstLine="420" w:firstLineChars="200"/>
        <w:jc w:val="left"/>
        <w:rPr>
          <w:rFonts w:ascii="宋体" w:hAnsi="宋体" w:cs="宋体"/>
          <w:color w:val="auto"/>
          <w:szCs w:val="21"/>
          <w:highlight w:val="none"/>
        </w:rPr>
      </w:pPr>
    </w:p>
    <w:p w14:paraId="31F526BA">
      <w:pPr>
        <w:spacing w:line="300" w:lineRule="auto"/>
        <w:rPr>
          <w:rFonts w:ascii="宋体" w:hAnsi="宋体" w:cs="宋体"/>
          <w:color w:val="auto"/>
          <w:szCs w:val="21"/>
          <w:highlight w:val="none"/>
        </w:rPr>
      </w:pPr>
    </w:p>
    <w:p w14:paraId="768FD203">
      <w:pPr>
        <w:spacing w:line="300" w:lineRule="auto"/>
        <w:rPr>
          <w:rFonts w:ascii="宋体" w:hAnsi="宋体" w:cs="宋体"/>
          <w:color w:val="auto"/>
          <w:szCs w:val="21"/>
          <w:highlight w:val="none"/>
        </w:rPr>
      </w:pPr>
    </w:p>
    <w:p w14:paraId="1FA319CA">
      <w:pPr>
        <w:spacing w:line="300" w:lineRule="auto"/>
        <w:rPr>
          <w:rFonts w:ascii="宋体" w:hAnsi="宋体" w:cs="宋体"/>
          <w:color w:val="auto"/>
          <w:szCs w:val="21"/>
          <w:highlight w:val="none"/>
        </w:rPr>
      </w:pPr>
    </w:p>
    <w:p w14:paraId="124219CE">
      <w:pPr>
        <w:spacing w:line="300" w:lineRule="auto"/>
        <w:rPr>
          <w:rFonts w:ascii="宋体" w:hAnsi="宋体" w:cs="宋体"/>
          <w:color w:val="auto"/>
          <w:szCs w:val="21"/>
          <w:highlight w:val="none"/>
        </w:rPr>
      </w:pPr>
    </w:p>
    <w:p w14:paraId="61630B52">
      <w:pPr>
        <w:spacing w:line="300" w:lineRule="auto"/>
        <w:rPr>
          <w:rFonts w:ascii="宋体" w:hAnsi="宋体" w:cs="宋体"/>
          <w:color w:val="auto"/>
          <w:szCs w:val="21"/>
          <w:highlight w:val="none"/>
        </w:rPr>
      </w:pPr>
    </w:p>
    <w:p w14:paraId="5626A7A7">
      <w:pPr>
        <w:pStyle w:val="15"/>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5BBB949C">
      <w:pPr>
        <w:pStyle w:val="15"/>
        <w:spacing w:line="360" w:lineRule="auto"/>
        <w:ind w:firstLine="602" w:firstLineChars="200"/>
        <w:rPr>
          <w:rFonts w:hAnsi="宋体" w:cs="宋体"/>
          <w:b/>
          <w:color w:val="auto"/>
          <w:sz w:val="30"/>
          <w:szCs w:val="30"/>
          <w:highlight w:val="none"/>
        </w:rPr>
      </w:pPr>
    </w:p>
    <w:p w14:paraId="48D6FD1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133FF9D">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8276D61">
      <w:pPr>
        <w:snapToGrid w:val="0"/>
        <w:spacing w:before="120" w:beforeLines="50" w:after="50"/>
        <w:rPr>
          <w:rFonts w:ascii="宋体" w:hAnsi="宋体" w:cs="宋体"/>
          <w:color w:val="auto"/>
          <w:sz w:val="24"/>
          <w:szCs w:val="20"/>
          <w:highlight w:val="none"/>
        </w:rPr>
      </w:pPr>
    </w:p>
    <w:p w14:paraId="06DDD6A5">
      <w:pPr>
        <w:pStyle w:val="15"/>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70372F38">
      <w:pPr>
        <w:spacing w:line="300" w:lineRule="auto"/>
        <w:rPr>
          <w:rFonts w:ascii="宋体" w:hAnsi="宋体" w:cs="宋体"/>
          <w:color w:val="auto"/>
          <w:szCs w:val="21"/>
          <w:highlight w:val="none"/>
        </w:rPr>
      </w:pPr>
    </w:p>
    <w:p w14:paraId="718F62A6">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63A8B3A">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FFC9DD4">
      <w:pPr>
        <w:spacing w:line="300" w:lineRule="auto"/>
        <w:rPr>
          <w:rFonts w:ascii="宋体" w:hAnsi="宋体" w:cs="宋体"/>
          <w:color w:val="auto"/>
          <w:szCs w:val="21"/>
          <w:highlight w:val="none"/>
        </w:rPr>
      </w:pPr>
    </w:p>
    <w:p w14:paraId="10F488EC">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710C3E07">
      <w:pPr>
        <w:spacing w:line="300" w:lineRule="auto"/>
        <w:rPr>
          <w:rFonts w:ascii="宋体" w:hAnsi="宋体" w:cs="宋体"/>
          <w:color w:val="auto"/>
          <w:szCs w:val="21"/>
          <w:highlight w:val="none"/>
        </w:rPr>
      </w:pPr>
    </w:p>
    <w:p w14:paraId="3AAE252C">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1E30BFC">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6A2653F">
      <w:pPr>
        <w:spacing w:line="320" w:lineRule="exact"/>
        <w:jc w:val="left"/>
        <w:rPr>
          <w:rFonts w:ascii="宋体" w:hAnsi="宋体" w:cs="宋体"/>
          <w:b/>
          <w:color w:val="auto"/>
          <w:sz w:val="24"/>
          <w:highlight w:val="none"/>
        </w:rPr>
      </w:pPr>
      <w:r>
        <w:rPr>
          <w:rFonts w:hint="eastAsia" w:ascii="宋体" w:hAnsi="宋体" w:cs="宋体"/>
          <w:color w:val="auto"/>
          <w:szCs w:val="21"/>
          <w:highlight w:val="none"/>
        </w:rPr>
        <w:t xml:space="preserve"> </w:t>
      </w:r>
    </w:p>
    <w:p w14:paraId="4CBA1A4A">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21B8B7B0">
      <w:pPr>
        <w:spacing w:line="360" w:lineRule="auto"/>
        <w:jc w:val="center"/>
        <w:rPr>
          <w:rFonts w:ascii="宋体" w:hAnsi="宋体" w:cs="宋体"/>
          <w:b/>
          <w:color w:val="auto"/>
          <w:sz w:val="24"/>
          <w:highlight w:val="none"/>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6B11669">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96D0B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FDD14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282E4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99E6D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12BCE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7B92B8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2EA72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7555C7">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7A64CB">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02ECE5">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FC2E0D">
            <w:pPr>
              <w:widowControl/>
              <w:spacing w:line="360" w:lineRule="auto"/>
              <w:jc w:val="center"/>
              <w:rPr>
                <w:rFonts w:ascii="宋体" w:hAnsi="宋体" w:cs="宋体"/>
                <w:color w:val="auto"/>
                <w:kern w:val="0"/>
                <w:sz w:val="24"/>
                <w:highlight w:val="none"/>
              </w:rPr>
            </w:pPr>
          </w:p>
        </w:tc>
      </w:tr>
      <w:tr w14:paraId="5B9301E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9E6D8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E930A6">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F89E2B">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EC7102">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E3489">
            <w:pPr>
              <w:widowControl/>
              <w:spacing w:line="360" w:lineRule="auto"/>
              <w:jc w:val="center"/>
              <w:rPr>
                <w:rFonts w:ascii="宋体" w:hAnsi="宋体" w:cs="宋体"/>
                <w:color w:val="auto"/>
                <w:kern w:val="0"/>
                <w:sz w:val="24"/>
                <w:highlight w:val="none"/>
              </w:rPr>
            </w:pPr>
          </w:p>
        </w:tc>
      </w:tr>
      <w:tr w14:paraId="467BD3F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F373A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F17889">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2E4548">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398E70">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77DDC">
            <w:pPr>
              <w:widowControl/>
              <w:spacing w:line="360" w:lineRule="auto"/>
              <w:jc w:val="center"/>
              <w:rPr>
                <w:rFonts w:ascii="宋体" w:hAnsi="宋体" w:cs="宋体"/>
                <w:color w:val="auto"/>
                <w:kern w:val="0"/>
                <w:sz w:val="24"/>
                <w:highlight w:val="none"/>
              </w:rPr>
            </w:pPr>
          </w:p>
        </w:tc>
      </w:tr>
      <w:tr w14:paraId="2476111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61924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14E75A">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7C5A71">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4F4287">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4EFA95">
            <w:pPr>
              <w:widowControl/>
              <w:spacing w:line="360" w:lineRule="auto"/>
              <w:jc w:val="center"/>
              <w:rPr>
                <w:rFonts w:ascii="宋体" w:hAnsi="宋体" w:cs="宋体"/>
                <w:color w:val="auto"/>
                <w:kern w:val="0"/>
                <w:sz w:val="24"/>
                <w:highlight w:val="none"/>
              </w:rPr>
            </w:pPr>
          </w:p>
        </w:tc>
      </w:tr>
    </w:tbl>
    <w:p w14:paraId="75C6635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7E482A18">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A3BB64">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79A9F955">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3.供应商不存在直接控股股东的，则填“无”。</w:t>
      </w:r>
    </w:p>
    <w:p w14:paraId="67EC94C5">
      <w:pPr>
        <w:snapToGrid w:val="0"/>
        <w:spacing w:line="360" w:lineRule="auto"/>
        <w:jc w:val="left"/>
        <w:rPr>
          <w:rFonts w:ascii="宋体" w:hAnsi="宋体" w:cs="宋体"/>
          <w:color w:val="auto"/>
          <w:sz w:val="24"/>
          <w:highlight w:val="none"/>
        </w:rPr>
      </w:pPr>
    </w:p>
    <w:p w14:paraId="53B6994C">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35A8B2B">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8E0AD5E">
      <w:pPr>
        <w:snapToGrid w:val="0"/>
        <w:rPr>
          <w:rFonts w:ascii="宋体" w:hAnsi="宋体" w:cs="宋体"/>
          <w:b/>
          <w:color w:val="auto"/>
          <w:kern w:val="0"/>
          <w:sz w:val="30"/>
          <w:szCs w:val="30"/>
          <w:highlight w:val="none"/>
        </w:rPr>
      </w:pPr>
    </w:p>
    <w:p w14:paraId="00FFD3AB">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00CD6D05">
      <w:pPr>
        <w:snapToGrid w:val="0"/>
        <w:spacing w:line="360" w:lineRule="auto"/>
        <w:jc w:val="center"/>
        <w:rPr>
          <w:rFonts w:ascii="宋体" w:hAnsi="宋体" w:cs="宋体"/>
          <w:b/>
          <w:color w:val="auto"/>
          <w:sz w:val="24"/>
          <w:highlight w:val="none"/>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CE94658">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BC9C8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EA08E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19473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43BC2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22E485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0154D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C510E8">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4593B1">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18F690">
            <w:pPr>
              <w:widowControl/>
              <w:spacing w:line="360" w:lineRule="auto"/>
              <w:jc w:val="center"/>
              <w:rPr>
                <w:rFonts w:ascii="宋体" w:hAnsi="宋体" w:cs="宋体"/>
                <w:color w:val="auto"/>
                <w:kern w:val="0"/>
                <w:sz w:val="24"/>
                <w:highlight w:val="none"/>
              </w:rPr>
            </w:pPr>
          </w:p>
        </w:tc>
      </w:tr>
      <w:tr w14:paraId="1BA4BC7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679B7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8561EE">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9635D6">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0D8E15">
            <w:pPr>
              <w:widowControl/>
              <w:spacing w:line="360" w:lineRule="auto"/>
              <w:jc w:val="center"/>
              <w:rPr>
                <w:rFonts w:ascii="宋体" w:hAnsi="宋体" w:cs="宋体"/>
                <w:color w:val="auto"/>
                <w:kern w:val="0"/>
                <w:sz w:val="24"/>
                <w:highlight w:val="none"/>
              </w:rPr>
            </w:pPr>
          </w:p>
        </w:tc>
      </w:tr>
      <w:tr w14:paraId="28F9B38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B00F7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FE9030">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BDF6F6">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E069D2">
            <w:pPr>
              <w:widowControl/>
              <w:spacing w:line="360" w:lineRule="auto"/>
              <w:jc w:val="center"/>
              <w:rPr>
                <w:rFonts w:ascii="宋体" w:hAnsi="宋体" w:cs="宋体"/>
                <w:color w:val="auto"/>
                <w:kern w:val="0"/>
                <w:sz w:val="24"/>
                <w:highlight w:val="none"/>
              </w:rPr>
            </w:pPr>
          </w:p>
        </w:tc>
      </w:tr>
      <w:tr w14:paraId="60F6234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07D93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46D937">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529210">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9835F0">
            <w:pPr>
              <w:widowControl/>
              <w:spacing w:line="360" w:lineRule="auto"/>
              <w:jc w:val="center"/>
              <w:rPr>
                <w:rFonts w:ascii="宋体" w:hAnsi="宋体" w:cs="宋体"/>
                <w:color w:val="auto"/>
                <w:kern w:val="0"/>
                <w:sz w:val="24"/>
                <w:highlight w:val="none"/>
              </w:rPr>
            </w:pPr>
          </w:p>
        </w:tc>
      </w:tr>
    </w:tbl>
    <w:p w14:paraId="23A149D4">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55E2E7F8">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76A07BC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37ABABC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1131107C">
      <w:pPr>
        <w:spacing w:line="360" w:lineRule="auto"/>
        <w:jc w:val="left"/>
        <w:rPr>
          <w:rFonts w:ascii="宋体" w:hAnsi="宋体" w:cs="宋体"/>
          <w:color w:val="auto"/>
          <w:sz w:val="24"/>
          <w:highlight w:val="none"/>
        </w:rPr>
      </w:pPr>
    </w:p>
    <w:p w14:paraId="4CC99333">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A5CA7F6">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9897773">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4BE4B853">
      <w:pPr>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17BE1CA5">
      <w:pPr>
        <w:spacing w:line="320" w:lineRule="exact"/>
        <w:jc w:val="center"/>
        <w:rPr>
          <w:rFonts w:ascii="宋体" w:hAnsi="宋体" w:cs="宋体"/>
          <w:b/>
          <w:color w:val="auto"/>
          <w:sz w:val="32"/>
          <w:szCs w:val="32"/>
          <w:highlight w:val="none"/>
        </w:rPr>
      </w:pPr>
    </w:p>
    <w:p w14:paraId="03C8D8BC">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146F6453">
      <w:pPr>
        <w:spacing w:line="320" w:lineRule="exact"/>
        <w:jc w:val="center"/>
        <w:rPr>
          <w:rFonts w:ascii="宋体" w:hAnsi="宋体" w:cs="宋体"/>
          <w:color w:val="auto"/>
          <w:sz w:val="24"/>
          <w:szCs w:val="20"/>
          <w:highlight w:val="none"/>
        </w:rPr>
      </w:pPr>
    </w:p>
    <w:p w14:paraId="461AE3CD">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75" w:name="PO_3000001868_PM031_6"/>
      <w:r>
        <w:rPr>
          <w:rFonts w:hint="eastAsia" w:ascii="宋体" w:hAnsi="宋体" w:cs="宋体"/>
          <w:color w:val="auto"/>
          <w:sz w:val="24"/>
          <w:highlight w:val="none"/>
          <w:u w:val="single"/>
        </w:rPr>
        <w:t>[采购组织机构]</w:t>
      </w:r>
      <w:bookmarkEnd w:id="75"/>
      <w:r>
        <w:rPr>
          <w:rFonts w:hint="eastAsia" w:ascii="宋体" w:hAnsi="宋体" w:cs="宋体"/>
          <w:color w:val="auto"/>
          <w:sz w:val="24"/>
          <w:highlight w:val="none"/>
        </w:rPr>
        <w:t>：</w:t>
      </w:r>
    </w:p>
    <w:p w14:paraId="5B62E1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C574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76" w:name="PO_3000001868_PM002_4"/>
      <w:r>
        <w:rPr>
          <w:rFonts w:hint="eastAsia" w:ascii="宋体" w:hAnsi="宋体" w:cs="宋体"/>
          <w:color w:val="auto"/>
          <w:sz w:val="24"/>
          <w:highlight w:val="none"/>
          <w:u w:val="single"/>
        </w:rPr>
        <w:t>[项目名称]</w:t>
      </w:r>
      <w:bookmarkEnd w:id="76"/>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0035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604C9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8F508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68858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771C1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74A13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042BD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4B80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47F39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79DBF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1AFB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9DADC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08C471E">
      <w:pPr>
        <w:pStyle w:val="15"/>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02E6AE5B">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157BF46">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0F2FB6D5">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473AF93">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3E9C343E">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53888440">
      <w:pPr>
        <w:pStyle w:val="13"/>
        <w:tabs>
          <w:tab w:val="left" w:pos="939"/>
        </w:tabs>
        <w:spacing w:line="360" w:lineRule="auto"/>
        <w:ind w:left="0" w:leftChars="0" w:firstLine="480" w:firstLineChars="200"/>
        <w:rPr>
          <w:rFonts w:ascii="宋体" w:hAnsi="宋体" w:cs="宋体"/>
          <w:color w:val="auto"/>
          <w:sz w:val="24"/>
          <w:highlight w:val="none"/>
        </w:rPr>
      </w:pPr>
    </w:p>
    <w:p w14:paraId="1F796769">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A874D94">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305F55E">
      <w:pPr>
        <w:widowControl/>
        <w:spacing w:line="360" w:lineRule="auto"/>
        <w:jc w:val="left"/>
        <w:rPr>
          <w:rFonts w:ascii="宋体" w:hAnsi="宋体" w:cs="宋体"/>
          <w:color w:val="auto"/>
          <w:kern w:val="0"/>
          <w:sz w:val="24"/>
          <w:highlight w:val="none"/>
          <w:lang w:val="zh-CN"/>
        </w:rPr>
        <w:sectPr>
          <w:pgSz w:w="11910" w:h="16840"/>
          <w:pgMar w:top="1440" w:right="1080" w:bottom="1440" w:left="1080" w:header="720" w:footer="720" w:gutter="0"/>
          <w:pgNumType w:fmt="decimal"/>
          <w:cols w:space="720" w:num="1"/>
        </w:sectPr>
      </w:pPr>
    </w:p>
    <w:p w14:paraId="0B65BB1B">
      <w:pPr>
        <w:pStyle w:val="8"/>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6F9E6666">
      <w:pPr>
        <w:pStyle w:val="15"/>
        <w:spacing w:line="600" w:lineRule="exact"/>
        <w:jc w:val="center"/>
        <w:rPr>
          <w:rFonts w:hAnsi="宋体" w:cs="宋体"/>
          <w:color w:val="auto"/>
          <w:kern w:val="2"/>
          <w:sz w:val="44"/>
          <w:szCs w:val="44"/>
          <w:highlight w:val="none"/>
        </w:rPr>
      </w:pPr>
    </w:p>
    <w:p w14:paraId="331F0306">
      <w:pPr>
        <w:pStyle w:val="15"/>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58D1CF8B">
      <w:pPr>
        <w:autoSpaceDE w:val="0"/>
        <w:autoSpaceDN w:val="0"/>
        <w:adjustRightInd w:val="0"/>
        <w:spacing w:line="360" w:lineRule="auto"/>
        <w:jc w:val="left"/>
        <w:rPr>
          <w:rFonts w:ascii="宋体" w:hAnsi="宋体" w:cs="宋体"/>
          <w:color w:val="auto"/>
          <w:kern w:val="0"/>
          <w:szCs w:val="21"/>
          <w:highlight w:val="none"/>
          <w:u w:val="single"/>
        </w:rPr>
      </w:pPr>
    </w:p>
    <w:p w14:paraId="5618FDBF">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77" w:name="PO_3000001868_PM031"/>
      <w:r>
        <w:rPr>
          <w:rFonts w:hint="eastAsia" w:ascii="宋体" w:hAnsi="宋体" w:cs="宋体"/>
          <w:color w:val="auto"/>
          <w:kern w:val="0"/>
          <w:sz w:val="24"/>
          <w:highlight w:val="none"/>
          <w:u w:val="single"/>
        </w:rPr>
        <w:t>[采购组织机构]</w:t>
      </w:r>
      <w:bookmarkEnd w:id="77"/>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78" w:name="PO_3000001868_PM002_5"/>
      <w:r>
        <w:rPr>
          <w:rFonts w:hint="eastAsia" w:ascii="宋体" w:hAnsi="宋体" w:cs="宋体"/>
          <w:color w:val="auto"/>
          <w:kern w:val="0"/>
          <w:sz w:val="24"/>
          <w:highlight w:val="none"/>
          <w:u w:val="single"/>
        </w:rPr>
        <w:t>[项目名称]</w:t>
      </w:r>
      <w:bookmarkEnd w:id="78"/>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79" w:name="PO_3000001868_PM001_6"/>
      <w:r>
        <w:rPr>
          <w:rFonts w:hint="eastAsia" w:ascii="宋体" w:hAnsi="宋体" w:cs="宋体"/>
          <w:color w:val="auto"/>
          <w:kern w:val="0"/>
          <w:sz w:val="24"/>
          <w:highlight w:val="none"/>
          <w:u w:val="single"/>
        </w:rPr>
        <w:t>[项目编号]</w:t>
      </w:r>
      <w:bookmarkEnd w:id="79"/>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613BDEB8">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1055AE55">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0896259">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B2EA4A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FBB50E1">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 xml:space="preserve">                   （某成员单位名称）为     </w:t>
      </w:r>
      <w:r>
        <w:rPr>
          <w:rFonts w:hint="eastAsia" w:hAnsi="宋体" w:cs="宋体"/>
          <w:color w:val="auto"/>
          <w:sz w:val="24"/>
          <w:szCs w:val="24"/>
          <w:highlight w:val="none"/>
        </w:rPr>
        <w:t>（请填写：中型、小型、微型）企业，其协议合同金额占联合体协议合同总金额的______%。【如联合体成员中有小型、微型企业的，请填写此条，否则无需填写；如联合体成员中有多个小型、微型企业的，请逐一列出。】</w:t>
      </w:r>
    </w:p>
    <w:p w14:paraId="7CAAC604">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3A9DB64C">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55AA164B">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75AB404C">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1501F1E4">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2E8D3B7A">
      <w:pPr>
        <w:autoSpaceDE w:val="0"/>
        <w:autoSpaceDN w:val="0"/>
        <w:adjustRightInd w:val="0"/>
        <w:spacing w:line="360" w:lineRule="auto"/>
        <w:jc w:val="left"/>
        <w:rPr>
          <w:rFonts w:ascii="宋体" w:hAnsi="宋体" w:cs="宋体"/>
          <w:color w:val="auto"/>
          <w:kern w:val="0"/>
          <w:sz w:val="24"/>
          <w:highlight w:val="none"/>
        </w:rPr>
      </w:pPr>
    </w:p>
    <w:p w14:paraId="3688EE46">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77F75981">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088E9772">
      <w:pPr>
        <w:autoSpaceDE w:val="0"/>
        <w:autoSpaceDN w:val="0"/>
        <w:adjustRightInd w:val="0"/>
        <w:spacing w:line="360" w:lineRule="auto"/>
        <w:jc w:val="left"/>
        <w:rPr>
          <w:rFonts w:ascii="宋体" w:hAnsi="宋体" w:cs="宋体"/>
          <w:color w:val="auto"/>
          <w:kern w:val="0"/>
          <w:szCs w:val="21"/>
          <w:highlight w:val="none"/>
        </w:rPr>
      </w:pPr>
    </w:p>
    <w:p w14:paraId="01476656">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711879F9">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26CE03A1">
      <w:pPr>
        <w:autoSpaceDE w:val="0"/>
        <w:autoSpaceDN w:val="0"/>
        <w:adjustRightInd w:val="0"/>
        <w:spacing w:line="360" w:lineRule="auto"/>
        <w:jc w:val="left"/>
        <w:rPr>
          <w:rFonts w:ascii="宋体" w:hAnsi="宋体" w:cs="宋体"/>
          <w:color w:val="auto"/>
          <w:kern w:val="0"/>
          <w:sz w:val="24"/>
          <w:highlight w:val="none"/>
        </w:rPr>
      </w:pPr>
    </w:p>
    <w:p w14:paraId="266E1C8F">
      <w:pPr>
        <w:autoSpaceDE w:val="0"/>
        <w:autoSpaceDN w:val="0"/>
        <w:adjustRightInd w:val="0"/>
        <w:spacing w:line="360" w:lineRule="auto"/>
        <w:jc w:val="left"/>
        <w:rPr>
          <w:rFonts w:ascii="宋体" w:hAnsi="宋体" w:cs="宋体"/>
          <w:color w:val="auto"/>
          <w:kern w:val="0"/>
          <w:sz w:val="24"/>
          <w:highlight w:val="none"/>
        </w:rPr>
      </w:pPr>
    </w:p>
    <w:p w14:paraId="1F88E6F8">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1FFE5AC">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E5314F7">
      <w:pPr>
        <w:autoSpaceDE w:val="0"/>
        <w:autoSpaceDN w:val="0"/>
        <w:spacing w:line="360" w:lineRule="auto"/>
        <w:ind w:firstLine="6120" w:firstLineChars="2550"/>
        <w:rPr>
          <w:rFonts w:ascii="宋体" w:hAnsi="宋体" w:cs="宋体"/>
          <w:color w:val="auto"/>
          <w:kern w:val="0"/>
          <w:sz w:val="24"/>
          <w:highlight w:val="none"/>
          <w:lang w:val="zh-CN"/>
        </w:rPr>
      </w:pPr>
    </w:p>
    <w:p w14:paraId="76EE9F3C">
      <w:pPr>
        <w:autoSpaceDE w:val="0"/>
        <w:autoSpaceDN w:val="0"/>
        <w:spacing w:line="360" w:lineRule="auto"/>
        <w:ind w:firstLine="6120" w:firstLineChars="2550"/>
        <w:rPr>
          <w:rFonts w:ascii="宋体" w:hAnsi="宋体" w:cs="宋体"/>
          <w:color w:val="auto"/>
          <w:kern w:val="0"/>
          <w:sz w:val="24"/>
          <w:highlight w:val="none"/>
          <w:lang w:val="zh-CN"/>
        </w:rPr>
      </w:pPr>
    </w:p>
    <w:p w14:paraId="7CBB8A4E">
      <w:pPr>
        <w:autoSpaceDE w:val="0"/>
        <w:autoSpaceDN w:val="0"/>
        <w:spacing w:line="360" w:lineRule="auto"/>
        <w:ind w:firstLine="6120" w:firstLineChars="2550"/>
        <w:rPr>
          <w:rFonts w:ascii="宋体" w:hAnsi="宋体" w:cs="宋体"/>
          <w:color w:val="auto"/>
          <w:kern w:val="0"/>
          <w:sz w:val="24"/>
          <w:highlight w:val="none"/>
          <w:lang w:val="zh-CN"/>
        </w:rPr>
      </w:pPr>
    </w:p>
    <w:p w14:paraId="7A3B92D1">
      <w:pPr>
        <w:snapToGrid w:val="0"/>
        <w:spacing w:line="360" w:lineRule="auto"/>
        <w:ind w:firstLine="602" w:firstLineChars="200"/>
        <w:rPr>
          <w:rFonts w:ascii="宋体" w:hAnsi="宋体" w:cs="宋体"/>
          <w:b/>
          <w:color w:val="auto"/>
          <w:sz w:val="30"/>
          <w:szCs w:val="30"/>
          <w:highlight w:val="none"/>
        </w:rPr>
      </w:pPr>
    </w:p>
    <w:p w14:paraId="5293EC9E">
      <w:pPr>
        <w:snapToGrid w:val="0"/>
        <w:spacing w:line="360" w:lineRule="auto"/>
        <w:ind w:firstLine="602" w:firstLineChars="200"/>
        <w:rPr>
          <w:rFonts w:ascii="宋体" w:hAnsi="宋体" w:cs="宋体"/>
          <w:b/>
          <w:color w:val="auto"/>
          <w:sz w:val="30"/>
          <w:szCs w:val="30"/>
          <w:highlight w:val="none"/>
        </w:rPr>
      </w:pPr>
    </w:p>
    <w:p w14:paraId="54725869">
      <w:pPr>
        <w:snapToGrid w:val="0"/>
        <w:spacing w:line="360" w:lineRule="auto"/>
        <w:ind w:firstLine="602" w:firstLineChars="200"/>
        <w:rPr>
          <w:rFonts w:ascii="宋体" w:hAnsi="宋体" w:cs="宋体"/>
          <w:b/>
          <w:color w:val="auto"/>
          <w:sz w:val="30"/>
          <w:szCs w:val="30"/>
          <w:highlight w:val="none"/>
        </w:rPr>
      </w:pPr>
    </w:p>
    <w:p w14:paraId="76ECA4D6">
      <w:pPr>
        <w:snapToGrid w:val="0"/>
        <w:spacing w:line="360" w:lineRule="auto"/>
        <w:ind w:firstLine="602" w:firstLineChars="200"/>
        <w:rPr>
          <w:rFonts w:ascii="宋体" w:hAnsi="宋体" w:cs="宋体"/>
          <w:b/>
          <w:color w:val="auto"/>
          <w:sz w:val="30"/>
          <w:szCs w:val="30"/>
          <w:highlight w:val="none"/>
        </w:rPr>
      </w:pPr>
    </w:p>
    <w:p w14:paraId="696EB1A4">
      <w:pPr>
        <w:snapToGrid w:val="0"/>
        <w:spacing w:line="360" w:lineRule="auto"/>
        <w:ind w:firstLine="602" w:firstLineChars="200"/>
        <w:rPr>
          <w:rFonts w:ascii="宋体" w:hAnsi="宋体" w:cs="宋体"/>
          <w:b/>
          <w:color w:val="auto"/>
          <w:sz w:val="30"/>
          <w:szCs w:val="30"/>
          <w:highlight w:val="none"/>
        </w:rPr>
      </w:pPr>
    </w:p>
    <w:p w14:paraId="01E70F9F">
      <w:pPr>
        <w:snapToGrid w:val="0"/>
        <w:spacing w:line="360" w:lineRule="auto"/>
        <w:ind w:firstLine="602" w:firstLineChars="200"/>
        <w:rPr>
          <w:rFonts w:ascii="宋体" w:hAnsi="宋体" w:cs="宋体"/>
          <w:b/>
          <w:color w:val="auto"/>
          <w:sz w:val="30"/>
          <w:szCs w:val="30"/>
          <w:highlight w:val="none"/>
        </w:rPr>
      </w:pPr>
    </w:p>
    <w:p w14:paraId="32D365B5">
      <w:pPr>
        <w:snapToGrid w:val="0"/>
        <w:spacing w:line="360" w:lineRule="auto"/>
        <w:ind w:firstLine="602" w:firstLineChars="200"/>
        <w:rPr>
          <w:rFonts w:ascii="宋体" w:hAnsi="宋体" w:cs="宋体"/>
          <w:b/>
          <w:color w:val="auto"/>
          <w:sz w:val="30"/>
          <w:szCs w:val="30"/>
          <w:highlight w:val="none"/>
        </w:rPr>
      </w:pPr>
    </w:p>
    <w:p w14:paraId="47DE8E6F">
      <w:pPr>
        <w:snapToGrid w:val="0"/>
        <w:spacing w:line="360" w:lineRule="auto"/>
        <w:ind w:firstLine="602" w:firstLineChars="200"/>
        <w:rPr>
          <w:rFonts w:ascii="宋体" w:hAnsi="宋体" w:cs="宋体"/>
          <w:b/>
          <w:color w:val="auto"/>
          <w:sz w:val="30"/>
          <w:szCs w:val="30"/>
          <w:highlight w:val="none"/>
        </w:rPr>
      </w:pPr>
    </w:p>
    <w:p w14:paraId="3AFFD172">
      <w:pPr>
        <w:snapToGrid w:val="0"/>
        <w:spacing w:line="360" w:lineRule="auto"/>
        <w:ind w:firstLine="602" w:firstLineChars="200"/>
        <w:rPr>
          <w:rFonts w:ascii="宋体" w:hAnsi="宋体" w:cs="宋体"/>
          <w:b/>
          <w:color w:val="auto"/>
          <w:sz w:val="30"/>
          <w:szCs w:val="30"/>
          <w:highlight w:val="none"/>
        </w:rPr>
      </w:pPr>
    </w:p>
    <w:p w14:paraId="499FCB5A">
      <w:pPr>
        <w:snapToGrid w:val="0"/>
        <w:spacing w:line="360" w:lineRule="auto"/>
        <w:ind w:firstLine="602" w:firstLineChars="200"/>
        <w:rPr>
          <w:rFonts w:ascii="宋体" w:hAnsi="宋体" w:cs="宋体"/>
          <w:b/>
          <w:color w:val="auto"/>
          <w:sz w:val="30"/>
          <w:szCs w:val="30"/>
          <w:highlight w:val="none"/>
        </w:rPr>
      </w:pPr>
    </w:p>
    <w:p w14:paraId="60F10298">
      <w:pPr>
        <w:snapToGrid w:val="0"/>
        <w:spacing w:line="360" w:lineRule="auto"/>
        <w:ind w:firstLine="602" w:firstLineChars="200"/>
        <w:rPr>
          <w:rFonts w:ascii="宋体" w:hAnsi="宋体" w:cs="宋体"/>
          <w:b/>
          <w:color w:val="auto"/>
          <w:sz w:val="30"/>
          <w:szCs w:val="30"/>
          <w:highlight w:val="none"/>
        </w:rPr>
      </w:pPr>
    </w:p>
    <w:p w14:paraId="1A07D986">
      <w:pPr>
        <w:snapToGrid w:val="0"/>
        <w:spacing w:line="360" w:lineRule="auto"/>
        <w:ind w:firstLine="602" w:firstLineChars="200"/>
        <w:rPr>
          <w:rFonts w:ascii="宋体" w:hAnsi="宋体" w:cs="宋体"/>
          <w:b/>
          <w:color w:val="auto"/>
          <w:sz w:val="30"/>
          <w:szCs w:val="30"/>
          <w:highlight w:val="none"/>
        </w:rPr>
      </w:pPr>
    </w:p>
    <w:p w14:paraId="56802DC8">
      <w:pPr>
        <w:snapToGrid w:val="0"/>
        <w:spacing w:line="360" w:lineRule="auto"/>
        <w:ind w:firstLine="602" w:firstLineChars="200"/>
        <w:rPr>
          <w:rFonts w:ascii="宋体" w:hAnsi="宋体" w:cs="宋体"/>
          <w:b/>
          <w:color w:val="auto"/>
          <w:sz w:val="30"/>
          <w:szCs w:val="30"/>
          <w:highlight w:val="none"/>
        </w:rPr>
      </w:pPr>
    </w:p>
    <w:p w14:paraId="2CC6AFFB">
      <w:pPr>
        <w:snapToGrid w:val="0"/>
        <w:spacing w:line="360" w:lineRule="auto"/>
        <w:ind w:firstLine="602" w:firstLineChars="200"/>
        <w:rPr>
          <w:rFonts w:ascii="宋体" w:hAnsi="宋体" w:cs="宋体"/>
          <w:b/>
          <w:color w:val="auto"/>
          <w:sz w:val="30"/>
          <w:szCs w:val="30"/>
          <w:highlight w:val="none"/>
        </w:rPr>
      </w:pPr>
    </w:p>
    <w:p w14:paraId="4CB437E5">
      <w:pPr>
        <w:snapToGrid w:val="0"/>
        <w:spacing w:line="360" w:lineRule="auto"/>
        <w:ind w:firstLine="602" w:firstLineChars="200"/>
        <w:rPr>
          <w:rFonts w:ascii="宋体" w:hAnsi="宋体" w:cs="宋体"/>
          <w:b/>
          <w:color w:val="auto"/>
          <w:sz w:val="30"/>
          <w:szCs w:val="30"/>
          <w:highlight w:val="none"/>
        </w:rPr>
      </w:pPr>
    </w:p>
    <w:p w14:paraId="55B332ED">
      <w:pPr>
        <w:snapToGrid w:val="0"/>
        <w:spacing w:line="360" w:lineRule="auto"/>
        <w:ind w:firstLine="602" w:firstLineChars="200"/>
        <w:rPr>
          <w:rFonts w:ascii="宋体" w:hAnsi="宋体" w:cs="宋体"/>
          <w:b/>
          <w:color w:val="auto"/>
          <w:sz w:val="30"/>
          <w:szCs w:val="30"/>
          <w:highlight w:val="none"/>
        </w:rPr>
      </w:pPr>
    </w:p>
    <w:p w14:paraId="53975FB8">
      <w:pPr>
        <w:pStyle w:val="29"/>
        <w:rPr>
          <w:color w:val="auto"/>
          <w:highlight w:val="none"/>
        </w:rPr>
      </w:pPr>
    </w:p>
    <w:p w14:paraId="44536A7F">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14:paraId="132CE895">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14:paraId="2943D143">
      <w:pPr>
        <w:spacing w:line="360" w:lineRule="auto"/>
        <w:ind w:firstLine="550"/>
        <w:rPr>
          <w:rFonts w:ascii="宋体" w:hAnsi="宋体" w:cs="宋体"/>
          <w:color w:val="auto"/>
          <w:kern w:val="0"/>
          <w:sz w:val="24"/>
          <w:highlight w:val="none"/>
        </w:rPr>
      </w:pPr>
    </w:p>
    <w:p w14:paraId="1E71F848">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39E86A">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2AADBE8B">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05E4DB02">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6AA55281">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57D9CA75">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593C66B3">
      <w:pPr>
        <w:ind w:firstLine="552"/>
        <w:rPr>
          <w:rFonts w:ascii="宋体" w:hAnsi="宋体" w:cs="宋体"/>
          <w:color w:val="auto"/>
          <w:kern w:val="0"/>
          <w:szCs w:val="21"/>
          <w:highlight w:val="none"/>
        </w:rPr>
      </w:pPr>
    </w:p>
    <w:p w14:paraId="4622044A">
      <w:pPr>
        <w:pStyle w:val="11"/>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454A6FE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1E420FA">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EA549C">
      <w:pPr>
        <w:pStyle w:val="11"/>
        <w:spacing w:after="0" w:line="360" w:lineRule="auto"/>
        <w:ind w:left="3960" w:right="1808"/>
        <w:contextualSpacing/>
        <w:rPr>
          <w:rFonts w:ascii="宋体" w:hAnsi="宋体" w:cs="宋体"/>
          <w:color w:val="auto"/>
          <w:highlight w:val="none"/>
        </w:rPr>
      </w:pPr>
    </w:p>
    <w:p w14:paraId="6DC87AE5">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1BADB1C3">
      <w:pPr>
        <w:snapToGrid w:val="0"/>
        <w:spacing w:before="120" w:beforeLines="50" w:after="50" w:line="360" w:lineRule="auto"/>
        <w:outlineLvl w:val="1"/>
        <w:rPr>
          <w:rFonts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660CEB07">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1BD7C991">
      <w:pPr>
        <w:spacing w:line="520" w:lineRule="exact"/>
        <w:rPr>
          <w:rFonts w:ascii="宋体" w:hAnsi="宋体" w:cs="宋体"/>
          <w:color w:val="auto"/>
          <w:sz w:val="32"/>
          <w:szCs w:val="32"/>
          <w:highlight w:val="none"/>
        </w:rPr>
      </w:pPr>
    </w:p>
    <w:p w14:paraId="41F5F15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26A97CD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7CEC99">
      <w:pPr>
        <w:spacing w:line="360" w:lineRule="auto"/>
        <w:contextualSpacing/>
        <w:rPr>
          <w:rFonts w:ascii="宋体" w:hAnsi="宋体" w:cs="宋体"/>
          <w:color w:val="auto"/>
          <w:sz w:val="24"/>
          <w:highlight w:val="none"/>
        </w:rPr>
      </w:pPr>
    </w:p>
    <w:p w14:paraId="22458217">
      <w:pPr>
        <w:spacing w:line="360" w:lineRule="auto"/>
        <w:contextualSpacing/>
        <w:rPr>
          <w:rFonts w:ascii="宋体" w:hAnsi="宋体" w:cs="宋体"/>
          <w:color w:val="auto"/>
          <w:sz w:val="24"/>
          <w:highlight w:val="none"/>
        </w:rPr>
      </w:pPr>
    </w:p>
    <w:p w14:paraId="02D70CEB">
      <w:pPr>
        <w:spacing w:line="360" w:lineRule="auto"/>
        <w:contextualSpacing/>
        <w:rPr>
          <w:rFonts w:ascii="宋体" w:hAnsi="宋体" w:cs="宋体"/>
          <w:color w:val="auto"/>
          <w:sz w:val="24"/>
          <w:highlight w:val="none"/>
        </w:rPr>
      </w:pPr>
    </w:p>
    <w:p w14:paraId="73FFE8D2">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79A4F464">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488D2971">
      <w:pPr>
        <w:spacing w:line="360" w:lineRule="auto"/>
        <w:contextualSpacing/>
        <w:rPr>
          <w:rFonts w:ascii="宋体" w:hAnsi="宋体" w:cs="宋体"/>
          <w:color w:val="auto"/>
          <w:sz w:val="24"/>
          <w:highlight w:val="none"/>
        </w:rPr>
      </w:pPr>
    </w:p>
    <w:p w14:paraId="5C87045B">
      <w:pPr>
        <w:spacing w:line="360" w:lineRule="auto"/>
        <w:contextualSpacing/>
        <w:rPr>
          <w:rFonts w:ascii="宋体" w:hAnsi="宋体" w:cs="宋体"/>
          <w:bCs/>
          <w:color w:val="auto"/>
          <w:sz w:val="30"/>
          <w:szCs w:val="30"/>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77198CC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九、资格证书：①供应商建筑工程施工总承包叁级(含)以上资质证书，同时持有省级及以上建设行政主管部门颁发的安全生产许可证；②拟投入本工程的项目经理具有二级或二级以上建造师注册证书，专业是建筑工程专业（以建造师注册证书中“专业 类别”栏所填写的专业为准），同时持有省级或省级以上建设行政主管部门或其授权部门（机构）颁发的B类安全生产考核合格证书；③拟投入本工程的安全员应持有省级或省级以上建设行政主管部门或其授权部门（机构）颁发的c 类安全生产考核合格证书。（必须提供，否则响应文件按无效响应处理）。</w:t>
      </w:r>
    </w:p>
    <w:p w14:paraId="399C48EB">
      <w:pPr>
        <w:snapToGrid w:val="0"/>
        <w:spacing w:line="360" w:lineRule="auto"/>
        <w:ind w:firstLine="602" w:firstLineChars="200"/>
        <w:rPr>
          <w:rFonts w:ascii="宋体" w:hAnsi="宋体" w:cs="宋体"/>
          <w:b/>
          <w:color w:val="auto"/>
          <w:sz w:val="30"/>
          <w:szCs w:val="30"/>
          <w:highlight w:val="none"/>
        </w:rPr>
      </w:pPr>
    </w:p>
    <w:p w14:paraId="76E6D2F4">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5B131E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0EE823A">
      <w:pPr>
        <w:widowControl/>
        <w:spacing w:line="360" w:lineRule="auto"/>
        <w:jc w:val="left"/>
        <w:rPr>
          <w:rFonts w:ascii="宋体" w:hAnsi="宋体" w:cs="宋体"/>
          <w:color w:val="auto"/>
          <w:kern w:val="0"/>
          <w:sz w:val="24"/>
          <w:highlight w:val="none"/>
          <w:lang w:val="zh-CN"/>
        </w:rPr>
        <w:sectPr>
          <w:pgSz w:w="11910" w:h="16840"/>
          <w:pgMar w:top="1440" w:right="1080" w:bottom="1440" w:left="1080" w:header="720" w:footer="720" w:gutter="0"/>
          <w:pgNumType w:fmt="decimal"/>
          <w:cols w:space="720" w:num="1"/>
        </w:sectPr>
      </w:pPr>
    </w:p>
    <w:p w14:paraId="06B70FF0">
      <w:pPr>
        <w:pStyle w:val="3"/>
        <w:jc w:val="center"/>
        <w:rPr>
          <w:rFonts w:ascii="宋体" w:hAnsi="宋体" w:cs="宋体"/>
          <w:b w:val="0"/>
          <w:color w:val="auto"/>
          <w:highlight w:val="none"/>
        </w:rPr>
      </w:pPr>
      <w:bookmarkStart w:id="80" w:name="_Toc80205940"/>
      <w:bookmarkStart w:id="81" w:name="_Toc10861"/>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0"/>
      <w:bookmarkEnd w:id="81"/>
    </w:p>
    <w:p w14:paraId="6655B178">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8733106">
      <w:pPr>
        <w:snapToGrid w:val="0"/>
        <w:spacing w:before="120" w:beforeLines="50" w:after="50"/>
        <w:rPr>
          <w:rFonts w:ascii="宋体" w:hAnsi="宋体" w:cs="宋体"/>
          <w:color w:val="auto"/>
          <w:sz w:val="24"/>
          <w:szCs w:val="20"/>
          <w:highlight w:val="none"/>
        </w:rPr>
      </w:pPr>
    </w:p>
    <w:p w14:paraId="0090BF98">
      <w:pPr>
        <w:snapToGrid w:val="0"/>
        <w:spacing w:before="120" w:beforeLines="50" w:after="50"/>
        <w:rPr>
          <w:rFonts w:ascii="宋体" w:hAnsi="宋体" w:cs="宋体"/>
          <w:color w:val="auto"/>
          <w:sz w:val="24"/>
          <w:szCs w:val="20"/>
          <w:highlight w:val="none"/>
        </w:rPr>
      </w:pPr>
    </w:p>
    <w:p w14:paraId="67B05D0D">
      <w:pPr>
        <w:snapToGrid w:val="0"/>
        <w:spacing w:before="120" w:beforeLines="50" w:after="50"/>
        <w:rPr>
          <w:rFonts w:ascii="宋体" w:hAnsi="宋体" w:cs="宋体"/>
          <w:color w:val="auto"/>
          <w:sz w:val="24"/>
          <w:szCs w:val="20"/>
          <w:highlight w:val="none"/>
        </w:rPr>
      </w:pPr>
    </w:p>
    <w:p w14:paraId="3D91A494">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1808E7B9">
      <w:pPr>
        <w:snapToGrid w:val="0"/>
        <w:spacing w:before="120" w:beforeLines="50" w:after="50"/>
        <w:rPr>
          <w:rFonts w:ascii="宋体" w:hAnsi="宋体" w:cs="宋体"/>
          <w:bCs/>
          <w:color w:val="auto"/>
          <w:sz w:val="24"/>
          <w:szCs w:val="20"/>
          <w:highlight w:val="none"/>
        </w:rPr>
      </w:pPr>
    </w:p>
    <w:p w14:paraId="60C84BF2">
      <w:pPr>
        <w:snapToGrid w:val="0"/>
        <w:spacing w:before="120" w:beforeLines="50" w:after="50"/>
        <w:rPr>
          <w:rFonts w:ascii="宋体" w:hAnsi="宋体" w:cs="宋体"/>
          <w:bCs/>
          <w:color w:val="auto"/>
          <w:sz w:val="24"/>
          <w:szCs w:val="20"/>
          <w:highlight w:val="none"/>
        </w:rPr>
      </w:pPr>
    </w:p>
    <w:p w14:paraId="64B5AF04">
      <w:pPr>
        <w:snapToGrid w:val="0"/>
        <w:spacing w:before="120" w:beforeLines="50" w:after="50"/>
        <w:rPr>
          <w:rFonts w:ascii="宋体" w:hAnsi="宋体" w:cs="宋体"/>
          <w:bCs/>
          <w:color w:val="auto"/>
          <w:sz w:val="24"/>
          <w:szCs w:val="20"/>
          <w:highlight w:val="none"/>
        </w:rPr>
      </w:pPr>
    </w:p>
    <w:p w14:paraId="6F34DCB7">
      <w:pPr>
        <w:snapToGrid w:val="0"/>
        <w:spacing w:before="120" w:beforeLines="50" w:after="50"/>
        <w:rPr>
          <w:rFonts w:ascii="宋体" w:hAnsi="宋体" w:cs="宋体"/>
          <w:bCs/>
          <w:color w:val="auto"/>
          <w:sz w:val="24"/>
          <w:szCs w:val="20"/>
          <w:highlight w:val="none"/>
        </w:rPr>
      </w:pPr>
    </w:p>
    <w:p w14:paraId="30F9ACC2">
      <w:pPr>
        <w:snapToGrid w:val="0"/>
        <w:spacing w:before="120" w:beforeLines="50" w:after="50"/>
        <w:rPr>
          <w:rFonts w:ascii="宋体" w:hAnsi="宋体" w:cs="宋体"/>
          <w:bCs/>
          <w:color w:val="auto"/>
          <w:sz w:val="24"/>
          <w:szCs w:val="20"/>
          <w:highlight w:val="none"/>
        </w:rPr>
      </w:pPr>
    </w:p>
    <w:p w14:paraId="5F5D26B2">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2" w:name="PO_3000001868_PM002_6"/>
      <w:r>
        <w:rPr>
          <w:rFonts w:hint="eastAsia" w:ascii="宋体" w:hAnsi="宋体" w:cs="宋体"/>
          <w:bCs/>
          <w:color w:val="auto"/>
          <w:sz w:val="32"/>
          <w:szCs w:val="32"/>
          <w:highlight w:val="none"/>
        </w:rPr>
        <w:t>[项目名称]</w:t>
      </w:r>
      <w:bookmarkEnd w:id="82"/>
    </w:p>
    <w:p w14:paraId="4D47EA27">
      <w:pPr>
        <w:snapToGrid w:val="0"/>
        <w:spacing w:before="120" w:beforeLines="50" w:after="50"/>
        <w:ind w:firstLine="720" w:firstLineChars="225"/>
        <w:rPr>
          <w:rFonts w:ascii="宋体" w:hAnsi="宋体" w:cs="宋体"/>
          <w:bCs/>
          <w:color w:val="auto"/>
          <w:sz w:val="32"/>
          <w:szCs w:val="32"/>
          <w:highlight w:val="none"/>
        </w:rPr>
      </w:pPr>
    </w:p>
    <w:p w14:paraId="481BA6BA">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3" w:name="PO_3000001868_PM001_7"/>
      <w:r>
        <w:rPr>
          <w:rFonts w:hint="eastAsia" w:ascii="宋体" w:hAnsi="宋体" w:cs="宋体"/>
          <w:bCs/>
          <w:color w:val="auto"/>
          <w:sz w:val="32"/>
          <w:szCs w:val="32"/>
          <w:highlight w:val="none"/>
        </w:rPr>
        <w:t>[项目编号]</w:t>
      </w:r>
      <w:bookmarkEnd w:id="83"/>
    </w:p>
    <w:p w14:paraId="4606000E">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DA138A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02465D6">
      <w:pPr>
        <w:snapToGrid w:val="0"/>
        <w:spacing w:before="120" w:beforeLines="50" w:after="50"/>
        <w:ind w:firstLine="720" w:firstLineChars="225"/>
        <w:rPr>
          <w:rFonts w:ascii="宋体" w:hAnsi="宋体" w:cs="宋体"/>
          <w:bCs/>
          <w:color w:val="auto"/>
          <w:sz w:val="32"/>
          <w:szCs w:val="32"/>
          <w:highlight w:val="none"/>
        </w:rPr>
      </w:pPr>
    </w:p>
    <w:p w14:paraId="11EB58E7">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4BB0808E">
      <w:pPr>
        <w:pStyle w:val="8"/>
        <w:snapToGrid w:val="0"/>
        <w:spacing w:before="50" w:after="50"/>
        <w:ind w:firstLine="720" w:firstLineChars="225"/>
        <w:rPr>
          <w:rFonts w:ascii="宋体" w:hAnsi="宋体" w:cs="宋体"/>
          <w:bCs/>
          <w:color w:val="auto"/>
          <w:sz w:val="32"/>
          <w:szCs w:val="32"/>
          <w:highlight w:val="none"/>
        </w:rPr>
      </w:pPr>
    </w:p>
    <w:p w14:paraId="00D5F515">
      <w:pPr>
        <w:pStyle w:val="8"/>
        <w:snapToGrid w:val="0"/>
        <w:spacing w:before="50" w:after="50"/>
        <w:ind w:firstLine="720" w:firstLineChars="225"/>
        <w:rPr>
          <w:rFonts w:ascii="宋体" w:hAnsi="宋体" w:cs="宋体"/>
          <w:bCs/>
          <w:color w:val="auto"/>
          <w:sz w:val="32"/>
          <w:szCs w:val="32"/>
          <w:highlight w:val="none"/>
        </w:rPr>
      </w:pPr>
    </w:p>
    <w:p w14:paraId="1263FC75">
      <w:pPr>
        <w:pStyle w:val="8"/>
        <w:snapToGrid w:val="0"/>
        <w:spacing w:before="50" w:after="50"/>
        <w:ind w:firstLine="1280" w:firstLineChars="400"/>
        <w:rPr>
          <w:rFonts w:ascii="宋体" w:hAnsi="宋体" w:cs="宋体"/>
          <w:bCs/>
          <w:color w:val="auto"/>
          <w:sz w:val="32"/>
          <w:szCs w:val="32"/>
          <w:highlight w:val="none"/>
        </w:rPr>
      </w:pPr>
    </w:p>
    <w:p w14:paraId="7222B321">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FDC6EF9">
      <w:pPr>
        <w:widowControl/>
        <w:spacing w:line="360" w:lineRule="auto"/>
        <w:jc w:val="left"/>
        <w:rPr>
          <w:rFonts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3F730D05">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44A1D01B">
      <w:pPr>
        <w:jc w:val="center"/>
        <w:rPr>
          <w:rFonts w:ascii="宋体" w:hAnsi="宋体" w:cs="宋体"/>
          <w:b/>
          <w:color w:val="auto"/>
          <w:kern w:val="0"/>
          <w:sz w:val="28"/>
          <w:szCs w:val="28"/>
          <w:highlight w:val="none"/>
        </w:rPr>
      </w:pPr>
    </w:p>
    <w:p w14:paraId="2B3ACD02">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79120A6B">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0C7BDA67">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793DFA6F">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8969A9A">
      <w:pPr>
        <w:pStyle w:val="34"/>
        <w:spacing w:line="360" w:lineRule="auto"/>
        <w:rPr>
          <w:rFonts w:ascii="宋体" w:hAnsi="宋体" w:eastAsia="宋体" w:cs="宋体"/>
          <w:color w:val="auto"/>
          <w:highlight w:val="none"/>
        </w:rPr>
      </w:pPr>
      <w:bookmarkStart w:id="84" w:name="OLE_LINK7"/>
      <w:bookmarkStart w:id="85" w:name="OLE_LINK6"/>
      <w:bookmarkStart w:id="8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B686059">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4"/>
      <w:bookmarkEnd w:id="85"/>
    </w:p>
    <w:bookmarkEnd w:id="86"/>
    <w:p w14:paraId="38D32CA1">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142907D5">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八、施工组织设计……………………………………………………………（页码）</w:t>
      </w:r>
    </w:p>
    <w:p w14:paraId="4931F48B">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49133AB">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5B1B8687">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59F61D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50DE6667">
      <w:pPr>
        <w:spacing w:line="400" w:lineRule="exact"/>
        <w:rPr>
          <w:rFonts w:ascii="宋体" w:hAnsi="宋体" w:cs="宋体"/>
          <w:color w:val="auto"/>
          <w:sz w:val="32"/>
          <w:szCs w:val="32"/>
          <w:highlight w:val="none"/>
        </w:rPr>
      </w:pPr>
    </w:p>
    <w:p w14:paraId="0E67D15A">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277042BE">
      <w:pPr>
        <w:spacing w:line="520" w:lineRule="exact"/>
        <w:jc w:val="center"/>
        <w:rPr>
          <w:rFonts w:ascii="宋体" w:hAnsi="宋体" w:cs="宋体"/>
          <w:color w:val="auto"/>
          <w:sz w:val="44"/>
          <w:szCs w:val="44"/>
          <w:highlight w:val="none"/>
        </w:rPr>
      </w:pPr>
    </w:p>
    <w:p w14:paraId="4D5CA9BA">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309DAC92">
      <w:pPr>
        <w:spacing w:line="520" w:lineRule="exact"/>
        <w:ind w:firstLine="640" w:firstLineChars="200"/>
        <w:rPr>
          <w:rFonts w:ascii="宋体" w:hAnsi="宋体" w:cs="宋体"/>
          <w:color w:val="auto"/>
          <w:sz w:val="32"/>
          <w:szCs w:val="32"/>
          <w:highlight w:val="none"/>
        </w:rPr>
      </w:pPr>
    </w:p>
    <w:p w14:paraId="5A5F7B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1137F0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66D3A0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2263B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1AB028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14826B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6A0DF8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2BB638A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97CD6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7FAC0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08FC5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0009F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365D31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26817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162CE1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5EA59A7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B8473F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07DF5A0">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7DE286A7">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7A4DDBE7">
      <w:pPr>
        <w:spacing w:line="360" w:lineRule="auto"/>
        <w:ind w:left="540"/>
        <w:contextualSpacing/>
        <w:rPr>
          <w:rFonts w:ascii="宋体" w:hAnsi="宋体" w:cs="宋体"/>
          <w:color w:val="auto"/>
          <w:sz w:val="32"/>
          <w:szCs w:val="32"/>
          <w:highlight w:val="none"/>
        </w:rPr>
      </w:pPr>
    </w:p>
    <w:p w14:paraId="375435BC">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2705D241">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36DC10F7">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7767F3E7">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850B059">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F870B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2C2FBCE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4AC0FC8D">
      <w:pPr>
        <w:spacing w:line="360" w:lineRule="auto"/>
        <w:ind w:left="540"/>
        <w:contextualSpacing/>
        <w:rPr>
          <w:rFonts w:ascii="宋体" w:hAnsi="宋体" w:cs="宋体"/>
          <w:color w:val="auto"/>
          <w:sz w:val="24"/>
          <w:highlight w:val="none"/>
        </w:rPr>
      </w:pPr>
    </w:p>
    <w:p w14:paraId="7BEE0AE7">
      <w:pPr>
        <w:spacing w:line="360" w:lineRule="auto"/>
        <w:ind w:left="540"/>
        <w:contextualSpacing/>
        <w:rPr>
          <w:rFonts w:ascii="宋体" w:hAnsi="宋体" w:cs="宋体"/>
          <w:color w:val="auto"/>
          <w:sz w:val="24"/>
          <w:highlight w:val="none"/>
        </w:rPr>
      </w:pPr>
    </w:p>
    <w:p w14:paraId="45F70E86">
      <w:pPr>
        <w:spacing w:line="360" w:lineRule="auto"/>
        <w:ind w:left="540"/>
        <w:contextualSpacing/>
        <w:rPr>
          <w:rFonts w:ascii="宋体" w:hAnsi="宋体" w:cs="宋体"/>
          <w:color w:val="auto"/>
          <w:sz w:val="24"/>
          <w:highlight w:val="none"/>
        </w:rPr>
      </w:pPr>
    </w:p>
    <w:p w14:paraId="12BDEBF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2604BDF">
      <w:pPr>
        <w:spacing w:line="360" w:lineRule="auto"/>
        <w:ind w:left="540"/>
        <w:contextualSpacing/>
        <w:rPr>
          <w:rFonts w:ascii="宋体" w:hAnsi="宋体" w:cs="宋体"/>
          <w:color w:val="auto"/>
          <w:sz w:val="24"/>
          <w:highlight w:val="none"/>
        </w:rPr>
      </w:pPr>
    </w:p>
    <w:p w14:paraId="18E3C3F7">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BD2E945">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499D70D">
      <w:pPr>
        <w:spacing w:line="360" w:lineRule="auto"/>
        <w:jc w:val="left"/>
        <w:rPr>
          <w:rFonts w:ascii="宋体" w:hAnsi="宋体" w:cs="宋体"/>
          <w:color w:val="auto"/>
          <w:sz w:val="24"/>
          <w:highlight w:val="none"/>
        </w:rPr>
      </w:pPr>
    </w:p>
    <w:p w14:paraId="5C2D0C42">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7F0809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C0CC82">
      <w:pPr>
        <w:widowControl/>
        <w:spacing w:line="360" w:lineRule="auto"/>
        <w:jc w:val="left"/>
        <w:rPr>
          <w:rFonts w:ascii="宋体" w:hAnsi="宋体" w:cs="宋体"/>
          <w:color w:val="auto"/>
          <w:sz w:val="24"/>
          <w:highlight w:val="none"/>
        </w:rPr>
        <w:sectPr>
          <w:pgSz w:w="11910" w:h="16840"/>
          <w:pgMar w:top="1440" w:right="1080" w:bottom="1440" w:left="1080" w:header="720" w:footer="720" w:gutter="0"/>
          <w:pgNumType w:fmt="decimal"/>
          <w:cols w:space="720" w:num="1"/>
        </w:sect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AAF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78041EEB">
            <w:pPr>
              <w:spacing w:line="360" w:lineRule="auto"/>
              <w:rPr>
                <w:rFonts w:ascii="宋体" w:hAnsi="宋体" w:cs="宋体"/>
                <w:b/>
                <w:color w:val="auto"/>
                <w:sz w:val="24"/>
                <w:highlight w:val="none"/>
              </w:rPr>
            </w:pPr>
          </w:p>
          <w:p w14:paraId="77D56579">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5F75ECA7">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44D20116">
      <w:pPr>
        <w:adjustRightInd w:val="0"/>
        <w:snapToGrid w:val="0"/>
        <w:spacing w:line="300" w:lineRule="auto"/>
        <w:jc w:val="left"/>
        <w:rPr>
          <w:rFonts w:ascii="宋体" w:hAnsi="宋体" w:cs="宋体"/>
          <w:b/>
          <w:color w:val="auto"/>
          <w:szCs w:val="21"/>
          <w:highlight w:val="none"/>
        </w:rPr>
      </w:pPr>
    </w:p>
    <w:p w14:paraId="087B3127">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50AFABD8">
      <w:pPr>
        <w:spacing w:line="500" w:lineRule="exact"/>
        <w:jc w:val="center"/>
        <w:rPr>
          <w:rFonts w:ascii="宋体" w:hAnsi="宋体" w:cs="宋体"/>
          <w:color w:val="auto"/>
          <w:sz w:val="44"/>
          <w:szCs w:val="44"/>
          <w:highlight w:val="none"/>
        </w:rPr>
      </w:pPr>
    </w:p>
    <w:p w14:paraId="5C8D63BB">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48BC3C6B">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0E3135AD">
      <w:pPr>
        <w:spacing w:line="520" w:lineRule="exact"/>
        <w:rPr>
          <w:rFonts w:ascii="宋体" w:hAnsi="宋体" w:cs="宋体"/>
          <w:color w:val="auto"/>
          <w:sz w:val="32"/>
          <w:szCs w:val="32"/>
          <w:highlight w:val="none"/>
        </w:rPr>
      </w:pPr>
    </w:p>
    <w:p w14:paraId="0709DC3E">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7" w:name="PO_3000001868_PM031_7"/>
      <w:r>
        <w:rPr>
          <w:rFonts w:hint="eastAsia" w:ascii="宋体" w:hAnsi="宋体" w:cs="宋体"/>
          <w:color w:val="auto"/>
          <w:sz w:val="24"/>
          <w:highlight w:val="none"/>
          <w:u w:val="single"/>
        </w:rPr>
        <w:t>[采购组织机构]</w:t>
      </w:r>
      <w:bookmarkEnd w:id="87"/>
      <w:r>
        <w:rPr>
          <w:rFonts w:hint="eastAsia" w:ascii="宋体" w:hAnsi="宋体" w:cs="宋体"/>
          <w:color w:val="auto"/>
          <w:sz w:val="24"/>
          <w:highlight w:val="none"/>
        </w:rPr>
        <w:t>：</w:t>
      </w:r>
    </w:p>
    <w:p w14:paraId="6612D9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88" w:name="PO_3000001868_PM002_7"/>
      <w:r>
        <w:rPr>
          <w:rFonts w:hint="eastAsia" w:ascii="宋体" w:hAnsi="宋体" w:cs="宋体"/>
          <w:color w:val="auto"/>
          <w:sz w:val="24"/>
          <w:highlight w:val="none"/>
          <w:u w:val="single"/>
        </w:rPr>
        <w:t>[项目名称]</w:t>
      </w:r>
      <w:bookmarkEnd w:id="8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77AD47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5EB1CC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407E7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AC5A1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02A8183F">
      <w:pPr>
        <w:spacing w:line="360" w:lineRule="auto"/>
        <w:rPr>
          <w:rFonts w:ascii="宋体" w:hAnsi="宋体" w:cs="宋体"/>
          <w:color w:val="auto"/>
          <w:sz w:val="24"/>
          <w:highlight w:val="none"/>
        </w:rPr>
      </w:pPr>
    </w:p>
    <w:p w14:paraId="25892C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42E780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0054C1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541EE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15D7D5C0">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10CB002">
      <w:pPr>
        <w:spacing w:line="360" w:lineRule="auto"/>
        <w:rPr>
          <w:rFonts w:ascii="宋体" w:hAnsi="宋体" w:cs="宋体"/>
          <w:color w:val="auto"/>
          <w:sz w:val="24"/>
          <w:highlight w:val="none"/>
        </w:rPr>
      </w:pPr>
    </w:p>
    <w:p w14:paraId="362E89E5">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7F1C98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20B79AB">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020ADC82">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5B877BF0">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774FC078">
      <w:pPr>
        <w:spacing w:line="500" w:lineRule="exact"/>
        <w:jc w:val="center"/>
        <w:rPr>
          <w:rFonts w:ascii="宋体" w:hAnsi="宋体" w:cs="宋体"/>
          <w:color w:val="auto"/>
          <w:sz w:val="44"/>
          <w:szCs w:val="44"/>
          <w:highlight w:val="none"/>
        </w:rPr>
      </w:pPr>
    </w:p>
    <w:p w14:paraId="5AE02246">
      <w:pPr>
        <w:spacing w:line="500" w:lineRule="exact"/>
        <w:jc w:val="center"/>
        <w:rPr>
          <w:rFonts w:ascii="宋体" w:hAnsi="宋体" w:cs="宋体"/>
          <w:color w:val="auto"/>
          <w:sz w:val="32"/>
          <w:szCs w:val="32"/>
          <w:highlight w:val="none"/>
        </w:rPr>
      </w:pPr>
    </w:p>
    <w:p w14:paraId="3CFE8C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5AC7CC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33A8E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0BB701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EBEB4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007E7B6">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180A92E8">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06868056">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5A4B20AA">
      <w:pPr>
        <w:spacing w:line="360" w:lineRule="auto"/>
        <w:rPr>
          <w:rFonts w:ascii="宋体" w:hAnsi="宋体" w:cs="宋体"/>
          <w:color w:val="auto"/>
          <w:sz w:val="24"/>
          <w:highlight w:val="none"/>
        </w:rPr>
      </w:pPr>
    </w:p>
    <w:p w14:paraId="27C0B394">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624860DA">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5CC72879">
      <w:pPr>
        <w:spacing w:line="360" w:lineRule="auto"/>
        <w:rPr>
          <w:rFonts w:ascii="宋体" w:hAnsi="宋体" w:cs="宋体"/>
          <w:color w:val="auto"/>
          <w:sz w:val="24"/>
          <w:highlight w:val="none"/>
        </w:rPr>
      </w:pPr>
    </w:p>
    <w:p w14:paraId="137A79E4">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1949AF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24D6F7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1CEC2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1DB24534">
      <w:pPr>
        <w:spacing w:line="360" w:lineRule="auto"/>
        <w:ind w:firstLine="420" w:firstLineChars="200"/>
        <w:jc w:val="left"/>
        <w:rPr>
          <w:rFonts w:ascii="宋体" w:hAnsi="宋体" w:cs="宋体"/>
          <w:color w:val="auto"/>
          <w:szCs w:val="21"/>
          <w:highlight w:val="none"/>
        </w:rPr>
      </w:pPr>
    </w:p>
    <w:p w14:paraId="0C99BCC7">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003A6CF7">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0267CCB6">
      <w:pPr>
        <w:spacing w:line="520" w:lineRule="exact"/>
        <w:rPr>
          <w:rFonts w:ascii="宋体" w:hAnsi="宋体" w:cs="宋体"/>
          <w:color w:val="auto"/>
          <w:sz w:val="32"/>
          <w:szCs w:val="32"/>
          <w:highlight w:val="none"/>
        </w:rPr>
      </w:pPr>
    </w:p>
    <w:p w14:paraId="773947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89" w:name="PO_3000001868_PM001_8"/>
      <w:r>
        <w:rPr>
          <w:rFonts w:hint="eastAsia" w:ascii="宋体" w:hAnsi="宋体" w:cs="宋体"/>
          <w:color w:val="auto"/>
          <w:sz w:val="24"/>
          <w:highlight w:val="none"/>
          <w:u w:val="single"/>
        </w:rPr>
        <w:t>[项目编号]</w:t>
      </w:r>
      <w:bookmarkEnd w:id="89"/>
      <w:r>
        <w:rPr>
          <w:rFonts w:hint="eastAsia" w:ascii="宋体" w:hAnsi="宋体" w:cs="宋体"/>
          <w:color w:val="auto"/>
          <w:sz w:val="24"/>
          <w:highlight w:val="none"/>
          <w:u w:val="single"/>
        </w:rPr>
        <w:t xml:space="preserve">  </w:t>
      </w:r>
    </w:p>
    <w:p w14:paraId="49ED3A5A">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90" w:name="PO_3000001868_PM002_8"/>
      <w:r>
        <w:rPr>
          <w:rFonts w:hint="eastAsia" w:ascii="宋体" w:hAnsi="宋体" w:cs="宋体"/>
          <w:color w:val="auto"/>
          <w:sz w:val="24"/>
          <w:highlight w:val="none"/>
          <w:u w:val="single"/>
        </w:rPr>
        <w:t>[项目名称]</w:t>
      </w:r>
      <w:bookmarkEnd w:id="90"/>
      <w:r>
        <w:rPr>
          <w:rFonts w:hint="eastAsia" w:ascii="宋体" w:hAnsi="宋体" w:cs="宋体"/>
          <w:color w:val="auto"/>
          <w:sz w:val="24"/>
          <w:highlight w:val="none"/>
          <w:u w:val="single"/>
        </w:rPr>
        <w:t xml:space="preserve"> </w:t>
      </w:r>
    </w:p>
    <w:p w14:paraId="1981CE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A85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027071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16B3489">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49C2856">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9F0572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F9A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C7D7991">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733D9465">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0D012F3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6B26B762">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6AE9675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18F93863">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AB27C91">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39492BB">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7319A0D">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D0D3F02">
            <w:pPr>
              <w:spacing w:line="300" w:lineRule="exact"/>
              <w:rPr>
                <w:rFonts w:ascii="宋体" w:hAnsi="宋体" w:cs="宋体"/>
                <w:color w:val="auto"/>
                <w:szCs w:val="21"/>
                <w:highlight w:val="none"/>
              </w:rPr>
            </w:pPr>
          </w:p>
        </w:tc>
      </w:tr>
      <w:tr w14:paraId="5B13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2BE54B9">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1A5B3AE">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4E2ACCD">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FDE6F2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8E3F1B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03AF3B5">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71645B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22B3400">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A54BFA1">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2A4D3910">
            <w:pPr>
              <w:spacing w:line="300" w:lineRule="exact"/>
              <w:rPr>
                <w:rFonts w:ascii="宋体" w:hAnsi="宋体" w:cs="宋体"/>
                <w:color w:val="auto"/>
                <w:szCs w:val="21"/>
                <w:highlight w:val="none"/>
              </w:rPr>
            </w:pPr>
          </w:p>
        </w:tc>
      </w:tr>
      <w:tr w14:paraId="511B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D467A51">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3C9BA42B">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85AAFB5">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87951E3">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D750266">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785F49C6">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4FFCC2B">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A9EEFC1">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250DAAD7">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283A7A7">
            <w:pPr>
              <w:spacing w:line="300" w:lineRule="exact"/>
              <w:rPr>
                <w:rFonts w:ascii="宋体" w:hAnsi="宋体" w:cs="宋体"/>
                <w:color w:val="auto"/>
                <w:szCs w:val="21"/>
                <w:highlight w:val="none"/>
              </w:rPr>
            </w:pPr>
          </w:p>
        </w:tc>
      </w:tr>
    </w:tbl>
    <w:p w14:paraId="1A470691">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A551346">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50A40F65">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33AA3EC">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25509D2D">
      <w:pPr>
        <w:pStyle w:val="15"/>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ECBB182">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32EB2354">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95424DF">
      <w:pPr>
        <w:snapToGrid w:val="0"/>
        <w:spacing w:line="360" w:lineRule="auto"/>
        <w:ind w:firstLine="602" w:firstLineChars="200"/>
        <w:rPr>
          <w:rFonts w:ascii="宋体" w:hAnsi="宋体" w:cs="宋体"/>
          <w:b/>
          <w:color w:val="auto"/>
          <w:sz w:val="30"/>
          <w:szCs w:val="30"/>
          <w:highlight w:val="none"/>
        </w:rPr>
      </w:pPr>
    </w:p>
    <w:p w14:paraId="2DD18A36">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5EC1AAB6">
      <w:pPr>
        <w:snapToGrid w:val="0"/>
        <w:spacing w:line="360" w:lineRule="auto"/>
        <w:ind w:firstLine="602" w:firstLineChars="200"/>
        <w:rPr>
          <w:rFonts w:ascii="宋体" w:hAnsi="宋体" w:cs="宋体"/>
          <w:b/>
          <w:color w:val="auto"/>
          <w:sz w:val="30"/>
          <w:szCs w:val="30"/>
          <w:highlight w:val="none"/>
        </w:rPr>
      </w:pPr>
    </w:p>
    <w:p w14:paraId="205401BC">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38EE1C7">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1561591">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3075739B">
      <w:pPr>
        <w:pStyle w:val="20"/>
        <w:snapToGrid w:val="0"/>
        <w:ind w:left="480" w:hanging="480"/>
        <w:rPr>
          <w:rFonts w:ascii="宋体" w:hAnsi="宋体" w:cs="宋体"/>
          <w:color w:val="auto"/>
          <w:sz w:val="24"/>
          <w:highlight w:val="none"/>
        </w:rPr>
      </w:pPr>
    </w:p>
    <w:tbl>
      <w:tblPr>
        <w:tblStyle w:val="24"/>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78535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08DFF9B0">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35B1194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9B1396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0BC1BDC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505880D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2C50752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2EC978C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42055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7EF16020">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1010E1F">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62A643D">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2864A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452A6A8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75663EA9">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78C20F20">
            <w:pPr>
              <w:widowControl/>
              <w:jc w:val="left"/>
              <w:rPr>
                <w:rFonts w:ascii="宋体" w:hAnsi="宋体" w:cs="宋体"/>
                <w:color w:val="auto"/>
                <w:sz w:val="24"/>
                <w:highlight w:val="none"/>
              </w:rPr>
            </w:pPr>
          </w:p>
        </w:tc>
      </w:tr>
      <w:tr w14:paraId="79422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37F09E05">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6D26932">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2C310EF">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16FD75F">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A3EE487">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2DC953B">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60D9B6AF">
            <w:pPr>
              <w:snapToGrid w:val="0"/>
              <w:spacing w:line="240" w:lineRule="exact"/>
              <w:jc w:val="left"/>
              <w:rPr>
                <w:rFonts w:ascii="宋体" w:hAnsi="宋体" w:cs="宋体"/>
                <w:color w:val="auto"/>
                <w:sz w:val="24"/>
                <w:highlight w:val="none"/>
              </w:rPr>
            </w:pPr>
          </w:p>
        </w:tc>
      </w:tr>
      <w:tr w14:paraId="2044B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3651AF21">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0C0F331">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7CC2D7D">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CBA7DD1">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4D93A8BD">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0AE3AA7">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39F3E0A">
            <w:pPr>
              <w:snapToGrid w:val="0"/>
              <w:spacing w:before="50" w:after="120" w:afterLines="50" w:line="400" w:lineRule="exact"/>
              <w:jc w:val="left"/>
              <w:rPr>
                <w:rFonts w:ascii="宋体" w:hAnsi="宋体" w:cs="宋体"/>
                <w:color w:val="auto"/>
                <w:sz w:val="24"/>
                <w:highlight w:val="none"/>
              </w:rPr>
            </w:pPr>
          </w:p>
        </w:tc>
      </w:tr>
      <w:tr w14:paraId="25DF7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510FB761">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A8C462">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4073337">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7818A1D">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473C42A2">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695A120">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333B15A3">
            <w:pPr>
              <w:snapToGrid w:val="0"/>
              <w:spacing w:before="50" w:after="120" w:afterLines="50" w:line="400" w:lineRule="exact"/>
              <w:jc w:val="left"/>
              <w:rPr>
                <w:rFonts w:ascii="宋体" w:hAnsi="宋体" w:cs="宋体"/>
                <w:color w:val="auto"/>
                <w:sz w:val="24"/>
                <w:highlight w:val="none"/>
              </w:rPr>
            </w:pPr>
          </w:p>
        </w:tc>
      </w:tr>
      <w:tr w14:paraId="2276C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07E87112">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92EBA3">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865CCBA">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88CD607">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3EC3435">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0EBBC44">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A425474">
            <w:pPr>
              <w:snapToGrid w:val="0"/>
              <w:spacing w:before="50" w:after="120" w:afterLines="50" w:line="400" w:lineRule="exact"/>
              <w:jc w:val="left"/>
              <w:rPr>
                <w:rFonts w:ascii="宋体" w:hAnsi="宋体" w:cs="宋体"/>
                <w:color w:val="auto"/>
                <w:sz w:val="24"/>
                <w:highlight w:val="none"/>
              </w:rPr>
            </w:pPr>
          </w:p>
        </w:tc>
      </w:tr>
      <w:tr w14:paraId="3E22C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7FEF7AE7">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DCA0F7">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8787FFC">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E4B91D8">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4EA03A8">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D985C86">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1F6880F5">
            <w:pPr>
              <w:snapToGrid w:val="0"/>
              <w:spacing w:before="50" w:after="120" w:afterLines="50" w:line="400" w:lineRule="exact"/>
              <w:jc w:val="left"/>
              <w:rPr>
                <w:rFonts w:ascii="宋体" w:hAnsi="宋体" w:cs="宋体"/>
                <w:color w:val="auto"/>
                <w:sz w:val="24"/>
                <w:highlight w:val="none"/>
              </w:rPr>
            </w:pPr>
          </w:p>
        </w:tc>
      </w:tr>
    </w:tbl>
    <w:p w14:paraId="28BE9041">
      <w:pPr>
        <w:pStyle w:val="20"/>
        <w:snapToGrid w:val="0"/>
        <w:ind w:left="480" w:hanging="480"/>
        <w:rPr>
          <w:rFonts w:ascii="宋体" w:hAnsi="宋体" w:cs="宋体"/>
          <w:color w:val="auto"/>
          <w:sz w:val="24"/>
          <w:highlight w:val="none"/>
        </w:rPr>
      </w:pPr>
    </w:p>
    <w:p w14:paraId="567ABB3A">
      <w:pPr>
        <w:pStyle w:val="20"/>
        <w:snapToGrid w:val="0"/>
        <w:ind w:left="480" w:hanging="480"/>
        <w:rPr>
          <w:rFonts w:ascii="宋体" w:hAnsi="宋体" w:cs="宋体"/>
          <w:color w:val="auto"/>
          <w:sz w:val="24"/>
          <w:highlight w:val="none"/>
        </w:rPr>
      </w:pPr>
    </w:p>
    <w:p w14:paraId="7174ED85">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:相关项目业绩一览表（供应商同类项目合同复印件、用户验收报告、用户评价意见格式自拟）</w:t>
      </w:r>
    </w:p>
    <w:p w14:paraId="19B2EF0F">
      <w:pPr>
        <w:pStyle w:val="15"/>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注：供应商可按上述的格式自行编制，须随表提交相应的合同复印件和用户单位验收证明并注明所在供应商商务技术文件页码。</w:t>
      </w:r>
    </w:p>
    <w:p w14:paraId="41BAB468">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6B07B0F">
      <w:pPr>
        <w:snapToGrid w:val="0"/>
        <w:spacing w:line="360" w:lineRule="auto"/>
        <w:ind w:firstLine="4935" w:firstLineChars="2350"/>
        <w:rPr>
          <w:rFonts w:ascii="宋体" w:hAnsi="宋体" w:cs="宋体"/>
          <w:color w:val="auto"/>
          <w:szCs w:val="21"/>
          <w:highlight w:val="none"/>
        </w:rPr>
      </w:pPr>
    </w:p>
    <w:p w14:paraId="5C16301D">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4BAEDEEC">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AAD1682">
      <w:pPr>
        <w:widowControl/>
        <w:jc w:val="left"/>
        <w:rPr>
          <w:rFonts w:ascii="宋体" w:hAnsi="宋体" w:cs="宋体"/>
          <w:color w:val="auto"/>
          <w:sz w:val="32"/>
          <w:szCs w:val="32"/>
          <w:highlight w:val="none"/>
        </w:rPr>
        <w:sectPr>
          <w:pgSz w:w="11910" w:h="16840"/>
          <w:pgMar w:top="1440" w:right="1080" w:bottom="1440" w:left="1080" w:header="720" w:footer="720" w:gutter="0"/>
          <w:pgNumType w:fmt="decimal"/>
          <w:cols w:space="720" w:num="1"/>
        </w:sectPr>
      </w:pPr>
    </w:p>
    <w:p w14:paraId="197AF1AA">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6B2349B4">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2FFCB1CF">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6EF765D8">
      <w:pPr>
        <w:spacing w:line="360" w:lineRule="auto"/>
        <w:jc w:val="left"/>
        <w:rPr>
          <w:rFonts w:ascii="宋体" w:hAnsi="宋体" w:cs="宋体"/>
          <w:color w:val="auto"/>
          <w:sz w:val="24"/>
          <w:highlight w:val="none"/>
        </w:rPr>
      </w:pPr>
    </w:p>
    <w:p w14:paraId="53398FA8">
      <w:pPr>
        <w:pStyle w:val="15"/>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4"/>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6514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3A7F4400">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58A0FF49">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4125533D">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19FE0262">
            <w:pPr>
              <w:rPr>
                <w:rFonts w:ascii="宋体" w:hAnsi="宋体" w:cs="宋体"/>
                <w:color w:val="auto"/>
                <w:szCs w:val="21"/>
                <w:highlight w:val="none"/>
              </w:rPr>
            </w:pPr>
            <w:r>
              <w:rPr>
                <w:rFonts w:hint="eastAsia" w:ascii="宋体" w:hAnsi="宋体" w:cs="宋体"/>
                <w:color w:val="auto"/>
                <w:szCs w:val="21"/>
                <w:highlight w:val="none"/>
              </w:rPr>
              <w:t>偏离说明</w:t>
            </w:r>
          </w:p>
        </w:tc>
      </w:tr>
      <w:tr w14:paraId="75D6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7A7B5A4C">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5BD4CCDA">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70C51FA8">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2DA02C11">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3F35B223">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2F462834">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1844930B">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3336DD8A">
            <w:pPr>
              <w:widowControl/>
              <w:jc w:val="left"/>
              <w:rPr>
                <w:rFonts w:ascii="宋体" w:hAnsi="宋体" w:cs="宋体"/>
                <w:color w:val="auto"/>
                <w:szCs w:val="21"/>
                <w:highlight w:val="none"/>
              </w:rPr>
            </w:pPr>
          </w:p>
        </w:tc>
      </w:tr>
      <w:tr w14:paraId="5842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C78842D">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66018DBF">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04FA37C3">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064F6120">
            <w:pPr>
              <w:rPr>
                <w:rFonts w:ascii="宋体" w:hAnsi="宋体" w:cs="宋体"/>
                <w:color w:val="auto"/>
                <w:szCs w:val="21"/>
                <w:highlight w:val="none"/>
              </w:rPr>
            </w:pPr>
            <w:r>
              <w:rPr>
                <w:rFonts w:hint="eastAsia" w:ascii="宋体" w:hAnsi="宋体" w:cs="宋体"/>
                <w:color w:val="auto"/>
                <w:szCs w:val="21"/>
                <w:highlight w:val="none"/>
              </w:rPr>
              <w:t>1  ……</w:t>
            </w:r>
          </w:p>
          <w:p w14:paraId="4DDE1201">
            <w:pPr>
              <w:rPr>
                <w:rFonts w:ascii="宋体" w:hAnsi="宋体" w:cs="宋体"/>
                <w:color w:val="auto"/>
                <w:szCs w:val="21"/>
                <w:highlight w:val="none"/>
              </w:rPr>
            </w:pPr>
            <w:r>
              <w:rPr>
                <w:rFonts w:hint="eastAsia" w:ascii="宋体" w:hAnsi="宋体" w:cs="宋体"/>
                <w:color w:val="auto"/>
                <w:szCs w:val="21"/>
                <w:highlight w:val="none"/>
              </w:rPr>
              <w:t>2  ……</w:t>
            </w:r>
          </w:p>
          <w:p w14:paraId="401D0BDC">
            <w:pPr>
              <w:rPr>
                <w:rFonts w:ascii="宋体" w:hAnsi="宋体" w:cs="宋体"/>
                <w:color w:val="auto"/>
                <w:szCs w:val="21"/>
                <w:highlight w:val="none"/>
              </w:rPr>
            </w:pPr>
            <w:r>
              <w:rPr>
                <w:rFonts w:hint="eastAsia" w:ascii="宋体" w:hAnsi="宋体" w:cs="宋体"/>
                <w:color w:val="auto"/>
                <w:szCs w:val="21"/>
                <w:highlight w:val="none"/>
              </w:rPr>
              <w:t>3  ……</w:t>
            </w:r>
          </w:p>
          <w:p w14:paraId="550AD394">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1C0754AA">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638D214">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5E01BDAF">
            <w:pPr>
              <w:rPr>
                <w:rFonts w:ascii="宋体" w:hAnsi="宋体" w:cs="宋体"/>
                <w:color w:val="auto"/>
                <w:szCs w:val="21"/>
                <w:highlight w:val="none"/>
              </w:rPr>
            </w:pPr>
            <w:r>
              <w:rPr>
                <w:rFonts w:hint="eastAsia" w:ascii="宋体" w:hAnsi="宋体" w:cs="宋体"/>
                <w:color w:val="auto"/>
                <w:szCs w:val="21"/>
                <w:highlight w:val="none"/>
              </w:rPr>
              <w:t>1  ……</w:t>
            </w:r>
          </w:p>
          <w:p w14:paraId="292D7736">
            <w:pPr>
              <w:rPr>
                <w:rFonts w:ascii="宋体" w:hAnsi="宋体" w:cs="宋体"/>
                <w:color w:val="auto"/>
                <w:szCs w:val="21"/>
                <w:highlight w:val="none"/>
              </w:rPr>
            </w:pPr>
            <w:r>
              <w:rPr>
                <w:rFonts w:hint="eastAsia" w:ascii="宋体" w:hAnsi="宋体" w:cs="宋体"/>
                <w:color w:val="auto"/>
                <w:szCs w:val="21"/>
                <w:highlight w:val="none"/>
              </w:rPr>
              <w:t>2  ……</w:t>
            </w:r>
          </w:p>
          <w:p w14:paraId="108D3CDF">
            <w:pPr>
              <w:rPr>
                <w:rFonts w:ascii="宋体" w:hAnsi="宋体" w:cs="宋体"/>
                <w:color w:val="auto"/>
                <w:szCs w:val="21"/>
                <w:highlight w:val="none"/>
              </w:rPr>
            </w:pPr>
            <w:r>
              <w:rPr>
                <w:rFonts w:hint="eastAsia" w:ascii="宋体" w:hAnsi="宋体" w:cs="宋体"/>
                <w:color w:val="auto"/>
                <w:szCs w:val="21"/>
                <w:highlight w:val="none"/>
              </w:rPr>
              <w:t>3  ……</w:t>
            </w:r>
          </w:p>
          <w:p w14:paraId="506ECB4D">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808F907">
            <w:pPr>
              <w:rPr>
                <w:rFonts w:ascii="宋体" w:hAnsi="宋体" w:cs="宋体"/>
                <w:color w:val="auto"/>
                <w:szCs w:val="21"/>
                <w:highlight w:val="none"/>
              </w:rPr>
            </w:pPr>
          </w:p>
        </w:tc>
      </w:tr>
      <w:tr w14:paraId="5F18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B3BB06F">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5959E159">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2462CECD">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72B88D28">
            <w:pPr>
              <w:rPr>
                <w:rFonts w:ascii="宋体" w:hAnsi="宋体" w:cs="宋体"/>
                <w:color w:val="auto"/>
                <w:szCs w:val="21"/>
                <w:highlight w:val="none"/>
              </w:rPr>
            </w:pPr>
            <w:r>
              <w:rPr>
                <w:rFonts w:hint="eastAsia" w:ascii="宋体" w:hAnsi="宋体" w:cs="宋体"/>
                <w:color w:val="auto"/>
                <w:szCs w:val="21"/>
                <w:highlight w:val="none"/>
              </w:rPr>
              <w:t>1  ……</w:t>
            </w:r>
          </w:p>
          <w:p w14:paraId="415D7DD6">
            <w:pPr>
              <w:rPr>
                <w:rFonts w:ascii="宋体" w:hAnsi="宋体" w:cs="宋体"/>
                <w:color w:val="auto"/>
                <w:szCs w:val="21"/>
                <w:highlight w:val="none"/>
              </w:rPr>
            </w:pPr>
            <w:r>
              <w:rPr>
                <w:rFonts w:hint="eastAsia" w:ascii="宋体" w:hAnsi="宋体" w:cs="宋体"/>
                <w:color w:val="auto"/>
                <w:szCs w:val="21"/>
                <w:highlight w:val="none"/>
              </w:rPr>
              <w:t>2  ……</w:t>
            </w:r>
          </w:p>
          <w:p w14:paraId="38524783">
            <w:pPr>
              <w:rPr>
                <w:rFonts w:ascii="宋体" w:hAnsi="宋体" w:cs="宋体"/>
                <w:color w:val="auto"/>
                <w:szCs w:val="21"/>
                <w:highlight w:val="none"/>
              </w:rPr>
            </w:pPr>
            <w:r>
              <w:rPr>
                <w:rFonts w:hint="eastAsia" w:ascii="宋体" w:hAnsi="宋体" w:cs="宋体"/>
                <w:color w:val="auto"/>
                <w:szCs w:val="21"/>
                <w:highlight w:val="none"/>
              </w:rPr>
              <w:t>3  ……</w:t>
            </w:r>
          </w:p>
          <w:p w14:paraId="3897EE95">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2F389F6A">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3D67249E">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54485C87">
            <w:pPr>
              <w:rPr>
                <w:rFonts w:ascii="宋体" w:hAnsi="宋体" w:cs="宋体"/>
                <w:color w:val="auto"/>
                <w:szCs w:val="21"/>
                <w:highlight w:val="none"/>
              </w:rPr>
            </w:pPr>
            <w:r>
              <w:rPr>
                <w:rFonts w:hint="eastAsia" w:ascii="宋体" w:hAnsi="宋体" w:cs="宋体"/>
                <w:color w:val="auto"/>
                <w:szCs w:val="21"/>
                <w:highlight w:val="none"/>
              </w:rPr>
              <w:t>1  ……</w:t>
            </w:r>
          </w:p>
          <w:p w14:paraId="210C9331">
            <w:pPr>
              <w:rPr>
                <w:rFonts w:ascii="宋体" w:hAnsi="宋体" w:cs="宋体"/>
                <w:color w:val="auto"/>
                <w:szCs w:val="21"/>
                <w:highlight w:val="none"/>
              </w:rPr>
            </w:pPr>
            <w:r>
              <w:rPr>
                <w:rFonts w:hint="eastAsia" w:ascii="宋体" w:hAnsi="宋体" w:cs="宋体"/>
                <w:color w:val="auto"/>
                <w:szCs w:val="21"/>
                <w:highlight w:val="none"/>
              </w:rPr>
              <w:t>2  ……</w:t>
            </w:r>
          </w:p>
          <w:p w14:paraId="5AFCDA47">
            <w:pPr>
              <w:rPr>
                <w:rFonts w:ascii="宋体" w:hAnsi="宋体" w:cs="宋体"/>
                <w:color w:val="auto"/>
                <w:szCs w:val="21"/>
                <w:highlight w:val="none"/>
              </w:rPr>
            </w:pPr>
            <w:r>
              <w:rPr>
                <w:rFonts w:hint="eastAsia" w:ascii="宋体" w:hAnsi="宋体" w:cs="宋体"/>
                <w:color w:val="auto"/>
                <w:szCs w:val="21"/>
                <w:highlight w:val="none"/>
              </w:rPr>
              <w:t>3  ……</w:t>
            </w:r>
          </w:p>
          <w:p w14:paraId="1879D085">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6B385A4B">
            <w:pPr>
              <w:rPr>
                <w:rFonts w:ascii="宋体" w:hAnsi="宋体" w:cs="宋体"/>
                <w:color w:val="auto"/>
                <w:szCs w:val="21"/>
                <w:highlight w:val="none"/>
              </w:rPr>
            </w:pPr>
          </w:p>
        </w:tc>
      </w:tr>
      <w:tr w14:paraId="0FDA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44186FD">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17429C97">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77D88BD7">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A1F1A73">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68F3445D">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355C0743">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622B343F">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2A3FE4EF">
            <w:pPr>
              <w:rPr>
                <w:rFonts w:ascii="宋体" w:hAnsi="宋体" w:cs="宋体"/>
                <w:color w:val="auto"/>
                <w:szCs w:val="21"/>
                <w:highlight w:val="none"/>
              </w:rPr>
            </w:pPr>
          </w:p>
        </w:tc>
      </w:tr>
    </w:tbl>
    <w:p w14:paraId="101FE314">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45495775">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28BA8AA2">
      <w:pPr>
        <w:pStyle w:val="12"/>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0E3FE0AD">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5DDE1C4D">
      <w:pPr>
        <w:pStyle w:val="15"/>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CAFBBF1">
      <w:pPr>
        <w:pStyle w:val="12"/>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6978169C">
      <w:pPr>
        <w:snapToGrid w:val="0"/>
        <w:spacing w:line="360" w:lineRule="auto"/>
        <w:ind w:firstLine="602" w:firstLineChars="200"/>
        <w:rPr>
          <w:rFonts w:ascii="宋体" w:hAnsi="宋体" w:cs="宋体"/>
          <w:b/>
          <w:color w:val="auto"/>
          <w:sz w:val="30"/>
          <w:szCs w:val="30"/>
          <w:highlight w:val="none"/>
        </w:rPr>
      </w:pPr>
    </w:p>
    <w:p w14:paraId="1E5D76B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DD475FB">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BF33204">
      <w:pPr>
        <w:adjustRightInd w:val="0"/>
        <w:snapToGrid w:val="0"/>
        <w:spacing w:line="520" w:lineRule="exact"/>
        <w:jc w:val="center"/>
        <w:rPr>
          <w:rFonts w:ascii="宋体" w:hAnsi="宋体" w:cs="宋体"/>
          <w:bCs/>
          <w:color w:val="auto"/>
          <w:sz w:val="44"/>
          <w:szCs w:val="44"/>
          <w:highlight w:val="none"/>
        </w:rPr>
      </w:pPr>
    </w:p>
    <w:p w14:paraId="5781592B">
      <w:pPr>
        <w:pStyle w:val="32"/>
        <w:rPr>
          <w:rFonts w:ascii="宋体" w:hAnsi="宋体" w:eastAsia="宋体" w:cs="宋体"/>
          <w:color w:val="auto"/>
          <w:highlight w:val="none"/>
        </w:rPr>
      </w:pPr>
    </w:p>
    <w:p w14:paraId="024B09D0">
      <w:pPr>
        <w:snapToGrid w:val="0"/>
        <w:spacing w:line="360" w:lineRule="auto"/>
        <w:ind w:firstLine="602" w:firstLineChars="200"/>
        <w:rPr>
          <w:rFonts w:ascii="宋体" w:hAnsi="宋体" w:cs="宋体"/>
          <w:b/>
          <w:color w:val="auto"/>
          <w:sz w:val="30"/>
          <w:szCs w:val="30"/>
          <w:highlight w:val="none"/>
        </w:rPr>
      </w:pPr>
    </w:p>
    <w:p w14:paraId="1BC7825D">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八、施工组织设计</w:t>
      </w:r>
    </w:p>
    <w:p w14:paraId="4257299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5A91C653">
      <w:pPr>
        <w:rPr>
          <w:rFonts w:ascii="宋体" w:hAnsi="宋体" w:cs="宋体"/>
          <w:b/>
          <w:bCs/>
          <w:color w:val="auto"/>
          <w:kern w:val="0"/>
          <w:sz w:val="24"/>
          <w:highlight w:val="none"/>
          <w:lang w:val="zh-CN"/>
        </w:rPr>
      </w:pPr>
      <w:bookmarkStart w:id="91"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1"/>
      <w:r>
        <w:rPr>
          <w:rFonts w:hint="eastAsia" w:ascii="宋体" w:hAnsi="宋体" w:cs="宋体"/>
          <w:b/>
          <w:color w:val="auto"/>
          <w:sz w:val="24"/>
          <w:highlight w:val="none"/>
        </w:rPr>
        <w:t xml:space="preserve"> </w:t>
      </w:r>
    </w:p>
    <w:tbl>
      <w:tblPr>
        <w:tblStyle w:val="2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C2C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72D76466">
            <w:pPr>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6C9383B9">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9973A55">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54CD00E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C9383B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9973A55">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4CD00EC">
                              <w:pPr>
                                <w:snapToGrid w:val="0"/>
                              </w:pPr>
                              <w:r>
                                <w:rPr>
                                  <w:rFonts w:hint="eastAsia"/>
                                </w:rPr>
                                <w:t>日</w:t>
                              </w:r>
                            </w:p>
                          </w:txbxContent>
                        </v:textbox>
                      </v:shape>
                    </v:group>
                  </w:pict>
                </mc:Fallback>
              </mc:AlternateContent>
            </w:r>
          </w:p>
          <w:p w14:paraId="6004F770">
            <w:pPr>
              <w:spacing w:line="360" w:lineRule="auto"/>
              <w:rPr>
                <w:rFonts w:ascii="宋体" w:hAnsi="宋体" w:cs="宋体"/>
                <w:color w:val="auto"/>
                <w:sz w:val="24"/>
                <w:highlight w:val="none"/>
              </w:rPr>
            </w:pPr>
          </w:p>
          <w:p w14:paraId="66E17C11">
            <w:pPr>
              <w:spacing w:line="360" w:lineRule="auto"/>
              <w:rPr>
                <w:rFonts w:ascii="宋体" w:hAnsi="宋体" w:cs="宋体"/>
                <w:color w:val="auto"/>
                <w:sz w:val="24"/>
                <w:highlight w:val="none"/>
              </w:rPr>
            </w:pPr>
          </w:p>
          <w:p w14:paraId="562EA3EE">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682F9639">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4B9B1478">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40E38C25">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B196827">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026DDDBC">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708241BF">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2D8CAD8F">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2D2A415A">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498CF36D">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48410F53">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78EB99AE">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67F3BA5">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309D24F0">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49769F1F">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273704F9">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64B1B7F7">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400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5A2625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22119A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D1C68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94B1A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64680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DD05CB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522E6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90296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94707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D93A3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EA94C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78F3F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7DEF3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69F5E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84DE0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95F7E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90873B">
            <w:pPr>
              <w:spacing w:line="360" w:lineRule="auto"/>
              <w:rPr>
                <w:rFonts w:ascii="宋体" w:hAnsi="宋体" w:cs="宋体"/>
                <w:color w:val="auto"/>
                <w:sz w:val="24"/>
                <w:highlight w:val="none"/>
              </w:rPr>
            </w:pPr>
          </w:p>
        </w:tc>
      </w:tr>
      <w:tr w14:paraId="76A2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8F20BA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24863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9C97C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42FEB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CC763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A0EA8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2C03F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DC04F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9B5AE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F64AE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93075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58963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1F16B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C1AF6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EA134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89B38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4DF978">
            <w:pPr>
              <w:spacing w:line="360" w:lineRule="auto"/>
              <w:rPr>
                <w:rFonts w:ascii="宋体" w:hAnsi="宋体" w:cs="宋体"/>
                <w:color w:val="auto"/>
                <w:sz w:val="24"/>
                <w:highlight w:val="none"/>
              </w:rPr>
            </w:pPr>
          </w:p>
        </w:tc>
      </w:tr>
      <w:tr w14:paraId="6036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868C58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75FD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79A809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C4F6A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73666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20B9A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2D3F08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1CD2E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3C02E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FDB16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6EC0E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E41E2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933F5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7AEDC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22748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2EF42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E7FF22">
            <w:pPr>
              <w:spacing w:line="360" w:lineRule="auto"/>
              <w:rPr>
                <w:rFonts w:ascii="宋体" w:hAnsi="宋体" w:cs="宋体"/>
                <w:color w:val="auto"/>
                <w:sz w:val="24"/>
                <w:highlight w:val="none"/>
              </w:rPr>
            </w:pPr>
          </w:p>
        </w:tc>
      </w:tr>
      <w:tr w14:paraId="3B59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C416A2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0A51C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46D77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45DE4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01A65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E5D9C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FE7E2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8CF7D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11CB2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8ED7F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0C972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554AF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97D14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5AE55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810CB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B1A6A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5109FD">
            <w:pPr>
              <w:spacing w:line="360" w:lineRule="auto"/>
              <w:rPr>
                <w:rFonts w:ascii="宋体" w:hAnsi="宋体" w:cs="宋体"/>
                <w:color w:val="auto"/>
                <w:sz w:val="24"/>
                <w:highlight w:val="none"/>
              </w:rPr>
            </w:pPr>
          </w:p>
        </w:tc>
      </w:tr>
      <w:tr w14:paraId="6981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32AD36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0AD15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7AA7B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45A2D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D6724D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D73AC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6B37A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623C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AB7A3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9D92C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B3382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A9B43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EBC14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96EF1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B934C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9309F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4E4076">
            <w:pPr>
              <w:spacing w:line="360" w:lineRule="auto"/>
              <w:rPr>
                <w:rFonts w:ascii="宋体" w:hAnsi="宋体" w:cs="宋体"/>
                <w:color w:val="auto"/>
                <w:sz w:val="24"/>
                <w:highlight w:val="none"/>
              </w:rPr>
            </w:pPr>
          </w:p>
        </w:tc>
      </w:tr>
      <w:tr w14:paraId="7D93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CE17E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A874D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5ECEC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2CFEE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E31B0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34356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4F0D8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1197F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77D35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B1D90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3426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4C408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647CB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11BDF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0B5A7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5D71D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2B9AC0">
            <w:pPr>
              <w:spacing w:line="360" w:lineRule="auto"/>
              <w:rPr>
                <w:rFonts w:ascii="宋体" w:hAnsi="宋体" w:cs="宋体"/>
                <w:color w:val="auto"/>
                <w:sz w:val="24"/>
                <w:highlight w:val="none"/>
              </w:rPr>
            </w:pPr>
          </w:p>
        </w:tc>
      </w:tr>
      <w:tr w14:paraId="76DB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8164F6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996C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F3983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E4CAEB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C657A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621B2C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6DD5E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142B8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4E09B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2EB86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CC6BF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41BFF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BA0E9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F5D9E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D4DC7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7880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F9D0FA">
            <w:pPr>
              <w:spacing w:line="360" w:lineRule="auto"/>
              <w:rPr>
                <w:rFonts w:ascii="宋体" w:hAnsi="宋体" w:cs="宋体"/>
                <w:color w:val="auto"/>
                <w:sz w:val="24"/>
                <w:highlight w:val="none"/>
              </w:rPr>
            </w:pPr>
          </w:p>
        </w:tc>
      </w:tr>
      <w:tr w14:paraId="4AA1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9EC0B1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F665B3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C761CD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25CF2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F3BCC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79517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0FD2C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0982F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9E389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55DBC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6BE8C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23E1A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C85C3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DF024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FFE35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7C11C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E5F306">
            <w:pPr>
              <w:spacing w:line="360" w:lineRule="auto"/>
              <w:rPr>
                <w:rFonts w:ascii="宋体" w:hAnsi="宋体" w:cs="宋体"/>
                <w:color w:val="auto"/>
                <w:sz w:val="24"/>
                <w:highlight w:val="none"/>
              </w:rPr>
            </w:pPr>
          </w:p>
        </w:tc>
      </w:tr>
      <w:tr w14:paraId="26E3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AAF2B7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69A2B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2542A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42F34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FC8F1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68BE8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BDF19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2DA2E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70CDE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F6767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1950B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C2B8F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98D16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7696A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69542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479E3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15EA43">
            <w:pPr>
              <w:spacing w:line="360" w:lineRule="auto"/>
              <w:rPr>
                <w:rFonts w:ascii="宋体" w:hAnsi="宋体" w:cs="宋体"/>
                <w:color w:val="auto"/>
                <w:sz w:val="24"/>
                <w:highlight w:val="none"/>
              </w:rPr>
            </w:pPr>
          </w:p>
        </w:tc>
      </w:tr>
    </w:tbl>
    <w:p w14:paraId="6B558AD9">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注：供应商可按上述时间表的格式自行编制切合实际的具体时间表。</w:t>
      </w:r>
    </w:p>
    <w:p w14:paraId="397F17C3">
      <w:pPr>
        <w:spacing w:line="500" w:lineRule="exact"/>
        <w:rPr>
          <w:rFonts w:ascii="宋体" w:hAnsi="宋体" w:cs="宋体"/>
          <w:color w:val="auto"/>
          <w:sz w:val="32"/>
          <w:szCs w:val="32"/>
          <w:highlight w:val="none"/>
        </w:rPr>
      </w:pPr>
    </w:p>
    <w:p w14:paraId="1F47AD0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FA034EA">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D7B19CB">
      <w:pPr>
        <w:spacing w:line="500" w:lineRule="exact"/>
        <w:rPr>
          <w:rFonts w:ascii="宋体" w:hAnsi="宋体" w:cs="宋体"/>
          <w:color w:val="auto"/>
          <w:sz w:val="32"/>
          <w:szCs w:val="32"/>
          <w:highlight w:val="none"/>
        </w:rPr>
      </w:pPr>
    </w:p>
    <w:p w14:paraId="4B2B2D5B">
      <w:pPr>
        <w:snapToGrid w:val="0"/>
        <w:spacing w:before="120"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14:paraId="1EA77E70">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751AEC26">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7742A824">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4"/>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26C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A05F1B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E317BF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3ED8AA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7EBAAE3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400A8B8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39F6B1E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61E6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1694B46">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E94D03A">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938F256">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75B092F">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8F1CB8A">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57F7EA9">
            <w:pPr>
              <w:autoSpaceDE w:val="0"/>
              <w:autoSpaceDN w:val="0"/>
              <w:spacing w:line="360" w:lineRule="auto"/>
              <w:jc w:val="center"/>
              <w:rPr>
                <w:rFonts w:ascii="宋体" w:hAnsi="宋体" w:cs="宋体"/>
                <w:color w:val="auto"/>
                <w:sz w:val="24"/>
                <w:highlight w:val="none"/>
              </w:rPr>
            </w:pPr>
          </w:p>
        </w:tc>
      </w:tr>
      <w:tr w14:paraId="325E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35FC844">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0AE677F">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5468BC4">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5BB7769">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99C115E">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1DEAADC">
            <w:pPr>
              <w:autoSpaceDE w:val="0"/>
              <w:autoSpaceDN w:val="0"/>
              <w:spacing w:line="360" w:lineRule="auto"/>
              <w:jc w:val="center"/>
              <w:rPr>
                <w:rFonts w:ascii="宋体" w:hAnsi="宋体" w:cs="宋体"/>
                <w:color w:val="auto"/>
                <w:sz w:val="24"/>
                <w:highlight w:val="none"/>
              </w:rPr>
            </w:pPr>
          </w:p>
        </w:tc>
      </w:tr>
      <w:tr w14:paraId="3992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D619AA2">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4411347">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DA5FEB4">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638F74E">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4DEF050">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734763C">
            <w:pPr>
              <w:autoSpaceDE w:val="0"/>
              <w:autoSpaceDN w:val="0"/>
              <w:spacing w:line="360" w:lineRule="auto"/>
              <w:jc w:val="center"/>
              <w:rPr>
                <w:rFonts w:ascii="宋体" w:hAnsi="宋体" w:cs="宋体"/>
                <w:color w:val="auto"/>
                <w:sz w:val="24"/>
                <w:highlight w:val="none"/>
              </w:rPr>
            </w:pPr>
          </w:p>
        </w:tc>
      </w:tr>
    </w:tbl>
    <w:p w14:paraId="2FE03291">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14:paraId="0B8F3E8A">
      <w:pPr>
        <w:autoSpaceDE w:val="0"/>
        <w:autoSpaceDN w:val="0"/>
        <w:spacing w:line="360" w:lineRule="auto"/>
        <w:rPr>
          <w:rFonts w:ascii="宋体" w:hAnsi="宋体" w:cs="宋体"/>
          <w:color w:val="auto"/>
          <w:kern w:val="0"/>
          <w:sz w:val="24"/>
          <w:highlight w:val="none"/>
        </w:rPr>
      </w:pPr>
    </w:p>
    <w:p w14:paraId="60603EE2">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58EEBCD1">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964588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77EC07AE">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D30888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652A43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A5EA9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66A8BC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DD27BD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0A4C2B6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FD0609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1AE9D6F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54A382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260327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5245D94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E646212">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623154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368C2D37">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6CA0F75">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3157CA">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520B0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7B86A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77158F0">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13209C">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4AD4C83">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C5FA759">
            <w:pPr>
              <w:autoSpaceDE w:val="0"/>
              <w:autoSpaceDN w:val="0"/>
              <w:spacing w:line="360" w:lineRule="auto"/>
              <w:rPr>
                <w:rFonts w:ascii="宋体" w:hAnsi="宋体" w:cs="宋体"/>
                <w:color w:val="auto"/>
                <w:sz w:val="24"/>
                <w:highlight w:val="none"/>
              </w:rPr>
            </w:pPr>
          </w:p>
        </w:tc>
      </w:tr>
      <w:tr w14:paraId="2197B73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64DC627">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E3DE7D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1C2D9B01">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653E6A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C50E1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4A1B0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05E0783">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955FE7B">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38797DC">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ACD6C8A">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8456B9C">
            <w:pPr>
              <w:autoSpaceDE w:val="0"/>
              <w:autoSpaceDN w:val="0"/>
              <w:spacing w:line="360" w:lineRule="auto"/>
              <w:rPr>
                <w:rFonts w:ascii="宋体" w:hAnsi="宋体" w:cs="宋体"/>
                <w:color w:val="auto"/>
                <w:sz w:val="24"/>
                <w:highlight w:val="none"/>
              </w:rPr>
            </w:pPr>
          </w:p>
        </w:tc>
      </w:tr>
      <w:tr w14:paraId="75698C0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65FC62A">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50FA28D">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89F5ECA">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6C175C3">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A40C57">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FD1ED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57565C">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CBF847">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797266">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26AFD75">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F6875AA">
            <w:pPr>
              <w:autoSpaceDE w:val="0"/>
              <w:autoSpaceDN w:val="0"/>
              <w:spacing w:line="360" w:lineRule="auto"/>
              <w:rPr>
                <w:rFonts w:ascii="宋体" w:hAnsi="宋体" w:cs="宋体"/>
                <w:color w:val="auto"/>
                <w:sz w:val="24"/>
                <w:highlight w:val="none"/>
              </w:rPr>
            </w:pPr>
          </w:p>
        </w:tc>
      </w:tr>
      <w:tr w14:paraId="20A5212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BB57AEF">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27F0914">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8D62C63">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AEBFE6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9157EA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0157B4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106AD5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D5D3E0">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6C55545">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23DAE47">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BABD792">
            <w:pPr>
              <w:autoSpaceDE w:val="0"/>
              <w:autoSpaceDN w:val="0"/>
              <w:spacing w:line="360" w:lineRule="auto"/>
              <w:rPr>
                <w:rFonts w:ascii="宋体" w:hAnsi="宋体" w:cs="宋体"/>
                <w:color w:val="auto"/>
                <w:sz w:val="24"/>
                <w:highlight w:val="none"/>
              </w:rPr>
            </w:pPr>
          </w:p>
        </w:tc>
      </w:tr>
    </w:tbl>
    <w:p w14:paraId="1BF9EE99">
      <w:pPr>
        <w:pStyle w:val="15"/>
        <w:spacing w:line="440" w:lineRule="exact"/>
        <w:ind w:firstLine="396" w:firstLineChars="198"/>
        <w:rPr>
          <w:rFonts w:hAnsi="宋体" w:cs="宋体"/>
          <w:color w:val="auto"/>
          <w:highlight w:val="none"/>
        </w:rPr>
      </w:pPr>
    </w:p>
    <w:p w14:paraId="46794BEC">
      <w:pPr>
        <w:spacing w:line="500" w:lineRule="exact"/>
        <w:rPr>
          <w:rFonts w:ascii="宋体" w:hAnsi="宋体" w:cs="宋体"/>
          <w:color w:val="auto"/>
          <w:sz w:val="32"/>
          <w:szCs w:val="32"/>
          <w:highlight w:val="none"/>
        </w:rPr>
      </w:pPr>
    </w:p>
    <w:p w14:paraId="4480AC8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1C7C584">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35F628D">
      <w:pPr>
        <w:snapToGrid w:val="0"/>
        <w:spacing w:line="360" w:lineRule="auto"/>
        <w:ind w:firstLine="602" w:firstLineChars="200"/>
        <w:rPr>
          <w:rFonts w:ascii="宋体" w:hAnsi="宋体" w:cs="宋体"/>
          <w:b/>
          <w:color w:val="auto"/>
          <w:sz w:val="30"/>
          <w:szCs w:val="30"/>
          <w:highlight w:val="none"/>
        </w:rPr>
      </w:pPr>
    </w:p>
    <w:p w14:paraId="77B02518">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14:paraId="5F571FCA">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14:paraId="647249A6">
      <w:pPr>
        <w:pStyle w:val="15"/>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5C2CC8E9">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14:paraId="354C497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B4690B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A4C332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787614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C416A4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14:paraId="4D7ACD0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A2A4C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EBEA45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7A35D44">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6FDE611">
            <w:pPr>
              <w:autoSpaceDE w:val="0"/>
              <w:autoSpaceDN w:val="0"/>
              <w:spacing w:line="360" w:lineRule="auto"/>
              <w:jc w:val="center"/>
              <w:rPr>
                <w:rFonts w:ascii="宋体" w:hAnsi="宋体" w:cs="宋体"/>
                <w:color w:val="auto"/>
                <w:sz w:val="24"/>
                <w:highlight w:val="none"/>
              </w:rPr>
            </w:pPr>
          </w:p>
        </w:tc>
      </w:tr>
      <w:tr w14:paraId="515E1CD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CB3274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6A11E54">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7C0EA29">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36FA54A">
            <w:pPr>
              <w:widowControl/>
              <w:jc w:val="left"/>
              <w:rPr>
                <w:rFonts w:ascii="宋体" w:hAnsi="宋体" w:cs="宋体"/>
                <w:color w:val="auto"/>
                <w:sz w:val="24"/>
                <w:highlight w:val="none"/>
              </w:rPr>
            </w:pPr>
          </w:p>
        </w:tc>
      </w:tr>
      <w:tr w14:paraId="4D30976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7911F0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9512AE3">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918613">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EF71FFE">
            <w:pPr>
              <w:widowControl/>
              <w:jc w:val="left"/>
              <w:rPr>
                <w:rFonts w:ascii="宋体" w:hAnsi="宋体" w:cs="宋体"/>
                <w:color w:val="auto"/>
                <w:sz w:val="24"/>
                <w:highlight w:val="none"/>
              </w:rPr>
            </w:pPr>
          </w:p>
        </w:tc>
      </w:tr>
      <w:tr w14:paraId="4407110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E7415A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156AB93">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D8E5900">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0B97B06">
            <w:pPr>
              <w:widowControl/>
              <w:jc w:val="left"/>
              <w:rPr>
                <w:rFonts w:ascii="宋体" w:hAnsi="宋体" w:cs="宋体"/>
                <w:color w:val="auto"/>
                <w:sz w:val="24"/>
                <w:highlight w:val="none"/>
              </w:rPr>
            </w:pPr>
          </w:p>
        </w:tc>
      </w:tr>
      <w:tr w14:paraId="40E391FF">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029B85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E14D421">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8BEBAAD">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8E8512">
            <w:pPr>
              <w:widowControl/>
              <w:jc w:val="left"/>
              <w:rPr>
                <w:rFonts w:ascii="宋体" w:hAnsi="宋体" w:cs="宋体"/>
                <w:color w:val="auto"/>
                <w:sz w:val="24"/>
                <w:highlight w:val="none"/>
              </w:rPr>
            </w:pPr>
          </w:p>
        </w:tc>
      </w:tr>
      <w:tr w14:paraId="45D5E63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474747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01618AF">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60C4BB8">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8F11EB4">
            <w:pPr>
              <w:widowControl/>
              <w:jc w:val="left"/>
              <w:rPr>
                <w:rFonts w:ascii="宋体" w:hAnsi="宋体" w:cs="宋体"/>
                <w:color w:val="auto"/>
                <w:sz w:val="24"/>
                <w:highlight w:val="none"/>
              </w:rPr>
            </w:pPr>
          </w:p>
        </w:tc>
      </w:tr>
      <w:tr w14:paraId="450BC62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BAF5AD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528BCBC">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99A0AD3">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07FD587">
            <w:pPr>
              <w:widowControl/>
              <w:jc w:val="left"/>
              <w:rPr>
                <w:rFonts w:ascii="宋体" w:hAnsi="宋体" w:cs="宋体"/>
                <w:color w:val="auto"/>
                <w:sz w:val="24"/>
                <w:highlight w:val="none"/>
              </w:rPr>
            </w:pPr>
          </w:p>
        </w:tc>
      </w:tr>
      <w:tr w14:paraId="07ABD4B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CD5929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D9F6444">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F458A0">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2ACF523">
            <w:pPr>
              <w:widowControl/>
              <w:jc w:val="left"/>
              <w:rPr>
                <w:rFonts w:ascii="宋体" w:hAnsi="宋体" w:cs="宋体"/>
                <w:color w:val="auto"/>
                <w:sz w:val="24"/>
                <w:highlight w:val="none"/>
              </w:rPr>
            </w:pPr>
          </w:p>
        </w:tc>
      </w:tr>
      <w:tr w14:paraId="704AEF5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961035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E3B7A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31EBA83">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62D06F">
            <w:pPr>
              <w:widowControl/>
              <w:jc w:val="left"/>
              <w:rPr>
                <w:rFonts w:ascii="宋体" w:hAnsi="宋体" w:cs="宋体"/>
                <w:color w:val="auto"/>
                <w:sz w:val="24"/>
                <w:highlight w:val="none"/>
              </w:rPr>
            </w:pPr>
          </w:p>
        </w:tc>
      </w:tr>
    </w:tbl>
    <w:p w14:paraId="2B2D6CFE">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注：须随表提交相应的证书复印件并注明所在响应技术文件页码。</w:t>
      </w:r>
    </w:p>
    <w:p w14:paraId="1D0D8D4B">
      <w:pPr>
        <w:autoSpaceDE w:val="0"/>
        <w:autoSpaceDN w:val="0"/>
        <w:spacing w:line="360" w:lineRule="auto"/>
        <w:rPr>
          <w:rFonts w:ascii="宋体" w:hAnsi="宋体" w:cs="宋体"/>
          <w:b/>
          <w:color w:val="auto"/>
          <w:sz w:val="24"/>
          <w:highlight w:val="none"/>
        </w:rPr>
      </w:pPr>
    </w:p>
    <w:p w14:paraId="47F2EB2F">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54E576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453835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8428BB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8A8EC7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973C6F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E22068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042003E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E0B68A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0E820BC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D6BF08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4A72CD3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9E27A8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D1806B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A69565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6065F6A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24B4394">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D81E1E5">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4725358">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23591EF">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A615F6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E1FE30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88961F">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FF2A92F">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4D4C58">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B3CEC3C">
            <w:pPr>
              <w:autoSpaceDE w:val="0"/>
              <w:autoSpaceDN w:val="0"/>
              <w:spacing w:line="360" w:lineRule="auto"/>
              <w:rPr>
                <w:rFonts w:ascii="宋体" w:hAnsi="宋体" w:cs="宋体"/>
                <w:color w:val="auto"/>
                <w:sz w:val="24"/>
                <w:highlight w:val="none"/>
              </w:rPr>
            </w:pPr>
          </w:p>
        </w:tc>
      </w:tr>
      <w:tr w14:paraId="27A9F74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238080D">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C0121C">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888465C">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C53E35E">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CB308C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15CC2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51169D">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21ABFA">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B2422C">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6619C45">
            <w:pPr>
              <w:autoSpaceDE w:val="0"/>
              <w:autoSpaceDN w:val="0"/>
              <w:spacing w:line="360" w:lineRule="auto"/>
              <w:rPr>
                <w:rFonts w:ascii="宋体" w:hAnsi="宋体" w:cs="宋体"/>
                <w:color w:val="auto"/>
                <w:sz w:val="24"/>
                <w:highlight w:val="none"/>
              </w:rPr>
            </w:pPr>
          </w:p>
        </w:tc>
      </w:tr>
    </w:tbl>
    <w:p w14:paraId="023F106F">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注：供应商可按上述的格式自行编制，须随表提交相应的证书复印件并注明所在响应技术文件页码。</w:t>
      </w:r>
    </w:p>
    <w:p w14:paraId="7FC1A37C">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附表C:本项目的项目经理和小组人员2024年10月至2025年4月期间连续 3 个月交纳社保记录情况表</w:t>
      </w:r>
      <w:r>
        <w:rPr>
          <w:rFonts w:hint="eastAsia" w:ascii="宋体" w:hAnsi="宋体" w:cs="宋体"/>
          <w:color w:val="auto"/>
          <w:sz w:val="24"/>
          <w:highlight w:val="none"/>
        </w:rPr>
        <w:t>（以社保局缴纳凭证作附件）</w:t>
      </w:r>
    </w:p>
    <w:p w14:paraId="1EEE2114">
      <w:pPr>
        <w:snapToGrid w:val="0"/>
        <w:spacing w:line="360" w:lineRule="auto"/>
        <w:ind w:firstLine="602" w:firstLineChars="200"/>
        <w:rPr>
          <w:rFonts w:ascii="宋体" w:hAnsi="宋体" w:cs="宋体"/>
          <w:b/>
          <w:color w:val="auto"/>
          <w:sz w:val="30"/>
          <w:szCs w:val="30"/>
          <w:highlight w:val="none"/>
        </w:rPr>
      </w:pPr>
    </w:p>
    <w:p w14:paraId="1F0CE9CD">
      <w:pPr>
        <w:autoSpaceDE w:val="0"/>
        <w:autoSpaceDN w:val="0"/>
        <w:spacing w:line="360" w:lineRule="auto"/>
        <w:ind w:firstLine="6505" w:firstLineChars="2700"/>
        <w:rPr>
          <w:rFonts w:ascii="宋体" w:hAnsi="宋体" w:cs="宋体"/>
          <w:b/>
          <w:bCs/>
          <w:color w:val="auto"/>
          <w:sz w:val="24"/>
          <w:highlight w:val="none"/>
        </w:rPr>
      </w:pPr>
    </w:p>
    <w:p w14:paraId="6BE6219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C43DC1D">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C7ED27C">
      <w:pPr>
        <w:autoSpaceDE w:val="0"/>
        <w:autoSpaceDN w:val="0"/>
        <w:spacing w:line="360" w:lineRule="auto"/>
        <w:ind w:firstLine="6480" w:firstLineChars="2700"/>
        <w:rPr>
          <w:rFonts w:ascii="宋体" w:hAnsi="宋体" w:cs="宋体"/>
          <w:color w:val="auto"/>
          <w:kern w:val="0"/>
          <w:sz w:val="24"/>
          <w:highlight w:val="none"/>
          <w:lang w:val="zh-CN"/>
        </w:rPr>
      </w:pPr>
    </w:p>
    <w:p w14:paraId="6120959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14:paraId="7C66C008">
      <w:pPr>
        <w:autoSpaceDE w:val="0"/>
        <w:autoSpaceDN w:val="0"/>
        <w:spacing w:line="360" w:lineRule="auto"/>
        <w:ind w:left="4335" w:leftChars="1950" w:hanging="240" w:hangingChars="100"/>
        <w:rPr>
          <w:rFonts w:ascii="宋体" w:hAnsi="宋体" w:cs="宋体"/>
          <w:color w:val="auto"/>
          <w:kern w:val="0"/>
          <w:sz w:val="24"/>
          <w:highlight w:val="none"/>
        </w:rPr>
      </w:pPr>
    </w:p>
    <w:p w14:paraId="0AE750B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11B1BD4">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18716C9">
      <w:pPr>
        <w:widowControl/>
        <w:spacing w:line="360" w:lineRule="auto"/>
        <w:jc w:val="left"/>
        <w:rPr>
          <w:rFonts w:ascii="宋体" w:hAnsi="宋体" w:cs="宋体"/>
          <w:b/>
          <w:bCs/>
          <w:color w:val="auto"/>
          <w:sz w:val="24"/>
          <w:highlight w:val="none"/>
        </w:rPr>
        <w:sectPr>
          <w:pgSz w:w="11910" w:h="16840"/>
          <w:pgMar w:top="1440" w:right="1080" w:bottom="1440" w:left="1080" w:header="720" w:footer="720" w:gutter="0"/>
          <w:pgNumType w:fmt="decimal"/>
          <w:cols w:space="720" w:num="1"/>
        </w:sectPr>
      </w:pPr>
    </w:p>
    <w:p w14:paraId="7DE4EC08">
      <w:pPr>
        <w:autoSpaceDE w:val="0"/>
        <w:autoSpaceDN w:val="0"/>
        <w:spacing w:line="360" w:lineRule="auto"/>
        <w:ind w:firstLine="6505" w:firstLineChars="2700"/>
        <w:rPr>
          <w:rFonts w:ascii="宋体" w:hAnsi="宋体" w:cs="宋体"/>
          <w:b/>
          <w:bCs/>
          <w:color w:val="auto"/>
          <w:sz w:val="24"/>
          <w:highlight w:val="none"/>
        </w:rPr>
      </w:pPr>
    </w:p>
    <w:p w14:paraId="04AC8528">
      <w:pPr>
        <w:pStyle w:val="3"/>
        <w:jc w:val="center"/>
        <w:rPr>
          <w:rFonts w:ascii="宋体" w:hAnsi="宋体" w:cs="宋体"/>
          <w:color w:val="auto"/>
          <w:highlight w:val="none"/>
        </w:rPr>
      </w:pPr>
      <w:bookmarkStart w:id="92" w:name="_Toc80205941"/>
      <w:bookmarkStart w:id="93" w:name="_Toc32512"/>
      <w:r>
        <w:rPr>
          <w:rFonts w:hint="eastAsia" w:ascii="宋体" w:hAnsi="宋体" w:cs="宋体"/>
          <w:color w:val="auto"/>
          <w:highlight w:val="none"/>
        </w:rPr>
        <w:t>第四节 报价文件格式</w:t>
      </w:r>
      <w:bookmarkEnd w:id="92"/>
      <w:bookmarkEnd w:id="93"/>
    </w:p>
    <w:p w14:paraId="1E79D6E3">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8AA6FEB">
      <w:pPr>
        <w:snapToGrid w:val="0"/>
        <w:spacing w:before="120" w:beforeLines="50" w:after="50"/>
        <w:rPr>
          <w:rFonts w:ascii="宋体" w:hAnsi="宋体" w:cs="宋体"/>
          <w:color w:val="auto"/>
          <w:sz w:val="24"/>
          <w:szCs w:val="20"/>
          <w:highlight w:val="none"/>
        </w:rPr>
      </w:pPr>
    </w:p>
    <w:p w14:paraId="438945EE">
      <w:pPr>
        <w:snapToGrid w:val="0"/>
        <w:spacing w:before="120" w:beforeLines="50" w:after="50"/>
        <w:rPr>
          <w:rFonts w:ascii="宋体" w:hAnsi="宋体" w:cs="宋体"/>
          <w:color w:val="auto"/>
          <w:sz w:val="24"/>
          <w:szCs w:val="20"/>
          <w:highlight w:val="none"/>
        </w:rPr>
      </w:pPr>
    </w:p>
    <w:p w14:paraId="305BE918">
      <w:pPr>
        <w:snapToGrid w:val="0"/>
        <w:spacing w:before="120" w:beforeLines="50" w:after="50"/>
        <w:rPr>
          <w:rFonts w:ascii="宋体" w:hAnsi="宋体" w:cs="宋体"/>
          <w:color w:val="auto"/>
          <w:sz w:val="24"/>
          <w:szCs w:val="20"/>
          <w:highlight w:val="none"/>
        </w:rPr>
      </w:pPr>
    </w:p>
    <w:p w14:paraId="7D9F2898">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462225F4">
      <w:pPr>
        <w:snapToGrid w:val="0"/>
        <w:spacing w:before="120" w:beforeLines="50" w:after="50"/>
        <w:rPr>
          <w:rFonts w:ascii="宋体" w:hAnsi="宋体" w:cs="宋体"/>
          <w:bCs/>
          <w:color w:val="auto"/>
          <w:sz w:val="24"/>
          <w:szCs w:val="20"/>
          <w:highlight w:val="none"/>
        </w:rPr>
      </w:pPr>
    </w:p>
    <w:p w14:paraId="66A72684">
      <w:pPr>
        <w:snapToGrid w:val="0"/>
        <w:spacing w:before="120" w:beforeLines="50" w:after="50"/>
        <w:rPr>
          <w:rFonts w:ascii="宋体" w:hAnsi="宋体" w:cs="宋体"/>
          <w:bCs/>
          <w:color w:val="auto"/>
          <w:sz w:val="24"/>
          <w:szCs w:val="20"/>
          <w:highlight w:val="none"/>
        </w:rPr>
      </w:pPr>
    </w:p>
    <w:p w14:paraId="0AEC8DE2">
      <w:pPr>
        <w:snapToGrid w:val="0"/>
        <w:spacing w:before="120" w:beforeLines="50" w:after="50"/>
        <w:rPr>
          <w:rFonts w:ascii="宋体" w:hAnsi="宋体" w:cs="宋体"/>
          <w:bCs/>
          <w:color w:val="auto"/>
          <w:sz w:val="24"/>
          <w:szCs w:val="20"/>
          <w:highlight w:val="none"/>
        </w:rPr>
      </w:pPr>
    </w:p>
    <w:p w14:paraId="6A388698">
      <w:pPr>
        <w:snapToGrid w:val="0"/>
        <w:spacing w:before="120" w:beforeLines="50" w:after="50"/>
        <w:rPr>
          <w:rFonts w:ascii="宋体" w:hAnsi="宋体" w:cs="宋体"/>
          <w:bCs/>
          <w:color w:val="auto"/>
          <w:sz w:val="24"/>
          <w:szCs w:val="20"/>
          <w:highlight w:val="none"/>
        </w:rPr>
      </w:pPr>
    </w:p>
    <w:p w14:paraId="76B47F9C">
      <w:pPr>
        <w:snapToGrid w:val="0"/>
        <w:spacing w:before="120" w:beforeLines="50" w:after="50"/>
        <w:rPr>
          <w:rFonts w:ascii="宋体" w:hAnsi="宋体" w:cs="宋体"/>
          <w:bCs/>
          <w:color w:val="auto"/>
          <w:sz w:val="24"/>
          <w:szCs w:val="20"/>
          <w:highlight w:val="none"/>
        </w:rPr>
      </w:pPr>
    </w:p>
    <w:p w14:paraId="28AC724B">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4" w:name="PO_3000001868_PM002_9"/>
      <w:r>
        <w:rPr>
          <w:rFonts w:hint="eastAsia" w:ascii="宋体" w:hAnsi="宋体" w:cs="宋体"/>
          <w:bCs/>
          <w:color w:val="auto"/>
          <w:sz w:val="32"/>
          <w:szCs w:val="32"/>
          <w:highlight w:val="none"/>
        </w:rPr>
        <w:t>[项目名称]</w:t>
      </w:r>
      <w:bookmarkEnd w:id="94"/>
    </w:p>
    <w:p w14:paraId="32BFC6EB">
      <w:pPr>
        <w:snapToGrid w:val="0"/>
        <w:spacing w:before="120" w:beforeLines="50" w:after="50"/>
        <w:ind w:firstLine="720" w:firstLineChars="225"/>
        <w:rPr>
          <w:rFonts w:ascii="宋体" w:hAnsi="宋体" w:cs="宋体"/>
          <w:bCs/>
          <w:color w:val="auto"/>
          <w:sz w:val="32"/>
          <w:szCs w:val="32"/>
          <w:highlight w:val="none"/>
        </w:rPr>
      </w:pPr>
    </w:p>
    <w:p w14:paraId="6C964DC6">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5" w:name="PO_3000001868_PM001_9"/>
      <w:r>
        <w:rPr>
          <w:rFonts w:hint="eastAsia" w:ascii="宋体" w:hAnsi="宋体" w:cs="宋体"/>
          <w:bCs/>
          <w:color w:val="auto"/>
          <w:sz w:val="32"/>
          <w:szCs w:val="32"/>
          <w:highlight w:val="none"/>
        </w:rPr>
        <w:t>[项目编号]</w:t>
      </w:r>
      <w:bookmarkEnd w:id="95"/>
    </w:p>
    <w:p w14:paraId="6D33502F">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E3F6B2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24938E9">
      <w:pPr>
        <w:snapToGrid w:val="0"/>
        <w:spacing w:before="120" w:beforeLines="50" w:after="50"/>
        <w:ind w:firstLine="720" w:firstLineChars="225"/>
        <w:rPr>
          <w:rFonts w:ascii="宋体" w:hAnsi="宋体" w:cs="宋体"/>
          <w:bCs/>
          <w:color w:val="auto"/>
          <w:sz w:val="32"/>
          <w:szCs w:val="32"/>
          <w:highlight w:val="none"/>
        </w:rPr>
      </w:pPr>
    </w:p>
    <w:p w14:paraId="37CBFBB9">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CFBCC8D">
      <w:pPr>
        <w:pStyle w:val="8"/>
        <w:snapToGrid w:val="0"/>
        <w:spacing w:before="50" w:after="50"/>
        <w:ind w:firstLine="720" w:firstLineChars="225"/>
        <w:rPr>
          <w:rFonts w:ascii="宋体" w:hAnsi="宋体" w:cs="宋体"/>
          <w:bCs/>
          <w:color w:val="auto"/>
          <w:sz w:val="32"/>
          <w:szCs w:val="32"/>
          <w:highlight w:val="none"/>
        </w:rPr>
      </w:pPr>
    </w:p>
    <w:p w14:paraId="2A4FAA51">
      <w:pPr>
        <w:pStyle w:val="8"/>
        <w:snapToGrid w:val="0"/>
        <w:spacing w:before="50" w:after="50"/>
        <w:ind w:firstLine="720" w:firstLineChars="225"/>
        <w:rPr>
          <w:rFonts w:ascii="宋体" w:hAnsi="宋体" w:cs="宋体"/>
          <w:bCs/>
          <w:color w:val="auto"/>
          <w:sz w:val="32"/>
          <w:szCs w:val="32"/>
          <w:highlight w:val="none"/>
        </w:rPr>
      </w:pPr>
    </w:p>
    <w:p w14:paraId="59C7C958">
      <w:pPr>
        <w:pStyle w:val="8"/>
        <w:snapToGrid w:val="0"/>
        <w:spacing w:before="50" w:after="50"/>
        <w:ind w:firstLine="1280" w:firstLineChars="400"/>
        <w:rPr>
          <w:rFonts w:ascii="宋体" w:hAnsi="宋体" w:cs="宋体"/>
          <w:bCs/>
          <w:color w:val="auto"/>
          <w:sz w:val="32"/>
          <w:szCs w:val="32"/>
          <w:highlight w:val="none"/>
        </w:rPr>
      </w:pPr>
    </w:p>
    <w:p w14:paraId="5F7D3DEC">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95A47D3">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10F55A8A">
      <w:pPr>
        <w:rPr>
          <w:rFonts w:ascii="宋体" w:hAnsi="宋体" w:cs="宋体"/>
          <w:color w:val="auto"/>
          <w:highlight w:val="none"/>
        </w:rPr>
      </w:pPr>
    </w:p>
    <w:p w14:paraId="46A62FE8">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3D7157EA">
      <w:pPr>
        <w:rPr>
          <w:rFonts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3754210F">
      <w:pPr>
        <w:rPr>
          <w:rFonts w:ascii="宋体" w:hAnsi="宋体" w:cs="宋体"/>
          <w:color w:val="auto"/>
          <w:kern w:val="0"/>
          <w:sz w:val="24"/>
          <w:highlight w:val="none"/>
        </w:rPr>
      </w:pPr>
      <w:r>
        <w:rPr>
          <w:rFonts w:hint="eastAsia" w:ascii="宋体" w:hAnsi="宋体" w:cs="宋体"/>
          <w:color w:val="auto"/>
          <w:kern w:val="0"/>
          <w:sz w:val="24"/>
          <w:highlight w:val="none"/>
        </w:rPr>
        <w:t>三、已标价工程量清单…………………………………………………（页码）</w:t>
      </w:r>
    </w:p>
    <w:p w14:paraId="574CEE11">
      <w:pPr>
        <w:snapToGrid w:val="0"/>
        <w:spacing w:before="120" w:beforeLines="50" w:after="50" w:line="360" w:lineRule="auto"/>
        <w:ind w:left="142" w:firstLine="640" w:firstLineChars="200"/>
        <w:jc w:val="left"/>
        <w:rPr>
          <w:rFonts w:ascii="宋体" w:hAnsi="宋体" w:cs="宋体"/>
          <w:color w:val="auto"/>
          <w:sz w:val="32"/>
          <w:szCs w:val="32"/>
          <w:highlight w:val="none"/>
        </w:rPr>
      </w:pPr>
    </w:p>
    <w:p w14:paraId="6EA9B3E7">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0368FB30">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2F675EE6">
      <w:pPr>
        <w:pStyle w:val="15"/>
        <w:spacing w:line="360" w:lineRule="auto"/>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bookmarkStart w:id="96" w:name="PO_3000001868_PM031_4"/>
      <w:r>
        <w:rPr>
          <w:rFonts w:hint="eastAsia" w:hAnsi="宋体" w:cs="宋体"/>
          <w:color w:val="auto"/>
          <w:sz w:val="24"/>
          <w:szCs w:val="24"/>
          <w:highlight w:val="none"/>
          <w:u w:val="single"/>
        </w:rPr>
        <w:t>[采购组织机构]</w:t>
      </w:r>
      <w:bookmarkEnd w:id="96"/>
      <w:r>
        <w:rPr>
          <w:rFonts w:hint="eastAsia" w:hAnsi="宋体" w:cs="宋体"/>
          <w:color w:val="auto"/>
          <w:sz w:val="24"/>
          <w:szCs w:val="24"/>
          <w:highlight w:val="none"/>
          <w:u w:val="single"/>
        </w:rPr>
        <w:t xml:space="preserve"> </w:t>
      </w:r>
    </w:p>
    <w:p w14:paraId="7F741CB4">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我方已仔细阅读了贵方组织的</w:t>
      </w:r>
      <w:r>
        <w:rPr>
          <w:rFonts w:hint="eastAsia" w:hAnsi="宋体" w:cs="宋体"/>
          <w:color w:val="auto"/>
          <w:sz w:val="24"/>
          <w:szCs w:val="24"/>
          <w:highlight w:val="none"/>
          <w:u w:val="single"/>
        </w:rPr>
        <w:t xml:space="preserve"> </w:t>
      </w:r>
      <w:bookmarkStart w:id="97" w:name="PO_3000001868_PM002_10"/>
      <w:r>
        <w:rPr>
          <w:rFonts w:hint="eastAsia" w:hAnsi="宋体" w:cs="宋体"/>
          <w:color w:val="auto"/>
          <w:sz w:val="24"/>
          <w:szCs w:val="24"/>
          <w:highlight w:val="none"/>
          <w:u w:val="single"/>
        </w:rPr>
        <w:t>[项目名称]</w:t>
      </w:r>
      <w:bookmarkEnd w:id="97"/>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bookmarkStart w:id="98" w:name="PO_3000001868_PM001_10"/>
      <w:r>
        <w:rPr>
          <w:rFonts w:hint="eastAsia" w:hAnsi="宋体" w:cs="宋体"/>
          <w:color w:val="auto"/>
          <w:sz w:val="24"/>
          <w:szCs w:val="24"/>
          <w:highlight w:val="none"/>
          <w:u w:val="single"/>
        </w:rPr>
        <w:t>[项目编号]</w:t>
      </w:r>
      <w:bookmarkEnd w:id="98"/>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）的竞争性磋商采购文件的全部内容，现正式递交下述文件参加贵方组织的本次政府采购活动： </w:t>
      </w:r>
    </w:p>
    <w:p w14:paraId="22A7013C">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一、首次报价文件电子版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份（包含按“第三章 供应商须知”提交的全部文件）；</w:t>
      </w:r>
    </w:p>
    <w:p w14:paraId="6EB1A5DC">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二、技术文件电子版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份（包含按“第三章 供应商须知”提交的全部文件）；商务文件电子版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份（包含按“第三章 供应商须知”提交的全部文件）；（商务技术文件已合并装订成册）；</w:t>
      </w:r>
    </w:p>
    <w:p w14:paraId="25F06F3F">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三、资格证明文件电子版（包含按“第三章供应商须知”提交的全部文件）；</w:t>
      </w:r>
    </w:p>
    <w:p w14:paraId="304A5E4A">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据此函，签字人兹宣布：</w:t>
      </w:r>
    </w:p>
    <w:p w14:paraId="4473E173">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1、我方愿意以（大写）</w:t>
      </w:r>
      <w:r>
        <w:rPr>
          <w:rFonts w:hint="eastAsia" w:hAnsi="宋体" w:cs="宋体"/>
          <w:color w:val="auto"/>
          <w:sz w:val="24"/>
          <w:szCs w:val="24"/>
          <w:highlight w:val="none"/>
          <w:u w:val="single"/>
        </w:rPr>
        <w:t xml:space="preserve"> 人民币             （￥      ）</w:t>
      </w:r>
      <w:r>
        <w:rPr>
          <w:rFonts w:hint="eastAsia" w:hAnsi="宋体" w:cs="宋体"/>
          <w:color w:val="auto"/>
          <w:sz w:val="24"/>
          <w:szCs w:val="24"/>
          <w:highlight w:val="none"/>
        </w:rPr>
        <w:t>的竞标总报价，工期（无分标时填写）：</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，提供本项目竞争性磋商采购文件第二章“服务需求一览表”中相应的采购内容。</w:t>
      </w:r>
    </w:p>
    <w:p w14:paraId="31BBEF3D">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其中（有分标时填写）：</w:t>
      </w:r>
    </w:p>
    <w:p w14:paraId="7E97D150">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元)，服务时间：</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0456BAB5">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元)，服务时间：</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11CA749E">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w:t>
      </w:r>
    </w:p>
    <w:p w14:paraId="2D1F5B9D">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4BC9D84E">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3、我方在此声明，所递交的响应文件及有关资料内容完整、真实和准确。</w:t>
      </w:r>
    </w:p>
    <w:p w14:paraId="43228370">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4、如本项目采购内容涉及须符合国家强制规定的，我方承诺我方本次竞标均符合国家有关强制规定。</w:t>
      </w:r>
    </w:p>
    <w:p w14:paraId="29B2382D">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9CF6F44">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6、我方已详细审核竞争性磋商采购文件，我方知道必须放弃提出含糊不清或误解问题的权利。</w:t>
      </w:r>
    </w:p>
    <w:p w14:paraId="35B1A32A">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7、我方承诺满足竞争性磋商采购文件第六章“合同文本”的条款，承担完成合同的责任和义务。</w:t>
      </w:r>
    </w:p>
    <w:p w14:paraId="0FF59AA8">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8、我方同意应贵方要求提供与本竞标有关的任何数据或资料。若贵方需要，我方愿意提供我方作出的一切承诺的证明材料。</w:t>
      </w:r>
    </w:p>
    <w:p w14:paraId="48F06EDE">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9、我方完全理解贵方不一定接受响应报价最低的竞标人为成交供应商的行为。</w:t>
      </w:r>
    </w:p>
    <w:p w14:paraId="7E127373">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F2FC20">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提供虚假材料谋取中标、成交的；</w:t>
      </w:r>
    </w:p>
    <w:p w14:paraId="75DC019B">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采取不正当手段诋毁、排挤其他供应商的；</w:t>
      </w:r>
    </w:p>
    <w:p w14:paraId="2666AC88">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与采购人、其他供应商或者采购代理机构恶意串通的；</w:t>
      </w:r>
    </w:p>
    <w:p w14:paraId="764F1446">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向采购人、采购代理机构行贿或者提供其他不正当利益的；</w:t>
      </w:r>
    </w:p>
    <w:p w14:paraId="60A02D19">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在采购过程中与采购人进行协商谈判的；</w:t>
      </w:r>
    </w:p>
    <w:p w14:paraId="02AAD8BB">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拒绝有关部门监督检查或提供虚假情况的。</w:t>
      </w:r>
    </w:p>
    <w:p w14:paraId="37CEBDCA">
      <w:pPr>
        <w:pStyle w:val="15"/>
        <w:spacing w:line="360" w:lineRule="auto"/>
        <w:ind w:firstLine="420"/>
        <w:rPr>
          <w:rFonts w:hAnsi="宋体" w:cs="宋体"/>
          <w:color w:val="auto"/>
          <w:sz w:val="24"/>
          <w:szCs w:val="24"/>
          <w:highlight w:val="none"/>
        </w:rPr>
      </w:pPr>
      <w:r>
        <w:rPr>
          <w:rFonts w:hint="eastAsia" w:hAnsi="宋体" w:cs="宋体"/>
          <w:color w:val="auto"/>
          <w:sz w:val="24"/>
          <w:szCs w:val="24"/>
          <w:highlight w:val="none"/>
        </w:rPr>
        <w:t>11.与本磋商有关的一切正式往来信函请寄：</w:t>
      </w:r>
      <w:r>
        <w:rPr>
          <w:rFonts w:hint="eastAsia" w:hAnsi="宋体" w:cs="宋体"/>
          <w:color w:val="auto"/>
          <w:sz w:val="24"/>
          <w:szCs w:val="24"/>
          <w:highlight w:val="none"/>
          <w:u w:val="single"/>
        </w:rPr>
        <w:t xml:space="preserve"> </w:t>
      </w:r>
    </w:p>
    <w:p w14:paraId="0821B366">
      <w:pPr>
        <w:pStyle w:val="15"/>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8876170">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31595D65">
      <w:pPr>
        <w:pStyle w:val="15"/>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4AF3A69F">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28F4DDAD">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1F9D2D9F">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72BC230D">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68188E20">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78FBEC41">
      <w:pPr>
        <w:spacing w:line="360" w:lineRule="auto"/>
        <w:jc w:val="left"/>
        <w:rPr>
          <w:rFonts w:ascii="宋体" w:hAnsi="宋体" w:cs="宋体"/>
          <w:color w:val="auto"/>
          <w:sz w:val="24"/>
          <w:highlight w:val="none"/>
        </w:rPr>
      </w:pPr>
    </w:p>
    <w:p w14:paraId="6DEB012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8E79ACB">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12DE8C">
      <w:pPr>
        <w:widowControl/>
        <w:spacing w:line="360" w:lineRule="auto"/>
        <w:jc w:val="left"/>
        <w:rPr>
          <w:rFonts w:ascii="宋体" w:hAnsi="宋体" w:cs="宋体"/>
          <w:color w:val="auto"/>
          <w:kern w:val="0"/>
          <w:sz w:val="24"/>
          <w:highlight w:val="none"/>
          <w:lang w:val="zh-CN"/>
        </w:rPr>
        <w:sectPr>
          <w:pgSz w:w="11910" w:h="16840"/>
          <w:pgMar w:top="1440" w:right="1080" w:bottom="1440" w:left="1080" w:header="720" w:footer="720" w:gutter="0"/>
          <w:pgNumType w:fmt="decimal"/>
          <w:cols w:space="720" w:num="1"/>
        </w:sectPr>
      </w:pPr>
    </w:p>
    <w:p w14:paraId="3A290F4E">
      <w:pPr>
        <w:autoSpaceDE w:val="0"/>
        <w:autoSpaceDN w:val="0"/>
        <w:spacing w:line="360" w:lineRule="auto"/>
        <w:ind w:firstLine="6480" w:firstLineChars="2700"/>
        <w:rPr>
          <w:rFonts w:ascii="宋体" w:hAnsi="宋体" w:cs="宋体"/>
          <w:color w:val="auto"/>
          <w:kern w:val="0"/>
          <w:sz w:val="24"/>
          <w:highlight w:val="none"/>
          <w:lang w:val="zh-CN"/>
        </w:rPr>
      </w:pPr>
    </w:p>
    <w:p w14:paraId="2EEA88BE">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5364729C">
      <w:pPr>
        <w:snapToGrid w:val="0"/>
        <w:spacing w:before="50" w:after="50" w:line="360" w:lineRule="auto"/>
        <w:rPr>
          <w:rFonts w:ascii="宋体" w:hAnsi="宋体" w:cs="宋体"/>
          <w:color w:val="auto"/>
          <w:sz w:val="24"/>
          <w:highlight w:val="none"/>
        </w:rPr>
      </w:pPr>
    </w:p>
    <w:p w14:paraId="75CD3AA9">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99" w:name="PO_3000001868_PM002_11"/>
      <w:r>
        <w:rPr>
          <w:rFonts w:hint="eastAsia" w:ascii="宋体" w:hAnsi="宋体" w:cs="宋体"/>
          <w:color w:val="auto"/>
          <w:sz w:val="24"/>
          <w:highlight w:val="none"/>
          <w:u w:val="single"/>
        </w:rPr>
        <w:t>[项目名称]</w:t>
      </w:r>
      <w:bookmarkEnd w:id="9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00" w:name="PO_3000001868_PM001_11"/>
      <w:r>
        <w:rPr>
          <w:rFonts w:hint="eastAsia" w:ascii="宋体" w:hAnsi="宋体" w:cs="宋体"/>
          <w:color w:val="auto"/>
          <w:sz w:val="24"/>
          <w:highlight w:val="none"/>
          <w:u w:val="single"/>
        </w:rPr>
        <w:t>[项目编号]</w:t>
      </w:r>
      <w:bookmarkEnd w:id="10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31450FC">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7BE2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5523A96">
            <w:pPr>
              <w:rPr>
                <w:rFonts w:ascii="宋体" w:hAnsi="宋体" w:cs="宋体"/>
                <w:color w:val="auto"/>
                <w:sz w:val="24"/>
                <w:highlight w:val="none"/>
              </w:rPr>
            </w:pPr>
            <w:r>
              <w:rPr>
                <w:rFonts w:hint="eastAsia" w:ascii="宋体" w:hAnsi="宋体" w:cs="宋体"/>
                <w:color w:val="auto"/>
                <w:sz w:val="24"/>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536F0948">
            <w:pPr>
              <w:rPr>
                <w:rFonts w:ascii="宋体" w:hAnsi="宋体" w:cs="宋体"/>
                <w:color w:val="auto"/>
                <w:sz w:val="24"/>
                <w:highlight w:val="none"/>
              </w:rPr>
            </w:pPr>
            <w:r>
              <w:rPr>
                <w:rFonts w:hint="eastAsia" w:ascii="宋体" w:hAnsi="宋体" w:cs="宋体"/>
                <w:color w:val="auto"/>
                <w:sz w:val="24"/>
                <w:highlight w:val="none"/>
              </w:rPr>
              <w:t>工程名称</w:t>
            </w:r>
          </w:p>
        </w:tc>
        <w:tc>
          <w:tcPr>
            <w:tcW w:w="2063" w:type="dxa"/>
            <w:tcBorders>
              <w:top w:val="single" w:color="auto" w:sz="4" w:space="0"/>
              <w:left w:val="single" w:color="auto" w:sz="4" w:space="0"/>
              <w:bottom w:val="single" w:color="auto" w:sz="4" w:space="0"/>
              <w:right w:val="single" w:color="auto" w:sz="4" w:space="0"/>
            </w:tcBorders>
            <w:vAlign w:val="center"/>
          </w:tcPr>
          <w:p w14:paraId="2ED1D535">
            <w:pPr>
              <w:jc w:val="center"/>
              <w:rPr>
                <w:rFonts w:ascii="宋体" w:hAnsi="宋体" w:cs="宋体"/>
                <w:color w:val="auto"/>
                <w:sz w:val="24"/>
                <w:highlight w:val="none"/>
              </w:rPr>
            </w:pPr>
            <w:r>
              <w:rPr>
                <w:rFonts w:hint="eastAsia" w:ascii="宋体" w:hAnsi="宋体" w:cs="宋体"/>
                <w:color w:val="auto"/>
                <w:sz w:val="24"/>
                <w:highlight w:val="none"/>
              </w:rPr>
              <w:t>工程内容</w:t>
            </w:r>
          </w:p>
        </w:tc>
        <w:tc>
          <w:tcPr>
            <w:tcW w:w="1080" w:type="dxa"/>
            <w:tcBorders>
              <w:top w:val="single" w:color="auto" w:sz="4" w:space="0"/>
              <w:left w:val="single" w:color="auto" w:sz="4" w:space="0"/>
              <w:bottom w:val="single" w:color="auto" w:sz="4" w:space="0"/>
              <w:right w:val="single" w:color="auto" w:sz="4" w:space="0"/>
            </w:tcBorders>
            <w:vAlign w:val="center"/>
          </w:tcPr>
          <w:p w14:paraId="7B01B243">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55706539">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149C08B6">
            <w:pPr>
              <w:jc w:val="center"/>
              <w:rPr>
                <w:rFonts w:ascii="宋体" w:hAnsi="宋体" w:cs="宋体"/>
                <w:color w:val="auto"/>
                <w:sz w:val="24"/>
                <w:highlight w:val="none"/>
              </w:rPr>
            </w:pPr>
            <w:r>
              <w:rPr>
                <w:rFonts w:hint="eastAsia" w:ascii="宋体" w:hAnsi="宋体" w:cs="宋体"/>
                <w:color w:val="auto"/>
                <w:sz w:val="24"/>
                <w:highlight w:val="none"/>
              </w:rPr>
              <w:t>磋商总报价（元）</w:t>
            </w:r>
          </w:p>
        </w:tc>
        <w:tc>
          <w:tcPr>
            <w:tcW w:w="1154" w:type="dxa"/>
            <w:tcBorders>
              <w:top w:val="single" w:color="auto" w:sz="4" w:space="0"/>
              <w:left w:val="single" w:color="auto" w:sz="4" w:space="0"/>
              <w:bottom w:val="single" w:color="auto" w:sz="4" w:space="0"/>
              <w:right w:val="single" w:color="auto" w:sz="4" w:space="0"/>
            </w:tcBorders>
            <w:vAlign w:val="center"/>
          </w:tcPr>
          <w:p w14:paraId="1A87C3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62B0008D">
            <w:pPr>
              <w:rPr>
                <w:rFonts w:ascii="宋体" w:hAnsi="宋体" w:cs="宋体"/>
                <w:color w:val="auto"/>
                <w:sz w:val="24"/>
                <w:highlight w:val="none"/>
              </w:rPr>
            </w:pPr>
            <w:r>
              <w:rPr>
                <w:rFonts w:hint="eastAsia" w:ascii="宋体" w:hAnsi="宋体" w:cs="宋体"/>
                <w:color w:val="auto"/>
                <w:sz w:val="24"/>
                <w:highlight w:val="none"/>
              </w:rPr>
              <w:t>备注</w:t>
            </w:r>
          </w:p>
        </w:tc>
      </w:tr>
      <w:tr w14:paraId="6C4E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BB393D5">
            <w:pPr>
              <w:rPr>
                <w:rFonts w:ascii="宋体" w:hAnsi="宋体" w:cs="宋体"/>
                <w:color w:val="auto"/>
                <w:sz w:val="24"/>
                <w:highlight w:val="none"/>
              </w:rPr>
            </w:pPr>
            <w:r>
              <w:rPr>
                <w:rFonts w:hint="eastAsia" w:ascii="宋体" w:hAnsi="宋体" w:cs="宋体"/>
                <w:color w:val="auto"/>
                <w:sz w:val="24"/>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11C6C873">
            <w:pPr>
              <w:rPr>
                <w:rFonts w:ascii="宋体" w:hAnsi="宋体" w:cs="宋体"/>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42CE8575">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01181EB">
            <w:pPr>
              <w:rPr>
                <w:rFonts w:ascii="宋体" w:hAnsi="宋体" w:cs="宋体"/>
                <w:color w:val="auto"/>
                <w:sz w:val="24"/>
                <w:highlight w:val="none"/>
              </w:rPr>
            </w:pPr>
            <w:r>
              <w:rPr>
                <w:rFonts w:hint="eastAsia" w:ascii="宋体" w:hAnsi="宋体" w:cs="宋体"/>
                <w:color w:val="auto"/>
                <w:sz w:val="24"/>
                <w:highlight w:val="none"/>
              </w:rPr>
              <w:t>详见已标价的工程量清单</w:t>
            </w:r>
            <w:r>
              <w:rPr>
                <w:rFonts w:ascii="宋体" w:hAnsi="宋体" w:cs="宋体"/>
                <w:color w:val="auto"/>
                <w:sz w:val="24"/>
                <w:highlight w:val="none"/>
              </w:rPr>
              <w:t xml:space="preserve">  </w:t>
            </w:r>
          </w:p>
        </w:tc>
        <w:tc>
          <w:tcPr>
            <w:tcW w:w="1289" w:type="dxa"/>
            <w:tcBorders>
              <w:top w:val="single" w:color="auto" w:sz="4" w:space="0"/>
              <w:left w:val="single" w:color="auto" w:sz="4" w:space="0"/>
              <w:bottom w:val="single" w:color="auto" w:sz="4" w:space="0"/>
              <w:right w:val="single" w:color="auto" w:sz="4" w:space="0"/>
            </w:tcBorders>
            <w:vAlign w:val="center"/>
          </w:tcPr>
          <w:p w14:paraId="2A7DC8E4">
            <w:pPr>
              <w:rPr>
                <w:rFonts w:ascii="宋体" w:hAnsi="宋体" w:cs="宋体"/>
                <w:color w:val="auto"/>
                <w:sz w:val="24"/>
                <w:highlight w:val="none"/>
              </w:rPr>
            </w:pPr>
            <w:r>
              <w:rPr>
                <w:rFonts w:hint="eastAsia" w:ascii="宋体" w:hAnsi="宋体" w:cs="宋体"/>
                <w:color w:val="auto"/>
                <w:sz w:val="24"/>
                <w:highlight w:val="none"/>
              </w:rPr>
              <w:t>详见已标价的工程量清单</w:t>
            </w:r>
            <w:r>
              <w:rPr>
                <w:rFonts w:ascii="宋体" w:hAnsi="宋体" w:cs="宋体"/>
                <w:color w:val="auto"/>
                <w:sz w:val="24"/>
                <w:highlight w:val="none"/>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14:paraId="4EE27BDC">
            <w:pPr>
              <w:rPr>
                <w:rFonts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66A9AE89">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6AC7461">
            <w:pPr>
              <w:rPr>
                <w:rFonts w:ascii="宋体" w:hAnsi="宋体" w:cs="宋体"/>
                <w:color w:val="auto"/>
                <w:sz w:val="24"/>
                <w:highlight w:val="none"/>
              </w:rPr>
            </w:pPr>
          </w:p>
        </w:tc>
      </w:tr>
      <w:tr w14:paraId="5152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12E7C7E">
            <w:pPr>
              <w:rPr>
                <w:rFonts w:ascii="宋体" w:hAnsi="宋体" w:cs="宋体"/>
                <w:color w:val="auto"/>
                <w:sz w:val="24"/>
                <w:highlight w:val="none"/>
              </w:rPr>
            </w:pPr>
            <w:r>
              <w:rPr>
                <w:rFonts w:hint="eastAsia" w:ascii="宋体" w:hAnsi="宋体" w:cs="宋体"/>
                <w:color w:val="auto"/>
                <w:sz w:val="24"/>
                <w:highlight w:val="none"/>
              </w:rPr>
              <w:t xml:space="preserve">报价合计（包含税费等所有费用）：（大写）人民币         （￥       ）                               </w:t>
            </w:r>
          </w:p>
        </w:tc>
      </w:tr>
      <w:tr w14:paraId="6756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E5CDAB0">
            <w:pPr>
              <w:rPr>
                <w:rFonts w:ascii="宋体" w:hAnsi="宋体" w:cs="宋体"/>
                <w:color w:val="auto"/>
                <w:sz w:val="24"/>
                <w:highlight w:val="none"/>
              </w:rPr>
            </w:pPr>
            <w:r>
              <w:rPr>
                <w:rFonts w:hint="eastAsia" w:ascii="宋体" w:hAnsi="宋体" w:cs="宋体"/>
                <w:color w:val="auto"/>
                <w:sz w:val="24"/>
                <w:highlight w:val="none"/>
                <w:u w:val="single"/>
              </w:rPr>
              <w:t>　无　</w:t>
            </w:r>
            <w:r>
              <w:rPr>
                <w:rFonts w:hint="eastAsia" w:ascii="宋体" w:hAnsi="宋体" w:cs="宋体"/>
                <w:color w:val="auto"/>
                <w:sz w:val="24"/>
                <w:highlight w:val="none"/>
              </w:rPr>
              <w:t>分标（此处有分标时填写具体分标号，无分标时填写“无”）</w:t>
            </w:r>
          </w:p>
        </w:tc>
      </w:tr>
      <w:tr w14:paraId="0A3F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8D0BEFB">
            <w:pPr>
              <w:rPr>
                <w:rFonts w:ascii="宋体" w:hAnsi="宋体" w:cs="宋体"/>
                <w:color w:val="auto"/>
                <w:sz w:val="24"/>
                <w:highlight w:val="none"/>
              </w:rPr>
            </w:pPr>
            <w:r>
              <w:rPr>
                <w:rFonts w:hint="eastAsia" w:ascii="宋体" w:hAnsi="宋体" w:cs="宋体"/>
                <w:color w:val="auto"/>
                <w:sz w:val="24"/>
                <w:highlight w:val="none"/>
              </w:rPr>
              <w:t>验收标准：</w:t>
            </w:r>
          </w:p>
        </w:tc>
      </w:tr>
      <w:tr w14:paraId="07E9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502C6CFD">
            <w:pPr>
              <w:rPr>
                <w:rFonts w:ascii="宋体" w:hAnsi="宋体" w:cs="宋体"/>
                <w:color w:val="auto"/>
                <w:sz w:val="24"/>
                <w:highlight w:val="none"/>
              </w:rPr>
            </w:pPr>
            <w:r>
              <w:rPr>
                <w:rFonts w:hint="eastAsia" w:ascii="宋体" w:hAnsi="宋体" w:cs="宋体"/>
                <w:color w:val="auto"/>
                <w:sz w:val="24"/>
                <w:highlight w:val="none"/>
              </w:rPr>
              <w:t>优惠及其它（如有，没有写无）：</w:t>
            </w:r>
          </w:p>
        </w:tc>
      </w:tr>
    </w:tbl>
    <w:p w14:paraId="4AC23727">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17CB69BE">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4232B4FF">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403EF2F4">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14:paraId="3A68BC95">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65837F15">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1B9E43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4CC6C80">
      <w:pPr>
        <w:pStyle w:val="15"/>
        <w:spacing w:line="500" w:lineRule="exact"/>
        <w:ind w:firstLine="6360" w:firstLineChars="2650"/>
        <w:rPr>
          <w:rFonts w:hAnsi="宋体" w:cs="宋体"/>
          <w:color w:val="auto"/>
          <w:sz w:val="24"/>
          <w:szCs w:val="24"/>
          <w:highlight w:val="none"/>
          <w:lang w:val="zh-CN"/>
        </w:rPr>
      </w:pPr>
      <w:r>
        <w:rPr>
          <w:rFonts w:hint="eastAsia" w:hAnsi="宋体" w:cs="宋体"/>
          <w:color w:val="auto"/>
          <w:sz w:val="24"/>
          <w:szCs w:val="24"/>
          <w:highlight w:val="none"/>
          <w:lang w:val="zh-CN"/>
        </w:rPr>
        <w:t>日期：  年  月   日</w:t>
      </w:r>
    </w:p>
    <w:p w14:paraId="7AFBF04B">
      <w:pPr>
        <w:widowControl/>
        <w:jc w:val="left"/>
        <w:rPr>
          <w:rFonts w:ascii="宋体" w:hAnsi="宋体" w:cs="宋体"/>
          <w:color w:val="auto"/>
          <w:kern w:val="0"/>
          <w:sz w:val="24"/>
          <w:szCs w:val="21"/>
          <w:highlight w:val="none"/>
          <w:lang w:val="zh-CN"/>
        </w:rPr>
      </w:pPr>
    </w:p>
    <w:p w14:paraId="66F1C10D">
      <w:pPr>
        <w:spacing w:line="520" w:lineRule="exact"/>
        <w:ind w:firstLine="643" w:firstLineChars="200"/>
        <w:rPr>
          <w:rFonts w:ascii="宋体" w:hAnsi="宋体" w:cs="宋体"/>
          <w:b/>
          <w:bCs/>
          <w:color w:val="auto"/>
          <w:sz w:val="32"/>
          <w:szCs w:val="32"/>
          <w:highlight w:val="none"/>
        </w:rPr>
      </w:pPr>
    </w:p>
    <w:p w14:paraId="0D22C591">
      <w:pPr>
        <w:spacing w:line="520" w:lineRule="exact"/>
        <w:ind w:firstLine="643" w:firstLineChars="200"/>
        <w:rPr>
          <w:rFonts w:ascii="宋体" w:hAnsi="宋体" w:cs="宋体"/>
          <w:b/>
          <w:bCs/>
          <w:color w:val="auto"/>
          <w:sz w:val="32"/>
          <w:szCs w:val="32"/>
          <w:highlight w:val="none"/>
        </w:rPr>
      </w:pPr>
    </w:p>
    <w:p w14:paraId="7ACD2B81">
      <w:pPr>
        <w:spacing w:line="520" w:lineRule="exact"/>
        <w:ind w:firstLine="643" w:firstLineChars="200"/>
        <w:rPr>
          <w:rFonts w:ascii="宋体" w:hAnsi="宋体" w:cs="宋体"/>
          <w:b/>
          <w:bCs/>
          <w:color w:val="auto"/>
          <w:sz w:val="32"/>
          <w:szCs w:val="32"/>
          <w:highlight w:val="none"/>
        </w:rPr>
      </w:pPr>
    </w:p>
    <w:p w14:paraId="4FFDAFDB">
      <w:pPr>
        <w:spacing w:line="520" w:lineRule="exact"/>
        <w:ind w:firstLine="643" w:firstLineChars="200"/>
        <w:rPr>
          <w:rFonts w:hint="eastAsia"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377FA277">
      <w:pPr>
        <w:spacing w:line="520" w:lineRule="exact"/>
        <w:ind w:firstLine="643" w:firstLineChars="200"/>
        <w:rPr>
          <w:rFonts w:ascii="宋体" w:hAnsi="宋体" w:cs="宋体"/>
          <w:b/>
          <w:bCs/>
          <w:color w:val="auto"/>
          <w:sz w:val="32"/>
          <w:szCs w:val="32"/>
          <w:highlight w:val="none"/>
        </w:rPr>
        <w:sectPr>
          <w:footerReference r:id="rId6" w:type="default"/>
          <w:pgSz w:w="11910" w:h="16840"/>
          <w:pgMar w:top="1440" w:right="1080" w:bottom="1440" w:left="1080" w:header="720" w:footer="720" w:gutter="0"/>
          <w:pgNumType w:fmt="decimal"/>
          <w:cols w:space="720" w:num="1"/>
        </w:sectPr>
      </w:pPr>
      <w:r>
        <w:rPr>
          <w:rFonts w:hint="eastAsia" w:ascii="宋体" w:hAnsi="宋体" w:cs="宋体"/>
          <w:b/>
          <w:bCs/>
          <w:color w:val="auto"/>
          <w:sz w:val="32"/>
          <w:szCs w:val="32"/>
          <w:highlight w:val="none"/>
        </w:rPr>
        <w:t>三、已标价工程量清单</w:t>
      </w:r>
    </w:p>
    <w:p w14:paraId="46DADD03">
      <w:pPr>
        <w:pStyle w:val="3"/>
        <w:jc w:val="center"/>
        <w:rPr>
          <w:rFonts w:ascii="宋体" w:hAnsi="宋体" w:cs="宋体"/>
          <w:b w:val="0"/>
          <w:color w:val="auto"/>
          <w:highlight w:val="none"/>
        </w:rPr>
      </w:pPr>
      <w:bookmarkStart w:id="101" w:name="_Toc35611438"/>
      <w:bookmarkEnd w:id="101"/>
      <w:bookmarkStart w:id="102" w:name="_Toc44229899"/>
      <w:bookmarkEnd w:id="102"/>
      <w:bookmarkStart w:id="103" w:name="_Toc35611516"/>
      <w:bookmarkEnd w:id="103"/>
      <w:bookmarkStart w:id="104" w:name="_Toc31728084"/>
      <w:bookmarkEnd w:id="104"/>
      <w:bookmarkStart w:id="105" w:name="_Toc31723070"/>
      <w:bookmarkEnd w:id="105"/>
      <w:bookmarkStart w:id="106" w:name="_Toc80205942"/>
      <w:bookmarkStart w:id="107" w:name="_Toc15428"/>
      <w:r>
        <w:rPr>
          <w:rFonts w:hint="eastAsia" w:ascii="宋体" w:hAnsi="宋体" w:cs="宋体"/>
          <w:color w:val="auto"/>
          <w:highlight w:val="none"/>
        </w:rPr>
        <w:t>第五节 其他文书、文件格式</w:t>
      </w:r>
      <w:bookmarkEnd w:id="106"/>
      <w:bookmarkEnd w:id="107"/>
    </w:p>
    <w:p w14:paraId="6990A027">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79EEF629">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3B9CD8B9">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08" w:name="PO_3000001868_PM002_14"/>
      <w:r>
        <w:rPr>
          <w:rFonts w:hint="eastAsia" w:ascii="宋体" w:hAnsi="宋体" w:cs="宋体"/>
          <w:color w:val="auto"/>
          <w:sz w:val="30"/>
          <w:szCs w:val="30"/>
          <w:highlight w:val="none"/>
          <w:u w:val="single"/>
          <w:lang w:val="en"/>
        </w:rPr>
        <w:t>[项目名称]</w:t>
      </w:r>
      <w:bookmarkEnd w:id="108"/>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02E3F41A">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02D174CE">
      <w:pPr>
        <w:snapToGrid w:val="0"/>
        <w:spacing w:line="360" w:lineRule="auto"/>
        <w:ind w:left="5137" w:leftChars="1736" w:hanging="1491" w:hangingChars="825"/>
        <w:rPr>
          <w:rFonts w:ascii="宋体" w:hAnsi="宋体" w:cs="宋体"/>
          <w:b/>
          <w:color w:val="auto"/>
          <w:sz w:val="18"/>
          <w:szCs w:val="18"/>
          <w:highlight w:val="none"/>
        </w:rPr>
      </w:pPr>
    </w:p>
    <w:p w14:paraId="62116D08">
      <w:pPr>
        <w:snapToGrid w:val="0"/>
        <w:spacing w:line="360" w:lineRule="auto"/>
        <w:ind w:left="5137" w:leftChars="1736" w:hanging="1491" w:hangingChars="825"/>
        <w:rPr>
          <w:rFonts w:ascii="宋体" w:hAnsi="宋体" w:cs="宋体"/>
          <w:b/>
          <w:color w:val="auto"/>
          <w:sz w:val="18"/>
          <w:szCs w:val="18"/>
          <w:highlight w:val="none"/>
        </w:rPr>
      </w:pPr>
    </w:p>
    <w:p w14:paraId="36FB8C78">
      <w:pPr>
        <w:snapToGrid w:val="0"/>
        <w:spacing w:line="360" w:lineRule="auto"/>
        <w:ind w:left="5137" w:leftChars="1736" w:hanging="1491" w:hangingChars="825"/>
        <w:rPr>
          <w:rFonts w:ascii="宋体" w:hAnsi="宋体" w:cs="宋体"/>
          <w:b/>
          <w:color w:val="auto"/>
          <w:sz w:val="18"/>
          <w:szCs w:val="18"/>
          <w:highlight w:val="none"/>
        </w:rPr>
      </w:pPr>
    </w:p>
    <w:p w14:paraId="73FE8573">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6D0D49A2">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5CF7A9">
      <w:pPr>
        <w:widowControl/>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75B834FB">
      <w:pPr>
        <w:spacing w:line="520" w:lineRule="exact"/>
        <w:jc w:val="center"/>
        <w:rPr>
          <w:rFonts w:ascii="宋体" w:hAnsi="宋体" w:cs="宋体"/>
          <w:color w:val="auto"/>
          <w:sz w:val="24"/>
          <w:highlight w:val="none"/>
        </w:rPr>
      </w:pPr>
    </w:p>
    <w:p w14:paraId="2770494F">
      <w:pPr>
        <w:spacing w:line="520" w:lineRule="exact"/>
        <w:jc w:val="center"/>
        <w:rPr>
          <w:rFonts w:ascii="宋体" w:hAnsi="宋体" w:cs="宋体"/>
          <w:color w:val="auto"/>
          <w:sz w:val="24"/>
          <w:highlight w:val="none"/>
        </w:rPr>
      </w:pPr>
    </w:p>
    <w:p w14:paraId="56933859">
      <w:pPr>
        <w:spacing w:line="520" w:lineRule="exact"/>
        <w:jc w:val="center"/>
        <w:rPr>
          <w:rFonts w:ascii="宋体" w:hAnsi="宋体" w:cs="宋体"/>
          <w:color w:val="auto"/>
          <w:sz w:val="24"/>
          <w:highlight w:val="none"/>
        </w:rPr>
      </w:pPr>
    </w:p>
    <w:p w14:paraId="10930F75">
      <w:pPr>
        <w:spacing w:line="520" w:lineRule="exact"/>
        <w:jc w:val="center"/>
        <w:rPr>
          <w:rFonts w:ascii="宋体" w:hAnsi="宋体" w:cs="宋体"/>
          <w:color w:val="auto"/>
          <w:sz w:val="24"/>
          <w:highlight w:val="none"/>
        </w:rPr>
      </w:pPr>
    </w:p>
    <w:p w14:paraId="0F5BD5B9">
      <w:pPr>
        <w:spacing w:line="520" w:lineRule="exact"/>
        <w:jc w:val="center"/>
        <w:rPr>
          <w:rFonts w:ascii="宋体" w:hAnsi="宋体" w:cs="宋体"/>
          <w:color w:val="auto"/>
          <w:sz w:val="24"/>
          <w:highlight w:val="none"/>
        </w:rPr>
      </w:pPr>
    </w:p>
    <w:p w14:paraId="75488F6A">
      <w:pPr>
        <w:pStyle w:val="2"/>
        <w:jc w:val="center"/>
        <w:rPr>
          <w:rFonts w:ascii="宋体" w:hAnsi="宋体" w:cs="宋体"/>
          <w:b w:val="0"/>
          <w:bCs w:val="0"/>
          <w:color w:val="auto"/>
          <w:highlight w:val="none"/>
        </w:rPr>
      </w:pPr>
      <w:bookmarkStart w:id="109"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09"/>
    </w:p>
    <w:p w14:paraId="0EFB7DB7">
      <w:pPr>
        <w:rPr>
          <w:rFonts w:ascii="宋体" w:hAnsi="宋体" w:cs="宋体"/>
          <w:b/>
          <w:bCs/>
          <w:color w:val="auto"/>
          <w:highlight w:val="none"/>
        </w:rPr>
      </w:pPr>
      <w:r>
        <w:rPr>
          <w:rFonts w:hint="eastAsia" w:ascii="宋体" w:hAnsi="宋体" w:cs="宋体"/>
          <w:color w:val="auto"/>
          <w:sz w:val="24"/>
          <w:highlight w:val="none"/>
        </w:rPr>
        <w:t>“广西政府采购云平台”合同编号：</w:t>
      </w:r>
    </w:p>
    <w:p w14:paraId="1679F38F">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30142C61">
      <w:pPr>
        <w:spacing w:line="360" w:lineRule="auto"/>
        <w:ind w:firstLine="420" w:firstLineChars="200"/>
        <w:rPr>
          <w:rFonts w:ascii="宋体" w:hAnsi="宋体" w:cs="宋体"/>
          <w:color w:val="auto"/>
          <w:highlight w:val="none"/>
        </w:rPr>
      </w:pPr>
    </w:p>
    <w:p w14:paraId="7A202E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479E0245">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10" w:name="PO_3000001868_PM002_15"/>
      <w:r>
        <w:rPr>
          <w:rFonts w:hint="eastAsia" w:ascii="宋体" w:hAnsi="宋体" w:cs="宋体"/>
          <w:b/>
          <w:bCs/>
          <w:color w:val="auto"/>
          <w:sz w:val="44"/>
          <w:highlight w:val="none"/>
          <w:u w:val="single"/>
        </w:rPr>
        <w:t>[项目名称]</w:t>
      </w:r>
      <w:bookmarkEnd w:id="110"/>
      <w:r>
        <w:rPr>
          <w:rFonts w:hint="eastAsia" w:ascii="宋体" w:hAnsi="宋体" w:cs="宋体"/>
          <w:b/>
          <w:bCs/>
          <w:color w:val="auto"/>
          <w:sz w:val="44"/>
          <w:highlight w:val="none"/>
        </w:rPr>
        <w:t>施工合同</w:t>
      </w:r>
    </w:p>
    <w:p w14:paraId="7E3B5E79">
      <w:pPr>
        <w:spacing w:line="360" w:lineRule="auto"/>
        <w:jc w:val="center"/>
        <w:rPr>
          <w:rFonts w:ascii="宋体" w:hAnsi="宋体" w:cs="宋体"/>
          <w:b/>
          <w:bCs/>
          <w:color w:val="auto"/>
          <w:sz w:val="44"/>
          <w:highlight w:val="none"/>
        </w:rPr>
      </w:pPr>
    </w:p>
    <w:p w14:paraId="20A912AF">
      <w:pPr>
        <w:spacing w:line="360" w:lineRule="auto"/>
        <w:ind w:firstLine="3507" w:firstLineChars="794"/>
        <w:rPr>
          <w:rFonts w:ascii="宋体" w:hAnsi="宋体" w:cs="宋体"/>
          <w:b/>
          <w:bCs/>
          <w:color w:val="auto"/>
          <w:sz w:val="44"/>
          <w:highlight w:val="none"/>
        </w:rPr>
      </w:pPr>
    </w:p>
    <w:p w14:paraId="6E0A55CC">
      <w:pPr>
        <w:spacing w:line="360" w:lineRule="auto"/>
        <w:ind w:firstLine="3507" w:firstLineChars="794"/>
        <w:rPr>
          <w:rFonts w:ascii="宋体" w:hAnsi="宋体" w:cs="宋体"/>
          <w:b/>
          <w:bCs/>
          <w:color w:val="auto"/>
          <w:sz w:val="44"/>
          <w:highlight w:val="none"/>
        </w:rPr>
      </w:pPr>
    </w:p>
    <w:p w14:paraId="5D8002B9">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11" w:name="PO_3000001868_PM001_12"/>
      <w:r>
        <w:rPr>
          <w:rFonts w:hint="eastAsia" w:ascii="宋体" w:hAnsi="宋体" w:cs="宋体"/>
          <w:b/>
          <w:color w:val="auto"/>
          <w:sz w:val="36"/>
          <w:szCs w:val="36"/>
          <w:highlight w:val="none"/>
          <w:u w:val="single"/>
        </w:rPr>
        <w:t>[项目编号]</w:t>
      </w:r>
      <w:bookmarkEnd w:id="111"/>
      <w:r>
        <w:rPr>
          <w:rFonts w:hint="eastAsia" w:ascii="宋体" w:hAnsi="宋体" w:cs="宋体"/>
          <w:b/>
          <w:color w:val="auto"/>
          <w:sz w:val="36"/>
          <w:szCs w:val="36"/>
          <w:highlight w:val="none"/>
          <w:u w:val="single"/>
        </w:rPr>
        <w:t xml:space="preserve">  </w:t>
      </w:r>
    </w:p>
    <w:p w14:paraId="1ADBA690">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12" w:name="PO_3000001868_PM001WMC001"/>
      <w:r>
        <w:rPr>
          <w:rFonts w:hint="eastAsia" w:ascii="宋体" w:hAnsi="宋体" w:cs="宋体"/>
          <w:b/>
          <w:color w:val="auto"/>
          <w:sz w:val="36"/>
          <w:szCs w:val="36"/>
          <w:highlight w:val="none"/>
          <w:u w:val="single"/>
        </w:rPr>
        <w:t>[采购计划文号]</w:t>
      </w:r>
      <w:bookmarkEnd w:id="112"/>
      <w:r>
        <w:rPr>
          <w:rFonts w:hint="eastAsia" w:ascii="宋体" w:hAnsi="宋体" w:cs="宋体"/>
          <w:b/>
          <w:color w:val="auto"/>
          <w:sz w:val="36"/>
          <w:szCs w:val="36"/>
          <w:highlight w:val="none"/>
          <w:u w:val="single"/>
        </w:rPr>
        <w:t xml:space="preserve"> </w:t>
      </w:r>
    </w:p>
    <w:p w14:paraId="2A727B8A">
      <w:pPr>
        <w:ind w:firstLine="1308" w:firstLineChars="545"/>
        <w:rPr>
          <w:rFonts w:ascii="宋体" w:hAnsi="宋体" w:cs="宋体"/>
          <w:color w:val="auto"/>
          <w:sz w:val="24"/>
          <w:highlight w:val="none"/>
        </w:rPr>
      </w:pPr>
    </w:p>
    <w:p w14:paraId="4BAFCAEE">
      <w:pPr>
        <w:ind w:firstLine="1995" w:firstLineChars="552"/>
        <w:rPr>
          <w:rFonts w:ascii="宋体" w:hAnsi="宋体" w:cs="宋体"/>
          <w:b/>
          <w:color w:val="auto"/>
          <w:sz w:val="36"/>
          <w:szCs w:val="36"/>
          <w:highlight w:val="none"/>
          <w:u w:val="single"/>
        </w:rPr>
      </w:pPr>
    </w:p>
    <w:p w14:paraId="62F7EE99">
      <w:pPr>
        <w:ind w:firstLine="1995" w:firstLineChars="552"/>
        <w:rPr>
          <w:rFonts w:ascii="宋体" w:hAnsi="宋体" w:cs="宋体"/>
          <w:b/>
          <w:color w:val="auto"/>
          <w:sz w:val="36"/>
          <w:szCs w:val="36"/>
          <w:highlight w:val="none"/>
          <w:u w:val="single"/>
        </w:rPr>
      </w:pPr>
    </w:p>
    <w:p w14:paraId="725BEFF1">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横州市第二高级中学  </w:t>
      </w:r>
    </w:p>
    <w:p w14:paraId="3AD4742D">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成交供应商：</w:t>
      </w:r>
      <w:r>
        <w:rPr>
          <w:rFonts w:hint="eastAsia" w:ascii="宋体" w:hAnsi="宋体" w:cs="宋体"/>
          <w:b/>
          <w:color w:val="auto"/>
          <w:sz w:val="36"/>
          <w:szCs w:val="36"/>
          <w:highlight w:val="none"/>
          <w:u w:val="single"/>
        </w:rPr>
        <w:t xml:space="preserve">                   </w:t>
      </w:r>
    </w:p>
    <w:p w14:paraId="2AA17C5F">
      <w:pPr>
        <w:tabs>
          <w:tab w:val="left" w:pos="7380"/>
        </w:tabs>
        <w:spacing w:line="360" w:lineRule="auto"/>
        <w:rPr>
          <w:rFonts w:ascii="宋体" w:hAnsi="宋体" w:cs="宋体"/>
          <w:b/>
          <w:bCs/>
          <w:color w:val="auto"/>
          <w:sz w:val="44"/>
          <w:highlight w:val="none"/>
        </w:rPr>
      </w:pPr>
    </w:p>
    <w:p w14:paraId="1FE0249E">
      <w:pPr>
        <w:tabs>
          <w:tab w:val="left" w:pos="7380"/>
        </w:tabs>
        <w:spacing w:line="360" w:lineRule="auto"/>
        <w:rPr>
          <w:rFonts w:ascii="宋体" w:hAnsi="宋体" w:cs="宋体"/>
          <w:b/>
          <w:bCs/>
          <w:color w:val="auto"/>
          <w:sz w:val="44"/>
          <w:highlight w:val="none"/>
        </w:rPr>
      </w:pPr>
    </w:p>
    <w:p w14:paraId="206D56E1">
      <w:pPr>
        <w:tabs>
          <w:tab w:val="left" w:pos="7380"/>
        </w:tabs>
        <w:spacing w:line="360" w:lineRule="auto"/>
        <w:rPr>
          <w:rFonts w:ascii="宋体" w:hAnsi="宋体" w:cs="宋体"/>
          <w:b/>
          <w:bCs/>
          <w:color w:val="auto"/>
          <w:sz w:val="44"/>
          <w:highlight w:val="none"/>
        </w:rPr>
      </w:pPr>
    </w:p>
    <w:p w14:paraId="69718E8D">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0FF65087">
      <w:pPr>
        <w:pStyle w:val="3"/>
        <w:keepNext w:val="0"/>
        <w:spacing w:line="240" w:lineRule="auto"/>
        <w:jc w:val="center"/>
        <w:rPr>
          <w:color w:val="auto"/>
          <w:highlight w:val="none"/>
        </w:rPr>
      </w:pPr>
      <w:r>
        <w:rPr>
          <w:rFonts w:hint="eastAsia" w:ascii="宋体" w:hAnsi="宋体" w:cs="宋体"/>
          <w:color w:val="auto"/>
          <w:sz w:val="44"/>
          <w:highlight w:val="none"/>
        </w:rPr>
        <w:br w:type="page"/>
      </w:r>
      <w:r>
        <w:rPr>
          <w:color w:val="auto"/>
          <w:highlight w:val="none"/>
        </w:rPr>
        <w:t>合同条款及格式</w:t>
      </w:r>
    </w:p>
    <w:p w14:paraId="6B91F221">
      <w:pPr>
        <w:pStyle w:val="4"/>
        <w:jc w:val="center"/>
        <w:rPr>
          <w:color w:val="auto"/>
          <w:highlight w:val="none"/>
        </w:rPr>
      </w:pPr>
      <w:bookmarkStart w:id="113" w:name="_Toc10535"/>
      <w:bookmarkStart w:id="114" w:name="_Toc241946162"/>
      <w:bookmarkStart w:id="115" w:name="bookmark879"/>
      <w:bookmarkStart w:id="116" w:name="bookmark878"/>
      <w:bookmarkStart w:id="117" w:name="_Toc13447"/>
      <w:bookmarkStart w:id="118" w:name="bookmark880"/>
      <w:r>
        <w:rPr>
          <w:rFonts w:hint="eastAsia"/>
          <w:color w:val="auto"/>
          <w:highlight w:val="none"/>
        </w:rPr>
        <w:t>第一节 通用合同条款</w:t>
      </w:r>
      <w:bookmarkEnd w:id="113"/>
      <w:bookmarkEnd w:id="114"/>
      <w:bookmarkEnd w:id="115"/>
      <w:bookmarkEnd w:id="116"/>
      <w:bookmarkEnd w:id="117"/>
      <w:bookmarkEnd w:id="118"/>
    </w:p>
    <w:p w14:paraId="1EB8557E">
      <w:pPr>
        <w:spacing w:line="360" w:lineRule="auto"/>
        <w:rPr>
          <w:rFonts w:ascii="宋体" w:hAnsi="宋体" w:cs="宋体"/>
          <w:color w:val="auto"/>
          <w:highlight w:val="none"/>
          <w:u w:val="single"/>
        </w:rPr>
      </w:pPr>
      <w:r>
        <w:rPr>
          <w:rFonts w:hint="eastAsia" w:ascii="宋体" w:hAnsi="宋体" w:cs="宋体"/>
          <w:color w:val="auto"/>
          <w:highlight w:val="none"/>
        </w:rPr>
        <w:t>发包人（全称）：</w:t>
      </w:r>
      <w:r>
        <w:rPr>
          <w:rFonts w:hint="eastAsia" w:ascii="宋体" w:hAnsi="宋体" w:cs="宋体"/>
          <w:color w:val="auto"/>
          <w:spacing w:val="-1"/>
          <w:highlight w:val="none"/>
          <w:u w:val="single"/>
        </w:rPr>
        <w:t xml:space="preserve">  </w:t>
      </w:r>
      <w:r>
        <w:rPr>
          <w:rFonts w:hint="eastAsia" w:ascii="宋体" w:hAnsi="宋体" w:cs="宋体"/>
          <w:color w:val="auto"/>
          <w:spacing w:val="-3"/>
          <w:highlight w:val="none"/>
          <w:u w:val="single"/>
        </w:rPr>
        <w:t xml:space="preserve">横州市第二高级中学  </w:t>
      </w:r>
    </w:p>
    <w:p w14:paraId="5FCCDF4D">
      <w:pPr>
        <w:spacing w:line="360" w:lineRule="auto"/>
        <w:rPr>
          <w:rFonts w:ascii="宋体" w:hAnsi="宋体" w:cs="宋体"/>
          <w:color w:val="auto"/>
          <w:highlight w:val="none"/>
          <w:u w:val="singl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广西XXXX工程有限公司 </w:t>
      </w:r>
    </w:p>
    <w:p w14:paraId="63D2F3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根据《中华人民共和国民法典》、《中华人民共和国建筑法》及有关法律规定，遵循平等、自愿、公平和诚实信用的原则，双方就</w:t>
      </w:r>
      <w:r>
        <w:rPr>
          <w:rFonts w:hint="eastAsia" w:ascii="宋体" w:hAnsi="宋体" w:cs="宋体"/>
          <w:color w:val="auto"/>
          <w:highlight w:val="none"/>
          <w:u w:val="single"/>
        </w:rPr>
        <w:t xml:space="preserve"> 横州市XXXX项目 </w:t>
      </w:r>
      <w:r>
        <w:rPr>
          <w:rFonts w:hint="eastAsia" w:ascii="宋体" w:hAnsi="宋体" w:cs="宋体"/>
          <w:color w:val="auto"/>
          <w:highlight w:val="none"/>
        </w:rPr>
        <w:t>工程施工及有关事项协商一致，共同达成如下协议：</w:t>
      </w:r>
      <w:bookmarkStart w:id="119" w:name="_Toc351203481"/>
    </w:p>
    <w:p w14:paraId="45D0C342">
      <w:pPr>
        <w:spacing w:line="360" w:lineRule="auto"/>
        <w:ind w:firstLine="422" w:firstLineChars="200"/>
        <w:outlineLvl w:val="0"/>
        <w:rPr>
          <w:rFonts w:ascii="宋体" w:hAnsi="宋体" w:cs="宋体"/>
          <w:b/>
          <w:bCs/>
          <w:color w:val="auto"/>
          <w:highlight w:val="none"/>
        </w:rPr>
      </w:pPr>
      <w:r>
        <w:rPr>
          <w:rFonts w:hint="eastAsia" w:ascii="宋体" w:hAnsi="宋体" w:cs="宋体"/>
          <w:b/>
          <w:bCs/>
          <w:color w:val="auto"/>
          <w:highlight w:val="none"/>
        </w:rPr>
        <w:t>一、工程概况</w:t>
      </w:r>
      <w:bookmarkEnd w:id="119"/>
    </w:p>
    <w:p w14:paraId="4253AED4">
      <w:pPr>
        <w:spacing w:line="360" w:lineRule="auto"/>
        <w:ind w:firstLine="411" w:firstLineChars="196"/>
        <w:rPr>
          <w:rFonts w:ascii="宋体" w:hAnsi="宋体" w:cs="宋体"/>
          <w:color w:val="auto"/>
          <w:highlight w:val="none"/>
          <w:u w:val="single"/>
        </w:rPr>
      </w:pPr>
      <w:r>
        <w:rPr>
          <w:rFonts w:hint="eastAsia" w:ascii="宋体" w:hAnsi="宋体" w:cs="宋体"/>
          <w:color w:val="auto"/>
          <w:highlight w:val="none"/>
        </w:rPr>
        <w:t>1.工程名称：</w:t>
      </w:r>
      <w:r>
        <w:rPr>
          <w:rFonts w:hint="eastAsia" w:ascii="宋体" w:hAnsi="宋体" w:cs="宋体"/>
          <w:color w:val="auto"/>
          <w:highlight w:val="none"/>
          <w:u w:val="single"/>
        </w:rPr>
        <w:t xml:space="preserve"> 横州市XXXXXXXX项目</w:t>
      </w:r>
      <w:r>
        <w:rPr>
          <w:rFonts w:hint="eastAsia" w:ascii="宋体" w:hAnsi="宋体" w:cs="宋体"/>
          <w:color w:val="auto"/>
          <w:highlight w:val="none"/>
        </w:rPr>
        <w:t>。</w:t>
      </w:r>
    </w:p>
    <w:p w14:paraId="6EF4028E">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2.工程地点：</w:t>
      </w:r>
      <w:r>
        <w:rPr>
          <w:rFonts w:hint="eastAsia" w:ascii="宋体" w:hAnsi="宋体" w:cs="宋体"/>
          <w:color w:val="auto"/>
          <w:highlight w:val="none"/>
          <w:u w:val="single"/>
        </w:rPr>
        <w:t>横州市xxxx园内</w:t>
      </w:r>
      <w:r>
        <w:rPr>
          <w:rFonts w:hint="eastAsia" w:ascii="宋体" w:hAnsi="宋体" w:cs="宋体"/>
          <w:color w:val="auto"/>
          <w:highlight w:val="none"/>
        </w:rPr>
        <w:t>。</w:t>
      </w:r>
    </w:p>
    <w:p w14:paraId="16DF1762">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3.资金来源：</w:t>
      </w:r>
      <w:r>
        <w:rPr>
          <w:rFonts w:hint="eastAsia" w:ascii="宋体" w:hAnsi="宋体" w:cs="宋体"/>
          <w:color w:val="auto"/>
          <w:highlight w:val="none"/>
          <w:u w:val="single"/>
        </w:rPr>
        <w:t xml:space="preserve"> 财政资金</w:t>
      </w:r>
      <w:r>
        <w:rPr>
          <w:rFonts w:hint="eastAsia" w:ascii="宋体" w:hAnsi="宋体" w:cs="宋体"/>
          <w:color w:val="auto"/>
          <w:highlight w:val="none"/>
        </w:rPr>
        <w:t>。</w:t>
      </w:r>
    </w:p>
    <w:p w14:paraId="6E4AAEB7">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4.工程内容：</w:t>
      </w:r>
      <w:r>
        <w:rPr>
          <w:rFonts w:hint="eastAsia" w:ascii="宋体" w:hAnsi="宋体" w:cs="宋体"/>
          <w:color w:val="auto"/>
          <w:highlight w:val="none"/>
          <w:u w:val="single"/>
        </w:rPr>
        <w:t xml:space="preserve"> 横州市XXX项目</w:t>
      </w:r>
      <w:r>
        <w:rPr>
          <w:rFonts w:hint="eastAsia" w:ascii="宋体" w:hAnsi="宋体" w:cs="宋体"/>
          <w:color w:val="auto"/>
          <w:highlight w:val="none"/>
        </w:rPr>
        <w:t>。</w:t>
      </w:r>
    </w:p>
    <w:p w14:paraId="79E56A1A">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5.工程承包范围：</w:t>
      </w:r>
    </w:p>
    <w:p w14:paraId="509C5713">
      <w:pPr>
        <w:spacing w:line="360" w:lineRule="auto"/>
        <w:ind w:firstLine="405" w:firstLineChars="193"/>
        <w:rPr>
          <w:rFonts w:ascii="宋体" w:hAnsi="宋体" w:cs="宋体"/>
          <w:color w:val="auto"/>
          <w:highlight w:val="none"/>
        </w:rPr>
      </w:pPr>
      <w:r>
        <w:rPr>
          <w:rFonts w:hint="eastAsia" w:ascii="宋体" w:hAnsi="宋体" w:cs="宋体"/>
          <w:color w:val="auto"/>
          <w:highlight w:val="none"/>
          <w:u w:val="single"/>
        </w:rPr>
        <w:t>（1）横州市XXXX项目工程,具体详见施工图纸及工程量清单</w:t>
      </w:r>
      <w:r>
        <w:rPr>
          <w:rFonts w:hint="eastAsia" w:ascii="宋体" w:hAnsi="宋体" w:cs="宋体"/>
          <w:color w:val="auto"/>
          <w:highlight w:val="none"/>
        </w:rPr>
        <w:t>。</w:t>
      </w:r>
    </w:p>
    <w:p w14:paraId="0D7B8D2B">
      <w:pPr>
        <w:spacing w:line="360" w:lineRule="auto"/>
        <w:ind w:firstLine="405" w:firstLineChars="193"/>
        <w:rPr>
          <w:rFonts w:ascii="宋体" w:hAnsi="宋体" w:cs="宋体"/>
          <w:color w:val="auto"/>
          <w:highlight w:val="none"/>
        </w:rPr>
      </w:pPr>
      <w:r>
        <w:rPr>
          <w:rFonts w:hint="eastAsia" w:ascii="宋体" w:hAnsi="宋体" w:cs="宋体"/>
          <w:color w:val="auto"/>
          <w:highlight w:val="none"/>
        </w:rPr>
        <w:t>6.工程承包方式：发包人提供建筑用水、用电，其它材料由承包人负责。</w:t>
      </w:r>
    </w:p>
    <w:p w14:paraId="03E85FC9">
      <w:pPr>
        <w:spacing w:line="360" w:lineRule="auto"/>
        <w:ind w:firstLine="407" w:firstLineChars="193"/>
        <w:outlineLvl w:val="0"/>
        <w:rPr>
          <w:rFonts w:ascii="宋体" w:hAnsi="宋体" w:cs="宋体"/>
          <w:b/>
          <w:bCs/>
          <w:color w:val="auto"/>
          <w:highlight w:val="none"/>
        </w:rPr>
      </w:pPr>
      <w:bookmarkStart w:id="120" w:name="_Toc351203482"/>
      <w:r>
        <w:rPr>
          <w:rFonts w:hint="eastAsia" w:ascii="宋体" w:hAnsi="宋体" w:cs="宋体"/>
          <w:b/>
          <w:bCs/>
          <w:color w:val="auto"/>
          <w:highlight w:val="none"/>
        </w:rPr>
        <w:t>二、合同工期</w:t>
      </w:r>
      <w:bookmarkEnd w:id="120"/>
    </w:p>
    <w:p w14:paraId="2ADB83BD">
      <w:pPr>
        <w:spacing w:line="360" w:lineRule="auto"/>
        <w:ind w:firstLine="459"/>
        <w:rPr>
          <w:rFonts w:ascii="宋体" w:hAnsi="宋体" w:cs="宋体"/>
          <w:color w:val="auto"/>
          <w:highlight w:val="none"/>
        </w:rPr>
      </w:pPr>
      <w:r>
        <w:rPr>
          <w:rFonts w:hint="eastAsia" w:ascii="宋体" w:hAnsi="宋体" w:cs="宋体"/>
          <w:color w:val="auto"/>
          <w:highlight w:val="none"/>
        </w:rPr>
        <w:t>计划开工日期：</w:t>
      </w:r>
      <w:r>
        <w:rPr>
          <w:rFonts w:hint="eastAsia" w:ascii="宋体" w:hAnsi="宋体" w:cs="宋体"/>
          <w:color w:val="auto"/>
          <w:highlight w:val="none"/>
          <w:u w:val="single"/>
        </w:rPr>
        <w:t>2025</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日。（实际开工日期以开工令为准）</w:t>
      </w:r>
    </w:p>
    <w:p w14:paraId="0B98EDD5">
      <w:pPr>
        <w:spacing w:line="360" w:lineRule="auto"/>
        <w:ind w:firstLine="459"/>
        <w:rPr>
          <w:rFonts w:ascii="宋体" w:hAnsi="宋体" w:cs="宋体"/>
          <w:color w:val="auto"/>
          <w:highlight w:val="none"/>
        </w:rPr>
      </w:pPr>
      <w:r>
        <w:rPr>
          <w:rFonts w:hint="eastAsia" w:ascii="宋体" w:hAnsi="宋体" w:cs="宋体"/>
          <w:color w:val="auto"/>
          <w:highlight w:val="none"/>
        </w:rPr>
        <w:t>计划竣工日期：</w:t>
      </w:r>
      <w:r>
        <w:rPr>
          <w:rFonts w:hint="eastAsia" w:ascii="宋体" w:hAnsi="宋体" w:cs="宋体"/>
          <w:color w:val="auto"/>
          <w:highlight w:val="none"/>
          <w:u w:val="single"/>
        </w:rPr>
        <w:t>2025</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14:paraId="19BE9E36">
      <w:pPr>
        <w:spacing w:line="360" w:lineRule="auto"/>
        <w:ind w:firstLine="459"/>
        <w:rPr>
          <w:rFonts w:ascii="宋体" w:hAnsi="宋体" w:cs="宋体"/>
          <w:color w:val="auto"/>
          <w:highlight w:val="none"/>
        </w:rPr>
      </w:pPr>
      <w:r>
        <w:rPr>
          <w:rFonts w:hint="eastAsia" w:ascii="宋体" w:hAnsi="宋体" w:cs="宋体"/>
          <w:color w:val="auto"/>
          <w:highlight w:val="none"/>
        </w:rPr>
        <w:t>工期总日历天数：</w:t>
      </w:r>
      <w:r>
        <w:rPr>
          <w:rFonts w:hint="eastAsia" w:ascii="宋体" w:hAnsi="宋体" w:cs="宋体"/>
          <w:color w:val="auto"/>
          <w:highlight w:val="none"/>
          <w:u w:val="single"/>
        </w:rPr>
        <w:t xml:space="preserve">       </w:t>
      </w:r>
      <w:r>
        <w:rPr>
          <w:rFonts w:hint="eastAsia" w:ascii="宋体" w:hAnsi="宋体" w:cs="宋体"/>
          <w:color w:val="auto"/>
          <w:highlight w:val="none"/>
        </w:rPr>
        <w:t>日历天。工期总日历天数与根据前述计划开竣工日期计算的工期天数不一致的，以工期总日历天数为准。</w:t>
      </w:r>
    </w:p>
    <w:p w14:paraId="32296E4C">
      <w:pPr>
        <w:spacing w:line="360" w:lineRule="auto"/>
        <w:ind w:firstLine="459"/>
        <w:outlineLvl w:val="0"/>
        <w:rPr>
          <w:rFonts w:ascii="宋体" w:hAnsi="宋体" w:cs="宋体"/>
          <w:b/>
          <w:bCs/>
          <w:color w:val="auto"/>
          <w:highlight w:val="none"/>
        </w:rPr>
      </w:pPr>
      <w:bookmarkStart w:id="121" w:name="_Toc351203483"/>
      <w:r>
        <w:rPr>
          <w:rFonts w:hint="eastAsia" w:ascii="宋体" w:hAnsi="宋体" w:cs="宋体"/>
          <w:b/>
          <w:bCs/>
          <w:color w:val="auto"/>
          <w:highlight w:val="none"/>
        </w:rPr>
        <w:t>三、质量标准</w:t>
      </w:r>
      <w:bookmarkEnd w:id="121"/>
    </w:p>
    <w:p w14:paraId="308C24D1">
      <w:pPr>
        <w:spacing w:line="360" w:lineRule="auto"/>
        <w:ind w:firstLine="459"/>
        <w:rPr>
          <w:rFonts w:ascii="宋体" w:hAnsi="宋体" w:cs="宋体"/>
          <w:color w:val="auto"/>
          <w:highlight w:val="none"/>
        </w:rPr>
      </w:pPr>
      <w:r>
        <w:rPr>
          <w:rFonts w:hint="eastAsia" w:ascii="宋体" w:hAnsi="宋体" w:cs="宋体"/>
          <w:color w:val="auto"/>
          <w:highlight w:val="none"/>
        </w:rPr>
        <w:t>工程质量符合</w:t>
      </w:r>
      <w:r>
        <w:rPr>
          <w:rFonts w:hint="eastAsia" w:ascii="宋体" w:hAnsi="宋体" w:cs="宋体"/>
          <w:color w:val="auto"/>
          <w:highlight w:val="none"/>
          <w:u w:val="single"/>
        </w:rPr>
        <w:t>合格</w:t>
      </w:r>
      <w:r>
        <w:rPr>
          <w:rFonts w:hint="eastAsia" w:ascii="宋体" w:hAnsi="宋体" w:cs="宋体"/>
          <w:color w:val="auto"/>
          <w:highlight w:val="none"/>
        </w:rPr>
        <w:t>标准。</w:t>
      </w:r>
    </w:p>
    <w:p w14:paraId="09CF5654">
      <w:pPr>
        <w:spacing w:line="360" w:lineRule="auto"/>
        <w:ind w:firstLine="459"/>
        <w:outlineLvl w:val="0"/>
        <w:rPr>
          <w:rFonts w:ascii="宋体" w:hAnsi="宋体" w:cs="宋体"/>
          <w:b/>
          <w:bCs/>
          <w:color w:val="auto"/>
          <w:highlight w:val="none"/>
        </w:rPr>
      </w:pPr>
      <w:bookmarkStart w:id="122" w:name="_Toc351203484"/>
      <w:r>
        <w:rPr>
          <w:rFonts w:hint="eastAsia" w:ascii="宋体" w:hAnsi="宋体" w:cs="宋体"/>
          <w:b/>
          <w:bCs/>
          <w:color w:val="auto"/>
          <w:highlight w:val="none"/>
        </w:rPr>
        <w:t>四、签约合同价与合同价格形式</w:t>
      </w:r>
      <w:bookmarkEnd w:id="122"/>
    </w:p>
    <w:p w14:paraId="1FCCDDFB">
      <w:pPr>
        <w:spacing w:line="360" w:lineRule="auto"/>
        <w:ind w:firstLine="459"/>
        <w:rPr>
          <w:rFonts w:ascii="宋体" w:hAnsi="宋体" w:cs="宋体"/>
          <w:color w:val="auto"/>
          <w:highlight w:val="none"/>
        </w:rPr>
      </w:pPr>
      <w:r>
        <w:rPr>
          <w:rFonts w:hint="eastAsia" w:ascii="宋体" w:hAnsi="宋体" w:cs="宋体"/>
          <w:color w:val="auto"/>
          <w:highlight w:val="none"/>
        </w:rPr>
        <w:t>1. 签约合同价为：</w:t>
      </w:r>
    </w:p>
    <w:p w14:paraId="5BE8F3F5">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b/>
          <w:bCs/>
          <w:color w:val="auto"/>
          <w:highlight w:val="none"/>
          <w:u w:val="single"/>
        </w:rPr>
        <w:t xml:space="preserve">       </w:t>
      </w:r>
      <w:r>
        <w:rPr>
          <w:rFonts w:hint="eastAsia" w:ascii="宋体" w:hAnsi="宋体" w:cs="宋体"/>
          <w:b/>
          <w:bCs/>
          <w:color w:val="auto"/>
          <w:highlight w:val="none"/>
        </w:rPr>
        <w:t>（¥</w:t>
      </w:r>
      <w:r>
        <w:rPr>
          <w:rFonts w:hint="eastAsia" w:ascii="宋体" w:hAnsi="宋体" w:cs="宋体"/>
          <w:b/>
          <w:bCs/>
          <w:color w:val="auto"/>
          <w:highlight w:val="none"/>
          <w:u w:val="single"/>
        </w:rPr>
        <w:t xml:space="preserve">          </w:t>
      </w:r>
      <w:r>
        <w:rPr>
          <w:rFonts w:hint="eastAsia" w:ascii="宋体" w:hAnsi="宋体" w:cs="宋体"/>
          <w:b/>
          <w:bCs/>
          <w:color w:val="auto"/>
          <w:highlight w:val="none"/>
        </w:rPr>
        <w:t>元）</w:t>
      </w:r>
      <w:r>
        <w:rPr>
          <w:rFonts w:hint="eastAsia" w:ascii="宋体" w:hAnsi="宋体" w:cs="宋体"/>
          <w:color w:val="auto"/>
          <w:highlight w:val="none"/>
        </w:rPr>
        <w:t>；</w:t>
      </w:r>
    </w:p>
    <w:p w14:paraId="1551D76B">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其中：</w:t>
      </w:r>
    </w:p>
    <w:p w14:paraId="4B9CA2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（1）安全文明施工费：</w:t>
      </w:r>
    </w:p>
    <w:p w14:paraId="7B140ADC">
      <w:pPr>
        <w:spacing w:line="360" w:lineRule="auto"/>
        <w:ind w:left="420" w:leftChars="200" w:firstLine="525" w:firstLineChars="2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b/>
          <w:bCs/>
          <w:color w:val="auto"/>
          <w:highlight w:val="none"/>
          <w:u w:val="single"/>
        </w:rPr>
        <w:t xml:space="preserve">           </w:t>
      </w:r>
      <w:r>
        <w:rPr>
          <w:rFonts w:hint="eastAsia" w:ascii="宋体" w:hAnsi="宋体" w:cs="宋体"/>
          <w:b/>
          <w:bCs/>
          <w:color w:val="auto"/>
          <w:highlight w:val="none"/>
        </w:rPr>
        <w:t>（¥</w:t>
      </w:r>
      <w:r>
        <w:rPr>
          <w:rFonts w:hint="eastAsia" w:ascii="宋体" w:hAnsi="宋体" w:cs="宋体"/>
          <w:b/>
          <w:bCs/>
          <w:color w:val="auto"/>
          <w:highlight w:val="none"/>
          <w:u w:val="single"/>
        </w:rPr>
        <w:t xml:space="preserve">            </w:t>
      </w:r>
      <w:r>
        <w:rPr>
          <w:rFonts w:hint="eastAsia" w:ascii="宋体" w:hAnsi="宋体" w:cs="宋体"/>
          <w:b/>
          <w:bCs/>
          <w:color w:val="auto"/>
          <w:highlight w:val="none"/>
        </w:rPr>
        <w:t>元）</w:t>
      </w:r>
      <w:r>
        <w:rPr>
          <w:rFonts w:hint="eastAsia" w:ascii="宋体" w:hAnsi="宋体" w:cs="宋体"/>
          <w:color w:val="auto"/>
          <w:highlight w:val="none"/>
        </w:rPr>
        <w:t>；</w:t>
      </w:r>
    </w:p>
    <w:p w14:paraId="0ABC071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（2）材料和工程设备暂估价金额：</w:t>
      </w:r>
    </w:p>
    <w:p w14:paraId="79623ADD">
      <w:pPr>
        <w:spacing w:line="360" w:lineRule="auto"/>
        <w:ind w:firstLine="945"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元）；</w:t>
      </w:r>
    </w:p>
    <w:p w14:paraId="1260A4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（3）专业工程暂估价金额：</w:t>
      </w:r>
    </w:p>
    <w:p w14:paraId="74E41411">
      <w:pPr>
        <w:spacing w:line="360" w:lineRule="auto"/>
        <w:ind w:firstLine="945"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元）；</w:t>
      </w:r>
    </w:p>
    <w:p w14:paraId="368583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（4）暂列金额：</w:t>
      </w:r>
    </w:p>
    <w:p w14:paraId="59BBBDAD">
      <w:pPr>
        <w:spacing w:line="360" w:lineRule="auto"/>
        <w:ind w:firstLine="945"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元）。</w:t>
      </w:r>
    </w:p>
    <w:p w14:paraId="24AE82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 合同价格形式：</w:t>
      </w:r>
      <w:r>
        <w:rPr>
          <w:rFonts w:hint="eastAsia" w:ascii="宋体" w:hAnsi="宋体" w:cs="宋体"/>
          <w:color w:val="auto"/>
          <w:highlight w:val="none"/>
          <w:u w:val="single"/>
        </w:rPr>
        <w:t xml:space="preserve"> 单价合同  </w:t>
      </w:r>
      <w:r>
        <w:rPr>
          <w:rFonts w:hint="eastAsia" w:ascii="宋体" w:hAnsi="宋体" w:cs="宋体"/>
          <w:color w:val="auto"/>
          <w:highlight w:val="none"/>
        </w:rPr>
        <w:t>。</w:t>
      </w:r>
    </w:p>
    <w:p w14:paraId="79D750A0">
      <w:pPr>
        <w:spacing w:line="360" w:lineRule="auto"/>
        <w:ind w:firstLine="422" w:firstLineChars="200"/>
        <w:outlineLvl w:val="0"/>
        <w:rPr>
          <w:rFonts w:ascii="宋体" w:hAnsi="宋体" w:cs="宋体"/>
          <w:b/>
          <w:bCs/>
          <w:color w:val="auto"/>
          <w:highlight w:val="none"/>
        </w:rPr>
      </w:pPr>
      <w:bookmarkStart w:id="123" w:name="_Toc351203485"/>
      <w:r>
        <w:rPr>
          <w:rFonts w:hint="eastAsia" w:ascii="宋体" w:hAnsi="宋体" w:cs="宋体"/>
          <w:b/>
          <w:bCs/>
          <w:color w:val="auto"/>
          <w:highlight w:val="none"/>
        </w:rPr>
        <w:t>五、</w:t>
      </w:r>
      <w:bookmarkEnd w:id="123"/>
      <w:r>
        <w:rPr>
          <w:rFonts w:hint="eastAsia" w:ascii="宋体" w:hAnsi="宋体" w:cs="宋体"/>
          <w:b/>
          <w:bCs/>
          <w:color w:val="auto"/>
          <w:highlight w:val="none"/>
        </w:rPr>
        <w:t>项目经理</w:t>
      </w:r>
    </w:p>
    <w:p w14:paraId="422486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1、承包人项目经理</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XXXX  </w:t>
      </w:r>
      <w:r>
        <w:rPr>
          <w:rFonts w:hint="eastAsia" w:ascii="宋体" w:hAnsi="宋体" w:cs="宋体"/>
          <w:b/>
          <w:bCs/>
          <w:color w:val="auto"/>
          <w:szCs w:val="21"/>
          <w:highlight w:val="none"/>
        </w:rPr>
        <w:t>。</w:t>
      </w:r>
    </w:p>
    <w:p w14:paraId="5343D8B4">
      <w:pPr>
        <w:spacing w:line="360" w:lineRule="auto"/>
        <w:ind w:firstLine="422" w:firstLineChars="200"/>
        <w:outlineLvl w:val="0"/>
        <w:rPr>
          <w:rFonts w:ascii="宋体" w:hAnsi="宋体" w:cs="宋体"/>
          <w:b/>
          <w:bCs/>
          <w:color w:val="auto"/>
          <w:highlight w:val="none"/>
        </w:rPr>
      </w:pPr>
      <w:bookmarkStart w:id="124" w:name="_Toc351203486"/>
      <w:r>
        <w:rPr>
          <w:rFonts w:hint="eastAsia" w:ascii="宋体" w:hAnsi="宋体" w:cs="宋体"/>
          <w:b/>
          <w:bCs/>
          <w:color w:val="auto"/>
          <w:highlight w:val="none"/>
        </w:rPr>
        <w:t>六、合同文件构成</w:t>
      </w:r>
      <w:bookmarkEnd w:id="124"/>
    </w:p>
    <w:p w14:paraId="47C682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本协议书与下列文件一起构成合同文件：</w:t>
      </w:r>
    </w:p>
    <w:p w14:paraId="18A32967">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（1）专用合同条款及其附件；</w:t>
      </w:r>
    </w:p>
    <w:p w14:paraId="47B4A423">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（2）通用合同条款； </w:t>
      </w:r>
    </w:p>
    <w:p w14:paraId="1E5F39E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技术标准和要求</w:t>
      </w:r>
      <w:r>
        <w:rPr>
          <w:rFonts w:hint="eastAsia" w:ascii="宋体" w:hAnsi="宋体" w:cs="宋体"/>
          <w:color w:val="auto"/>
          <w:highlight w:val="none"/>
        </w:rPr>
        <w:t>；</w:t>
      </w:r>
    </w:p>
    <w:p w14:paraId="4489AB2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u w:val="single"/>
        </w:rPr>
        <w:t>已标价工程量清单或工程预算书</w:t>
      </w:r>
      <w:r>
        <w:rPr>
          <w:rFonts w:hint="eastAsia" w:ascii="宋体" w:hAnsi="宋体" w:cs="宋体"/>
          <w:color w:val="auto"/>
          <w:highlight w:val="none"/>
        </w:rPr>
        <w:t>；</w:t>
      </w:r>
    </w:p>
    <w:p w14:paraId="437AA04F">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u w:val="single"/>
        </w:rPr>
        <w:t>图纸</w:t>
      </w:r>
      <w:r>
        <w:rPr>
          <w:rFonts w:hint="eastAsia" w:ascii="宋体" w:hAnsi="宋体" w:cs="宋体"/>
          <w:color w:val="auto"/>
          <w:highlight w:val="none"/>
        </w:rPr>
        <w:t>；</w:t>
      </w:r>
    </w:p>
    <w:p w14:paraId="05ED54E5">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（6）其他合同文件；</w:t>
      </w:r>
    </w:p>
    <w:p w14:paraId="370A1CC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2B612FA0">
      <w:pPr>
        <w:autoSpaceDE w:val="0"/>
        <w:autoSpaceDN w:val="0"/>
        <w:adjustRightInd w:val="0"/>
        <w:spacing w:line="360" w:lineRule="auto"/>
        <w:ind w:firstLine="422" w:firstLineChars="200"/>
        <w:jc w:val="left"/>
        <w:outlineLvl w:val="0"/>
        <w:rPr>
          <w:rFonts w:ascii="宋体" w:hAnsi="宋体" w:cs="宋体"/>
          <w:b/>
          <w:bCs/>
          <w:color w:val="auto"/>
          <w:highlight w:val="none"/>
        </w:rPr>
      </w:pPr>
      <w:bookmarkStart w:id="125" w:name="_Toc351203487"/>
      <w:r>
        <w:rPr>
          <w:rFonts w:hint="eastAsia" w:ascii="宋体" w:hAnsi="宋体" w:cs="宋体"/>
          <w:b/>
          <w:bCs/>
          <w:color w:val="auto"/>
          <w:highlight w:val="none"/>
        </w:rPr>
        <w:t>七、承诺</w:t>
      </w:r>
      <w:bookmarkEnd w:id="125"/>
    </w:p>
    <w:p w14:paraId="20BE29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 发包人承诺按照法律规定履行项目审批手续、筹集工程建设资金并按照合同约定的期限和方式支付合同价款。</w:t>
      </w:r>
    </w:p>
    <w:p w14:paraId="4570C2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 承包人承诺按照法律规定及合同约定组织完成工程施工，确保工程质量和安全，不进行转包及违法分包，并在缺陷责任期及保修期内承担相应的工程维修责任。</w:t>
      </w:r>
    </w:p>
    <w:p w14:paraId="04070A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 发包人和承包人通过招投标形式/定点采购方式签订合同的，双方理解并承诺不再就同一工程另行签订与合同实质性内容相背离的协议。</w:t>
      </w:r>
      <w:bookmarkStart w:id="126" w:name="_Toc351203488"/>
    </w:p>
    <w:p w14:paraId="7F82B3A4">
      <w:pPr>
        <w:spacing w:line="360" w:lineRule="auto"/>
        <w:ind w:firstLine="422" w:firstLineChars="200"/>
        <w:outlineLvl w:val="0"/>
        <w:rPr>
          <w:rFonts w:ascii="宋体" w:hAnsi="宋体" w:cs="宋体"/>
          <w:b/>
          <w:bCs/>
          <w:color w:val="auto"/>
          <w:highlight w:val="none"/>
        </w:rPr>
      </w:pPr>
      <w:r>
        <w:rPr>
          <w:rFonts w:hint="eastAsia" w:ascii="宋体" w:hAnsi="宋体" w:cs="宋体"/>
          <w:b/>
          <w:bCs/>
          <w:color w:val="auto"/>
          <w:highlight w:val="none"/>
        </w:rPr>
        <w:t>八、词语含义</w:t>
      </w:r>
      <w:bookmarkEnd w:id="126"/>
    </w:p>
    <w:p w14:paraId="765D8B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本协议书中词语含义与第二部分通用合同条款中赋予的含义相同。</w:t>
      </w:r>
    </w:p>
    <w:p w14:paraId="7BA3B84B">
      <w:pPr>
        <w:spacing w:line="360" w:lineRule="auto"/>
        <w:ind w:firstLine="422" w:firstLineChars="200"/>
        <w:outlineLvl w:val="0"/>
        <w:rPr>
          <w:rFonts w:ascii="宋体" w:hAnsi="宋体" w:cs="宋体"/>
          <w:b/>
          <w:bCs/>
          <w:color w:val="auto"/>
          <w:highlight w:val="none"/>
        </w:rPr>
      </w:pPr>
      <w:bookmarkStart w:id="127" w:name="_Toc351203489"/>
      <w:r>
        <w:rPr>
          <w:rFonts w:hint="eastAsia" w:ascii="宋体" w:hAnsi="宋体" w:cs="宋体"/>
          <w:b/>
          <w:bCs/>
          <w:color w:val="auto"/>
          <w:highlight w:val="none"/>
        </w:rPr>
        <w:t>九、签订时间</w:t>
      </w:r>
      <w:bookmarkEnd w:id="127"/>
    </w:p>
    <w:p w14:paraId="2F0D95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本合同于</w:t>
      </w:r>
      <w:r>
        <w:rPr>
          <w:rFonts w:hint="eastAsia" w:ascii="宋体" w:hAnsi="宋体" w:cs="宋体"/>
          <w:color w:val="auto"/>
          <w:highlight w:val="none"/>
          <w:u w:val="single"/>
        </w:rPr>
        <w:t xml:space="preserve">    2025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日签订。</w:t>
      </w:r>
    </w:p>
    <w:p w14:paraId="4A2A9B46">
      <w:pPr>
        <w:spacing w:line="360" w:lineRule="auto"/>
        <w:ind w:firstLine="422" w:firstLineChars="200"/>
        <w:outlineLvl w:val="0"/>
        <w:rPr>
          <w:rFonts w:ascii="宋体" w:hAnsi="宋体" w:cs="宋体"/>
          <w:b/>
          <w:bCs/>
          <w:color w:val="auto"/>
          <w:highlight w:val="none"/>
        </w:rPr>
      </w:pPr>
      <w:bookmarkStart w:id="128" w:name="_Toc351203490"/>
      <w:r>
        <w:rPr>
          <w:rFonts w:hint="eastAsia" w:ascii="宋体" w:hAnsi="宋体" w:cs="宋体"/>
          <w:b/>
          <w:bCs/>
          <w:color w:val="auto"/>
          <w:highlight w:val="none"/>
        </w:rPr>
        <w:t>十、签订地点</w:t>
      </w:r>
      <w:bookmarkEnd w:id="128"/>
    </w:p>
    <w:p w14:paraId="23998A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本合同在</w:t>
      </w:r>
      <w:r>
        <w:rPr>
          <w:rFonts w:hint="eastAsia" w:ascii="宋体" w:hAnsi="宋体" w:cs="宋体"/>
          <w:color w:val="auto"/>
          <w:highlight w:val="none"/>
          <w:u w:val="single"/>
        </w:rPr>
        <w:t xml:space="preserve"> 横州市第二高级中学 </w:t>
      </w:r>
      <w:r>
        <w:rPr>
          <w:rFonts w:hint="eastAsia" w:ascii="宋体" w:hAnsi="宋体" w:cs="宋体"/>
          <w:color w:val="auto"/>
          <w:highlight w:val="none"/>
        </w:rPr>
        <w:t>签订。</w:t>
      </w:r>
    </w:p>
    <w:p w14:paraId="63A99723">
      <w:pPr>
        <w:spacing w:line="360" w:lineRule="auto"/>
        <w:ind w:firstLine="422" w:firstLineChars="200"/>
        <w:outlineLvl w:val="0"/>
        <w:rPr>
          <w:rFonts w:ascii="宋体" w:hAnsi="宋体" w:cs="宋体"/>
          <w:b/>
          <w:bCs/>
          <w:color w:val="auto"/>
          <w:highlight w:val="none"/>
        </w:rPr>
      </w:pPr>
      <w:bookmarkStart w:id="129" w:name="_Toc351203491"/>
      <w:r>
        <w:rPr>
          <w:rFonts w:hint="eastAsia" w:ascii="宋体" w:hAnsi="宋体" w:cs="宋体"/>
          <w:b/>
          <w:bCs/>
          <w:color w:val="auto"/>
          <w:highlight w:val="none"/>
        </w:rPr>
        <w:t>十一、补充协议</w:t>
      </w:r>
      <w:bookmarkEnd w:id="129"/>
    </w:p>
    <w:p w14:paraId="45826C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合同未尽事宜，合同当事人另行签订补充协议，补充协议是合同的组成部分。</w:t>
      </w:r>
    </w:p>
    <w:p w14:paraId="7F319200">
      <w:pPr>
        <w:spacing w:line="360" w:lineRule="auto"/>
        <w:ind w:firstLine="422" w:firstLineChars="200"/>
        <w:outlineLvl w:val="0"/>
        <w:rPr>
          <w:rFonts w:ascii="宋体" w:hAnsi="宋体" w:cs="宋体"/>
          <w:b/>
          <w:bCs/>
          <w:color w:val="auto"/>
          <w:highlight w:val="none"/>
        </w:rPr>
      </w:pPr>
      <w:bookmarkStart w:id="130" w:name="_Toc351203492"/>
      <w:r>
        <w:rPr>
          <w:rFonts w:hint="eastAsia" w:ascii="宋体" w:hAnsi="宋体" w:cs="宋体"/>
          <w:b/>
          <w:bCs/>
          <w:color w:val="auto"/>
          <w:highlight w:val="none"/>
        </w:rPr>
        <w:t>十二、合同生效</w:t>
      </w:r>
      <w:bookmarkEnd w:id="130"/>
    </w:p>
    <w:p w14:paraId="509E13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本合同自</w:t>
      </w:r>
      <w:r>
        <w:rPr>
          <w:rFonts w:hint="eastAsia" w:ascii="宋体" w:hAnsi="宋体" w:cs="宋体"/>
          <w:color w:val="auto"/>
          <w:highlight w:val="none"/>
          <w:u w:val="single"/>
        </w:rPr>
        <w:t>双方法定代表人签字（或签章）且加盖单位印章后</w:t>
      </w:r>
      <w:r>
        <w:rPr>
          <w:rFonts w:hint="eastAsia" w:ascii="宋体" w:hAnsi="宋体" w:cs="宋体"/>
          <w:color w:val="auto"/>
          <w:highlight w:val="none"/>
        </w:rPr>
        <w:t>生效。</w:t>
      </w:r>
    </w:p>
    <w:p w14:paraId="4CC3DAFD">
      <w:pPr>
        <w:spacing w:line="360" w:lineRule="auto"/>
        <w:ind w:firstLine="422" w:firstLineChars="200"/>
        <w:outlineLvl w:val="0"/>
        <w:rPr>
          <w:rFonts w:ascii="宋体" w:hAnsi="宋体" w:cs="宋体"/>
          <w:b/>
          <w:bCs/>
          <w:color w:val="auto"/>
          <w:highlight w:val="none"/>
        </w:rPr>
      </w:pPr>
      <w:bookmarkStart w:id="131" w:name="_Toc351203493"/>
      <w:r>
        <w:rPr>
          <w:rFonts w:hint="eastAsia" w:ascii="宋体" w:hAnsi="宋体" w:cs="宋体"/>
          <w:b/>
          <w:bCs/>
          <w:color w:val="auto"/>
          <w:highlight w:val="none"/>
        </w:rPr>
        <w:t>十三、合同份数</w:t>
      </w:r>
      <w:bookmarkEnd w:id="131"/>
    </w:p>
    <w:p w14:paraId="3E2E6B7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本合同一式</w:t>
      </w:r>
      <w:r>
        <w:rPr>
          <w:rFonts w:hint="eastAsia" w:ascii="宋体" w:hAnsi="宋体" w:cs="宋体"/>
          <w:color w:val="auto"/>
          <w:highlight w:val="none"/>
          <w:u w:val="single"/>
        </w:rPr>
        <w:t xml:space="preserve"> 陆 </w:t>
      </w:r>
      <w:r>
        <w:rPr>
          <w:rFonts w:hint="eastAsia" w:ascii="宋体" w:hAnsi="宋体" w:cs="宋体"/>
          <w:color w:val="auto"/>
          <w:highlight w:val="none"/>
        </w:rPr>
        <w:t>份，均具有同等法律效力，发包人执</w:t>
      </w:r>
      <w:r>
        <w:rPr>
          <w:rFonts w:hint="eastAsia" w:ascii="宋体" w:hAnsi="宋体" w:cs="宋体"/>
          <w:color w:val="auto"/>
          <w:highlight w:val="none"/>
          <w:u w:val="single"/>
        </w:rPr>
        <w:t xml:space="preserve"> 肆 </w:t>
      </w:r>
      <w:r>
        <w:rPr>
          <w:rFonts w:hint="eastAsia" w:ascii="宋体" w:hAnsi="宋体" w:cs="宋体"/>
          <w:color w:val="auto"/>
          <w:highlight w:val="none"/>
        </w:rPr>
        <w:t>份，承包人执</w:t>
      </w:r>
      <w:r>
        <w:rPr>
          <w:rFonts w:hint="eastAsia" w:ascii="宋体" w:hAnsi="宋体" w:cs="宋体"/>
          <w:color w:val="auto"/>
          <w:highlight w:val="none"/>
          <w:u w:val="single"/>
        </w:rPr>
        <w:t xml:space="preserve"> 贰 </w:t>
      </w:r>
      <w:r>
        <w:rPr>
          <w:rFonts w:hint="eastAsia" w:ascii="宋体" w:hAnsi="宋体" w:cs="宋体"/>
          <w:color w:val="auto"/>
          <w:highlight w:val="none"/>
        </w:rPr>
        <w:t>份。</w:t>
      </w:r>
    </w:p>
    <w:p w14:paraId="4C71C647">
      <w:pPr>
        <w:spacing w:line="360" w:lineRule="auto"/>
        <w:rPr>
          <w:rFonts w:ascii="宋体" w:hAnsi="宋体" w:cs="宋体"/>
          <w:color w:val="auto"/>
          <w:highlight w:val="none"/>
        </w:rPr>
      </w:pPr>
    </w:p>
    <w:p w14:paraId="6216F1C6">
      <w:pPr>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spacing w:val="-1"/>
          <w:highlight w:val="none"/>
        </w:rPr>
        <w:t>横州市第二高级中学</w:t>
      </w:r>
      <w:r>
        <w:rPr>
          <w:rFonts w:hint="eastAsia" w:ascii="宋体" w:hAnsi="宋体" w:cs="宋体"/>
          <w:color w:val="auto"/>
          <w:highlight w:val="none"/>
        </w:rPr>
        <w:t>（公章）              承包人：广西xxxx有限公司（公章）</w:t>
      </w:r>
    </w:p>
    <w:p w14:paraId="79ED1A3E">
      <w:pPr>
        <w:spacing w:line="360" w:lineRule="auto"/>
        <w:rPr>
          <w:rFonts w:ascii="宋体" w:hAnsi="宋体" w:cs="宋体"/>
          <w:color w:val="auto"/>
          <w:highlight w:val="none"/>
          <w:u w:val="single"/>
        </w:rPr>
      </w:pPr>
      <w:r>
        <w:rPr>
          <w:rFonts w:hint="eastAsia" w:ascii="宋体" w:hAnsi="宋体" w:cs="宋体"/>
          <w:color w:val="auto"/>
          <w:highlight w:val="none"/>
        </w:rPr>
        <w:t xml:space="preserve">                                 </w:t>
      </w:r>
    </w:p>
    <w:p w14:paraId="20826AA5">
      <w:pPr>
        <w:spacing w:line="360" w:lineRule="auto"/>
        <w:rPr>
          <w:rFonts w:ascii="宋体" w:hAnsi="宋体" w:cs="宋体"/>
          <w:color w:val="auto"/>
          <w:highlight w:val="none"/>
        </w:rPr>
      </w:pPr>
      <w:r>
        <w:rPr>
          <w:rFonts w:hint="eastAsia" w:ascii="宋体" w:hAnsi="宋体" w:cs="宋体"/>
          <w:color w:val="auto"/>
          <w:highlight w:val="none"/>
        </w:rPr>
        <w:t>法定代表人或其委托代理人：                法定代表人或其委托代理人：</w:t>
      </w:r>
    </w:p>
    <w:p w14:paraId="7D97279E">
      <w:pPr>
        <w:spacing w:line="360" w:lineRule="auto"/>
        <w:rPr>
          <w:rFonts w:ascii="宋体" w:hAnsi="宋体" w:cs="宋体"/>
          <w:color w:val="auto"/>
          <w:highlight w:val="none"/>
        </w:rPr>
      </w:pPr>
      <w:r>
        <w:rPr>
          <w:rFonts w:hint="eastAsia" w:ascii="宋体" w:hAnsi="宋体" w:cs="宋体"/>
          <w:color w:val="auto"/>
          <w:highlight w:val="none"/>
        </w:rPr>
        <w:t>（签字或盖章）                                 （签字或盖章）</w:t>
      </w:r>
    </w:p>
    <w:p w14:paraId="6C006B4D">
      <w:pPr>
        <w:spacing w:line="360" w:lineRule="auto"/>
        <w:rPr>
          <w:rFonts w:ascii="宋体" w:hAnsi="宋体" w:cs="宋体"/>
          <w:color w:val="auto"/>
          <w:highlight w:val="none"/>
          <w:u w:val="single"/>
        </w:rPr>
      </w:pPr>
    </w:p>
    <w:p w14:paraId="3839C2F1">
      <w:pPr>
        <w:tabs>
          <w:tab w:val="left" w:pos="4410"/>
        </w:tabs>
        <w:spacing w:line="360" w:lineRule="auto"/>
        <w:rPr>
          <w:rFonts w:ascii="宋体" w:hAnsi="宋体" w:cs="宋体"/>
          <w:color w:val="auto"/>
          <w:highlight w:val="none"/>
          <w:u w:val="single"/>
        </w:rPr>
      </w:pPr>
      <w:r>
        <w:rPr>
          <w:rFonts w:hint="eastAsia" w:ascii="宋体" w:hAnsi="宋体" w:cs="宋体"/>
          <w:color w:val="auto"/>
          <w:highlight w:val="none"/>
        </w:rPr>
        <w:t>统一社会信用代码：11450127007728109W     统一社会信用代码：</w:t>
      </w:r>
      <w:r>
        <w:rPr>
          <w:rFonts w:hint="eastAsia" w:ascii="宋体" w:hAnsi="宋体" w:cs="宋体"/>
          <w:color w:val="auto"/>
          <w:highlight w:val="none"/>
          <w:u w:val="single"/>
        </w:rPr>
        <w:t xml:space="preserve">    91450100xxxx82U      </w:t>
      </w:r>
    </w:p>
    <w:p w14:paraId="3F30C4B2">
      <w:pPr>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spacing w:val="-7"/>
          <w:highlight w:val="none"/>
        </w:rPr>
        <w:t>横州市横州镇柳福北巷21号</w:t>
      </w:r>
      <w:r>
        <w:rPr>
          <w:rFonts w:hint="eastAsia" w:ascii="宋体" w:hAnsi="宋体" w:cs="宋体"/>
          <w:color w:val="auto"/>
          <w:highlight w:val="none"/>
        </w:rPr>
        <w:t xml:space="preserve">     地  址：</w:t>
      </w:r>
      <w:r>
        <w:rPr>
          <w:rFonts w:hint="eastAsia" w:ascii="宋体" w:hAnsi="宋体" w:cs="宋体"/>
          <w:color w:val="auto"/>
          <w:highlight w:val="none"/>
          <w:u w:val="single"/>
        </w:rPr>
        <w:t>xxx                         Xxxxx</w:t>
      </w:r>
    </w:p>
    <w:p w14:paraId="3913BF32">
      <w:pPr>
        <w:spacing w:line="360" w:lineRule="auto"/>
        <w:rPr>
          <w:rFonts w:ascii="宋体" w:hAnsi="宋体" w:cs="宋体"/>
          <w:color w:val="auto"/>
          <w:highlight w:val="none"/>
          <w:u w:val="singl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bCs/>
          <w:color w:val="auto"/>
          <w:highlight w:val="none"/>
          <w:u w:val="single"/>
        </w:rPr>
        <w:t xml:space="preserve">          530300               </w:t>
      </w:r>
    </w:p>
    <w:p w14:paraId="7957CAC7">
      <w:pPr>
        <w:rPr>
          <w:rFonts w:ascii="宋体" w:hAnsi="宋体" w:cs="宋体"/>
          <w:color w:val="auto"/>
          <w:highlight w:val="none"/>
        </w:rPr>
      </w:pPr>
      <w:r>
        <w:rPr>
          <w:rFonts w:hint="eastAsia" w:ascii="宋体" w:hAnsi="宋体" w:cs="宋体"/>
          <w:color w:val="auto"/>
          <w:highlight w:val="none"/>
        </w:rPr>
        <w:t xml:space="preserve">     </w:t>
      </w:r>
    </w:p>
    <w:p w14:paraId="00682FED">
      <w:pPr>
        <w:spacing w:line="360" w:lineRule="auto"/>
        <w:rPr>
          <w:rFonts w:ascii="宋体" w:hAnsi="宋体" w:cs="宋体"/>
          <w:bCs/>
          <w:color w:val="auto"/>
          <w:highlight w:val="none"/>
          <w:u w:val="single"/>
        </w:rPr>
      </w:pPr>
      <w:r>
        <w:rPr>
          <w:rFonts w:hint="eastAsia" w:ascii="宋体" w:hAnsi="宋体" w:cs="宋体"/>
          <w:color w:val="auto"/>
          <w:highlight w:val="none"/>
        </w:rPr>
        <w:t>电  话：</w:t>
      </w:r>
      <w:r>
        <w:rPr>
          <w:rFonts w:hint="eastAsia" w:ascii="宋体" w:hAnsi="宋体" w:cs="宋体"/>
          <w:color w:val="auto"/>
          <w:highlight w:val="none"/>
          <w:u w:val="single"/>
        </w:rPr>
        <w:t xml:space="preserve">  0771-7226886 /7230726          </w:t>
      </w:r>
      <w:r>
        <w:rPr>
          <w:rFonts w:hint="eastAsia" w:ascii="宋体" w:hAnsi="宋体" w:cs="宋体"/>
          <w:color w:val="auto"/>
          <w:highlight w:val="none"/>
        </w:rPr>
        <w:t>电  话：</w:t>
      </w:r>
      <w:r>
        <w:rPr>
          <w:rFonts w:hint="eastAsia" w:ascii="宋体" w:hAnsi="宋体" w:cs="宋体"/>
          <w:bCs/>
          <w:color w:val="auto"/>
          <w:highlight w:val="none"/>
          <w:u w:val="single"/>
        </w:rPr>
        <w:t xml:space="preserve">         0771-7XXX          </w:t>
      </w:r>
    </w:p>
    <w:p w14:paraId="4EE88F5B">
      <w:pPr>
        <w:spacing w:line="360" w:lineRule="auto"/>
        <w:rPr>
          <w:rFonts w:ascii="宋体" w:hAnsi="宋体" w:cs="宋体"/>
          <w:bCs/>
          <w:color w:val="auto"/>
          <w:highlight w:val="none"/>
          <w:u w:val="singl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传  真：</w:t>
      </w:r>
      <w:r>
        <w:rPr>
          <w:rFonts w:hint="eastAsia" w:ascii="宋体" w:hAnsi="宋体" w:cs="宋体"/>
          <w:bCs/>
          <w:color w:val="auto"/>
          <w:highlight w:val="none"/>
          <w:u w:val="single"/>
        </w:rPr>
        <w:t xml:space="preserve">                              </w:t>
      </w:r>
    </w:p>
    <w:p w14:paraId="55197513">
      <w:pPr>
        <w:spacing w:line="360" w:lineRule="auto"/>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tj7226886@163.com          </w:t>
      </w:r>
      <w:r>
        <w:rPr>
          <w:rFonts w:hint="eastAsia" w:ascii="宋体" w:hAnsi="宋体" w:cs="宋体"/>
          <w:color w:val="auto"/>
          <w:highlight w:val="none"/>
        </w:rPr>
        <w:t xml:space="preserve">    电子信箱：</w:t>
      </w:r>
      <w:r>
        <w:rPr>
          <w:rFonts w:hint="eastAsia" w:ascii="宋体" w:hAnsi="宋体" w:cs="宋体"/>
          <w:color w:val="auto"/>
          <w:highlight w:val="none"/>
          <w:u w:val="single"/>
        </w:rPr>
        <w:t xml:space="preserve">                           </w:t>
      </w:r>
    </w:p>
    <w:p w14:paraId="461714E8">
      <w:pPr>
        <w:spacing w:line="360" w:lineRule="auto"/>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 xml:space="preserve">   中国农业银行xxx市支行    </w:t>
      </w:r>
    </w:p>
    <w:p w14:paraId="79B11116">
      <w:pPr>
        <w:rPr>
          <w:rFonts w:ascii="宋体" w:hAnsi="宋体" w:cs="宋体"/>
          <w:bCs/>
          <w:color w:val="auto"/>
          <w:highlight w:val="none"/>
          <w:u w:val="single"/>
        </w:rPr>
      </w:pPr>
      <w:r>
        <w:rPr>
          <w:rFonts w:hint="eastAsia" w:ascii="宋体" w:hAnsi="宋体" w:cs="宋体"/>
          <w:color w:val="auto"/>
          <w:highlight w:val="none"/>
        </w:rPr>
        <w:t>账  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账  号：</w:t>
      </w:r>
      <w:r>
        <w:rPr>
          <w:rFonts w:hint="eastAsia" w:ascii="宋体" w:hAnsi="宋体" w:cs="宋体"/>
          <w:bCs/>
          <w:color w:val="auto"/>
          <w:highlight w:val="none"/>
          <w:u w:val="single"/>
        </w:rPr>
        <w:t xml:space="preserve">    200686xxxxx72          </w:t>
      </w:r>
    </w:p>
    <w:p w14:paraId="3665E644">
      <w:pPr>
        <w:rPr>
          <w:color w:val="auto"/>
          <w:sz w:val="20"/>
          <w:highlight w:val="none"/>
        </w:rPr>
      </w:pPr>
      <w:r>
        <w:rPr>
          <w:rFonts w:hint="eastAsia"/>
          <w:color w:val="auto"/>
          <w:sz w:val="20"/>
          <w:highlight w:val="none"/>
        </w:rPr>
        <w:t xml:space="preserve"> </w:t>
      </w:r>
    </w:p>
    <w:p w14:paraId="5C7D1EE6">
      <w:pPr>
        <w:widowControl/>
        <w:jc w:val="left"/>
        <w:rPr>
          <w:color w:val="auto"/>
          <w:highlight w:val="none"/>
          <w:u w:val="single"/>
        </w:rPr>
      </w:pPr>
      <w:r>
        <w:rPr>
          <w:color w:val="auto"/>
          <w:highlight w:val="none"/>
        </w:rPr>
        <w:br w:type="page"/>
      </w:r>
    </w:p>
    <w:p w14:paraId="30C22585">
      <w:pPr>
        <w:pStyle w:val="2"/>
        <w:jc w:val="center"/>
        <w:rPr>
          <w:color w:val="auto"/>
          <w:highlight w:val="none"/>
        </w:rPr>
      </w:pPr>
      <w:bookmarkStart w:id="132" w:name="_Toc256000128"/>
      <w:bookmarkStart w:id="133" w:name="_Toc83895639"/>
      <w:bookmarkStart w:id="134" w:name="_Toc407135192"/>
      <w:bookmarkStart w:id="135" w:name="_Toc389065256"/>
      <w:bookmarkStart w:id="136" w:name="_Toc351203632"/>
      <w:bookmarkStart w:id="137" w:name="_Toc373227691"/>
      <w:bookmarkStart w:id="138" w:name="_Toc373478338"/>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32"/>
      <w:bookmarkEnd w:id="133"/>
      <w:bookmarkEnd w:id="134"/>
      <w:bookmarkEnd w:id="135"/>
    </w:p>
    <w:p w14:paraId="567FE1C5">
      <w:pPr>
        <w:spacing w:line="360" w:lineRule="auto"/>
        <w:ind w:firstLine="420" w:firstLineChars="200"/>
        <w:rPr>
          <w:rFonts w:hAnsi="宋体"/>
          <w:color w:val="auto"/>
          <w:kern w:val="0"/>
          <w:highlight w:val="none"/>
        </w:rPr>
      </w:pPr>
    </w:p>
    <w:p w14:paraId="2485E19B">
      <w:pPr>
        <w:spacing w:line="360" w:lineRule="auto"/>
        <w:ind w:firstLine="422" w:firstLineChars="200"/>
        <w:rPr>
          <w:rFonts w:ascii="宋体" w:hAnsi="宋体" w:cs="宋体"/>
          <w:b/>
          <w:bCs/>
          <w:color w:val="auto"/>
          <w:kern w:val="0"/>
          <w:highlight w:val="none"/>
        </w:rPr>
      </w:pPr>
      <w:bookmarkStart w:id="139" w:name="_Toc407135193"/>
      <w:bookmarkStart w:id="140" w:name="_Toc83895640"/>
      <w:bookmarkStart w:id="141" w:name="_Toc256000129"/>
      <w:bookmarkStart w:id="142" w:name="_Toc389065257"/>
      <w:r>
        <w:rPr>
          <w:rFonts w:hint="eastAsia" w:ascii="宋体" w:hAnsi="宋体" w:cs="宋体"/>
          <w:b/>
          <w:bCs/>
          <w:color w:val="auto"/>
          <w:kern w:val="0"/>
          <w:highlight w:val="none"/>
        </w:rPr>
        <w:t>采用《建设工程施工合同（示范文本）》（GF—2017—0201）。</w:t>
      </w:r>
    </w:p>
    <w:p w14:paraId="4098D044">
      <w:pPr>
        <w:spacing w:line="360" w:lineRule="auto"/>
        <w:ind w:firstLine="420" w:firstLineChars="200"/>
        <w:rPr>
          <w:rFonts w:ascii="宋体" w:hAnsi="宋体" w:cs="宋体"/>
          <w:color w:val="auto"/>
          <w:kern w:val="0"/>
          <w:highlight w:val="none"/>
        </w:rPr>
      </w:pPr>
      <w:bookmarkStart w:id="143" w:name="_Toc351203495"/>
      <w:r>
        <w:rPr>
          <w:rFonts w:hint="eastAsia" w:ascii="宋体" w:hAnsi="宋体" w:cs="宋体"/>
          <w:color w:val="auto"/>
          <w:kern w:val="0"/>
          <w:highlight w:val="none"/>
        </w:rPr>
        <w:t>1.</w:t>
      </w:r>
      <w:bookmarkStart w:id="144" w:name="_Toc303538974"/>
      <w:bookmarkEnd w:id="144"/>
      <w:bookmarkStart w:id="145" w:name="_Toc303538972"/>
      <w:bookmarkEnd w:id="145"/>
      <w:bookmarkStart w:id="146" w:name="_Toc303538976"/>
      <w:bookmarkEnd w:id="146"/>
      <w:bookmarkStart w:id="147" w:name="_Toc303538975"/>
      <w:bookmarkEnd w:id="147"/>
      <w:bookmarkStart w:id="148" w:name="_Toc303538973"/>
      <w:bookmarkEnd w:id="148"/>
      <w:bookmarkStart w:id="149" w:name="_Toc296503027"/>
      <w:bookmarkStart w:id="150" w:name="_Toc296346528"/>
      <w:r>
        <w:rPr>
          <w:rFonts w:hint="eastAsia" w:ascii="宋体" w:hAnsi="宋体" w:cs="宋体"/>
          <w:color w:val="auto"/>
          <w:kern w:val="0"/>
          <w:highlight w:val="none"/>
        </w:rPr>
        <w:t xml:space="preserve"> 一般约定</w:t>
      </w:r>
      <w:bookmarkEnd w:id="143"/>
      <w:bookmarkEnd w:id="149"/>
      <w:bookmarkEnd w:id="150"/>
    </w:p>
    <w:p w14:paraId="73BA1EEA">
      <w:pPr>
        <w:spacing w:line="360" w:lineRule="auto"/>
        <w:ind w:firstLine="420" w:firstLineChars="200"/>
        <w:rPr>
          <w:rFonts w:ascii="宋体" w:hAnsi="宋体" w:cs="宋体"/>
          <w:color w:val="auto"/>
          <w:kern w:val="0"/>
          <w:highlight w:val="none"/>
        </w:rPr>
      </w:pPr>
      <w:bookmarkStart w:id="151" w:name="_Toc337558728"/>
      <w:bookmarkStart w:id="152" w:name="_Toc296346529"/>
      <w:bookmarkStart w:id="153" w:name="_Toc296503028"/>
      <w:bookmarkStart w:id="154" w:name="_Toc351203496"/>
      <w:r>
        <w:rPr>
          <w:rFonts w:hint="eastAsia" w:ascii="宋体" w:hAnsi="宋体" w:cs="宋体"/>
          <w:color w:val="auto"/>
          <w:kern w:val="0"/>
          <w:highlight w:val="none"/>
        </w:rPr>
        <w:t>1.1词语定义</w:t>
      </w:r>
      <w:bookmarkEnd w:id="151"/>
      <w:bookmarkEnd w:id="152"/>
      <w:bookmarkEnd w:id="153"/>
      <w:r>
        <w:rPr>
          <w:rFonts w:hint="eastAsia" w:ascii="宋体" w:hAnsi="宋体" w:cs="宋体"/>
          <w:color w:val="auto"/>
          <w:kern w:val="0"/>
          <w:highlight w:val="none"/>
        </w:rPr>
        <w:t>与解释</w:t>
      </w:r>
      <w:bookmarkEnd w:id="154"/>
    </w:p>
    <w:p w14:paraId="275D57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合同协议书、通用合同条款、专用合同条款中的下列词语具有本款所赋予的含义：</w:t>
      </w:r>
    </w:p>
    <w:p w14:paraId="174C003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 合同</w:t>
      </w:r>
    </w:p>
    <w:p w14:paraId="3F1ED3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09E9CF3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1.1.1.2 合同协议书：是指构成合同的由发包人和承包人共同签署的称为“合同协议书”的书面文件。</w:t>
      </w:r>
    </w:p>
    <w:p w14:paraId="7BB8F6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1.1.1.3 中标通知书：是指构成合同的由发包人通知承包人中标的书面文件。</w:t>
      </w:r>
    </w:p>
    <w:p w14:paraId="343997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1.1.1.4 投标函：是指构成合同的由承包人填写并签署的用于投标的称为“投标函”的文件。</w:t>
      </w:r>
    </w:p>
    <w:p w14:paraId="7C6045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1.1.1.5 投标函附录：是指构成合同的附在投标函后的称为“投标函附录”的文件。</w:t>
      </w:r>
    </w:p>
    <w:p w14:paraId="3EA0F9C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1.1.1.6 技术标准和要求：是指构成合同的施工应当遵守的或指导施工的国家、行业或地方的技术标准和要求，以及合同约定的技术标准和要求。</w:t>
      </w:r>
    </w:p>
    <w:p w14:paraId="3220648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698043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1.1.1.8 已标价工程量清单：是指构成合同的由承包人按照规定的格式和要求填写并标明价格的工程量清单，包括说明和表格。</w:t>
      </w:r>
    </w:p>
    <w:p w14:paraId="49452F1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1.1.1.9 预算书：是指构成合同的由承包人按照发包人规定的格式和要求编制的工程预算文件。</w:t>
      </w:r>
    </w:p>
    <w:p w14:paraId="39FCA8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1.1.1.10 其他合同文件：是指经合同当事人约定的与工程施工有关的具有合同约束力的文件或书面协议。合同当事人可以在专用合同条款中进行约定。</w:t>
      </w:r>
    </w:p>
    <w:p w14:paraId="31DFD5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 合同当事人及其他相关方</w:t>
      </w:r>
    </w:p>
    <w:p w14:paraId="3A0D18D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1.1.2.1 合同当事人：是指发包人和（或）承包人。</w:t>
      </w:r>
    </w:p>
    <w:p w14:paraId="74B8C5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1.1.2.2 发包人：是指与承包人签订合同协议书的当事人及取得该当事人资格的合法继承人。</w:t>
      </w:r>
    </w:p>
    <w:p w14:paraId="1951DA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1.1.2.3 承包人：是指与发包人签订合同协议书的，具有相应工程施工承包资质的当事人及取得该当事人资格的合法继承人。</w:t>
      </w:r>
    </w:p>
    <w:p w14:paraId="419E8A8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1.1.2.4 监理人：是指在专用合同条款中指明的，受发包人委托按照法律规定进行工程监督管理的法人或其他组织。</w:t>
      </w:r>
    </w:p>
    <w:p w14:paraId="36B8516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1.1.2.5 设计人：是指在专用合同条款中指明的，受发包人委托负责工程设计并具备相应工程设计资质的法人或其他组织。</w:t>
      </w:r>
    </w:p>
    <w:p w14:paraId="69FCFB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1.1.2.6 分包人：</w:t>
      </w:r>
      <w:bookmarkStart w:id="155" w:name="#go5"/>
      <w:bookmarkEnd w:id="155"/>
      <w:r>
        <w:rPr>
          <w:rFonts w:hint="eastAsia" w:ascii="宋体" w:hAnsi="宋体" w:cs="宋体"/>
          <w:color w:val="auto"/>
          <w:kern w:val="0"/>
          <w:highlight w:val="none"/>
        </w:rPr>
        <w:t>是指按照法律规定和合同约定，分包部分工程或工作，并与承包人签订分包合同的具有相应资质的法人。</w:t>
      </w:r>
    </w:p>
    <w:p w14:paraId="2E15AD2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1.1.2.7 发包人代表：是指由发包人任命并派驻施工现场在发包人授权范围内行使发包人权利的人。</w:t>
      </w:r>
    </w:p>
    <w:p w14:paraId="08A6074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1.1.2.8 项目经理：是指由承包人任命并派驻施工现场，在承包人授权范围内负责合同履行，且按照法律规定具有相应资格的项目负责人。</w:t>
      </w:r>
    </w:p>
    <w:p w14:paraId="7F3E6A1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1.1.2.9 总监理工程师：是指由监理人任命并派驻施工现场进行工程监理的总负责人。</w:t>
      </w:r>
    </w:p>
    <w:p w14:paraId="7152C24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 工程和设备</w:t>
      </w:r>
    </w:p>
    <w:p w14:paraId="046374A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1.1.3.1 工程：是指与合同协议书中工程承包范围对应的永久工程和（或）临时工程。</w:t>
      </w:r>
    </w:p>
    <w:p w14:paraId="5D56C0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1.1.3.2 永久工程：是指按合同约定建造并移交给发包人的工程，包括工程设备。</w:t>
      </w:r>
    </w:p>
    <w:p w14:paraId="66B855F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1.1.3.3 临时工程：是指为完成合同约定的永久工程所修建的各类临时性工程，不包括施工设备。</w:t>
      </w:r>
    </w:p>
    <w:p w14:paraId="099887F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1.1.3.4 单位工程：是指在合同协议书中指明的，具备独立施工条件并能形成独立使用功能的永久工程。</w:t>
      </w:r>
    </w:p>
    <w:p w14:paraId="6FBE28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1.1.3.5 工程设备：是指构成永久工程的机电设备、金属结构设备、仪器及其他类似的设备和装置。</w:t>
      </w:r>
    </w:p>
    <w:p w14:paraId="352E975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1.1.3.6 施工设备：是指为完成合同约定的各项工作所需的设备、器具和其他物品，但不包括工程设备、临时工程和材料。</w:t>
      </w:r>
    </w:p>
    <w:p w14:paraId="4307603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1.1.3.7 施工现场：是指用于工程施工的场所，以及在专用合同条款中指明作为施工场所组成部分的其他场所，包括永久占地和临时占地。</w:t>
      </w:r>
    </w:p>
    <w:p w14:paraId="5CFD1F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1.1.3.8临时设施：是指为完成合同约定的各项工作所服务的临时性生产和生活设施。</w:t>
      </w:r>
    </w:p>
    <w:p w14:paraId="3F3112A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1.1.3.9 永久占地：是指专用合同条款中指明为实施工程需永久占用的土地。</w:t>
      </w:r>
    </w:p>
    <w:p w14:paraId="62ED0E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1.1.3.10 临时占地：是指专用合同条款中指明为实施工程需要临时占用的土地。</w:t>
      </w:r>
    </w:p>
    <w:p w14:paraId="45D6AEC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 日期和期限</w:t>
      </w:r>
    </w:p>
    <w:p w14:paraId="352738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EE75CE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1.1.4.2 竣工日期：包括计划竣工日期和实际竣工日期。计划竣工日期是指合同协议书约定的竣工日期；实际竣工日期按照第13.2.3项〔竣工日期〕的约定确定。 </w:t>
      </w:r>
    </w:p>
    <w:p w14:paraId="6269804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1.1.4.3 工期：是指在合同协议书约定的承包人完成工程所需的期限，包括按照合同约定所作的期限变更。</w:t>
      </w:r>
    </w:p>
    <w:p w14:paraId="538AFAA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1.1.4.4 缺陷责任期：是指承包人按照合同约定承担缺陷修复义务，且发包人预留质量保证金（已缴纳履约保证金的除外）的期限，自工程实际竣工日期起计算。</w:t>
      </w:r>
    </w:p>
    <w:p w14:paraId="5A761D4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1.1.4.5 保修期：是指承包人按照合同约定对工程承担保修责任的期限，从工程竣工验收合格之日起计算。</w:t>
      </w:r>
    </w:p>
    <w:p w14:paraId="7EC5C6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1.1.4.6 基准日期：招标发包的工程以投标截止日前28天的日期为基准日期，直接发包的工程以合同签订日前28天的日期为基准日期。</w:t>
      </w:r>
    </w:p>
    <w:p w14:paraId="24728C7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1.1.4.7 天：除特别指明外，均指日历天。合同中按天计算时间的，开始当天不计入，从次日开始计算，期限最后一天的截止时间为当天24:00时。</w:t>
      </w:r>
    </w:p>
    <w:p w14:paraId="3E62711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 合同价格和费用</w:t>
      </w:r>
    </w:p>
    <w:p w14:paraId="3965E1C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1.1.5.1 签约合同价：是指发包人和承包人在合同协议书中确定的总金额，包括安全文明施工费、暂估价及暂列金额等。</w:t>
      </w:r>
    </w:p>
    <w:p w14:paraId="5FD0858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1.1.5.2 合同价格：是指发包人用于支付承包人按照合同约定完成承包范围内全部工作的金额，包括合同履行过程中按合同约定发生的价格变化。</w:t>
      </w:r>
    </w:p>
    <w:p w14:paraId="584E3A6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1.1.5.3 费用：是指为履行合同所发生的或将要发生的所有必需的开支，包括管理费和应分摊的其他费用，但不包括利润。</w:t>
      </w:r>
    </w:p>
    <w:p w14:paraId="5A3867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1.1.5.4 暂估价：是指发包人在工程量清单或预算书中提供的用于支付必然发生但暂时不能确定价格的材料、工程设备的单价、专业工程以及服务工作的金额。</w:t>
      </w:r>
    </w:p>
    <w:p w14:paraId="1AD6D5C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18AD3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1.1.5.6 计日工：是指合同履行过程中，承包人完成发包人提出的零星工作或需要采用计日工计价的变更工作时，按合同中约定的单价计价的一种方式。</w:t>
      </w:r>
    </w:p>
    <w:p w14:paraId="09A832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1.1.5.7 质量保证金</w:t>
      </w:r>
      <w:bookmarkStart w:id="156" w:name="#go2"/>
      <w:bookmarkEnd w:id="156"/>
      <w:r>
        <w:rPr>
          <w:rFonts w:hint="eastAsia" w:ascii="宋体" w:hAnsi="宋体" w:cs="宋体"/>
          <w:color w:val="auto"/>
          <w:kern w:val="0"/>
          <w:highlight w:val="none"/>
        </w:rPr>
        <w:t>：是指按照第15.3款〔质量保证金〕约定承包人用于保证其在缺陷责任期内履行缺陷修补义务的担保。</w:t>
      </w:r>
    </w:p>
    <w:p w14:paraId="2E38C60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1.1.5.8 总价项目：是指在现行国家、行业以及地方的计量规则中无工程量计算规则，在已标价工程量清单或预算书中以总价或以费率形式计算的项目。</w:t>
      </w:r>
    </w:p>
    <w:p w14:paraId="7149CE5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1.1.6 其他</w:t>
      </w:r>
    </w:p>
    <w:p w14:paraId="0802D19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1.1.6.1 书面形式：是指合同文件、信函、电报、传真等可以有形地表现所载内容的形式。</w:t>
      </w:r>
    </w:p>
    <w:p w14:paraId="626D3E29">
      <w:pPr>
        <w:spacing w:line="360" w:lineRule="auto"/>
        <w:ind w:firstLine="420" w:firstLineChars="200"/>
        <w:rPr>
          <w:rFonts w:ascii="宋体" w:hAnsi="宋体" w:cs="宋体"/>
          <w:color w:val="auto"/>
          <w:kern w:val="0"/>
          <w:highlight w:val="none"/>
        </w:rPr>
      </w:pPr>
      <w:bookmarkStart w:id="157" w:name="_Toc296346530"/>
      <w:bookmarkStart w:id="158" w:name="_Toc351203497"/>
      <w:bookmarkStart w:id="159" w:name="_Toc337558729"/>
      <w:bookmarkStart w:id="160" w:name="_Toc296503029"/>
      <w:r>
        <w:rPr>
          <w:rFonts w:hint="eastAsia" w:ascii="宋体" w:hAnsi="宋体" w:cs="宋体"/>
          <w:color w:val="auto"/>
          <w:kern w:val="0"/>
          <w:highlight w:val="none"/>
        </w:rPr>
        <w:t>1.2语言文字</w:t>
      </w:r>
      <w:bookmarkEnd w:id="157"/>
      <w:bookmarkEnd w:id="158"/>
      <w:bookmarkEnd w:id="159"/>
      <w:bookmarkEnd w:id="160"/>
    </w:p>
    <w:p w14:paraId="6CB330C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合同以中国的汉语简体文字编写、解释和说明。合同当事人在专用合同条款中约定使用两种以上语言时，汉语为优先解释和说明合同的语言。</w:t>
      </w:r>
    </w:p>
    <w:p w14:paraId="14D3A3A7">
      <w:pPr>
        <w:spacing w:line="360" w:lineRule="auto"/>
        <w:ind w:firstLine="420" w:firstLineChars="200"/>
        <w:rPr>
          <w:rFonts w:ascii="宋体" w:hAnsi="宋体" w:cs="宋体"/>
          <w:color w:val="auto"/>
          <w:kern w:val="0"/>
          <w:highlight w:val="none"/>
        </w:rPr>
      </w:pPr>
      <w:bookmarkStart w:id="161" w:name="_Toc296346531"/>
      <w:bookmarkStart w:id="162" w:name="_Toc351203498"/>
      <w:bookmarkStart w:id="163" w:name="_Toc337558730"/>
      <w:bookmarkStart w:id="164" w:name="_Toc296503030"/>
      <w:r>
        <w:rPr>
          <w:rFonts w:hint="eastAsia" w:ascii="宋体" w:hAnsi="宋体" w:cs="宋体"/>
          <w:color w:val="auto"/>
          <w:kern w:val="0"/>
          <w:highlight w:val="none"/>
        </w:rPr>
        <w:t>1.3法律</w:t>
      </w:r>
      <w:bookmarkEnd w:id="161"/>
      <w:bookmarkEnd w:id="162"/>
      <w:bookmarkEnd w:id="163"/>
      <w:bookmarkEnd w:id="164"/>
    </w:p>
    <w:p w14:paraId="6A8F8E3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合同所称法律是指中华人民共和国法律、行政法规、部门规章，以及工程所在地的地方性法规、自治条例、单行条例和地方政府规章等。</w:t>
      </w:r>
    </w:p>
    <w:p w14:paraId="510AC2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合同当事人可以在专用合同条款中约定合同适用的其他规范性文件。</w:t>
      </w:r>
    </w:p>
    <w:p w14:paraId="555CB226">
      <w:pPr>
        <w:spacing w:line="360" w:lineRule="auto"/>
        <w:ind w:firstLine="420" w:firstLineChars="200"/>
        <w:rPr>
          <w:rFonts w:ascii="宋体" w:hAnsi="宋体" w:cs="宋体"/>
          <w:color w:val="auto"/>
          <w:kern w:val="0"/>
          <w:highlight w:val="none"/>
        </w:rPr>
      </w:pPr>
      <w:bookmarkStart w:id="165" w:name="_Toc351203499"/>
      <w:r>
        <w:rPr>
          <w:rFonts w:hint="eastAsia" w:ascii="宋体" w:hAnsi="宋体" w:cs="宋体"/>
          <w:color w:val="auto"/>
          <w:kern w:val="0"/>
          <w:highlight w:val="none"/>
        </w:rPr>
        <w:t>1.4 标准和规范</w:t>
      </w:r>
      <w:bookmarkEnd w:id="165"/>
    </w:p>
    <w:p w14:paraId="066CF5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1.4.1 适用于工程的国家标准、行业标准、工程所在地的地方性标准，以及相应的规范、规程等，合同当事人有特别要求的，应在专用合同条款中约定。</w:t>
      </w:r>
    </w:p>
    <w:p w14:paraId="110427F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1.4.2 发包人要求使用国外标准、规范的，发包人负责提供原文版本和中文译本，并在专用合同条款中约定提供标准规范的名称、份数和时间。</w:t>
      </w:r>
    </w:p>
    <w:p w14:paraId="72EFF00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D4F006F">
      <w:pPr>
        <w:spacing w:line="360" w:lineRule="auto"/>
        <w:ind w:firstLine="420" w:firstLineChars="200"/>
        <w:rPr>
          <w:rFonts w:ascii="宋体" w:hAnsi="宋体" w:cs="宋体"/>
          <w:color w:val="auto"/>
          <w:kern w:val="0"/>
          <w:highlight w:val="none"/>
        </w:rPr>
      </w:pPr>
      <w:bookmarkStart w:id="166" w:name="_Toc351203500"/>
      <w:r>
        <w:rPr>
          <w:rFonts w:hint="eastAsia" w:ascii="宋体" w:hAnsi="宋体" w:cs="宋体"/>
          <w:color w:val="auto"/>
          <w:kern w:val="0"/>
          <w:highlight w:val="none"/>
        </w:rPr>
        <w:t>1</w:t>
      </w:r>
      <w:bookmarkStart w:id="167" w:name="_Toc337558731"/>
      <w:bookmarkStart w:id="168" w:name="_Toc296503031"/>
      <w:bookmarkStart w:id="169" w:name="_Toc296346532"/>
      <w:r>
        <w:rPr>
          <w:rFonts w:hint="eastAsia" w:ascii="宋体" w:hAnsi="宋体" w:cs="宋体"/>
          <w:color w:val="auto"/>
          <w:kern w:val="0"/>
          <w:highlight w:val="none"/>
        </w:rPr>
        <w:t>.5 合同文件的优先顺序</w:t>
      </w:r>
      <w:bookmarkEnd w:id="166"/>
    </w:p>
    <w:bookmarkEnd w:id="167"/>
    <w:bookmarkEnd w:id="168"/>
    <w:bookmarkEnd w:id="169"/>
    <w:p w14:paraId="1DE9530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组成合同的各项文件应互相解释，互为说明。除专用合同条款另有约定外，解释合同文件的优先顺序如下：</w:t>
      </w:r>
    </w:p>
    <w:p w14:paraId="0925DD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（1）合同协议书；</w:t>
      </w:r>
    </w:p>
    <w:p w14:paraId="7658144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（2）中标通知书（如果有）；</w:t>
      </w:r>
    </w:p>
    <w:p w14:paraId="19156E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（3）投标函及其附录（如果有）；</w:t>
      </w:r>
    </w:p>
    <w:p w14:paraId="0239351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（4）专用合同条款及其附件；</w:t>
      </w:r>
    </w:p>
    <w:p w14:paraId="71E6A77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（5）通用合同条款；</w:t>
      </w:r>
    </w:p>
    <w:p w14:paraId="6764D97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（6）技术标准和要求；</w:t>
      </w:r>
    </w:p>
    <w:p w14:paraId="5EABA59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（7）图纸；</w:t>
      </w:r>
    </w:p>
    <w:p w14:paraId="6BCE341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（8）已标价工程量清单或预算书；</w:t>
      </w:r>
    </w:p>
    <w:p w14:paraId="53EC142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（9）其他合同文件。</w:t>
      </w:r>
    </w:p>
    <w:p w14:paraId="5FF4EA2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上述各项合同文件包括合同当事人就该项合同文件所作出的补充和修改，属于同一类内容的文件，应以最新签署的为准。</w:t>
      </w:r>
    </w:p>
    <w:p w14:paraId="61E4404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在合同订立及履行过程中形成的与合同有关的文件均构成合同文件组成部分，并根据其性质确定优先解释顺序。</w:t>
      </w:r>
    </w:p>
    <w:p w14:paraId="26C0537F">
      <w:pPr>
        <w:spacing w:line="360" w:lineRule="auto"/>
        <w:ind w:firstLine="420" w:firstLineChars="200"/>
        <w:rPr>
          <w:rFonts w:ascii="宋体" w:hAnsi="宋体" w:cs="宋体"/>
          <w:color w:val="auto"/>
          <w:kern w:val="0"/>
          <w:highlight w:val="none"/>
        </w:rPr>
      </w:pPr>
      <w:bookmarkStart w:id="170" w:name="_Toc351203501"/>
      <w:r>
        <w:rPr>
          <w:rFonts w:hint="eastAsia" w:ascii="宋体" w:hAnsi="宋体" w:cs="宋体"/>
          <w:color w:val="auto"/>
          <w:kern w:val="0"/>
          <w:highlight w:val="none"/>
        </w:rPr>
        <w:t>1</w:t>
      </w:r>
      <w:bookmarkStart w:id="171" w:name="_Toc296346533"/>
      <w:bookmarkStart w:id="172" w:name="_Toc296503032"/>
      <w:bookmarkStart w:id="173" w:name="_Toc337558732"/>
      <w:r>
        <w:rPr>
          <w:rFonts w:hint="eastAsia" w:ascii="宋体" w:hAnsi="宋体" w:cs="宋体"/>
          <w:color w:val="auto"/>
          <w:kern w:val="0"/>
          <w:highlight w:val="none"/>
        </w:rPr>
        <w:t>.6图纸和承包人文件</w:t>
      </w:r>
      <w:bookmarkEnd w:id="170"/>
    </w:p>
    <w:bookmarkEnd w:id="171"/>
    <w:bookmarkEnd w:id="172"/>
    <w:bookmarkEnd w:id="173"/>
    <w:p w14:paraId="4C2D864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 图纸的提供和交底</w:t>
      </w:r>
    </w:p>
    <w:p w14:paraId="41B8293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06DD24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因发包人未按合同约定提供图纸导致承包人费用增加和（或）工期延误的，按照第7.5.1项〔因发包人原因导致工期延误〕约定办理。</w:t>
      </w:r>
    </w:p>
    <w:p w14:paraId="7FC8CA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 图纸的错误</w:t>
      </w:r>
    </w:p>
    <w:p w14:paraId="69CC78A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632E80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1.6.3 图纸的修改和补充</w:t>
      </w:r>
    </w:p>
    <w:p w14:paraId="299A551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02EFC0D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1.6.4 承包人文件</w:t>
      </w:r>
    </w:p>
    <w:p w14:paraId="1E4FD3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承包人应按照专用合同条款的约定提供应当由其编制的与工程施工有关的文件，并按照专用合同条款约定的期限、数量和形式提交监理人，并由监理人报送发包人。</w:t>
      </w:r>
    </w:p>
    <w:p w14:paraId="522548F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249226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1.6.5 图纸和承包人文件的保管</w:t>
      </w:r>
    </w:p>
    <w:p w14:paraId="5F45D26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除专用合同条款另有约定外，承包人应在施工现场另外保存一套完整的图纸和承包人文件，供发包人、监理人及有关人员进行工程检查时使用。</w:t>
      </w:r>
    </w:p>
    <w:p w14:paraId="0C85E7E2">
      <w:pPr>
        <w:spacing w:line="360" w:lineRule="auto"/>
        <w:ind w:firstLine="420" w:firstLineChars="200"/>
        <w:rPr>
          <w:rFonts w:ascii="宋体" w:hAnsi="宋体" w:cs="宋体"/>
          <w:color w:val="auto"/>
          <w:kern w:val="0"/>
          <w:highlight w:val="none"/>
        </w:rPr>
      </w:pPr>
      <w:bookmarkStart w:id="174" w:name="_Toc351203502"/>
      <w:r>
        <w:rPr>
          <w:rFonts w:hint="eastAsia" w:ascii="宋体" w:hAnsi="宋体" w:cs="宋体"/>
          <w:color w:val="auto"/>
          <w:kern w:val="0"/>
          <w:highlight w:val="none"/>
        </w:rPr>
        <w:t>1</w:t>
      </w:r>
      <w:bookmarkStart w:id="175" w:name="_Toc296346534"/>
      <w:bookmarkStart w:id="176" w:name="_Toc296503033"/>
      <w:bookmarkStart w:id="177" w:name="_Toc337558733"/>
      <w:r>
        <w:rPr>
          <w:rFonts w:hint="eastAsia" w:ascii="宋体" w:hAnsi="宋体" w:cs="宋体"/>
          <w:color w:val="auto"/>
          <w:kern w:val="0"/>
          <w:highlight w:val="none"/>
        </w:rPr>
        <w:t>.7联络</w:t>
      </w:r>
      <w:bookmarkEnd w:id="174"/>
    </w:p>
    <w:bookmarkEnd w:id="175"/>
    <w:bookmarkEnd w:id="176"/>
    <w:bookmarkEnd w:id="177"/>
    <w:p w14:paraId="56156F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1.7.1 与合同有关的通知、批准、证明、证书、指示、指令、要求、请求、同意、意见、确定和决定等，均应采用书面形式，并应在合同约定的期限内送达接收人和送达地点。</w:t>
      </w:r>
    </w:p>
    <w:p w14:paraId="0AE275A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1.7.2 发包人和承包人应在专用合同条款中约定各自的送达接收人和送达地点。任何一方合同当事人指定的接收人或送达地点发生变动的，应提前3天以书面形式通知对方。</w:t>
      </w:r>
    </w:p>
    <w:p w14:paraId="2D00D4E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1.7.3 发包人和承包人应当及时签收另一方送达至送达地点和指定接收人的来往信函。拒不签收的，由此增加的费用和（或）延误的工期由拒绝接收一方承担。</w:t>
      </w:r>
    </w:p>
    <w:p w14:paraId="443DAF7A">
      <w:pPr>
        <w:spacing w:line="360" w:lineRule="auto"/>
        <w:ind w:firstLine="420" w:firstLineChars="200"/>
        <w:rPr>
          <w:rFonts w:ascii="宋体" w:hAnsi="宋体" w:cs="宋体"/>
          <w:color w:val="auto"/>
          <w:kern w:val="0"/>
          <w:highlight w:val="none"/>
        </w:rPr>
      </w:pPr>
      <w:bookmarkStart w:id="178" w:name="_Toc351203503"/>
      <w:r>
        <w:rPr>
          <w:rFonts w:hint="eastAsia" w:ascii="宋体" w:hAnsi="宋体" w:cs="宋体"/>
          <w:color w:val="auto"/>
          <w:kern w:val="0"/>
          <w:highlight w:val="none"/>
        </w:rPr>
        <w:t>1</w:t>
      </w:r>
      <w:bookmarkStart w:id="179" w:name="_Toc296503035"/>
      <w:bookmarkStart w:id="180" w:name="_Toc337558734"/>
      <w:bookmarkStart w:id="181" w:name="_Toc296346536"/>
      <w:r>
        <w:rPr>
          <w:rFonts w:hint="eastAsia" w:ascii="宋体" w:hAnsi="宋体" w:cs="宋体"/>
          <w:color w:val="auto"/>
          <w:kern w:val="0"/>
          <w:highlight w:val="none"/>
        </w:rPr>
        <w:t>.8严禁贿赂</w:t>
      </w:r>
      <w:bookmarkEnd w:id="178"/>
    </w:p>
    <w:bookmarkEnd w:id="179"/>
    <w:bookmarkEnd w:id="180"/>
    <w:bookmarkEnd w:id="181"/>
    <w:p w14:paraId="228C8D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合同当事人不得以贿赂或变相贿赂的方式，谋取非法利益或损害对方权益。因一方合同当事人的贿赂造成对方损失的，应赔偿损失，并承担相应的法律责任。</w:t>
      </w:r>
    </w:p>
    <w:p w14:paraId="2B2600B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63D140A">
      <w:pPr>
        <w:spacing w:line="360" w:lineRule="auto"/>
        <w:ind w:firstLine="420" w:firstLineChars="200"/>
        <w:rPr>
          <w:rFonts w:ascii="宋体" w:hAnsi="宋体" w:cs="宋体"/>
          <w:color w:val="auto"/>
          <w:kern w:val="0"/>
          <w:highlight w:val="none"/>
        </w:rPr>
      </w:pPr>
      <w:bookmarkStart w:id="182" w:name="_Toc351203504"/>
      <w:r>
        <w:rPr>
          <w:rFonts w:hint="eastAsia" w:ascii="宋体" w:hAnsi="宋体" w:cs="宋体"/>
          <w:color w:val="auto"/>
          <w:kern w:val="0"/>
          <w:highlight w:val="none"/>
        </w:rPr>
        <w:t>1</w:t>
      </w:r>
      <w:bookmarkStart w:id="183" w:name="_Toc337558735"/>
      <w:bookmarkStart w:id="184" w:name="_Toc296503036"/>
      <w:bookmarkStart w:id="185" w:name="_Toc296346537"/>
      <w:r>
        <w:rPr>
          <w:rFonts w:hint="eastAsia" w:ascii="宋体" w:hAnsi="宋体" w:cs="宋体"/>
          <w:color w:val="auto"/>
          <w:kern w:val="0"/>
          <w:highlight w:val="none"/>
        </w:rPr>
        <w:t>.9化石、文物</w:t>
      </w:r>
      <w:bookmarkEnd w:id="182"/>
    </w:p>
    <w:bookmarkEnd w:id="183"/>
    <w:bookmarkEnd w:id="184"/>
    <w:bookmarkEnd w:id="185"/>
    <w:p w14:paraId="02A5B90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B7AD52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发包人、监理人和承包人应按有关政府行政管理部门要求采取妥善的保护措施，由此增加的费用和（或）延误的工期由发包人承担。</w:t>
      </w:r>
    </w:p>
    <w:p w14:paraId="340E9B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承包人发现文物后不及时报告或隐瞒不报，致使文物丢失或损坏的，应赔偿损失，并承担相应的法律责任。</w:t>
      </w:r>
    </w:p>
    <w:p w14:paraId="2716F3E4">
      <w:pPr>
        <w:spacing w:line="360" w:lineRule="auto"/>
        <w:ind w:firstLine="420" w:firstLineChars="200"/>
        <w:rPr>
          <w:rFonts w:ascii="宋体" w:hAnsi="宋体" w:cs="宋体"/>
          <w:color w:val="auto"/>
          <w:kern w:val="0"/>
          <w:highlight w:val="none"/>
        </w:rPr>
      </w:pPr>
      <w:bookmarkStart w:id="186" w:name="_Toc351203505"/>
      <w:r>
        <w:rPr>
          <w:rFonts w:hint="eastAsia" w:ascii="宋体" w:hAnsi="宋体" w:cs="宋体"/>
          <w:color w:val="auto"/>
          <w:kern w:val="0"/>
          <w:highlight w:val="none"/>
        </w:rPr>
        <w:t>1</w:t>
      </w:r>
      <w:bookmarkStart w:id="187" w:name="_Toc337558736"/>
      <w:r>
        <w:rPr>
          <w:rFonts w:hint="eastAsia" w:ascii="宋体" w:hAnsi="宋体" w:cs="宋体"/>
          <w:color w:val="auto"/>
          <w:kern w:val="0"/>
          <w:highlight w:val="none"/>
        </w:rPr>
        <w:t>.10交通运输</w:t>
      </w:r>
      <w:bookmarkEnd w:id="186"/>
    </w:p>
    <w:bookmarkEnd w:id="187"/>
    <w:p w14:paraId="1960B27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1.10.1 出入现场的权利</w:t>
      </w:r>
    </w:p>
    <w:p w14:paraId="369046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A33932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2A7DC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1.10.2 场外交通</w:t>
      </w:r>
    </w:p>
    <w:p w14:paraId="265898A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AD42C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1.10.3场内交通</w:t>
      </w:r>
    </w:p>
    <w:p w14:paraId="72AB086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1A328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963056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场外交通和场内交通的边界由合同当事人在专用合同条款中约定。</w:t>
      </w:r>
    </w:p>
    <w:p w14:paraId="237FB39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1.10.4 超大件和超重件的运输</w:t>
      </w:r>
    </w:p>
    <w:p w14:paraId="64D637D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2E557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1.10.5 道路和桥梁的损坏责任</w:t>
      </w:r>
    </w:p>
    <w:p w14:paraId="575C6B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因承包人运输造成施工场地内外公共道路和桥梁损坏的，由承包人承担修复损坏的全部费用和可能引起的赔偿。</w:t>
      </w:r>
    </w:p>
    <w:p w14:paraId="58CAC3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1.10.6 水路和航空运输</w:t>
      </w:r>
    </w:p>
    <w:p w14:paraId="4A69D9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本款前述各项的内容适用于水路运输和航空运输，其中“道路”一词的涵义包括河道、航线、船闸、机场、码头、堤防以及水路或航空运输中其他相似结构物；“车辆”一词的涵义包括船舶和飞机等。</w:t>
      </w:r>
    </w:p>
    <w:p w14:paraId="7B0D3B44">
      <w:pPr>
        <w:spacing w:line="360" w:lineRule="auto"/>
        <w:ind w:firstLine="420" w:firstLineChars="200"/>
        <w:rPr>
          <w:rFonts w:ascii="宋体" w:hAnsi="宋体" w:cs="宋体"/>
          <w:color w:val="auto"/>
          <w:kern w:val="0"/>
          <w:highlight w:val="none"/>
        </w:rPr>
      </w:pPr>
      <w:bookmarkStart w:id="188" w:name="_Toc351203506"/>
      <w:r>
        <w:rPr>
          <w:rFonts w:hint="eastAsia" w:ascii="宋体" w:hAnsi="宋体" w:cs="宋体"/>
          <w:color w:val="auto"/>
          <w:kern w:val="0"/>
          <w:highlight w:val="none"/>
        </w:rPr>
        <w:t>1</w:t>
      </w:r>
      <w:bookmarkStart w:id="189" w:name="_Toc337558737"/>
      <w:bookmarkStart w:id="190" w:name="_Toc296346538"/>
      <w:bookmarkStart w:id="191" w:name="_Toc296503037"/>
      <w:r>
        <w:rPr>
          <w:rFonts w:hint="eastAsia" w:ascii="宋体" w:hAnsi="宋体" w:cs="宋体"/>
          <w:color w:val="auto"/>
          <w:kern w:val="0"/>
          <w:highlight w:val="none"/>
        </w:rPr>
        <w:t>.11知识产权</w:t>
      </w:r>
      <w:bookmarkEnd w:id="188"/>
      <w:r>
        <w:rPr>
          <w:rFonts w:hint="eastAsia" w:ascii="宋体" w:hAnsi="宋体" w:cs="宋体"/>
          <w:color w:val="auto"/>
          <w:kern w:val="0"/>
          <w:highlight w:val="none"/>
        </w:rPr>
        <w:t xml:space="preserve"> </w:t>
      </w:r>
      <w:bookmarkEnd w:id="189"/>
    </w:p>
    <w:bookmarkEnd w:id="190"/>
    <w:bookmarkEnd w:id="191"/>
    <w:p w14:paraId="58C145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00AC97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85E8E3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B98332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1.11.4 除专用合同条款另有约定外，承包人在合同签订前和签订时已确定采用的专利、专有技术、技术秘密的使用费已包含在签约合同价中。</w:t>
      </w:r>
    </w:p>
    <w:p w14:paraId="7982EA98">
      <w:pPr>
        <w:spacing w:line="360" w:lineRule="auto"/>
        <w:ind w:firstLine="420" w:firstLineChars="200"/>
        <w:rPr>
          <w:rFonts w:ascii="宋体" w:hAnsi="宋体" w:cs="宋体"/>
          <w:color w:val="auto"/>
          <w:kern w:val="0"/>
          <w:highlight w:val="none"/>
        </w:rPr>
      </w:pPr>
      <w:bookmarkStart w:id="192" w:name="_Toc351203507"/>
      <w:r>
        <w:rPr>
          <w:rFonts w:hint="eastAsia" w:ascii="宋体" w:hAnsi="宋体" w:cs="宋体"/>
          <w:color w:val="auto"/>
          <w:kern w:val="0"/>
          <w:highlight w:val="none"/>
        </w:rPr>
        <w:t>1</w:t>
      </w:r>
      <w:bookmarkStart w:id="193" w:name="_Toc337558738"/>
      <w:r>
        <w:rPr>
          <w:rFonts w:hint="eastAsia" w:ascii="宋体" w:hAnsi="宋体" w:cs="宋体"/>
          <w:color w:val="auto"/>
          <w:kern w:val="0"/>
          <w:highlight w:val="none"/>
        </w:rPr>
        <w:t>.12保密</w:t>
      </w:r>
      <w:bookmarkEnd w:id="192"/>
    </w:p>
    <w:bookmarkEnd w:id="193"/>
    <w:p w14:paraId="277BF69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除法律规定或合同另有约定外，未经发包人同意，承包人不得将发包人提供的图纸、文件以及声明需要保密的资料信息等商业秘密泄露给第三方。</w:t>
      </w:r>
    </w:p>
    <w:p w14:paraId="5E0715B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除法律规定或合同另有约定外，未经承包人同意，发包人不得将承包人提供的技术秘密及声明需要保密的资料信息等商业秘密泄露给第三方。</w:t>
      </w:r>
    </w:p>
    <w:p w14:paraId="1BD46439">
      <w:pPr>
        <w:spacing w:line="360" w:lineRule="auto"/>
        <w:ind w:firstLine="420" w:firstLineChars="200"/>
        <w:rPr>
          <w:rFonts w:ascii="宋体" w:hAnsi="宋体" w:cs="宋体"/>
          <w:color w:val="auto"/>
          <w:kern w:val="0"/>
          <w:highlight w:val="none"/>
        </w:rPr>
      </w:pPr>
      <w:bookmarkStart w:id="194" w:name="_Toc351203508"/>
      <w:r>
        <w:rPr>
          <w:rFonts w:hint="eastAsia" w:ascii="宋体" w:hAnsi="宋体" w:cs="宋体"/>
          <w:color w:val="auto"/>
          <w:kern w:val="0"/>
          <w:highlight w:val="none"/>
        </w:rPr>
        <w:t>1.13工程量清单错误的修正</w:t>
      </w:r>
      <w:bookmarkEnd w:id="194"/>
    </w:p>
    <w:p w14:paraId="0AE30B5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除专用合同条款另有约定外，发包人提供的工程量清单，应被认为是准确的和完整的。出现下列情形之一时，发包人应予以修正，并相应调整合同价格：</w:t>
      </w:r>
    </w:p>
    <w:p w14:paraId="68AE85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（1）工程量清单存在缺项、漏项的；</w:t>
      </w:r>
    </w:p>
    <w:p w14:paraId="7DB98D5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（2）工程量清单偏差超出专用合同条款约定的工程量偏差范围的；</w:t>
      </w:r>
    </w:p>
    <w:p w14:paraId="30BA1C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（3）未按照国家现行计量规范强制性规定计量的。</w:t>
      </w:r>
    </w:p>
    <w:p w14:paraId="1CFD0871">
      <w:pPr>
        <w:spacing w:line="360" w:lineRule="auto"/>
        <w:ind w:firstLine="420" w:firstLineChars="200"/>
        <w:rPr>
          <w:rFonts w:ascii="宋体" w:hAnsi="宋体" w:cs="宋体"/>
          <w:color w:val="auto"/>
          <w:kern w:val="0"/>
          <w:highlight w:val="none"/>
        </w:rPr>
      </w:pPr>
      <w:bookmarkStart w:id="195" w:name="_Toc351203509"/>
      <w:r>
        <w:rPr>
          <w:rFonts w:hint="eastAsia" w:ascii="宋体" w:hAnsi="宋体" w:cs="宋体"/>
          <w:color w:val="auto"/>
          <w:kern w:val="0"/>
          <w:highlight w:val="none"/>
        </w:rPr>
        <w:t>2</w:t>
      </w:r>
      <w:bookmarkStart w:id="196" w:name="_Toc296346539"/>
      <w:bookmarkStart w:id="197" w:name="_Toc337558739"/>
      <w:bookmarkStart w:id="198" w:name="_Toc296503038"/>
      <w:bookmarkStart w:id="199" w:name="OLE_LINK2"/>
      <w:r>
        <w:rPr>
          <w:rFonts w:hint="eastAsia" w:ascii="宋体" w:hAnsi="宋体" w:cs="宋体"/>
          <w:color w:val="auto"/>
          <w:kern w:val="0"/>
          <w:highlight w:val="none"/>
        </w:rPr>
        <w:t>. 发包人</w:t>
      </w:r>
      <w:bookmarkEnd w:id="195"/>
    </w:p>
    <w:bookmarkEnd w:id="196"/>
    <w:bookmarkEnd w:id="197"/>
    <w:bookmarkEnd w:id="198"/>
    <w:p w14:paraId="568E9B73">
      <w:pPr>
        <w:spacing w:line="360" w:lineRule="auto"/>
        <w:ind w:firstLine="420" w:firstLineChars="200"/>
        <w:rPr>
          <w:rFonts w:ascii="宋体" w:hAnsi="宋体" w:cs="宋体"/>
          <w:color w:val="auto"/>
          <w:kern w:val="0"/>
          <w:highlight w:val="none"/>
        </w:rPr>
      </w:pPr>
      <w:bookmarkStart w:id="200" w:name="_Toc351203510"/>
      <w:r>
        <w:rPr>
          <w:rFonts w:hint="eastAsia" w:ascii="宋体" w:hAnsi="宋体" w:cs="宋体"/>
          <w:color w:val="auto"/>
          <w:kern w:val="0"/>
          <w:highlight w:val="none"/>
        </w:rPr>
        <w:t>2</w:t>
      </w:r>
      <w:bookmarkStart w:id="201" w:name="_Toc296346540"/>
      <w:bookmarkStart w:id="202" w:name="_Toc296503039"/>
      <w:bookmarkStart w:id="203" w:name="_Toc337558740"/>
      <w:r>
        <w:rPr>
          <w:rFonts w:hint="eastAsia" w:ascii="宋体" w:hAnsi="宋体" w:cs="宋体"/>
          <w:color w:val="auto"/>
          <w:kern w:val="0"/>
          <w:highlight w:val="none"/>
        </w:rPr>
        <w:t>.1 许可或批准</w:t>
      </w:r>
      <w:bookmarkEnd w:id="200"/>
    </w:p>
    <w:p w14:paraId="7807CF9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D8FD37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因发包人原因未能及时办理完毕前述许可、批准或备案，由发包人承担由此增加的费用和（或）延误的工期，并支付承包人合理的利润。</w:t>
      </w:r>
    </w:p>
    <w:p w14:paraId="2706DD16">
      <w:pPr>
        <w:spacing w:line="360" w:lineRule="auto"/>
        <w:ind w:firstLine="420" w:firstLineChars="200"/>
        <w:rPr>
          <w:rFonts w:ascii="宋体" w:hAnsi="宋体" w:cs="宋体"/>
          <w:color w:val="auto"/>
          <w:kern w:val="0"/>
          <w:highlight w:val="none"/>
        </w:rPr>
      </w:pPr>
      <w:bookmarkStart w:id="204" w:name="_Toc351203511"/>
      <w:r>
        <w:rPr>
          <w:rFonts w:hint="eastAsia" w:ascii="宋体" w:hAnsi="宋体" w:cs="宋体"/>
          <w:color w:val="auto"/>
          <w:kern w:val="0"/>
          <w:highlight w:val="none"/>
        </w:rPr>
        <w:t>2.2 发包人代表</w:t>
      </w:r>
      <w:bookmarkEnd w:id="204"/>
    </w:p>
    <w:p w14:paraId="280339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2988F3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发包人代表不能按照合同约定履行其职责及义务，并导致合同无法继续正常履行的，承包人可以要求发包人撤换发包人代表。</w:t>
      </w:r>
    </w:p>
    <w:p w14:paraId="3DECCC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不属于法定必须监理的工程，监理人的职权可以由发包人代表或发包人指定的其他人员行使。</w:t>
      </w:r>
    </w:p>
    <w:p w14:paraId="5EF837B2">
      <w:pPr>
        <w:spacing w:line="360" w:lineRule="auto"/>
        <w:ind w:firstLine="420" w:firstLineChars="200"/>
        <w:rPr>
          <w:rFonts w:ascii="宋体" w:hAnsi="宋体" w:cs="宋体"/>
          <w:color w:val="auto"/>
          <w:kern w:val="0"/>
          <w:highlight w:val="none"/>
        </w:rPr>
      </w:pPr>
      <w:bookmarkStart w:id="205" w:name="_Toc351203512"/>
      <w:r>
        <w:rPr>
          <w:rFonts w:hint="eastAsia" w:ascii="宋体" w:hAnsi="宋体" w:cs="宋体"/>
          <w:color w:val="auto"/>
          <w:kern w:val="0"/>
          <w:highlight w:val="none"/>
        </w:rPr>
        <w:t>2.3 发包人人员</w:t>
      </w:r>
      <w:bookmarkEnd w:id="205"/>
    </w:p>
    <w:p w14:paraId="4DBD102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发包人应要求在施工现场的发包人人员遵守法律及有关安全、质量、环境保护、文明施工等规定，并保障承包人免于承受因发包人人员未遵守上述要求给承包人造成的损失和责任。</w:t>
      </w:r>
    </w:p>
    <w:p w14:paraId="12463E3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发包人人员包括发包人代表及其他由发包人派驻施工现场的人员。</w:t>
      </w:r>
      <w:bookmarkEnd w:id="201"/>
      <w:bookmarkEnd w:id="202"/>
      <w:bookmarkEnd w:id="203"/>
    </w:p>
    <w:p w14:paraId="3D77CE17">
      <w:pPr>
        <w:spacing w:line="360" w:lineRule="auto"/>
        <w:ind w:firstLine="420" w:firstLineChars="200"/>
        <w:rPr>
          <w:rFonts w:ascii="宋体" w:hAnsi="宋体" w:cs="宋体"/>
          <w:color w:val="auto"/>
          <w:kern w:val="0"/>
          <w:highlight w:val="none"/>
        </w:rPr>
      </w:pPr>
      <w:bookmarkStart w:id="206" w:name="_Toc351203513"/>
      <w:r>
        <w:rPr>
          <w:rFonts w:hint="eastAsia" w:ascii="宋体" w:hAnsi="宋体" w:cs="宋体"/>
          <w:color w:val="auto"/>
          <w:kern w:val="0"/>
          <w:highlight w:val="none"/>
        </w:rPr>
        <w:t>2</w:t>
      </w:r>
      <w:bookmarkStart w:id="207" w:name="_Toc296346541"/>
      <w:bookmarkStart w:id="208" w:name="_Toc337558741"/>
      <w:bookmarkStart w:id="209" w:name="_Toc296503040"/>
      <w:r>
        <w:rPr>
          <w:rFonts w:hint="eastAsia" w:ascii="宋体" w:hAnsi="宋体" w:cs="宋体"/>
          <w:color w:val="auto"/>
          <w:kern w:val="0"/>
          <w:highlight w:val="none"/>
        </w:rPr>
        <w:t>.4 施工现场、施工条件和基础资料的提供</w:t>
      </w:r>
      <w:bookmarkEnd w:id="206"/>
      <w:r>
        <w:rPr>
          <w:rFonts w:hint="eastAsia" w:ascii="宋体" w:hAnsi="宋体" w:cs="宋体"/>
          <w:color w:val="auto"/>
          <w:kern w:val="0"/>
          <w:highlight w:val="none"/>
        </w:rPr>
        <w:t xml:space="preserve"> </w:t>
      </w:r>
      <w:bookmarkEnd w:id="207"/>
      <w:bookmarkEnd w:id="208"/>
      <w:bookmarkEnd w:id="209"/>
      <w:r>
        <w:rPr>
          <w:rFonts w:hint="eastAsia" w:ascii="宋体" w:hAnsi="宋体" w:cs="宋体"/>
          <w:color w:val="auto"/>
          <w:kern w:val="0"/>
          <w:highlight w:val="none"/>
        </w:rPr>
        <w:t xml:space="preserve"> </w:t>
      </w:r>
    </w:p>
    <w:p w14:paraId="1708412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2.4.1 提供施工现场</w:t>
      </w:r>
    </w:p>
    <w:p w14:paraId="62FF27C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w:t>
      </w:r>
      <w:bookmarkEnd w:id="199"/>
      <w:r>
        <w:rPr>
          <w:rFonts w:hint="eastAsia" w:ascii="宋体" w:hAnsi="宋体" w:cs="宋体"/>
          <w:color w:val="auto"/>
          <w:kern w:val="0"/>
          <w:highlight w:val="none"/>
        </w:rPr>
        <w:t>专用合同条款另有约定外，发包人应最迟于开工日期7天前向承包人移交施工现场。</w:t>
      </w:r>
    </w:p>
    <w:p w14:paraId="72BDA5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2.4.2 提供施工条件</w:t>
      </w:r>
    </w:p>
    <w:p w14:paraId="68C01B1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除专用合同条款另有约定外，发包人应负责提供施工所需要的条件，包括：</w:t>
      </w:r>
    </w:p>
    <w:p w14:paraId="3BA9DDF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（1）将施工用水、电力、通讯线路等施工所必需的条件接至施工现场内；</w:t>
      </w:r>
    </w:p>
    <w:p w14:paraId="56BE9A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（2）保证向承包人提供正常施工所需要的进入施工现场的交通条件；</w:t>
      </w:r>
    </w:p>
    <w:p w14:paraId="75107EF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（3）协调处理施工现场周围地下管线和邻近建筑物、构筑物、古树名木的保护工作，并承担相关费用；</w:t>
      </w:r>
    </w:p>
    <w:p w14:paraId="0ED000E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（4）按照专用合同条款约定应提供的其他设施和条件。</w:t>
      </w:r>
    </w:p>
    <w:p w14:paraId="460ED78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2.4.3 提供基础资料</w:t>
      </w:r>
    </w:p>
    <w:p w14:paraId="58FF186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5A0EEA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按照法律规定确需在开工后方能提供的基础资料，发包人应尽其努力及时地在相应工程施工前的合理期限内提供，合理期限应以不影响承包人的正常施工为限。</w:t>
      </w:r>
    </w:p>
    <w:p w14:paraId="1A9ED5B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2.4.4 逾期提供的责任</w:t>
      </w:r>
    </w:p>
    <w:p w14:paraId="3559833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因发包人原因未能按合同约定及时向承包人提供施工现场、施工条件、基础资料的，由发包人承担由此增加的费用和（或）延误的工期。</w:t>
      </w:r>
    </w:p>
    <w:p w14:paraId="5208E536">
      <w:pPr>
        <w:spacing w:line="360" w:lineRule="auto"/>
        <w:ind w:firstLine="420" w:firstLineChars="200"/>
        <w:rPr>
          <w:rFonts w:ascii="宋体" w:hAnsi="宋体" w:cs="宋体"/>
          <w:color w:val="auto"/>
          <w:kern w:val="0"/>
          <w:highlight w:val="none"/>
        </w:rPr>
      </w:pPr>
      <w:bookmarkStart w:id="210" w:name="_Toc351203514"/>
      <w:r>
        <w:rPr>
          <w:rFonts w:hint="eastAsia" w:ascii="宋体" w:hAnsi="宋体" w:cs="宋体"/>
          <w:color w:val="auto"/>
          <w:kern w:val="0"/>
          <w:highlight w:val="none"/>
        </w:rPr>
        <w:t>2</w:t>
      </w:r>
      <w:bookmarkStart w:id="211" w:name="_Toc337558745"/>
      <w:bookmarkStart w:id="212" w:name="_Toc296346543"/>
      <w:bookmarkStart w:id="213" w:name="_Toc296503042"/>
      <w:r>
        <w:rPr>
          <w:rFonts w:hint="eastAsia" w:ascii="宋体" w:hAnsi="宋体" w:cs="宋体"/>
          <w:color w:val="auto"/>
          <w:kern w:val="0"/>
          <w:highlight w:val="none"/>
        </w:rPr>
        <w:t>.5 资</w:t>
      </w:r>
      <w:bookmarkEnd w:id="211"/>
      <w:bookmarkEnd w:id="212"/>
      <w:bookmarkEnd w:id="213"/>
      <w:r>
        <w:rPr>
          <w:rFonts w:hint="eastAsia" w:ascii="宋体" w:hAnsi="宋体" w:cs="宋体"/>
          <w:color w:val="auto"/>
          <w:kern w:val="0"/>
          <w:highlight w:val="none"/>
        </w:rPr>
        <w:t>金来源证明及支付担保</w:t>
      </w:r>
      <w:bookmarkEnd w:id="210"/>
    </w:p>
    <w:p w14:paraId="3923125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除专用合同条款另有约定外，发包人应在收到承包人要求提供资金来源证明的书面通知后28天内，向承包人提供能够按照合同约定支付合同价款的相应资金来源证明。</w:t>
      </w:r>
    </w:p>
    <w:p w14:paraId="404671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2E113353">
      <w:pPr>
        <w:spacing w:line="360" w:lineRule="auto"/>
        <w:ind w:firstLine="420" w:firstLineChars="200"/>
        <w:rPr>
          <w:rFonts w:ascii="宋体" w:hAnsi="宋体" w:cs="宋体"/>
          <w:color w:val="auto"/>
          <w:kern w:val="0"/>
          <w:highlight w:val="none"/>
        </w:rPr>
      </w:pPr>
      <w:bookmarkStart w:id="214" w:name="_Toc351203515"/>
      <w:r>
        <w:rPr>
          <w:rFonts w:hint="eastAsia" w:ascii="宋体" w:hAnsi="宋体" w:cs="宋体"/>
          <w:color w:val="auto"/>
          <w:kern w:val="0"/>
          <w:highlight w:val="none"/>
        </w:rPr>
        <w:t>2.6 支付合同价款</w:t>
      </w:r>
      <w:bookmarkEnd w:id="214"/>
    </w:p>
    <w:p w14:paraId="42DA0BE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发包人应按合同约定向承包人及时支付合同价款。</w:t>
      </w:r>
    </w:p>
    <w:p w14:paraId="28CECDE0">
      <w:pPr>
        <w:spacing w:line="360" w:lineRule="auto"/>
        <w:ind w:firstLine="420" w:firstLineChars="200"/>
        <w:rPr>
          <w:rFonts w:ascii="宋体" w:hAnsi="宋体" w:cs="宋体"/>
          <w:color w:val="auto"/>
          <w:kern w:val="0"/>
          <w:highlight w:val="none"/>
        </w:rPr>
      </w:pPr>
      <w:bookmarkStart w:id="215" w:name="_Toc351203516"/>
      <w:r>
        <w:rPr>
          <w:rFonts w:hint="eastAsia" w:ascii="宋体" w:hAnsi="宋体" w:cs="宋体"/>
          <w:color w:val="auto"/>
          <w:kern w:val="0"/>
          <w:highlight w:val="none"/>
        </w:rPr>
        <w:t>2.7 组织竣工验收</w:t>
      </w:r>
      <w:bookmarkEnd w:id="215"/>
    </w:p>
    <w:p w14:paraId="1E59AC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发包人应按合同约定及时组织竣工验收。</w:t>
      </w:r>
    </w:p>
    <w:p w14:paraId="6A91D1BF">
      <w:pPr>
        <w:spacing w:line="360" w:lineRule="auto"/>
        <w:ind w:firstLine="420" w:firstLineChars="200"/>
        <w:rPr>
          <w:rFonts w:ascii="宋体" w:hAnsi="宋体" w:cs="宋体"/>
          <w:color w:val="auto"/>
          <w:kern w:val="0"/>
          <w:highlight w:val="none"/>
        </w:rPr>
      </w:pPr>
      <w:bookmarkStart w:id="216" w:name="_Toc351203517"/>
      <w:r>
        <w:rPr>
          <w:rFonts w:hint="eastAsia" w:ascii="宋体" w:hAnsi="宋体" w:cs="宋体"/>
          <w:color w:val="auto"/>
          <w:kern w:val="0"/>
          <w:highlight w:val="none"/>
        </w:rPr>
        <w:t>2.8 现场统一管理协议</w:t>
      </w:r>
      <w:bookmarkEnd w:id="216"/>
    </w:p>
    <w:p w14:paraId="3AEBCDD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发包人应与承包人、由发包人直接发包的专业工程的承包人签订施工现场统一管理协议，明确各方的权利义务。施工现场统一管理协议作为专用合同条款的附件。</w:t>
      </w:r>
    </w:p>
    <w:p w14:paraId="1B0E98D5">
      <w:pPr>
        <w:spacing w:line="360" w:lineRule="auto"/>
        <w:ind w:firstLine="420" w:firstLineChars="200"/>
        <w:rPr>
          <w:rFonts w:ascii="宋体" w:hAnsi="宋体" w:cs="宋体"/>
          <w:color w:val="auto"/>
          <w:kern w:val="0"/>
          <w:highlight w:val="none"/>
        </w:rPr>
      </w:pPr>
      <w:bookmarkStart w:id="217" w:name="_Toc351203518"/>
      <w:r>
        <w:rPr>
          <w:rFonts w:hint="eastAsia" w:ascii="宋体" w:hAnsi="宋体" w:cs="宋体"/>
          <w:color w:val="auto"/>
          <w:kern w:val="0"/>
          <w:highlight w:val="none"/>
        </w:rPr>
        <w:t>3</w:t>
      </w:r>
      <w:bookmarkStart w:id="218" w:name="_Toc296503045"/>
      <w:bookmarkStart w:id="219" w:name="_Toc337558746"/>
      <w:bookmarkStart w:id="220" w:name="_Toc296346546"/>
      <w:r>
        <w:rPr>
          <w:rFonts w:hint="eastAsia" w:ascii="宋体" w:hAnsi="宋体" w:cs="宋体"/>
          <w:color w:val="auto"/>
          <w:kern w:val="0"/>
          <w:highlight w:val="none"/>
        </w:rPr>
        <w:t>. 承包人</w:t>
      </w:r>
      <w:bookmarkEnd w:id="217"/>
    </w:p>
    <w:bookmarkEnd w:id="218"/>
    <w:bookmarkEnd w:id="219"/>
    <w:bookmarkEnd w:id="220"/>
    <w:p w14:paraId="1D43384A">
      <w:pPr>
        <w:spacing w:line="360" w:lineRule="auto"/>
        <w:ind w:firstLine="420" w:firstLineChars="200"/>
        <w:rPr>
          <w:rFonts w:ascii="宋体" w:hAnsi="宋体" w:cs="宋体"/>
          <w:color w:val="auto"/>
          <w:kern w:val="0"/>
          <w:highlight w:val="none"/>
        </w:rPr>
      </w:pPr>
      <w:bookmarkStart w:id="221" w:name="_Toc351203519"/>
      <w:r>
        <w:rPr>
          <w:rFonts w:hint="eastAsia" w:ascii="宋体" w:hAnsi="宋体" w:cs="宋体"/>
          <w:color w:val="auto"/>
          <w:kern w:val="0"/>
          <w:highlight w:val="none"/>
        </w:rPr>
        <w:t>3</w:t>
      </w:r>
      <w:bookmarkStart w:id="222" w:name="_Toc296503046"/>
      <w:bookmarkStart w:id="223" w:name="_Toc296346547"/>
      <w:bookmarkStart w:id="224" w:name="_Toc337558747"/>
      <w:r>
        <w:rPr>
          <w:rFonts w:hint="eastAsia" w:ascii="宋体" w:hAnsi="宋体" w:cs="宋体"/>
          <w:color w:val="auto"/>
          <w:kern w:val="0"/>
          <w:highlight w:val="none"/>
        </w:rPr>
        <w:t>.1 承包人的一般义务</w:t>
      </w:r>
      <w:bookmarkEnd w:id="221"/>
    </w:p>
    <w:bookmarkEnd w:id="222"/>
    <w:bookmarkEnd w:id="223"/>
    <w:bookmarkEnd w:id="224"/>
    <w:p w14:paraId="3FB37E1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承包人在履行合同过程中应遵守法律和工程建设标准规范，并履行以下义务：</w:t>
      </w:r>
    </w:p>
    <w:p w14:paraId="75579C8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办理法律规定应由承包人办理的许可和批准，并将办理结果书面报送发包人留存；</w:t>
      </w:r>
    </w:p>
    <w:p w14:paraId="73C0301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（2）按法律规定和合同约定完成工程，并在保修期内承担保修义务；</w:t>
      </w:r>
    </w:p>
    <w:p w14:paraId="141589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（3）按法律规定和合同约定采取施工安全和环境保护措施，办理工伤保险，确保工程及人员、材料、设备和设施的安全；</w:t>
      </w:r>
    </w:p>
    <w:p w14:paraId="414002E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（4）按合同约定的工作内容和施工进度要求，编制施工组织设计和施工措施计划，并对所有施工作业和施工方法的完备性和安全可靠性负责；</w:t>
      </w:r>
    </w:p>
    <w:p w14:paraId="4827493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24A69E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（6）按照第6.3款〔环境保护〕约定负责施工场地及其周边环境与生态的保护工作；</w:t>
      </w:r>
    </w:p>
    <w:p w14:paraId="218576D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（7）按第6.1款〔安全文明施工〕约定采取施工安全措施，确保工程及其人员、材料、设备和设施的安全，防止因工程施工造成的人身伤害和财产损失；</w:t>
      </w:r>
    </w:p>
    <w:p w14:paraId="5DBEB0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（8）将发包人按合同约定支付的各项价款专用于合同工程，且应及时支付其雇用人员工资，并及时向分包人支付合同价款；</w:t>
      </w:r>
    </w:p>
    <w:p w14:paraId="7211B4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（9）按照法律规定和合同约定编制竣工资料，完成竣工资料立卷及归档，并按专用合同条款约定的竣工资料的套数、内容、时间等要求移交发包人；</w:t>
      </w:r>
    </w:p>
    <w:p w14:paraId="7191425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（10）应履行的其他义务。</w:t>
      </w:r>
    </w:p>
    <w:p w14:paraId="19C6D33B">
      <w:pPr>
        <w:spacing w:line="360" w:lineRule="auto"/>
        <w:ind w:firstLine="420" w:firstLineChars="200"/>
        <w:rPr>
          <w:rFonts w:ascii="宋体" w:hAnsi="宋体" w:cs="宋体"/>
          <w:color w:val="auto"/>
          <w:kern w:val="0"/>
          <w:highlight w:val="none"/>
        </w:rPr>
      </w:pPr>
      <w:bookmarkStart w:id="225" w:name="_Toc351203520"/>
      <w:r>
        <w:rPr>
          <w:rFonts w:hint="eastAsia" w:ascii="宋体" w:hAnsi="宋体" w:cs="宋体"/>
          <w:color w:val="auto"/>
          <w:kern w:val="0"/>
          <w:highlight w:val="none"/>
        </w:rPr>
        <w:t>3</w:t>
      </w:r>
      <w:bookmarkStart w:id="226" w:name="_Toc296503047"/>
      <w:bookmarkStart w:id="227" w:name="_Toc296346548"/>
      <w:bookmarkStart w:id="228" w:name="_Toc337558748"/>
      <w:r>
        <w:rPr>
          <w:rFonts w:hint="eastAsia" w:ascii="宋体" w:hAnsi="宋体" w:cs="宋体"/>
          <w:color w:val="auto"/>
          <w:kern w:val="0"/>
          <w:highlight w:val="none"/>
        </w:rPr>
        <w:t xml:space="preserve">.2 </w:t>
      </w:r>
      <w:bookmarkEnd w:id="225"/>
      <w:r>
        <w:rPr>
          <w:rFonts w:hint="eastAsia" w:ascii="宋体" w:hAnsi="宋体" w:cs="宋体"/>
          <w:color w:val="auto"/>
          <w:kern w:val="0"/>
          <w:highlight w:val="none"/>
        </w:rPr>
        <w:t>项目经理</w:t>
      </w:r>
    </w:p>
    <w:bookmarkEnd w:id="226"/>
    <w:bookmarkEnd w:id="227"/>
    <w:bookmarkEnd w:id="228"/>
    <w:p w14:paraId="7995EFE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3F7941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F69ED4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承包人违反上述约定的，应按照专用合同条款的约定，承担违约责任。</w:t>
      </w:r>
    </w:p>
    <w:p w14:paraId="5951B8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4F24E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CBC610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8D94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26F352B2">
      <w:pPr>
        <w:spacing w:line="360" w:lineRule="auto"/>
        <w:ind w:firstLine="420" w:firstLineChars="200"/>
        <w:rPr>
          <w:rFonts w:ascii="宋体" w:hAnsi="宋体" w:cs="宋体"/>
          <w:color w:val="auto"/>
          <w:kern w:val="0"/>
          <w:highlight w:val="none"/>
        </w:rPr>
      </w:pPr>
      <w:bookmarkStart w:id="229" w:name="_Toc351203521"/>
      <w:r>
        <w:rPr>
          <w:rFonts w:hint="eastAsia" w:ascii="宋体" w:hAnsi="宋体" w:cs="宋体"/>
          <w:color w:val="auto"/>
          <w:kern w:val="0"/>
          <w:highlight w:val="none"/>
        </w:rPr>
        <w:t>3</w:t>
      </w:r>
      <w:bookmarkStart w:id="230" w:name="_Toc296503048"/>
      <w:bookmarkStart w:id="231" w:name="_Toc296346549"/>
      <w:bookmarkStart w:id="232" w:name="_Toc337558749"/>
      <w:r>
        <w:rPr>
          <w:rFonts w:hint="eastAsia" w:ascii="宋体" w:hAnsi="宋体" w:cs="宋体"/>
          <w:color w:val="auto"/>
          <w:kern w:val="0"/>
          <w:highlight w:val="none"/>
        </w:rPr>
        <w:t xml:space="preserve">.3 </w:t>
      </w:r>
      <w:bookmarkEnd w:id="230"/>
      <w:bookmarkEnd w:id="231"/>
      <w:r>
        <w:rPr>
          <w:rFonts w:hint="eastAsia" w:ascii="宋体" w:hAnsi="宋体" w:cs="宋体"/>
          <w:color w:val="auto"/>
          <w:kern w:val="0"/>
          <w:highlight w:val="none"/>
        </w:rPr>
        <w:t>承包人人员</w:t>
      </w:r>
      <w:bookmarkEnd w:id="229"/>
    </w:p>
    <w:bookmarkEnd w:id="232"/>
    <w:p w14:paraId="77EAC1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73455E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FF1F87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特殊工种作业人员均应持有相应的资格证明，监理人可以随时检查。</w:t>
      </w:r>
    </w:p>
    <w:p w14:paraId="30E7740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913AE8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5E83E1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3.3.5 承包人擅自更换主要施工管理人员，或前述人员未经监理人或发包人同意擅自离开施工现场的，应按照专用合同条款约定承担违约责任。</w:t>
      </w:r>
    </w:p>
    <w:p w14:paraId="49021843">
      <w:pPr>
        <w:spacing w:line="360" w:lineRule="auto"/>
        <w:ind w:firstLine="420" w:firstLineChars="200"/>
        <w:rPr>
          <w:rFonts w:ascii="宋体" w:hAnsi="宋体" w:cs="宋体"/>
          <w:color w:val="auto"/>
          <w:kern w:val="0"/>
          <w:highlight w:val="none"/>
        </w:rPr>
      </w:pPr>
      <w:bookmarkStart w:id="233" w:name="_Toc351203522"/>
      <w:r>
        <w:rPr>
          <w:rFonts w:hint="eastAsia" w:ascii="宋体" w:hAnsi="宋体" w:cs="宋体"/>
          <w:color w:val="auto"/>
          <w:kern w:val="0"/>
          <w:highlight w:val="none"/>
        </w:rPr>
        <w:t>3</w:t>
      </w:r>
      <w:bookmarkStart w:id="234" w:name="_Toc337558750"/>
      <w:bookmarkStart w:id="235" w:name="_Toc296346551"/>
      <w:bookmarkStart w:id="236" w:name="_Toc296503050"/>
      <w:r>
        <w:rPr>
          <w:rFonts w:hint="eastAsia" w:ascii="宋体" w:hAnsi="宋体" w:cs="宋体"/>
          <w:color w:val="auto"/>
          <w:kern w:val="0"/>
          <w:highlight w:val="none"/>
        </w:rPr>
        <w:t>.4 承包人现场查勘</w:t>
      </w:r>
      <w:bookmarkEnd w:id="233"/>
    </w:p>
    <w:bookmarkEnd w:id="234"/>
    <w:bookmarkEnd w:id="235"/>
    <w:bookmarkEnd w:id="236"/>
    <w:p w14:paraId="542BF0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承包人应对基于发包人按照第2.4.3项〔提供基础资料〕提交的基础资料所做出的解释和推断负责，但因基础资料存在错误、遗漏导致承包人解释或推断失实的，由发包人承担责任。</w:t>
      </w:r>
    </w:p>
    <w:p w14:paraId="1ADC1F2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AFE4D3D">
      <w:pPr>
        <w:spacing w:line="360" w:lineRule="auto"/>
        <w:ind w:firstLine="420" w:firstLineChars="200"/>
        <w:rPr>
          <w:rFonts w:ascii="宋体" w:hAnsi="宋体" w:cs="宋体"/>
          <w:color w:val="auto"/>
          <w:kern w:val="0"/>
          <w:highlight w:val="none"/>
        </w:rPr>
      </w:pPr>
      <w:bookmarkStart w:id="237" w:name="_Toc351203523"/>
      <w:r>
        <w:rPr>
          <w:rFonts w:hint="eastAsia" w:ascii="宋体" w:hAnsi="宋体" w:cs="宋体"/>
          <w:color w:val="auto"/>
          <w:kern w:val="0"/>
          <w:highlight w:val="none"/>
        </w:rPr>
        <w:t>3</w:t>
      </w:r>
      <w:bookmarkStart w:id="238" w:name="_Toc337558751"/>
      <w:bookmarkStart w:id="239" w:name="_Toc296346552"/>
      <w:bookmarkStart w:id="240" w:name="_Toc296503051"/>
      <w:r>
        <w:rPr>
          <w:rFonts w:hint="eastAsia" w:ascii="宋体" w:hAnsi="宋体" w:cs="宋体"/>
          <w:color w:val="auto"/>
          <w:kern w:val="0"/>
          <w:highlight w:val="none"/>
        </w:rPr>
        <w:t>.5 分包</w:t>
      </w:r>
      <w:bookmarkEnd w:id="237"/>
    </w:p>
    <w:bookmarkEnd w:id="238"/>
    <w:bookmarkEnd w:id="239"/>
    <w:bookmarkEnd w:id="240"/>
    <w:p w14:paraId="656EECF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3.5.1 分包的一般约定</w:t>
      </w:r>
    </w:p>
    <w:p w14:paraId="4FA15D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D235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承包人不得以劳务分包的名义转包或违法分包工程。</w:t>
      </w:r>
    </w:p>
    <w:p w14:paraId="2748DDA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3.5.2 分包的确定</w:t>
      </w:r>
    </w:p>
    <w:p w14:paraId="4EC8F6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80B9B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3.5.3 分包管理</w:t>
      </w:r>
    </w:p>
    <w:p w14:paraId="13F1E6C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承包人应向监理人提交分包人的主要施工管理人员表，并对分包人的施工人员进行实名制管理，包括但不限于进出场管理、登记造册以及各种证照的办理。</w:t>
      </w:r>
    </w:p>
    <w:p w14:paraId="79D12F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3.5.4 分包合同价款</w:t>
      </w:r>
    </w:p>
    <w:p w14:paraId="00D43D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（1）除本项第（2）目约定的情况或专用合同条款另有约定外，分包合同价款由承包人与分包人结算，未经承包人同意，发包人不得向分包人支付分包工程价款；</w:t>
      </w:r>
    </w:p>
    <w:p w14:paraId="1750D3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（2）生效法律文书要求发包人向分包人支付分包合同价款的，发包人有权从应付承包人工程款中扣除该部分款项。</w:t>
      </w:r>
    </w:p>
    <w:p w14:paraId="236BBB9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3.5.5 分包合同权益的转让</w:t>
      </w:r>
    </w:p>
    <w:p w14:paraId="5C85516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41" w:name="_Toc351203524"/>
    </w:p>
    <w:p w14:paraId="7793F49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3.6 工程照管与成品、半成品保护</w:t>
      </w:r>
      <w:bookmarkEnd w:id="241"/>
    </w:p>
    <w:p w14:paraId="20106ED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（1）除专用合同条款另有约定外，自发包人向承包人移交施工现场之日起，承包人应负责照管工程及工程相关的材料、工程设备，直到颁发工程接收证书之日止。</w:t>
      </w:r>
    </w:p>
    <w:p w14:paraId="673BE89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（2）在承包人负责照管期间，因承包人原因造成工程、材料、工程设备损坏的，由承包人负责修复或更换，并承担由此增加的费用和（或）延误的工期。</w:t>
      </w:r>
    </w:p>
    <w:p w14:paraId="3BECDB7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4C53B80">
      <w:pPr>
        <w:spacing w:line="360" w:lineRule="auto"/>
        <w:ind w:firstLine="420" w:firstLineChars="200"/>
        <w:rPr>
          <w:rFonts w:ascii="宋体" w:hAnsi="宋体" w:cs="宋体"/>
          <w:color w:val="auto"/>
          <w:kern w:val="0"/>
          <w:highlight w:val="none"/>
        </w:rPr>
      </w:pPr>
      <w:bookmarkStart w:id="242" w:name="_Toc351203525"/>
      <w:r>
        <w:rPr>
          <w:rFonts w:hint="eastAsia" w:ascii="宋体" w:hAnsi="宋体" w:cs="宋体"/>
          <w:color w:val="auto"/>
          <w:kern w:val="0"/>
          <w:highlight w:val="none"/>
        </w:rPr>
        <w:t>3</w:t>
      </w:r>
      <w:bookmarkStart w:id="243" w:name="_Toc337558752"/>
      <w:bookmarkStart w:id="244" w:name="_Toc296346553"/>
      <w:bookmarkStart w:id="245" w:name="_Toc296503052"/>
      <w:r>
        <w:rPr>
          <w:rFonts w:hint="eastAsia" w:ascii="宋体" w:hAnsi="宋体" w:cs="宋体"/>
          <w:color w:val="auto"/>
          <w:kern w:val="0"/>
          <w:highlight w:val="none"/>
        </w:rPr>
        <w:t>.7 履约担保</w:t>
      </w:r>
      <w:bookmarkEnd w:id="242"/>
    </w:p>
    <w:bookmarkEnd w:id="243"/>
    <w:bookmarkEnd w:id="244"/>
    <w:bookmarkEnd w:id="245"/>
    <w:p w14:paraId="6B5C1A6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AC7EF6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因承包人原因导致工期延长的，继续提供履约担保所增加的费用由承包人承担；非因承包人原因导致工期延长的，继续提供履约担保所增加的费用由发包人承担。</w:t>
      </w:r>
    </w:p>
    <w:p w14:paraId="5104BBD8">
      <w:pPr>
        <w:spacing w:line="360" w:lineRule="auto"/>
        <w:ind w:firstLine="420" w:firstLineChars="200"/>
        <w:rPr>
          <w:rFonts w:ascii="宋体" w:hAnsi="宋体" w:cs="宋体"/>
          <w:color w:val="auto"/>
          <w:kern w:val="0"/>
          <w:highlight w:val="none"/>
        </w:rPr>
      </w:pPr>
      <w:bookmarkStart w:id="246" w:name="_Toc351203526"/>
      <w:r>
        <w:rPr>
          <w:rFonts w:hint="eastAsia" w:ascii="宋体" w:hAnsi="宋体" w:cs="宋体"/>
          <w:color w:val="auto"/>
          <w:kern w:val="0"/>
          <w:highlight w:val="none"/>
        </w:rPr>
        <w:t>3.8 联合体</w:t>
      </w:r>
      <w:bookmarkEnd w:id="246"/>
    </w:p>
    <w:p w14:paraId="5F3BC94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3.8.1 联合体各方应共同与发包人签订合同协议书。联合体各方应为履行合同向发包人承担连带责任。</w:t>
      </w:r>
    </w:p>
    <w:p w14:paraId="1A88AE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3.8.2 联合体协议经发包人确认后作为合同附件。在履行合同过程中，未经发包人同意，不得修改联合体协议。</w:t>
      </w:r>
    </w:p>
    <w:p w14:paraId="7A2637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3.8.3 联合体牵头人负责与发包人和监理人联系，并接受指示，负责组织联合体各成员全面履行合同。</w:t>
      </w:r>
    </w:p>
    <w:p w14:paraId="562E60EE">
      <w:pPr>
        <w:spacing w:line="360" w:lineRule="auto"/>
        <w:ind w:firstLine="420" w:firstLineChars="200"/>
        <w:rPr>
          <w:rFonts w:ascii="宋体" w:hAnsi="宋体" w:cs="宋体"/>
          <w:color w:val="auto"/>
          <w:kern w:val="0"/>
          <w:highlight w:val="none"/>
        </w:rPr>
      </w:pPr>
      <w:bookmarkStart w:id="247" w:name="_Toc351203527"/>
      <w:r>
        <w:rPr>
          <w:rFonts w:hint="eastAsia" w:ascii="宋体" w:hAnsi="宋体" w:cs="宋体"/>
          <w:color w:val="auto"/>
          <w:kern w:val="0"/>
          <w:highlight w:val="none"/>
        </w:rPr>
        <w:t>4</w:t>
      </w:r>
      <w:bookmarkStart w:id="248" w:name="_Toc296346554"/>
      <w:bookmarkStart w:id="249" w:name="_Toc296503053"/>
      <w:bookmarkStart w:id="250" w:name="_Toc337558753"/>
      <w:r>
        <w:rPr>
          <w:rFonts w:hint="eastAsia" w:ascii="宋体" w:hAnsi="宋体" w:cs="宋体"/>
          <w:color w:val="auto"/>
          <w:kern w:val="0"/>
          <w:highlight w:val="none"/>
        </w:rPr>
        <w:t>. 监</w:t>
      </w:r>
      <w:bookmarkEnd w:id="248"/>
      <w:bookmarkEnd w:id="249"/>
      <w:r>
        <w:rPr>
          <w:rFonts w:hint="eastAsia" w:ascii="宋体" w:hAnsi="宋体" w:cs="宋体"/>
          <w:color w:val="auto"/>
          <w:kern w:val="0"/>
          <w:highlight w:val="none"/>
        </w:rPr>
        <w:t>理人</w:t>
      </w:r>
      <w:bookmarkEnd w:id="247"/>
    </w:p>
    <w:bookmarkEnd w:id="250"/>
    <w:p w14:paraId="08271748">
      <w:pPr>
        <w:spacing w:line="360" w:lineRule="auto"/>
        <w:ind w:firstLine="420" w:firstLineChars="200"/>
        <w:rPr>
          <w:rFonts w:ascii="宋体" w:hAnsi="宋体" w:cs="宋体"/>
          <w:color w:val="auto"/>
          <w:kern w:val="0"/>
          <w:highlight w:val="none"/>
        </w:rPr>
      </w:pPr>
      <w:bookmarkStart w:id="251" w:name="_Toc351203528"/>
      <w:r>
        <w:rPr>
          <w:rFonts w:hint="eastAsia" w:ascii="宋体" w:hAnsi="宋体" w:cs="宋体"/>
          <w:color w:val="auto"/>
          <w:kern w:val="0"/>
          <w:highlight w:val="none"/>
        </w:rPr>
        <w:t>4</w:t>
      </w:r>
      <w:bookmarkStart w:id="252" w:name="_Toc296346555"/>
      <w:bookmarkStart w:id="253" w:name="_Toc296503054"/>
      <w:bookmarkStart w:id="254" w:name="_Toc337558754"/>
      <w:r>
        <w:rPr>
          <w:rFonts w:hint="eastAsia" w:ascii="宋体" w:hAnsi="宋体" w:cs="宋体"/>
          <w:color w:val="auto"/>
          <w:kern w:val="0"/>
          <w:highlight w:val="none"/>
        </w:rPr>
        <w:t>.1监理人的一般规定</w:t>
      </w:r>
      <w:bookmarkEnd w:id="251"/>
    </w:p>
    <w:bookmarkEnd w:id="252"/>
    <w:bookmarkEnd w:id="253"/>
    <w:bookmarkEnd w:id="254"/>
    <w:p w14:paraId="7343BBC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9DD27E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除专用合同条款另有约定外，监理人在施工现场的办公场所、生活场所由承包人提供，所发生的费用由发包人承担。</w:t>
      </w:r>
    </w:p>
    <w:p w14:paraId="473D7E7F">
      <w:pPr>
        <w:spacing w:line="360" w:lineRule="auto"/>
        <w:ind w:firstLine="420" w:firstLineChars="200"/>
        <w:rPr>
          <w:rFonts w:ascii="宋体" w:hAnsi="宋体" w:cs="宋体"/>
          <w:color w:val="auto"/>
          <w:kern w:val="0"/>
          <w:highlight w:val="none"/>
        </w:rPr>
      </w:pPr>
      <w:bookmarkStart w:id="255" w:name="_Toc351203529"/>
      <w:r>
        <w:rPr>
          <w:rFonts w:hint="eastAsia" w:ascii="宋体" w:hAnsi="宋体" w:cs="宋体"/>
          <w:color w:val="auto"/>
          <w:kern w:val="0"/>
          <w:highlight w:val="none"/>
        </w:rPr>
        <w:t>4</w:t>
      </w:r>
      <w:bookmarkStart w:id="256" w:name="_Toc337558755"/>
      <w:r>
        <w:rPr>
          <w:rFonts w:hint="eastAsia" w:ascii="宋体" w:hAnsi="宋体" w:cs="宋体"/>
          <w:color w:val="auto"/>
          <w:kern w:val="0"/>
          <w:highlight w:val="none"/>
        </w:rPr>
        <w:t>.2监理人员</w:t>
      </w:r>
      <w:bookmarkEnd w:id="255"/>
    </w:p>
    <w:bookmarkEnd w:id="256"/>
    <w:p w14:paraId="5168BEF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5AD8E4E">
      <w:pPr>
        <w:spacing w:line="360" w:lineRule="auto"/>
        <w:ind w:firstLine="420" w:firstLineChars="200"/>
        <w:rPr>
          <w:rFonts w:ascii="宋体" w:hAnsi="宋体" w:cs="宋体"/>
          <w:color w:val="auto"/>
          <w:kern w:val="0"/>
          <w:highlight w:val="none"/>
        </w:rPr>
      </w:pPr>
      <w:bookmarkStart w:id="257" w:name="_Toc351203530"/>
      <w:r>
        <w:rPr>
          <w:rFonts w:hint="eastAsia" w:ascii="宋体" w:hAnsi="宋体" w:cs="宋体"/>
          <w:color w:val="auto"/>
          <w:kern w:val="0"/>
          <w:highlight w:val="none"/>
        </w:rPr>
        <w:t>4</w:t>
      </w:r>
      <w:bookmarkStart w:id="258" w:name="_Toc296503055"/>
      <w:bookmarkStart w:id="259" w:name="_Toc296346556"/>
      <w:bookmarkStart w:id="260" w:name="_Toc337558756"/>
      <w:r>
        <w:rPr>
          <w:rFonts w:hint="eastAsia" w:ascii="宋体" w:hAnsi="宋体" w:cs="宋体"/>
          <w:color w:val="auto"/>
          <w:kern w:val="0"/>
          <w:highlight w:val="none"/>
        </w:rPr>
        <w:t>.3</w:t>
      </w:r>
      <w:bookmarkEnd w:id="258"/>
      <w:bookmarkEnd w:id="259"/>
      <w:r>
        <w:rPr>
          <w:rFonts w:hint="eastAsia" w:ascii="宋体" w:hAnsi="宋体" w:cs="宋体"/>
          <w:color w:val="auto"/>
          <w:kern w:val="0"/>
          <w:highlight w:val="none"/>
        </w:rPr>
        <w:t>监理人的指</w:t>
      </w:r>
      <w:bookmarkEnd w:id="260"/>
      <w:r>
        <w:rPr>
          <w:rFonts w:hint="eastAsia" w:ascii="宋体" w:hAnsi="宋体" w:cs="宋体"/>
          <w:color w:val="auto"/>
          <w:kern w:val="0"/>
          <w:highlight w:val="none"/>
        </w:rPr>
        <w:t>示</w:t>
      </w:r>
      <w:bookmarkEnd w:id="257"/>
    </w:p>
    <w:p w14:paraId="5FD9DB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A147C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F09A80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承包人对监理人发出的指示有疑问的，应向监理人提出书面异议，监理人应在48小时内对该指示予以确认、更改或撤销，监理人逾期未回复的，承包人有权拒绝执行上述指示。</w:t>
      </w:r>
    </w:p>
    <w:p w14:paraId="66AD62D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8521BF2">
      <w:pPr>
        <w:spacing w:line="360" w:lineRule="auto"/>
        <w:ind w:firstLine="420" w:firstLineChars="200"/>
        <w:rPr>
          <w:rFonts w:ascii="宋体" w:hAnsi="宋体" w:cs="宋体"/>
          <w:color w:val="auto"/>
          <w:kern w:val="0"/>
          <w:highlight w:val="none"/>
        </w:rPr>
      </w:pPr>
      <w:bookmarkStart w:id="261" w:name="_Toc351203531"/>
      <w:r>
        <w:rPr>
          <w:rFonts w:hint="eastAsia" w:ascii="宋体" w:hAnsi="宋体" w:cs="宋体"/>
          <w:color w:val="auto"/>
          <w:kern w:val="0"/>
          <w:highlight w:val="none"/>
        </w:rPr>
        <w:t>4</w:t>
      </w:r>
      <w:bookmarkStart w:id="262" w:name="_Toc296346558"/>
      <w:bookmarkStart w:id="263" w:name="_Toc296503057"/>
      <w:bookmarkStart w:id="264" w:name="_Toc337558757"/>
      <w:r>
        <w:rPr>
          <w:rFonts w:hint="eastAsia" w:ascii="宋体" w:hAnsi="宋体" w:cs="宋体"/>
          <w:color w:val="auto"/>
          <w:kern w:val="0"/>
          <w:highlight w:val="none"/>
        </w:rPr>
        <w:t>.4 商定或确定</w:t>
      </w:r>
      <w:bookmarkEnd w:id="261"/>
    </w:p>
    <w:bookmarkEnd w:id="262"/>
    <w:bookmarkEnd w:id="263"/>
    <w:bookmarkEnd w:id="264"/>
    <w:p w14:paraId="2520308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合同当事人进行商定或确定时，总监理工程师应当会同合同当事人尽量通过协商达成一致，不能达成一致的，由总监理工程师按照合同约定审慎做出公正的确定。</w:t>
      </w:r>
    </w:p>
    <w:p w14:paraId="7F1C29E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CB6FFDB">
      <w:pPr>
        <w:spacing w:line="360" w:lineRule="auto"/>
        <w:ind w:firstLine="420" w:firstLineChars="200"/>
        <w:rPr>
          <w:rFonts w:ascii="宋体" w:hAnsi="宋体" w:cs="宋体"/>
          <w:color w:val="auto"/>
          <w:kern w:val="0"/>
          <w:highlight w:val="none"/>
        </w:rPr>
      </w:pPr>
      <w:bookmarkStart w:id="265" w:name="_Toc351203532"/>
      <w:r>
        <w:rPr>
          <w:rFonts w:hint="eastAsia" w:ascii="宋体" w:hAnsi="宋体" w:cs="宋体"/>
          <w:color w:val="auto"/>
          <w:kern w:val="0"/>
          <w:highlight w:val="none"/>
        </w:rPr>
        <w:t>5</w:t>
      </w:r>
      <w:bookmarkStart w:id="266" w:name="_Toc337558758"/>
      <w:r>
        <w:rPr>
          <w:rFonts w:hint="eastAsia" w:ascii="宋体" w:hAnsi="宋体" w:cs="宋体"/>
          <w:color w:val="auto"/>
          <w:kern w:val="0"/>
          <w:highlight w:val="none"/>
        </w:rPr>
        <w:t>. 工程质量</w:t>
      </w:r>
      <w:bookmarkEnd w:id="265"/>
    </w:p>
    <w:bookmarkEnd w:id="266"/>
    <w:p w14:paraId="799B96F5">
      <w:pPr>
        <w:spacing w:line="360" w:lineRule="auto"/>
        <w:ind w:firstLine="420" w:firstLineChars="200"/>
        <w:rPr>
          <w:rFonts w:ascii="宋体" w:hAnsi="宋体" w:cs="宋体"/>
          <w:color w:val="auto"/>
          <w:kern w:val="0"/>
          <w:highlight w:val="none"/>
        </w:rPr>
      </w:pPr>
      <w:bookmarkStart w:id="267" w:name="_Toc351203533"/>
      <w:r>
        <w:rPr>
          <w:rFonts w:hint="eastAsia" w:ascii="宋体" w:hAnsi="宋体" w:cs="宋体"/>
          <w:color w:val="auto"/>
          <w:kern w:val="0"/>
          <w:highlight w:val="none"/>
        </w:rPr>
        <w:t>5</w:t>
      </w:r>
      <w:bookmarkStart w:id="268" w:name="_Toc337558759"/>
      <w:r>
        <w:rPr>
          <w:rFonts w:hint="eastAsia" w:ascii="宋体" w:hAnsi="宋体" w:cs="宋体"/>
          <w:color w:val="auto"/>
          <w:kern w:val="0"/>
          <w:highlight w:val="none"/>
        </w:rPr>
        <w:t>.1质量要求</w:t>
      </w:r>
      <w:bookmarkEnd w:id="267"/>
    </w:p>
    <w:bookmarkEnd w:id="268"/>
    <w:p w14:paraId="1281EF4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5.1.1 工程质量标准必须符合现行国家有关工程施工质量验收规范和标准的要求。有关工程质量的特殊标准或要求由合同当事人在专用合同条款中约定。</w:t>
      </w:r>
    </w:p>
    <w:p w14:paraId="5DA3BB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5.1.2 因发包人原因造成工程质量未达到合同约定标准的，由发包人承担由此增加的费用和（或）延误的工期，并支付承包人合理的利润。</w:t>
      </w:r>
    </w:p>
    <w:p w14:paraId="49FCDF8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5.1.3 因承包人原因造成工程质量未达到合同约定标准的，发包人有权要求承包人返工直至工程质量达到合同约定的标准为止，并由承包人承担由此增加的费用和（或）延误的工期。</w:t>
      </w:r>
    </w:p>
    <w:p w14:paraId="28DD4C05">
      <w:pPr>
        <w:spacing w:line="360" w:lineRule="auto"/>
        <w:ind w:firstLine="420" w:firstLineChars="200"/>
        <w:rPr>
          <w:rFonts w:ascii="宋体" w:hAnsi="宋体" w:cs="宋体"/>
          <w:color w:val="auto"/>
          <w:kern w:val="0"/>
          <w:highlight w:val="none"/>
        </w:rPr>
      </w:pPr>
      <w:bookmarkStart w:id="269" w:name="_Toc351203534"/>
      <w:r>
        <w:rPr>
          <w:rFonts w:hint="eastAsia" w:ascii="宋体" w:hAnsi="宋体" w:cs="宋体"/>
          <w:color w:val="auto"/>
          <w:kern w:val="0"/>
          <w:highlight w:val="none"/>
        </w:rPr>
        <w:t>5</w:t>
      </w:r>
      <w:bookmarkStart w:id="270" w:name="_Toc337558760"/>
      <w:r>
        <w:rPr>
          <w:rFonts w:hint="eastAsia" w:ascii="宋体" w:hAnsi="宋体" w:cs="宋体"/>
          <w:color w:val="auto"/>
          <w:kern w:val="0"/>
          <w:highlight w:val="none"/>
        </w:rPr>
        <w:t>.2质量保证措施</w:t>
      </w:r>
      <w:bookmarkEnd w:id="269"/>
    </w:p>
    <w:bookmarkEnd w:id="270"/>
    <w:p w14:paraId="6871C6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5.2.1 发包人的质量管理</w:t>
      </w:r>
    </w:p>
    <w:p w14:paraId="0283624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发包人应按照法律规定及合同约定完成与工程质量有关的各项工作。</w:t>
      </w:r>
    </w:p>
    <w:p w14:paraId="02AA846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5.2.2 承包人的质量管理</w:t>
      </w:r>
    </w:p>
    <w:p w14:paraId="435CF5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7AC9C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承包人应对施工人员进行质量教育和技术培训，定期考核施工人员的劳动技能，严格执行施工规范和操作规程。</w:t>
      </w:r>
    </w:p>
    <w:p w14:paraId="2E33441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D5777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5.2.3 监理人的质量检查和检验</w:t>
      </w:r>
    </w:p>
    <w:p w14:paraId="2ACC8A6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A64B0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78E5835">
      <w:pPr>
        <w:spacing w:line="360" w:lineRule="auto"/>
        <w:ind w:firstLine="420" w:firstLineChars="200"/>
        <w:rPr>
          <w:rFonts w:ascii="宋体" w:hAnsi="宋体" w:cs="宋体"/>
          <w:color w:val="auto"/>
          <w:kern w:val="0"/>
          <w:highlight w:val="none"/>
        </w:rPr>
      </w:pPr>
      <w:bookmarkStart w:id="271" w:name="_Toc351203535"/>
      <w:r>
        <w:rPr>
          <w:rFonts w:hint="eastAsia" w:ascii="宋体" w:hAnsi="宋体" w:cs="宋体"/>
          <w:color w:val="auto"/>
          <w:kern w:val="0"/>
          <w:highlight w:val="none"/>
        </w:rPr>
        <w:t>5</w:t>
      </w:r>
      <w:bookmarkStart w:id="272" w:name="_Toc337558761"/>
      <w:r>
        <w:rPr>
          <w:rFonts w:hint="eastAsia" w:ascii="宋体" w:hAnsi="宋体" w:cs="宋体"/>
          <w:color w:val="auto"/>
          <w:kern w:val="0"/>
          <w:highlight w:val="none"/>
        </w:rPr>
        <w:t>.3 隐蔽工程检查</w:t>
      </w:r>
      <w:bookmarkEnd w:id="271"/>
    </w:p>
    <w:bookmarkEnd w:id="272"/>
    <w:p w14:paraId="2B41434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5.3.1承包人自检</w:t>
      </w:r>
    </w:p>
    <w:p w14:paraId="441F6E2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承包人应当对工程隐蔽部位进行自检，并经自检确认是否具备覆盖条件。</w:t>
      </w:r>
    </w:p>
    <w:p w14:paraId="33007E6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5.3.2检查程序</w:t>
      </w:r>
    </w:p>
    <w:p w14:paraId="2457888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F80B0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2EE26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7AF4FD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5.3.3 重新检查</w:t>
      </w:r>
    </w:p>
    <w:p w14:paraId="308311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CD47AC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5.3.4 承包人私自覆盖</w:t>
      </w:r>
    </w:p>
    <w:p w14:paraId="61B21C2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0580B87">
      <w:pPr>
        <w:spacing w:line="360" w:lineRule="auto"/>
        <w:ind w:firstLine="420" w:firstLineChars="200"/>
        <w:rPr>
          <w:rFonts w:ascii="宋体" w:hAnsi="宋体" w:cs="宋体"/>
          <w:color w:val="auto"/>
          <w:kern w:val="0"/>
          <w:highlight w:val="none"/>
        </w:rPr>
      </w:pPr>
      <w:bookmarkStart w:id="273" w:name="_Toc351203536"/>
      <w:r>
        <w:rPr>
          <w:rFonts w:hint="eastAsia" w:ascii="宋体" w:hAnsi="宋体" w:cs="宋体"/>
          <w:color w:val="auto"/>
          <w:kern w:val="0"/>
          <w:highlight w:val="none"/>
        </w:rPr>
        <w:t>5</w:t>
      </w:r>
      <w:bookmarkStart w:id="274" w:name="_Toc337558762"/>
      <w:r>
        <w:rPr>
          <w:rFonts w:hint="eastAsia" w:ascii="宋体" w:hAnsi="宋体" w:cs="宋体"/>
          <w:color w:val="auto"/>
          <w:kern w:val="0"/>
          <w:highlight w:val="none"/>
        </w:rPr>
        <w:t>.4不合格工程的处理</w:t>
      </w:r>
      <w:bookmarkEnd w:id="273"/>
    </w:p>
    <w:bookmarkEnd w:id="274"/>
    <w:p w14:paraId="00B239F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561F4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5.4.2 因发包人原因造成工程不合格的，由此增加的费用和（或）延误的工期由发包人承担，并支付承包人合理的利润。</w:t>
      </w:r>
    </w:p>
    <w:p w14:paraId="4F7DF903">
      <w:pPr>
        <w:spacing w:line="360" w:lineRule="auto"/>
        <w:ind w:firstLine="420" w:firstLineChars="200"/>
        <w:rPr>
          <w:rFonts w:ascii="宋体" w:hAnsi="宋体" w:cs="宋体"/>
          <w:color w:val="auto"/>
          <w:kern w:val="0"/>
          <w:highlight w:val="none"/>
        </w:rPr>
      </w:pPr>
      <w:bookmarkStart w:id="275" w:name="_Toc351203537"/>
      <w:r>
        <w:rPr>
          <w:rFonts w:hint="eastAsia" w:ascii="宋体" w:hAnsi="宋体" w:cs="宋体"/>
          <w:color w:val="auto"/>
          <w:kern w:val="0"/>
          <w:highlight w:val="none"/>
        </w:rPr>
        <w:t>5.5 质量争议检测</w:t>
      </w:r>
      <w:bookmarkEnd w:id="275"/>
    </w:p>
    <w:p w14:paraId="02EAE6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合同当事人对工程质量有争议的，由双方协商确定的工程质量检测机构鉴定，由此产生的费用及因此造成的损失，由责任方承担。</w:t>
      </w:r>
    </w:p>
    <w:p w14:paraId="61DCBC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合同当事人均有责任的，由双方根据其责任分别承担。合同当事人无法达成一致的，按照第4.4款〔商定或确定〕执行。</w:t>
      </w:r>
    </w:p>
    <w:p w14:paraId="1E53A406">
      <w:pPr>
        <w:spacing w:line="360" w:lineRule="auto"/>
        <w:ind w:firstLine="420" w:firstLineChars="200"/>
        <w:rPr>
          <w:rFonts w:ascii="宋体" w:hAnsi="宋体" w:cs="宋体"/>
          <w:color w:val="auto"/>
          <w:kern w:val="0"/>
          <w:highlight w:val="none"/>
        </w:rPr>
      </w:pPr>
      <w:bookmarkStart w:id="276" w:name="_Toc351203538"/>
      <w:r>
        <w:rPr>
          <w:rFonts w:hint="eastAsia" w:ascii="宋体" w:hAnsi="宋体" w:cs="宋体"/>
          <w:color w:val="auto"/>
          <w:kern w:val="0"/>
          <w:highlight w:val="none"/>
        </w:rPr>
        <w:t>6</w:t>
      </w:r>
      <w:bookmarkStart w:id="277" w:name="_Toc337558763"/>
      <w:r>
        <w:rPr>
          <w:rFonts w:hint="eastAsia" w:ascii="宋体" w:hAnsi="宋体" w:cs="宋体"/>
          <w:color w:val="auto"/>
          <w:kern w:val="0"/>
          <w:highlight w:val="none"/>
        </w:rPr>
        <w:t>. 安全文明施工与环境保护</w:t>
      </w:r>
      <w:bookmarkEnd w:id="276"/>
    </w:p>
    <w:bookmarkEnd w:id="277"/>
    <w:p w14:paraId="2F3AE097">
      <w:pPr>
        <w:spacing w:line="360" w:lineRule="auto"/>
        <w:ind w:firstLine="420" w:firstLineChars="200"/>
        <w:rPr>
          <w:rFonts w:ascii="宋体" w:hAnsi="宋体" w:cs="宋体"/>
          <w:color w:val="auto"/>
          <w:kern w:val="0"/>
          <w:highlight w:val="none"/>
        </w:rPr>
      </w:pPr>
      <w:bookmarkStart w:id="278" w:name="_Toc351203539"/>
      <w:r>
        <w:rPr>
          <w:rFonts w:hint="eastAsia" w:ascii="宋体" w:hAnsi="宋体" w:cs="宋体"/>
          <w:color w:val="auto"/>
          <w:kern w:val="0"/>
          <w:highlight w:val="none"/>
        </w:rPr>
        <w:t>6</w:t>
      </w:r>
      <w:bookmarkStart w:id="279" w:name="_Toc337558764"/>
      <w:r>
        <w:rPr>
          <w:rFonts w:hint="eastAsia" w:ascii="宋体" w:hAnsi="宋体" w:cs="宋体"/>
          <w:color w:val="auto"/>
          <w:kern w:val="0"/>
          <w:highlight w:val="none"/>
        </w:rPr>
        <w:t>.1安全文明施工</w:t>
      </w:r>
      <w:bookmarkEnd w:id="278"/>
    </w:p>
    <w:bookmarkEnd w:id="279"/>
    <w:p w14:paraId="1CF8E9C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6.1.1安全生产要求</w:t>
      </w:r>
    </w:p>
    <w:p w14:paraId="04ADE6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084104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AC10F9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因安全生产需要暂停施工的，按照第7.8款〔暂停施工〕的约定执行。</w:t>
      </w:r>
    </w:p>
    <w:p w14:paraId="2786DDA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6.1.2 安全生产保证措施</w:t>
      </w:r>
    </w:p>
    <w:p w14:paraId="0A70166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EC8D4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6.1.3特别安全生产事项</w:t>
      </w:r>
    </w:p>
    <w:p w14:paraId="458C409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8FAF51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EC733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30FFBD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需单独编制危险性较大分部分项专项工程施工方案的，及要求进行专家论证的超过一定规模的危险性较大的分部分项工程，承包人应及时编制和组织论证。</w:t>
      </w:r>
    </w:p>
    <w:p w14:paraId="73E5FEF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6.1.4 治安保卫</w:t>
      </w:r>
    </w:p>
    <w:p w14:paraId="432C23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除专用合同条款另有约定外，发包人应与当地公安部门协商，在现场建立治安管理机构或联防组织，统一管理施工场地的治安保卫事项，履行合同工程的治安保卫职责。</w:t>
      </w:r>
    </w:p>
    <w:p w14:paraId="239E4F5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发包人和承包人除应协助现场治安管理机构或联防组织维护施工场地的社会治安外，还应做好包括生活区在内的各自管辖区的治安保卫工作。</w:t>
      </w:r>
    </w:p>
    <w:p w14:paraId="37AF4B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1B2F00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6.1.5 文明施工</w:t>
      </w:r>
    </w:p>
    <w:p w14:paraId="39AED8E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609279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BE82F6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6.1.6 安全文明施工费</w:t>
      </w:r>
    </w:p>
    <w:p w14:paraId="136E0D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安全文明施工费由发包人承担，发包人不得以任何形式扣减该部分费用。因基准日期后合同所适用的法律或政府有关规定发生变化，增加的安全文明施工费由发包人承担。</w:t>
      </w:r>
    </w:p>
    <w:p w14:paraId="496473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5884CB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4F9393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86BC79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6.1.7 紧急情况处理</w:t>
      </w:r>
    </w:p>
    <w:p w14:paraId="76EB24B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B5C0B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6.1.8 事故处理</w:t>
      </w:r>
    </w:p>
    <w:p w14:paraId="383321E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46638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6.1.9 安全生产责任</w:t>
      </w:r>
    </w:p>
    <w:p w14:paraId="70059F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6.1.9.1 发包人的安全责任</w:t>
      </w:r>
    </w:p>
    <w:p w14:paraId="62FBD6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发包人应负责赔偿以下各种情况造成的损失：</w:t>
      </w:r>
    </w:p>
    <w:p w14:paraId="2852CA3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（1）工程或工程的任何部分对土地的占用所造成的第三者财产损失；</w:t>
      </w:r>
    </w:p>
    <w:p w14:paraId="3DC6D80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（2）由于发包人原因在施工场地及其毗邻地带造成的第三者人身伤亡和财产损失；</w:t>
      </w:r>
    </w:p>
    <w:p w14:paraId="6FDE76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（3）由于发包人原因对承包人、监理人造成的人员人身伤亡和财产损失；</w:t>
      </w:r>
    </w:p>
    <w:p w14:paraId="5589906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（4）由于发包人原因造成的发包人自身人员的人身伤害以及财产损失。</w:t>
      </w:r>
    </w:p>
    <w:p w14:paraId="23C0CC0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6.1.9.2 承包人的安全责任</w:t>
      </w:r>
    </w:p>
    <w:p w14:paraId="59C4B55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由于承包人原因在施工场地内及其毗邻地带造成的发包人、监理人以及第三者人员伤亡和财产损失，由承包人负责赔偿。</w:t>
      </w:r>
    </w:p>
    <w:p w14:paraId="7F283009">
      <w:pPr>
        <w:spacing w:line="360" w:lineRule="auto"/>
        <w:ind w:firstLine="420" w:firstLineChars="200"/>
        <w:rPr>
          <w:rFonts w:ascii="宋体" w:hAnsi="宋体" w:cs="宋体"/>
          <w:color w:val="auto"/>
          <w:kern w:val="0"/>
          <w:highlight w:val="none"/>
        </w:rPr>
      </w:pPr>
      <w:bookmarkStart w:id="280" w:name="_Toc351203540"/>
      <w:r>
        <w:rPr>
          <w:rFonts w:hint="eastAsia" w:ascii="宋体" w:hAnsi="宋体" w:cs="宋体"/>
          <w:color w:val="auto"/>
          <w:kern w:val="0"/>
          <w:highlight w:val="none"/>
        </w:rPr>
        <w:t>6</w:t>
      </w:r>
      <w:bookmarkStart w:id="281" w:name="_Toc337558765"/>
      <w:r>
        <w:rPr>
          <w:rFonts w:hint="eastAsia" w:ascii="宋体" w:hAnsi="宋体" w:cs="宋体"/>
          <w:color w:val="auto"/>
          <w:kern w:val="0"/>
          <w:highlight w:val="none"/>
        </w:rPr>
        <w:t>.2 职业健康</w:t>
      </w:r>
      <w:bookmarkEnd w:id="280"/>
    </w:p>
    <w:bookmarkEnd w:id="281"/>
    <w:p w14:paraId="42AB45C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6.2.1 劳动保护</w:t>
      </w:r>
    </w:p>
    <w:p w14:paraId="5166B42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D5953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178F0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4D6310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6.2.2 生活条件</w:t>
      </w:r>
    </w:p>
    <w:p w14:paraId="37AF44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B80234A">
      <w:pPr>
        <w:spacing w:line="360" w:lineRule="auto"/>
        <w:ind w:firstLine="420" w:firstLineChars="200"/>
        <w:rPr>
          <w:rFonts w:ascii="宋体" w:hAnsi="宋体" w:cs="宋体"/>
          <w:color w:val="auto"/>
          <w:kern w:val="0"/>
          <w:highlight w:val="none"/>
        </w:rPr>
      </w:pPr>
      <w:bookmarkStart w:id="282" w:name="_Toc351203541"/>
      <w:r>
        <w:rPr>
          <w:rFonts w:hint="eastAsia" w:ascii="宋体" w:hAnsi="宋体" w:cs="宋体"/>
          <w:color w:val="auto"/>
          <w:kern w:val="0"/>
          <w:highlight w:val="none"/>
        </w:rPr>
        <w:t>6</w:t>
      </w:r>
      <w:bookmarkStart w:id="283" w:name="_Toc337558766"/>
      <w:r>
        <w:rPr>
          <w:rFonts w:hint="eastAsia" w:ascii="宋体" w:hAnsi="宋体" w:cs="宋体"/>
          <w:color w:val="auto"/>
          <w:kern w:val="0"/>
          <w:highlight w:val="none"/>
        </w:rPr>
        <w:t>.3 环境保护</w:t>
      </w:r>
      <w:bookmarkEnd w:id="282"/>
    </w:p>
    <w:bookmarkEnd w:id="283"/>
    <w:p w14:paraId="585ACAF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9CDDC4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承包人应当承担因其原因引起的环境污染侵权损害赔偿责任，因上述环境污染引起纠纷而导致暂停施工的，由此增加的费用和（或）延误的工期由承包人承担。</w:t>
      </w:r>
    </w:p>
    <w:p w14:paraId="337BFBDA">
      <w:pPr>
        <w:spacing w:line="360" w:lineRule="auto"/>
        <w:ind w:firstLine="420" w:firstLineChars="200"/>
        <w:rPr>
          <w:rFonts w:ascii="宋体" w:hAnsi="宋体" w:cs="宋体"/>
          <w:color w:val="auto"/>
          <w:kern w:val="0"/>
          <w:highlight w:val="none"/>
        </w:rPr>
      </w:pPr>
      <w:bookmarkStart w:id="284" w:name="_Toc351203542"/>
      <w:r>
        <w:rPr>
          <w:rFonts w:hint="eastAsia" w:ascii="宋体" w:hAnsi="宋体" w:cs="宋体"/>
          <w:color w:val="auto"/>
          <w:kern w:val="0"/>
          <w:highlight w:val="none"/>
        </w:rPr>
        <w:t>7</w:t>
      </w:r>
      <w:bookmarkStart w:id="285" w:name="_Toc337558767"/>
      <w:r>
        <w:rPr>
          <w:rFonts w:hint="eastAsia" w:ascii="宋体" w:hAnsi="宋体" w:cs="宋体"/>
          <w:color w:val="auto"/>
          <w:kern w:val="0"/>
          <w:highlight w:val="none"/>
        </w:rPr>
        <w:t>. 工期和进度</w:t>
      </w:r>
      <w:bookmarkEnd w:id="284"/>
    </w:p>
    <w:bookmarkEnd w:id="285"/>
    <w:p w14:paraId="7AAFB08E">
      <w:pPr>
        <w:spacing w:line="360" w:lineRule="auto"/>
        <w:ind w:firstLine="420" w:firstLineChars="200"/>
        <w:rPr>
          <w:rFonts w:ascii="宋体" w:hAnsi="宋体" w:cs="宋体"/>
          <w:color w:val="auto"/>
          <w:kern w:val="0"/>
          <w:highlight w:val="none"/>
        </w:rPr>
      </w:pPr>
      <w:bookmarkStart w:id="286" w:name="_Toc351203543"/>
      <w:r>
        <w:rPr>
          <w:rFonts w:hint="eastAsia" w:ascii="宋体" w:hAnsi="宋体" w:cs="宋体"/>
          <w:color w:val="auto"/>
          <w:kern w:val="0"/>
          <w:highlight w:val="none"/>
        </w:rPr>
        <w:t>7</w:t>
      </w:r>
      <w:bookmarkStart w:id="287" w:name="_Toc337558768"/>
      <w:bookmarkStart w:id="288" w:name="_Toc296346567"/>
      <w:bookmarkStart w:id="289" w:name="_Toc296503066"/>
      <w:r>
        <w:rPr>
          <w:rFonts w:hint="eastAsia" w:ascii="宋体" w:hAnsi="宋体" w:cs="宋体"/>
          <w:color w:val="auto"/>
          <w:kern w:val="0"/>
          <w:highlight w:val="none"/>
        </w:rPr>
        <w:t>.1施工组织设计</w:t>
      </w:r>
      <w:bookmarkEnd w:id="286"/>
    </w:p>
    <w:bookmarkEnd w:id="287"/>
    <w:p w14:paraId="0AB9965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7.1.1 施工组织设计的内容</w:t>
      </w:r>
    </w:p>
    <w:p w14:paraId="1AADBC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施工组织设计应包含以下内容：</w:t>
      </w:r>
    </w:p>
    <w:p w14:paraId="137D8A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（1）施工方案； </w:t>
      </w:r>
    </w:p>
    <w:p w14:paraId="73A001F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（2）施工现场平面布置图；</w:t>
      </w:r>
    </w:p>
    <w:p w14:paraId="2C0C87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（3）施工进度计划和保证措施； </w:t>
      </w:r>
    </w:p>
    <w:p w14:paraId="0A8E70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（4）劳动力及材料供应计划；</w:t>
      </w:r>
    </w:p>
    <w:p w14:paraId="2722C0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（5）施工机械设备的选用；</w:t>
      </w:r>
    </w:p>
    <w:p w14:paraId="7D393A9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（6）质量保证体系及措施；</w:t>
      </w:r>
    </w:p>
    <w:p w14:paraId="78AA58C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（7）安全生产、文明施工措施；</w:t>
      </w:r>
    </w:p>
    <w:p w14:paraId="5877C2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（8）环境保护、成本控制措施；</w:t>
      </w:r>
    </w:p>
    <w:p w14:paraId="0856ED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（9）合同当事人约定的其他内容。</w:t>
      </w:r>
    </w:p>
    <w:p w14:paraId="7804BB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7.1.2 施工组织设计的提交和修改</w:t>
      </w:r>
    </w:p>
    <w:p w14:paraId="7E7F43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6103A3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施工进度计划的编制和修改按照第7.2款〔施工进度计划〕执行。</w:t>
      </w:r>
    </w:p>
    <w:p w14:paraId="49651FC6">
      <w:pPr>
        <w:spacing w:line="360" w:lineRule="auto"/>
        <w:ind w:firstLine="420" w:firstLineChars="200"/>
        <w:rPr>
          <w:rFonts w:ascii="宋体" w:hAnsi="宋体" w:cs="宋体"/>
          <w:color w:val="auto"/>
          <w:kern w:val="0"/>
          <w:highlight w:val="none"/>
        </w:rPr>
      </w:pPr>
      <w:bookmarkStart w:id="290" w:name="_Toc351203544"/>
      <w:r>
        <w:rPr>
          <w:rFonts w:hint="eastAsia" w:ascii="宋体" w:hAnsi="宋体" w:cs="宋体"/>
          <w:color w:val="auto"/>
          <w:kern w:val="0"/>
          <w:highlight w:val="none"/>
        </w:rPr>
        <w:t>7</w:t>
      </w:r>
      <w:bookmarkStart w:id="291" w:name="_Toc337558769"/>
      <w:r>
        <w:rPr>
          <w:rFonts w:hint="eastAsia" w:ascii="宋体" w:hAnsi="宋体" w:cs="宋体"/>
          <w:color w:val="auto"/>
          <w:kern w:val="0"/>
          <w:highlight w:val="none"/>
        </w:rPr>
        <w:t>.2 施工进度计划</w:t>
      </w:r>
      <w:bookmarkEnd w:id="290"/>
    </w:p>
    <w:bookmarkEnd w:id="291"/>
    <w:p w14:paraId="1A26F78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7.2.1 施工进度计划的编制</w:t>
      </w:r>
    </w:p>
    <w:p w14:paraId="2C0A26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4639B4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7.2.2 施工进度计划的修订</w:t>
      </w:r>
    </w:p>
    <w:p w14:paraId="75FE6D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F9083D5">
      <w:pPr>
        <w:spacing w:line="360" w:lineRule="auto"/>
        <w:ind w:firstLine="420" w:firstLineChars="200"/>
        <w:rPr>
          <w:rFonts w:ascii="宋体" w:hAnsi="宋体" w:cs="宋体"/>
          <w:color w:val="auto"/>
          <w:kern w:val="0"/>
          <w:highlight w:val="none"/>
        </w:rPr>
      </w:pPr>
      <w:bookmarkStart w:id="292" w:name="_Toc351203545"/>
      <w:r>
        <w:rPr>
          <w:rFonts w:hint="eastAsia" w:ascii="宋体" w:hAnsi="宋体" w:cs="宋体"/>
          <w:color w:val="auto"/>
          <w:kern w:val="0"/>
          <w:highlight w:val="none"/>
        </w:rPr>
        <w:t>7</w:t>
      </w:r>
      <w:bookmarkStart w:id="293" w:name="_Toc337558770"/>
      <w:r>
        <w:rPr>
          <w:rFonts w:hint="eastAsia" w:ascii="宋体" w:hAnsi="宋体" w:cs="宋体"/>
          <w:color w:val="auto"/>
          <w:kern w:val="0"/>
          <w:highlight w:val="none"/>
        </w:rPr>
        <w:t>.3 开工</w:t>
      </w:r>
      <w:bookmarkEnd w:id="292"/>
    </w:p>
    <w:p w14:paraId="39EDA4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7.3.1 开工准备</w:t>
      </w:r>
    </w:p>
    <w:p w14:paraId="1BC50C3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27A405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除专用合同条款另有约定外，合同当事人应按约定完成开工准备工作。</w:t>
      </w:r>
    </w:p>
    <w:p w14:paraId="2329415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7.3.2 开工通知</w:t>
      </w:r>
    </w:p>
    <w:bookmarkEnd w:id="293"/>
    <w:p w14:paraId="6BA96F6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104A6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643C0D1">
      <w:pPr>
        <w:spacing w:line="360" w:lineRule="auto"/>
        <w:ind w:firstLine="420" w:firstLineChars="200"/>
        <w:rPr>
          <w:rFonts w:ascii="宋体" w:hAnsi="宋体" w:cs="宋体"/>
          <w:color w:val="auto"/>
          <w:kern w:val="0"/>
          <w:highlight w:val="none"/>
        </w:rPr>
      </w:pPr>
      <w:bookmarkStart w:id="294" w:name="_Toc351203546"/>
      <w:r>
        <w:rPr>
          <w:rFonts w:hint="eastAsia" w:ascii="宋体" w:hAnsi="宋体" w:cs="宋体"/>
          <w:color w:val="auto"/>
          <w:kern w:val="0"/>
          <w:highlight w:val="none"/>
        </w:rPr>
        <w:t>7.4测量放线</w:t>
      </w:r>
      <w:bookmarkEnd w:id="294"/>
    </w:p>
    <w:p w14:paraId="77ABDEB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F021F3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E1487E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70C6B1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施工过程中对施工现场内水准点等测量标志物的保护工作由承包人负责。</w:t>
      </w:r>
      <w:bookmarkStart w:id="295" w:name="_Toc351203547"/>
    </w:p>
    <w:p w14:paraId="4CFE6F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w:t>
      </w:r>
      <w:bookmarkEnd w:id="288"/>
      <w:bookmarkEnd w:id="289"/>
      <w:bookmarkStart w:id="296" w:name="_Toc337558772"/>
      <w:bookmarkStart w:id="297" w:name="_Toc296346574"/>
      <w:bookmarkStart w:id="298" w:name="_Toc296503073"/>
      <w:r>
        <w:rPr>
          <w:rFonts w:hint="eastAsia" w:ascii="宋体" w:hAnsi="宋体" w:cs="宋体"/>
          <w:color w:val="auto"/>
          <w:kern w:val="0"/>
          <w:highlight w:val="none"/>
        </w:rPr>
        <w:t>.5 工期延误</w:t>
      </w:r>
      <w:bookmarkEnd w:id="295"/>
    </w:p>
    <w:bookmarkEnd w:id="296"/>
    <w:bookmarkEnd w:id="297"/>
    <w:bookmarkEnd w:id="298"/>
    <w:p w14:paraId="5D115A7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7.5.1 因发包人原因导致工期延误</w:t>
      </w:r>
    </w:p>
    <w:p w14:paraId="292D23B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在合同履行过程中，因下列情况导致工期延误和（或）费用增加的，由发包人承担由此延误的工期和（或）增加的费用，且发包人应支付承包人合理的利润： </w:t>
      </w:r>
    </w:p>
    <w:p w14:paraId="56B31CE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（1）发包人未能按合同约定提供图纸或所提供图纸不符合合同约定的；</w:t>
      </w:r>
    </w:p>
    <w:p w14:paraId="4B590C3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（2）发包人未能按合同约定提供施工现场、施工条件、基础资料、许可、批准等开工条件的；</w:t>
      </w:r>
    </w:p>
    <w:p w14:paraId="5597EB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（3）发包人提供的测量基准点、基准线和水准点及其书面资料存在错误或疏漏的；</w:t>
      </w:r>
    </w:p>
    <w:p w14:paraId="3D1D9A9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（4）发包人未能在计划开工日期之日起7天内同意下达开工通知的；</w:t>
      </w:r>
    </w:p>
    <w:p w14:paraId="067B6B7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（5）发包人未能按合同约定日期支付工程预付款、进度款或竣工结算款的；</w:t>
      </w:r>
    </w:p>
    <w:p w14:paraId="70AF4E2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（6）监理人未按合同约定发出指示、批准等文件的；</w:t>
      </w:r>
    </w:p>
    <w:p w14:paraId="6FF03FB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（7）专用合同条款中约定的其他情形。</w:t>
      </w:r>
    </w:p>
    <w:p w14:paraId="59CF7A0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4F54BC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7.5.2 因承包人原因导致工期延误</w:t>
      </w:r>
    </w:p>
    <w:p w14:paraId="61E9102B">
      <w:pPr>
        <w:spacing w:line="360" w:lineRule="auto"/>
        <w:ind w:firstLine="420" w:firstLineChars="200"/>
        <w:rPr>
          <w:rFonts w:ascii="宋体" w:hAnsi="宋体" w:cs="宋体"/>
          <w:color w:val="auto"/>
          <w:kern w:val="0"/>
          <w:highlight w:val="none"/>
        </w:rPr>
      </w:pPr>
      <w:bookmarkStart w:id="299" w:name="_Toc296503076"/>
      <w:bookmarkStart w:id="300" w:name="_Toc296346577"/>
      <w:r>
        <w:rPr>
          <w:rFonts w:hint="eastAsia" w:ascii="宋体" w:hAnsi="宋体" w:cs="宋体"/>
          <w:color w:val="auto"/>
          <w:kern w:val="0"/>
          <w:highlight w:val="none"/>
        </w:rPr>
        <w:t>因</w:t>
      </w:r>
      <w:bookmarkEnd w:id="299"/>
      <w:bookmarkEnd w:id="300"/>
      <w:r>
        <w:rPr>
          <w:rFonts w:hint="eastAsia" w:ascii="宋体" w:hAnsi="宋体" w:cs="宋体"/>
          <w:color w:val="auto"/>
          <w:kern w:val="0"/>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5686A240">
      <w:pPr>
        <w:spacing w:line="360" w:lineRule="auto"/>
        <w:ind w:firstLine="420" w:firstLineChars="200"/>
        <w:rPr>
          <w:rFonts w:ascii="宋体" w:hAnsi="宋体" w:cs="宋体"/>
          <w:color w:val="auto"/>
          <w:kern w:val="0"/>
          <w:highlight w:val="none"/>
        </w:rPr>
      </w:pPr>
      <w:bookmarkStart w:id="301" w:name="_Toc351203548"/>
      <w:r>
        <w:rPr>
          <w:rFonts w:hint="eastAsia" w:ascii="宋体" w:hAnsi="宋体" w:cs="宋体"/>
          <w:color w:val="auto"/>
          <w:kern w:val="0"/>
          <w:highlight w:val="none"/>
        </w:rPr>
        <w:t>7</w:t>
      </w:r>
      <w:bookmarkStart w:id="302" w:name="_Toc337558773"/>
      <w:bookmarkStart w:id="303" w:name="_Toc296346575"/>
      <w:bookmarkStart w:id="304" w:name="_Toc296503074"/>
      <w:bookmarkStart w:id="305" w:name="_Toc296346578"/>
      <w:bookmarkStart w:id="306" w:name="_Toc296503077"/>
      <w:r>
        <w:rPr>
          <w:rFonts w:hint="eastAsia" w:ascii="宋体" w:hAnsi="宋体" w:cs="宋体"/>
          <w:color w:val="auto"/>
          <w:kern w:val="0"/>
          <w:highlight w:val="none"/>
        </w:rPr>
        <w:t>.6 不利物质条件</w:t>
      </w:r>
      <w:bookmarkEnd w:id="301"/>
    </w:p>
    <w:bookmarkEnd w:id="302"/>
    <w:bookmarkEnd w:id="303"/>
    <w:bookmarkEnd w:id="304"/>
    <w:p w14:paraId="2703AC2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252AD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20882747">
      <w:pPr>
        <w:spacing w:line="360" w:lineRule="auto"/>
        <w:ind w:firstLine="420" w:firstLineChars="200"/>
        <w:rPr>
          <w:rFonts w:ascii="宋体" w:hAnsi="宋体" w:cs="宋体"/>
          <w:color w:val="auto"/>
          <w:kern w:val="0"/>
          <w:highlight w:val="none"/>
        </w:rPr>
      </w:pPr>
      <w:bookmarkStart w:id="307" w:name="_Toc351203549"/>
      <w:r>
        <w:rPr>
          <w:rFonts w:hint="eastAsia" w:ascii="宋体" w:hAnsi="宋体" w:cs="宋体"/>
          <w:color w:val="auto"/>
          <w:kern w:val="0"/>
          <w:highlight w:val="none"/>
        </w:rPr>
        <w:t>7</w:t>
      </w:r>
      <w:bookmarkStart w:id="308" w:name="_Toc296503075"/>
      <w:bookmarkStart w:id="309" w:name="_Toc337558774"/>
      <w:bookmarkStart w:id="310" w:name="_Toc296346576"/>
      <w:r>
        <w:rPr>
          <w:rFonts w:hint="eastAsia" w:ascii="宋体" w:hAnsi="宋体" w:cs="宋体"/>
          <w:color w:val="auto"/>
          <w:kern w:val="0"/>
          <w:highlight w:val="none"/>
        </w:rPr>
        <w:t>.7 异常恶劣的气候条件</w:t>
      </w:r>
      <w:bookmarkEnd w:id="307"/>
    </w:p>
    <w:bookmarkEnd w:id="308"/>
    <w:bookmarkEnd w:id="309"/>
    <w:bookmarkEnd w:id="310"/>
    <w:p w14:paraId="6B16A9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3E8695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11" w:name="_Toc351203550"/>
    </w:p>
    <w:p w14:paraId="077A4AE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w:t>
      </w:r>
      <w:bookmarkStart w:id="312" w:name="_Toc337558775"/>
      <w:r>
        <w:rPr>
          <w:rFonts w:hint="eastAsia" w:ascii="宋体" w:hAnsi="宋体" w:cs="宋体"/>
          <w:color w:val="auto"/>
          <w:kern w:val="0"/>
          <w:highlight w:val="none"/>
        </w:rPr>
        <w:t>.8 暂停施工</w:t>
      </w:r>
      <w:bookmarkEnd w:id="311"/>
    </w:p>
    <w:bookmarkEnd w:id="305"/>
    <w:bookmarkEnd w:id="306"/>
    <w:bookmarkEnd w:id="312"/>
    <w:p w14:paraId="5087B5F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7.8.1发包人原因引起的暂停施工</w:t>
      </w:r>
    </w:p>
    <w:p w14:paraId="3204E74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因发包人原因引起暂停施工的，监理人经发包人同意后，应及时下达暂停施工指示。情况紧急且监理人未及时下达暂停施工指示的，按照第7.8.4项〔紧急情况下的暂停施工〕执行。</w:t>
      </w:r>
    </w:p>
    <w:p w14:paraId="092C63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因发包人原因引起的暂停施工，发包人应承担由此增加的费用和（或）延误的工期，并支付承包人合理的利润。</w:t>
      </w:r>
    </w:p>
    <w:p w14:paraId="2EB3C1F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7.8.2 承包人原因引起的暂停施工</w:t>
      </w:r>
    </w:p>
    <w:p w14:paraId="65AB4B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891F3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7.8.3 指示暂停施工</w:t>
      </w:r>
    </w:p>
    <w:p w14:paraId="5DF5E85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监理人认为有必要时，并经发包人批准后，可向承包人作出暂停施工的指示，承包人应按监理人指示暂停施工。</w:t>
      </w:r>
    </w:p>
    <w:p w14:paraId="7711E8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7.8.4 紧急情况下的暂停施工</w:t>
      </w:r>
    </w:p>
    <w:p w14:paraId="5375A1C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0AE317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7.8.5 暂停施工后的复工</w:t>
      </w:r>
    </w:p>
    <w:p w14:paraId="0FF5042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32F4D1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承包人无故拖延和拒绝复工的，承包人承担由此增加的费用和（或）延误的工期；因发包人原因无法按时复工的，按照第7.5.1项〔因发包人原因导致工期延误〕约定办理。</w:t>
      </w:r>
    </w:p>
    <w:p w14:paraId="15FD9F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7.8.6 暂停施工持续56天以上</w:t>
      </w:r>
    </w:p>
    <w:p w14:paraId="23ED62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1050B3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242AE8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7.8.7 暂停施工期间的工程照管</w:t>
      </w:r>
    </w:p>
    <w:p w14:paraId="7498A0D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暂停施工期间，承包人应负责妥善照管工程并提供安全保障，由此增加的费用由责任方承担。</w:t>
      </w:r>
    </w:p>
    <w:p w14:paraId="2E9C2A0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7.8.8 暂停施工的措施</w:t>
      </w:r>
    </w:p>
    <w:p w14:paraId="592E7CB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暂停施工期间，发包人和承包人均应采取必要的措施确保工程质量及安全，防止因暂停施工扩大损失。</w:t>
      </w:r>
    </w:p>
    <w:p w14:paraId="56F2913A">
      <w:pPr>
        <w:spacing w:line="360" w:lineRule="auto"/>
        <w:ind w:firstLine="420" w:firstLineChars="200"/>
        <w:rPr>
          <w:rFonts w:ascii="宋体" w:hAnsi="宋体" w:cs="宋体"/>
          <w:color w:val="auto"/>
          <w:kern w:val="0"/>
          <w:highlight w:val="none"/>
        </w:rPr>
      </w:pPr>
      <w:bookmarkStart w:id="313" w:name="_Toc351203551"/>
      <w:r>
        <w:rPr>
          <w:rFonts w:hint="eastAsia" w:ascii="宋体" w:hAnsi="宋体" w:cs="宋体"/>
          <w:color w:val="auto"/>
          <w:kern w:val="0"/>
          <w:highlight w:val="none"/>
        </w:rPr>
        <w:t>7.9提前竣工</w:t>
      </w:r>
      <w:bookmarkEnd w:id="313"/>
    </w:p>
    <w:p w14:paraId="67D5DA0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F270C1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7.9.2 发包人要求承包人提前竣工，或承包人提出提前竣工的建议能够给发包人带来效益的，合同当事人可以在专用合同条款中约定提前竣工的奖励。</w:t>
      </w:r>
    </w:p>
    <w:p w14:paraId="6B88B61F">
      <w:pPr>
        <w:spacing w:line="360" w:lineRule="auto"/>
        <w:ind w:firstLine="420" w:firstLineChars="200"/>
        <w:rPr>
          <w:rFonts w:ascii="宋体" w:hAnsi="宋体" w:cs="宋体"/>
          <w:color w:val="auto"/>
          <w:kern w:val="0"/>
          <w:highlight w:val="none"/>
        </w:rPr>
      </w:pPr>
      <w:bookmarkStart w:id="314" w:name="_Toc351203552"/>
      <w:r>
        <w:rPr>
          <w:rFonts w:hint="eastAsia" w:ascii="宋体" w:hAnsi="宋体" w:cs="宋体"/>
          <w:color w:val="auto"/>
          <w:kern w:val="0"/>
          <w:highlight w:val="none"/>
        </w:rPr>
        <w:t>8</w:t>
      </w:r>
      <w:bookmarkStart w:id="315" w:name="_Toc296503058"/>
      <w:bookmarkStart w:id="316" w:name="_Toc296346559"/>
      <w:bookmarkStart w:id="317" w:name="_Toc337558776"/>
      <w:r>
        <w:rPr>
          <w:rFonts w:hint="eastAsia" w:ascii="宋体" w:hAnsi="宋体" w:cs="宋体"/>
          <w:color w:val="auto"/>
          <w:kern w:val="0"/>
          <w:highlight w:val="none"/>
        </w:rPr>
        <w:t>. 材料与设备</w:t>
      </w:r>
      <w:bookmarkEnd w:id="314"/>
    </w:p>
    <w:bookmarkEnd w:id="315"/>
    <w:bookmarkEnd w:id="316"/>
    <w:bookmarkEnd w:id="317"/>
    <w:p w14:paraId="0F13EC45">
      <w:pPr>
        <w:spacing w:line="360" w:lineRule="auto"/>
        <w:ind w:firstLine="420" w:firstLineChars="200"/>
        <w:rPr>
          <w:rFonts w:ascii="宋体" w:hAnsi="宋体" w:cs="宋体"/>
          <w:color w:val="auto"/>
          <w:kern w:val="0"/>
          <w:highlight w:val="none"/>
        </w:rPr>
      </w:pPr>
      <w:bookmarkStart w:id="318" w:name="_Toc351203553"/>
      <w:r>
        <w:rPr>
          <w:rFonts w:hint="eastAsia" w:ascii="宋体" w:hAnsi="宋体" w:cs="宋体"/>
          <w:color w:val="auto"/>
          <w:kern w:val="0"/>
          <w:highlight w:val="none"/>
        </w:rPr>
        <w:t>8</w:t>
      </w:r>
      <w:bookmarkStart w:id="319" w:name="_Toc296346560"/>
      <w:bookmarkStart w:id="320" w:name="_Toc296503059"/>
      <w:bookmarkStart w:id="321" w:name="_Toc337558777"/>
      <w:bookmarkStart w:id="322" w:name="_Toc468936960"/>
      <w:r>
        <w:rPr>
          <w:rFonts w:hint="eastAsia" w:ascii="宋体" w:hAnsi="宋体" w:cs="宋体"/>
          <w:color w:val="auto"/>
          <w:kern w:val="0"/>
          <w:highlight w:val="none"/>
        </w:rPr>
        <w:t>.1发包人供应材料与工程设备</w:t>
      </w:r>
      <w:bookmarkEnd w:id="318"/>
    </w:p>
    <w:bookmarkEnd w:id="319"/>
    <w:bookmarkEnd w:id="320"/>
    <w:bookmarkEnd w:id="321"/>
    <w:p w14:paraId="120F880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发包人自行供应材料、工程设备的，应在签订合同时在专用合同条款的附件《发包人供应材料设备一览表》中明确材料、工程设备的品种、规格、型号、数量、单价、质量等级和送达地点。</w:t>
      </w:r>
    </w:p>
    <w:p w14:paraId="3158445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EF52093">
      <w:pPr>
        <w:spacing w:line="360" w:lineRule="auto"/>
        <w:ind w:firstLine="420" w:firstLineChars="200"/>
        <w:rPr>
          <w:rFonts w:ascii="宋体" w:hAnsi="宋体" w:cs="宋体"/>
          <w:color w:val="auto"/>
          <w:kern w:val="0"/>
          <w:highlight w:val="none"/>
        </w:rPr>
      </w:pPr>
      <w:bookmarkStart w:id="323" w:name="_Toc351203554"/>
      <w:r>
        <w:rPr>
          <w:rFonts w:hint="eastAsia" w:ascii="宋体" w:hAnsi="宋体" w:cs="宋体"/>
          <w:color w:val="auto"/>
          <w:kern w:val="0"/>
          <w:highlight w:val="none"/>
        </w:rPr>
        <w:t>8</w:t>
      </w:r>
      <w:bookmarkStart w:id="324" w:name="_Toc296503060"/>
      <w:bookmarkStart w:id="325" w:name="_Toc296346561"/>
      <w:bookmarkStart w:id="326" w:name="_Toc337558778"/>
      <w:r>
        <w:rPr>
          <w:rFonts w:hint="eastAsia" w:ascii="宋体" w:hAnsi="宋体" w:cs="宋体"/>
          <w:color w:val="auto"/>
          <w:kern w:val="0"/>
          <w:highlight w:val="none"/>
        </w:rPr>
        <w:t>.2承包人采购材料与工程设备</w:t>
      </w:r>
      <w:bookmarkEnd w:id="323"/>
    </w:p>
    <w:bookmarkEnd w:id="324"/>
    <w:bookmarkEnd w:id="325"/>
    <w:bookmarkEnd w:id="326"/>
    <w:p w14:paraId="607DBB7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668EF51">
      <w:pPr>
        <w:spacing w:line="360" w:lineRule="auto"/>
        <w:ind w:firstLine="420" w:firstLineChars="200"/>
        <w:rPr>
          <w:rFonts w:ascii="宋体" w:hAnsi="宋体" w:cs="宋体"/>
          <w:color w:val="auto"/>
          <w:kern w:val="0"/>
          <w:highlight w:val="none"/>
        </w:rPr>
      </w:pPr>
      <w:bookmarkStart w:id="327" w:name="_Toc351203555"/>
      <w:r>
        <w:rPr>
          <w:rFonts w:hint="eastAsia" w:ascii="宋体" w:hAnsi="宋体" w:cs="宋体"/>
          <w:color w:val="auto"/>
          <w:kern w:val="0"/>
          <w:highlight w:val="none"/>
        </w:rPr>
        <w:t>8</w:t>
      </w:r>
      <w:bookmarkStart w:id="328" w:name="_Toc296503061"/>
      <w:bookmarkStart w:id="329" w:name="_Toc296346562"/>
      <w:bookmarkStart w:id="330" w:name="_Toc337558779"/>
      <w:r>
        <w:rPr>
          <w:rFonts w:hint="eastAsia" w:ascii="宋体" w:hAnsi="宋体" w:cs="宋体"/>
          <w:color w:val="auto"/>
          <w:kern w:val="0"/>
          <w:highlight w:val="none"/>
        </w:rPr>
        <w:t>.3材料与工程设备的接收与拒收</w:t>
      </w:r>
      <w:bookmarkEnd w:id="327"/>
    </w:p>
    <w:bookmarkEnd w:id="328"/>
    <w:bookmarkEnd w:id="329"/>
    <w:bookmarkEnd w:id="330"/>
    <w:p w14:paraId="7AA53E4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F1129C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发包人提供的材料和工程设备的规格、数量或质量不符合合同约定的，或因发包人原因导致交货日期延误或交货地点变更等情况的，按照第16.1款〔发包人违约〕约定办理。</w:t>
      </w:r>
    </w:p>
    <w:p w14:paraId="0642D0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8.3.2 承包人采购的材料和工程设备，应保证产品质量合格，承包人应在材料和工程设备到货前24小时通知监理人检验。承</w:t>
      </w:r>
      <w:bookmarkStart w:id="331" w:name="_Toc250655469"/>
      <w:r>
        <w:rPr>
          <w:rFonts w:hint="eastAsia" w:ascii="宋体" w:hAnsi="宋体" w:cs="宋体"/>
          <w:color w:val="auto"/>
          <w:kern w:val="0"/>
          <w:highlight w:val="none"/>
        </w:rPr>
        <w:t>包人进行永久设备、材料的制造和生产的，应符合相关质量标准，并向监理人提交材料的样本以及有关资料，并应在使用该材料或工程设备之前获得监理人同意。</w:t>
      </w:r>
    </w:p>
    <w:bookmarkEnd w:id="331"/>
    <w:p w14:paraId="497527F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6802058">
      <w:pPr>
        <w:spacing w:line="360" w:lineRule="auto"/>
        <w:ind w:firstLine="420" w:firstLineChars="200"/>
        <w:rPr>
          <w:rFonts w:ascii="宋体" w:hAnsi="宋体" w:cs="宋体"/>
          <w:color w:val="auto"/>
          <w:kern w:val="0"/>
          <w:highlight w:val="none"/>
        </w:rPr>
      </w:pPr>
      <w:bookmarkStart w:id="332" w:name="_Toc351203556"/>
      <w:r>
        <w:rPr>
          <w:rFonts w:hint="eastAsia" w:ascii="宋体" w:hAnsi="宋体" w:cs="宋体"/>
          <w:color w:val="auto"/>
          <w:kern w:val="0"/>
          <w:highlight w:val="none"/>
        </w:rPr>
        <w:t>8</w:t>
      </w:r>
      <w:bookmarkStart w:id="333" w:name="_Toc296346563"/>
      <w:bookmarkStart w:id="334" w:name="_Toc296503062"/>
      <w:bookmarkStart w:id="335" w:name="_Toc337558780"/>
      <w:r>
        <w:rPr>
          <w:rFonts w:hint="eastAsia" w:ascii="宋体" w:hAnsi="宋体" w:cs="宋体"/>
          <w:color w:val="auto"/>
          <w:kern w:val="0"/>
          <w:highlight w:val="none"/>
        </w:rPr>
        <w:t>.4材料与工程设备的保管与使用</w:t>
      </w:r>
      <w:bookmarkEnd w:id="332"/>
    </w:p>
    <w:bookmarkEnd w:id="333"/>
    <w:bookmarkEnd w:id="334"/>
    <w:bookmarkEnd w:id="335"/>
    <w:p w14:paraId="341F78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8.4.1 发包人供应材料与工程设备的保管与使用</w:t>
      </w:r>
    </w:p>
    <w:p w14:paraId="41417C2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FECD50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发包人供应的材料和工程设备使用前，由承包人负责检验，检验费用由发包人承担，不合格的不得使用。</w:t>
      </w:r>
    </w:p>
    <w:p w14:paraId="58CF979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8.4.2 承包人采购材料与工程设备的保管与使用</w:t>
      </w:r>
    </w:p>
    <w:p w14:paraId="548ED4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925213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发包人或监理人发现承包人使用不符合设计或有关标准要求的材料和工程设备时，有权要求承包人进行修复、拆除或重新采购，由此增加的费用和（或）延误的工期，由承包人承担。</w:t>
      </w:r>
    </w:p>
    <w:p w14:paraId="7469CF15">
      <w:pPr>
        <w:spacing w:line="360" w:lineRule="auto"/>
        <w:ind w:firstLine="420" w:firstLineChars="200"/>
        <w:rPr>
          <w:rFonts w:ascii="宋体" w:hAnsi="宋体" w:cs="宋体"/>
          <w:color w:val="auto"/>
          <w:kern w:val="0"/>
          <w:highlight w:val="none"/>
        </w:rPr>
      </w:pPr>
      <w:bookmarkStart w:id="336" w:name="_Toc351203557"/>
      <w:r>
        <w:rPr>
          <w:rFonts w:hint="eastAsia" w:ascii="宋体" w:hAnsi="宋体" w:cs="宋体"/>
          <w:color w:val="auto"/>
          <w:kern w:val="0"/>
          <w:highlight w:val="none"/>
        </w:rPr>
        <w:t>8.5禁止使用不合格的材料和工程设备</w:t>
      </w:r>
      <w:bookmarkEnd w:id="336"/>
    </w:p>
    <w:p w14:paraId="63A8F59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8.5.1 监理人有权拒绝承包人提供的不合格材料或工程设备，并要求承包人立即进行更换。监理人应在更换后再次进行检查和检验，由此增加的费用和（或）延误的工期由承包人承担。</w:t>
      </w:r>
    </w:p>
    <w:p w14:paraId="6A886D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8.5.2 监理人发现承包人使用了不合格的材料和工程设备，承包人应按照监理人的指示立即改正，并禁止在工程中继续使用不合格的材料和工程设备。</w:t>
      </w:r>
    </w:p>
    <w:p w14:paraId="2F0A90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8.5.3 发包人提供的材料或工程设备不符合合同要求的，承包人有权拒绝，并可要求发包人更换，由此增加的费用和（或）延误的工期由发包人承担，并支付承包人合理的利润。</w:t>
      </w:r>
    </w:p>
    <w:p w14:paraId="397ADBF7">
      <w:pPr>
        <w:spacing w:line="360" w:lineRule="auto"/>
        <w:ind w:firstLine="420" w:firstLineChars="200"/>
        <w:rPr>
          <w:rFonts w:ascii="宋体" w:hAnsi="宋体" w:cs="宋体"/>
          <w:color w:val="auto"/>
          <w:kern w:val="0"/>
          <w:highlight w:val="none"/>
        </w:rPr>
      </w:pPr>
      <w:bookmarkStart w:id="337" w:name="_Toc351203558"/>
      <w:r>
        <w:rPr>
          <w:rFonts w:hint="eastAsia" w:ascii="宋体" w:hAnsi="宋体" w:cs="宋体"/>
          <w:color w:val="auto"/>
          <w:kern w:val="0"/>
          <w:highlight w:val="none"/>
        </w:rPr>
        <w:t>8.6 样品</w:t>
      </w:r>
      <w:bookmarkEnd w:id="337"/>
    </w:p>
    <w:p w14:paraId="5255AC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8.6.1</w:t>
      </w:r>
      <w:r>
        <w:rPr>
          <w:rFonts w:hint="eastAsia" w:ascii="宋体" w:hAnsi="宋体" w:cs="宋体"/>
          <w:color w:val="auto"/>
          <w:kern w:val="0"/>
          <w:highlight w:val="none"/>
        </w:rPr>
        <w:tab/>
      </w:r>
      <w:r>
        <w:rPr>
          <w:rFonts w:hint="eastAsia" w:ascii="宋体" w:hAnsi="宋体" w:cs="宋体"/>
          <w:color w:val="auto"/>
          <w:kern w:val="0"/>
          <w:highlight w:val="none"/>
        </w:rPr>
        <w:t>样品的报送与封存</w:t>
      </w:r>
    </w:p>
    <w:p w14:paraId="7BC6EB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需要承包人报送样品的材料或工程设备，样品的种类、名称、规格、数量等要求均应在专用合同条款中约定。样品的报送程序如下：</w:t>
      </w:r>
    </w:p>
    <w:p w14:paraId="0E4722B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0CBEA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D94FD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（3）经发包人和监理人审批确认的样品应按约定的方法封样，封存的样品作为检验工程相关部分的标准之一。承包人在施工过程中不得使用与样品不符的材料或工程设备。</w:t>
      </w:r>
    </w:p>
    <w:p w14:paraId="4DAA5C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A8348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8.6.2 样品的保管</w:t>
      </w:r>
    </w:p>
    <w:p w14:paraId="23D0CBC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经批准的样品应由监理人负责封存于现场，承包人应在现场为保存样品提供适当和固定的场所并保持适当和良好的存储环境条件。</w:t>
      </w:r>
    </w:p>
    <w:p w14:paraId="509C17B7">
      <w:pPr>
        <w:spacing w:line="360" w:lineRule="auto"/>
        <w:ind w:firstLine="420" w:firstLineChars="200"/>
        <w:rPr>
          <w:rFonts w:ascii="宋体" w:hAnsi="宋体" w:cs="宋体"/>
          <w:color w:val="auto"/>
          <w:kern w:val="0"/>
          <w:highlight w:val="none"/>
        </w:rPr>
      </w:pPr>
      <w:bookmarkStart w:id="338" w:name="_Toc351203559"/>
      <w:r>
        <w:rPr>
          <w:rFonts w:hint="eastAsia" w:ascii="宋体" w:hAnsi="宋体" w:cs="宋体"/>
          <w:color w:val="auto"/>
          <w:kern w:val="0"/>
          <w:highlight w:val="none"/>
        </w:rPr>
        <w:t>8.7材料与工程设备的替代</w:t>
      </w:r>
      <w:bookmarkEnd w:id="338"/>
    </w:p>
    <w:p w14:paraId="74632CF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8.7.1 出现下列情况需要使用替代材料和工程设备的，承包人应按照第8.7.2项约定的程序执行：</w:t>
      </w:r>
    </w:p>
    <w:p w14:paraId="4DCD1E8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（1）基准日期后生效的法律规定禁止使用的；</w:t>
      </w:r>
    </w:p>
    <w:p w14:paraId="0285EF5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（2）发包人要求使用替代品的；</w:t>
      </w:r>
    </w:p>
    <w:p w14:paraId="0C53248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（3）因其他原因必须使用替代品的。</w:t>
      </w:r>
    </w:p>
    <w:p w14:paraId="4B17D51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8.7.2 承包人应在使用替代材料和工程设备28天前书面通知监理人，并附下列文件：</w:t>
      </w:r>
    </w:p>
    <w:p w14:paraId="1A74F1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（1）被替代的材料和工程设备的名称、数量、规格、型号、品牌、性能、价格及其他相关资料；</w:t>
      </w:r>
    </w:p>
    <w:p w14:paraId="1F41DBC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（2）替代品的名称、数量、规格、型号、品牌、性能、价格及其他相关资料；</w:t>
      </w:r>
    </w:p>
    <w:p w14:paraId="2BF1F5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（3）替代品与被替代产品之间的差异以及使用替代品可能对工程产生的影响；</w:t>
      </w:r>
    </w:p>
    <w:p w14:paraId="0AAE9E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（4）替代品与被替代产品的价格差异；</w:t>
      </w:r>
    </w:p>
    <w:p w14:paraId="6F2535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（5）使用替代品的理由和原因说明；</w:t>
      </w:r>
    </w:p>
    <w:p w14:paraId="1D184A5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（6）监理人要求的其他文件。</w:t>
      </w:r>
    </w:p>
    <w:p w14:paraId="2A9EC8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监理人应在收到通知后14天内向承包人发出经发包人签认的书面指示；监理人逾期发出书面指示的，视为发包人和监理人同意使用替代品。</w:t>
      </w:r>
    </w:p>
    <w:p w14:paraId="5D6F87A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03CC73C">
      <w:pPr>
        <w:spacing w:line="360" w:lineRule="auto"/>
        <w:ind w:firstLine="420" w:firstLineChars="200"/>
        <w:rPr>
          <w:rFonts w:ascii="宋体" w:hAnsi="宋体" w:cs="宋体"/>
          <w:color w:val="auto"/>
          <w:kern w:val="0"/>
          <w:highlight w:val="none"/>
        </w:rPr>
      </w:pPr>
      <w:bookmarkStart w:id="339" w:name="_Toc351203560"/>
      <w:r>
        <w:rPr>
          <w:rFonts w:hint="eastAsia" w:ascii="宋体" w:hAnsi="宋体" w:cs="宋体"/>
          <w:color w:val="auto"/>
          <w:kern w:val="0"/>
          <w:highlight w:val="none"/>
        </w:rPr>
        <w:t>8.8施工设备和临时设施</w:t>
      </w:r>
      <w:bookmarkEnd w:id="339"/>
    </w:p>
    <w:p w14:paraId="7C3300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8.8.1 承包人提供的施工设备和临时设施</w:t>
      </w:r>
    </w:p>
    <w:p w14:paraId="79E9BA8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190382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除专用合同条款另有约定外，承包人应自行承担修建临时设施的费用，需要临时占地的，应由发包人办理申请手续并承担相应费用。</w:t>
      </w:r>
    </w:p>
    <w:p w14:paraId="640710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8.8.2发包人提供的施工设备和临时设施</w:t>
      </w:r>
    </w:p>
    <w:p w14:paraId="18F71B7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发包人提供的施工设备或临时设施在专用合同条款中约定。</w:t>
      </w:r>
    </w:p>
    <w:p w14:paraId="2ED711D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8.8.3要求承包人增加或更换施工设备</w:t>
      </w:r>
    </w:p>
    <w:p w14:paraId="17165B9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FDD787E">
      <w:pPr>
        <w:spacing w:line="360" w:lineRule="auto"/>
        <w:ind w:firstLine="420" w:firstLineChars="200"/>
        <w:rPr>
          <w:rFonts w:ascii="宋体" w:hAnsi="宋体" w:cs="宋体"/>
          <w:color w:val="auto"/>
          <w:kern w:val="0"/>
          <w:highlight w:val="none"/>
        </w:rPr>
      </w:pPr>
      <w:bookmarkStart w:id="340" w:name="_Toc351203561"/>
      <w:r>
        <w:rPr>
          <w:rFonts w:hint="eastAsia" w:ascii="宋体" w:hAnsi="宋体" w:cs="宋体"/>
          <w:color w:val="auto"/>
          <w:kern w:val="0"/>
          <w:highlight w:val="none"/>
        </w:rPr>
        <w:t>8</w:t>
      </w:r>
      <w:bookmarkStart w:id="341" w:name="_Toc337558781"/>
      <w:bookmarkStart w:id="342" w:name="_Toc296503063"/>
      <w:bookmarkStart w:id="343" w:name="_Toc296346564"/>
      <w:r>
        <w:rPr>
          <w:rFonts w:hint="eastAsia" w:ascii="宋体" w:hAnsi="宋体" w:cs="宋体"/>
          <w:color w:val="auto"/>
          <w:kern w:val="0"/>
          <w:highlight w:val="none"/>
        </w:rPr>
        <w:t>.9材料与设备专用</w:t>
      </w:r>
      <w:bookmarkEnd w:id="340"/>
      <w:r>
        <w:rPr>
          <w:rFonts w:hint="eastAsia" w:ascii="宋体" w:hAnsi="宋体" w:cs="宋体"/>
          <w:color w:val="auto"/>
          <w:kern w:val="0"/>
          <w:highlight w:val="none"/>
        </w:rPr>
        <w:t>要求</w:t>
      </w:r>
    </w:p>
    <w:bookmarkEnd w:id="341"/>
    <w:bookmarkEnd w:id="342"/>
    <w:bookmarkEnd w:id="343"/>
    <w:p w14:paraId="303392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22"/>
      <w:r>
        <w:rPr>
          <w:rFonts w:hint="eastAsia" w:ascii="宋体" w:hAnsi="宋体" w:cs="宋体"/>
          <w:color w:val="auto"/>
          <w:kern w:val="0"/>
          <w:highlight w:val="none"/>
        </w:rPr>
        <w:t>经发包人批准，承包人可以根据施工进度计划撤走闲置的施工设备和其他物品。</w:t>
      </w:r>
    </w:p>
    <w:p w14:paraId="306D1932">
      <w:pPr>
        <w:spacing w:line="360" w:lineRule="auto"/>
        <w:ind w:firstLine="420" w:firstLineChars="200"/>
        <w:rPr>
          <w:rFonts w:ascii="宋体" w:hAnsi="宋体" w:cs="宋体"/>
          <w:color w:val="auto"/>
          <w:kern w:val="0"/>
          <w:highlight w:val="none"/>
        </w:rPr>
      </w:pPr>
      <w:bookmarkStart w:id="344" w:name="_Toc351203562"/>
      <w:r>
        <w:rPr>
          <w:rFonts w:hint="eastAsia" w:ascii="宋体" w:hAnsi="宋体" w:cs="宋体"/>
          <w:color w:val="auto"/>
          <w:kern w:val="0"/>
          <w:highlight w:val="none"/>
        </w:rPr>
        <w:t>9</w:t>
      </w:r>
      <w:bookmarkStart w:id="345" w:name="_Toc337558782"/>
      <w:bookmarkStart w:id="346" w:name="_Toc296346584"/>
      <w:bookmarkStart w:id="347" w:name="_Toc296503083"/>
      <w:r>
        <w:rPr>
          <w:rFonts w:hint="eastAsia" w:ascii="宋体" w:hAnsi="宋体" w:cs="宋体"/>
          <w:color w:val="auto"/>
          <w:kern w:val="0"/>
          <w:highlight w:val="none"/>
        </w:rPr>
        <w:t>. 试验与检验</w:t>
      </w:r>
      <w:bookmarkEnd w:id="344"/>
    </w:p>
    <w:bookmarkEnd w:id="345"/>
    <w:p w14:paraId="678CC73C">
      <w:pPr>
        <w:spacing w:line="360" w:lineRule="auto"/>
        <w:ind w:firstLine="420" w:firstLineChars="200"/>
        <w:rPr>
          <w:rFonts w:ascii="宋体" w:hAnsi="宋体" w:cs="宋体"/>
          <w:color w:val="auto"/>
          <w:kern w:val="0"/>
          <w:highlight w:val="none"/>
        </w:rPr>
      </w:pPr>
      <w:bookmarkStart w:id="348" w:name="_Toc351203563"/>
      <w:r>
        <w:rPr>
          <w:rFonts w:hint="eastAsia" w:ascii="宋体" w:hAnsi="宋体" w:cs="宋体"/>
          <w:color w:val="auto"/>
          <w:kern w:val="0"/>
          <w:highlight w:val="none"/>
        </w:rPr>
        <w:t>9</w:t>
      </w:r>
      <w:bookmarkStart w:id="349" w:name="_Toc337558783"/>
      <w:r>
        <w:rPr>
          <w:rFonts w:hint="eastAsia" w:ascii="宋体" w:hAnsi="宋体" w:cs="宋体"/>
          <w:color w:val="auto"/>
          <w:kern w:val="0"/>
          <w:highlight w:val="none"/>
        </w:rPr>
        <w:t>.1试验设备与试验人员</w:t>
      </w:r>
      <w:bookmarkEnd w:id="348"/>
    </w:p>
    <w:bookmarkEnd w:id="349"/>
    <w:p w14:paraId="3C8F86B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CFCC0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9.1.2 承包人应按专用合同条款的约定提供试验设备、取样装置、试验场所和试验条件，并向监理人提交相应进场计划表。</w:t>
      </w:r>
    </w:p>
    <w:p w14:paraId="698241F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承包人配置的试验设备要符合相应试验规程的要求并经过具有资质的检测单位检测，且在正式使用该试验设备前，需要经过监理人与承包人共同校定。</w:t>
      </w:r>
    </w:p>
    <w:p w14:paraId="375E521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9.1.3 承包人应向监理人提交试验人员的名单及其岗位、资格等证明资料，试验人员必须能够熟练进行相应的检测试验，承包人对试验人员的试验程序和试验结果的正确性负责。</w:t>
      </w:r>
    </w:p>
    <w:p w14:paraId="12FBC294">
      <w:pPr>
        <w:spacing w:line="360" w:lineRule="auto"/>
        <w:ind w:firstLine="420" w:firstLineChars="200"/>
        <w:rPr>
          <w:rFonts w:ascii="宋体" w:hAnsi="宋体" w:cs="宋体"/>
          <w:color w:val="auto"/>
          <w:kern w:val="0"/>
          <w:highlight w:val="none"/>
        </w:rPr>
      </w:pPr>
      <w:bookmarkStart w:id="350" w:name="_Toc351203564"/>
      <w:r>
        <w:rPr>
          <w:rFonts w:hint="eastAsia" w:ascii="宋体" w:hAnsi="宋体" w:cs="宋体"/>
          <w:color w:val="auto"/>
          <w:kern w:val="0"/>
          <w:highlight w:val="none"/>
        </w:rPr>
        <w:t>9</w:t>
      </w:r>
      <w:bookmarkStart w:id="351" w:name="_Toc337558784"/>
      <w:r>
        <w:rPr>
          <w:rFonts w:hint="eastAsia" w:ascii="宋体" w:hAnsi="宋体" w:cs="宋体"/>
          <w:color w:val="auto"/>
          <w:kern w:val="0"/>
          <w:highlight w:val="none"/>
        </w:rPr>
        <w:t>.2取样</w:t>
      </w:r>
      <w:bookmarkEnd w:id="350"/>
    </w:p>
    <w:bookmarkEnd w:id="351"/>
    <w:p w14:paraId="242C07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试验属于自检性质的，承包人可以单独取样。试验属于监理人抽检性质的，可由监理人取样，也可由承包人的试验人员在监理人的监督下取样。</w:t>
      </w:r>
    </w:p>
    <w:p w14:paraId="7BA43895">
      <w:pPr>
        <w:spacing w:line="360" w:lineRule="auto"/>
        <w:ind w:firstLine="420" w:firstLineChars="200"/>
        <w:rPr>
          <w:rFonts w:ascii="宋体" w:hAnsi="宋体" w:cs="宋体"/>
          <w:color w:val="auto"/>
          <w:kern w:val="0"/>
          <w:highlight w:val="none"/>
        </w:rPr>
      </w:pPr>
      <w:bookmarkStart w:id="352" w:name="_Toc351203565"/>
      <w:r>
        <w:rPr>
          <w:rFonts w:hint="eastAsia" w:ascii="宋体" w:hAnsi="宋体" w:cs="宋体"/>
          <w:color w:val="auto"/>
          <w:kern w:val="0"/>
          <w:highlight w:val="none"/>
        </w:rPr>
        <w:t>9</w:t>
      </w:r>
      <w:bookmarkStart w:id="353" w:name="_Toc337558785"/>
      <w:r>
        <w:rPr>
          <w:rFonts w:hint="eastAsia" w:ascii="宋体" w:hAnsi="宋体" w:cs="宋体"/>
          <w:color w:val="auto"/>
          <w:kern w:val="0"/>
          <w:highlight w:val="none"/>
        </w:rPr>
        <w:t>.3材料、工程设备和工程的试验和检验</w:t>
      </w:r>
      <w:bookmarkEnd w:id="352"/>
    </w:p>
    <w:bookmarkEnd w:id="353"/>
    <w:p w14:paraId="1A10329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18F4C6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C559D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6D9F123">
      <w:pPr>
        <w:spacing w:line="360" w:lineRule="auto"/>
        <w:ind w:firstLine="420" w:firstLineChars="200"/>
        <w:rPr>
          <w:rFonts w:ascii="宋体" w:hAnsi="宋体" w:cs="宋体"/>
          <w:color w:val="auto"/>
          <w:kern w:val="0"/>
          <w:highlight w:val="none"/>
        </w:rPr>
      </w:pPr>
      <w:bookmarkStart w:id="354" w:name="_Toc351203566"/>
      <w:r>
        <w:rPr>
          <w:rFonts w:hint="eastAsia" w:ascii="宋体" w:hAnsi="宋体" w:cs="宋体"/>
          <w:color w:val="auto"/>
          <w:kern w:val="0"/>
          <w:highlight w:val="none"/>
        </w:rPr>
        <w:t>9</w:t>
      </w:r>
      <w:bookmarkStart w:id="355" w:name="_Toc337558786"/>
      <w:r>
        <w:rPr>
          <w:rFonts w:hint="eastAsia" w:ascii="宋体" w:hAnsi="宋体" w:cs="宋体"/>
          <w:color w:val="auto"/>
          <w:kern w:val="0"/>
          <w:highlight w:val="none"/>
        </w:rPr>
        <w:t>.4现场工艺试验</w:t>
      </w:r>
      <w:bookmarkEnd w:id="354"/>
    </w:p>
    <w:bookmarkEnd w:id="355"/>
    <w:p w14:paraId="3B3F36A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承包人应按合同约定或监理人指示进行现场工艺试验。对大型的现场工艺试验，监理人认为必要时，承包人应根据监理人提出的工艺试验要求，编制工艺试验措施计划，报送监理人审查。</w:t>
      </w:r>
      <w:bookmarkStart w:id="356" w:name="_Toc351203567"/>
    </w:p>
    <w:p w14:paraId="75AE3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w:t>
      </w:r>
      <w:bookmarkStart w:id="357" w:name="_Toc337558787"/>
      <w:r>
        <w:rPr>
          <w:rFonts w:hint="eastAsia" w:ascii="宋体" w:hAnsi="宋体" w:cs="宋体"/>
          <w:color w:val="auto"/>
          <w:kern w:val="0"/>
          <w:highlight w:val="none"/>
        </w:rPr>
        <w:t>0. 变更</w:t>
      </w:r>
      <w:bookmarkEnd w:id="346"/>
      <w:bookmarkEnd w:id="347"/>
      <w:bookmarkEnd w:id="356"/>
    </w:p>
    <w:bookmarkEnd w:id="357"/>
    <w:p w14:paraId="336DF896">
      <w:pPr>
        <w:spacing w:line="360" w:lineRule="auto"/>
        <w:ind w:firstLine="420" w:firstLineChars="200"/>
        <w:rPr>
          <w:rFonts w:ascii="宋体" w:hAnsi="宋体" w:cs="宋体"/>
          <w:color w:val="auto"/>
          <w:kern w:val="0"/>
          <w:highlight w:val="none"/>
        </w:rPr>
      </w:pPr>
      <w:bookmarkStart w:id="358" w:name="_Toc351203568"/>
      <w:r>
        <w:rPr>
          <w:rFonts w:hint="eastAsia" w:ascii="宋体" w:hAnsi="宋体" w:cs="宋体"/>
          <w:color w:val="auto"/>
          <w:kern w:val="0"/>
          <w:highlight w:val="none"/>
        </w:rPr>
        <w:t>1</w:t>
      </w:r>
      <w:bookmarkStart w:id="359" w:name="_Toc337558788"/>
      <w:bookmarkStart w:id="360" w:name="_Toc296346585"/>
      <w:bookmarkStart w:id="361" w:name="_Toc296503084"/>
      <w:r>
        <w:rPr>
          <w:rFonts w:hint="eastAsia" w:ascii="宋体" w:hAnsi="宋体" w:cs="宋体"/>
          <w:color w:val="auto"/>
          <w:kern w:val="0"/>
          <w:highlight w:val="none"/>
        </w:rPr>
        <w:t>0.1变更的范围</w:t>
      </w:r>
      <w:bookmarkEnd w:id="358"/>
    </w:p>
    <w:bookmarkEnd w:id="359"/>
    <w:bookmarkEnd w:id="360"/>
    <w:bookmarkEnd w:id="361"/>
    <w:p w14:paraId="1DEB7E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除专用合同条款另有约定外，合同履行过程中发生以下情形的，应按照本条约定进行变更：</w:t>
      </w:r>
    </w:p>
    <w:p w14:paraId="7F1CA3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（1）增加或减少合同中任何工作，或追加额外的工作；</w:t>
      </w:r>
    </w:p>
    <w:p w14:paraId="3F5FCD0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（2）取消合同中任何工作，但转由他人实施的工作除外；</w:t>
      </w:r>
    </w:p>
    <w:p w14:paraId="5973F85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（3）改变合同中任何工作的质量标准或其他特性；</w:t>
      </w:r>
    </w:p>
    <w:p w14:paraId="13BF02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（4）改变工程的基线、标高、位置和尺寸；</w:t>
      </w:r>
    </w:p>
    <w:p w14:paraId="021A10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（5）改变工程的时间安排或实施顺序。</w:t>
      </w:r>
    </w:p>
    <w:p w14:paraId="1C705556">
      <w:pPr>
        <w:spacing w:line="360" w:lineRule="auto"/>
        <w:ind w:firstLine="420" w:firstLineChars="200"/>
        <w:rPr>
          <w:rFonts w:ascii="宋体" w:hAnsi="宋体" w:cs="宋体"/>
          <w:color w:val="auto"/>
          <w:kern w:val="0"/>
          <w:highlight w:val="none"/>
        </w:rPr>
      </w:pPr>
      <w:bookmarkStart w:id="362" w:name="_Toc351203569"/>
      <w:r>
        <w:rPr>
          <w:rFonts w:hint="eastAsia" w:ascii="宋体" w:hAnsi="宋体" w:cs="宋体"/>
          <w:color w:val="auto"/>
          <w:kern w:val="0"/>
          <w:highlight w:val="none"/>
        </w:rPr>
        <w:t>1</w:t>
      </w:r>
      <w:bookmarkStart w:id="363" w:name="_Toc337558789"/>
      <w:bookmarkStart w:id="364" w:name="_Toc296346586"/>
      <w:bookmarkStart w:id="365" w:name="_Toc296503085"/>
      <w:r>
        <w:rPr>
          <w:rFonts w:hint="eastAsia" w:ascii="宋体" w:hAnsi="宋体" w:cs="宋体"/>
          <w:color w:val="auto"/>
          <w:kern w:val="0"/>
          <w:highlight w:val="none"/>
        </w:rPr>
        <w:t>0.2变更权</w:t>
      </w:r>
      <w:bookmarkEnd w:id="362"/>
    </w:p>
    <w:bookmarkEnd w:id="363"/>
    <w:bookmarkEnd w:id="364"/>
    <w:bookmarkEnd w:id="365"/>
    <w:p w14:paraId="2D63FCC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29A49D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涉及设计变更的，应由设计人提供变更后的图纸和说明。如变更超过原设计标准或批准的建设规模时，发包人应及时办理规划、设计变更等审批手续。</w:t>
      </w:r>
    </w:p>
    <w:p w14:paraId="3A14477B">
      <w:pPr>
        <w:spacing w:line="360" w:lineRule="auto"/>
        <w:ind w:firstLine="420" w:firstLineChars="200"/>
        <w:rPr>
          <w:rFonts w:ascii="宋体" w:hAnsi="宋体" w:cs="宋体"/>
          <w:color w:val="auto"/>
          <w:kern w:val="0"/>
          <w:highlight w:val="none"/>
        </w:rPr>
      </w:pPr>
      <w:bookmarkStart w:id="366" w:name="_Toc351203570"/>
      <w:r>
        <w:rPr>
          <w:rFonts w:hint="eastAsia" w:ascii="宋体" w:hAnsi="宋体" w:cs="宋体"/>
          <w:color w:val="auto"/>
          <w:kern w:val="0"/>
          <w:highlight w:val="none"/>
        </w:rPr>
        <w:t>1</w:t>
      </w:r>
      <w:bookmarkStart w:id="367" w:name="_Toc296346587"/>
      <w:bookmarkStart w:id="368" w:name="_Toc296503086"/>
      <w:bookmarkStart w:id="369" w:name="_Toc337558790"/>
      <w:r>
        <w:rPr>
          <w:rFonts w:hint="eastAsia" w:ascii="宋体" w:hAnsi="宋体" w:cs="宋体"/>
          <w:color w:val="auto"/>
          <w:kern w:val="0"/>
          <w:highlight w:val="none"/>
        </w:rPr>
        <w:t>0.3变更程序</w:t>
      </w:r>
      <w:bookmarkEnd w:id="366"/>
    </w:p>
    <w:bookmarkEnd w:id="367"/>
    <w:bookmarkEnd w:id="368"/>
    <w:bookmarkEnd w:id="369"/>
    <w:p w14:paraId="58AF4FC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10.3.1 发包人提出变更</w:t>
      </w:r>
    </w:p>
    <w:p w14:paraId="3FB4E3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发包人提出变更的，应通过监理人向承包人发出变更指示，变更指示应说明计划变更的工程范围和变更的内容。</w:t>
      </w:r>
    </w:p>
    <w:p w14:paraId="5150A2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10.3.2 监理人提出变更建议</w:t>
      </w:r>
    </w:p>
    <w:p w14:paraId="64167F2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3DED44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10.3.3 变更执行</w:t>
      </w:r>
    </w:p>
    <w:p w14:paraId="6BB1536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48D0802">
      <w:pPr>
        <w:spacing w:line="360" w:lineRule="auto"/>
        <w:ind w:firstLine="420" w:firstLineChars="200"/>
        <w:rPr>
          <w:rFonts w:ascii="宋体" w:hAnsi="宋体" w:cs="宋体"/>
          <w:color w:val="auto"/>
          <w:kern w:val="0"/>
          <w:highlight w:val="none"/>
        </w:rPr>
      </w:pPr>
      <w:bookmarkStart w:id="370" w:name="_Toc351203571"/>
      <w:r>
        <w:rPr>
          <w:rFonts w:hint="eastAsia" w:ascii="宋体" w:hAnsi="宋体" w:cs="宋体"/>
          <w:color w:val="auto"/>
          <w:kern w:val="0"/>
          <w:highlight w:val="none"/>
        </w:rPr>
        <w:t>1</w:t>
      </w:r>
      <w:bookmarkStart w:id="371" w:name="_Toc296503087"/>
      <w:bookmarkStart w:id="372" w:name="_Toc296346588"/>
      <w:bookmarkStart w:id="373" w:name="_Toc337558791"/>
      <w:r>
        <w:rPr>
          <w:rFonts w:hint="eastAsia" w:ascii="宋体" w:hAnsi="宋体" w:cs="宋体"/>
          <w:color w:val="auto"/>
          <w:kern w:val="0"/>
          <w:highlight w:val="none"/>
        </w:rPr>
        <w:t>0.4变更估价</w:t>
      </w:r>
      <w:bookmarkEnd w:id="370"/>
    </w:p>
    <w:bookmarkEnd w:id="371"/>
    <w:bookmarkEnd w:id="372"/>
    <w:bookmarkEnd w:id="373"/>
    <w:p w14:paraId="304EF2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10.4.1 变更估价原则</w:t>
      </w:r>
    </w:p>
    <w:p w14:paraId="52B6711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除专用合同条款另有约定外，变更估价按照本款约定处理：</w:t>
      </w:r>
    </w:p>
    <w:p w14:paraId="469EA0B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（1）已标价工程量清单或预算书有相同项目的，按照相同项目单价认定；</w:t>
      </w:r>
    </w:p>
    <w:p w14:paraId="2E8A039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（2）已标价工程量清单或预算书中无相同项目，但有类似项目的，参照类似项目的单价认定；</w:t>
      </w:r>
    </w:p>
    <w:p w14:paraId="5F6DC52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5009F9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10.4.2 变更估价程序</w:t>
      </w:r>
    </w:p>
    <w:p w14:paraId="582D803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1B1554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因变更引起的价格调整应计入最近一期的进度款中支付。</w:t>
      </w:r>
    </w:p>
    <w:p w14:paraId="42BD5773">
      <w:pPr>
        <w:spacing w:line="360" w:lineRule="auto"/>
        <w:ind w:firstLine="420" w:firstLineChars="200"/>
        <w:rPr>
          <w:rFonts w:ascii="宋体" w:hAnsi="宋体" w:cs="宋体"/>
          <w:color w:val="auto"/>
          <w:kern w:val="0"/>
          <w:highlight w:val="none"/>
        </w:rPr>
      </w:pPr>
      <w:bookmarkStart w:id="374" w:name="_Toc351203572"/>
      <w:r>
        <w:rPr>
          <w:rFonts w:hint="eastAsia" w:ascii="宋体" w:hAnsi="宋体" w:cs="宋体"/>
          <w:color w:val="auto"/>
          <w:kern w:val="0"/>
          <w:highlight w:val="none"/>
        </w:rPr>
        <w:t>1</w:t>
      </w:r>
      <w:bookmarkStart w:id="375" w:name="_Toc296346595"/>
      <w:bookmarkStart w:id="376" w:name="_Toc296503094"/>
      <w:bookmarkStart w:id="377" w:name="_Toc337558792"/>
      <w:r>
        <w:rPr>
          <w:rFonts w:hint="eastAsia" w:ascii="宋体" w:hAnsi="宋体" w:cs="宋体"/>
          <w:color w:val="auto"/>
          <w:kern w:val="0"/>
          <w:highlight w:val="none"/>
        </w:rPr>
        <w:t>0.5承包人的合理化建议</w:t>
      </w:r>
      <w:bookmarkEnd w:id="374"/>
    </w:p>
    <w:bookmarkEnd w:id="375"/>
    <w:bookmarkEnd w:id="376"/>
    <w:bookmarkEnd w:id="377"/>
    <w:p w14:paraId="75C437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承包人提出合理化建议的，应向监理人提交合理化建议说明，说明建议的内容和理由，以及实施该建议对合同价格和工期的影响。</w:t>
      </w:r>
    </w:p>
    <w:p w14:paraId="45FD415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888773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合理化建议降低了合同价格或者提高了工程经济效益的，发包人可对承包人给予奖励，奖励的方法和金额在专用合同条款中约定。</w:t>
      </w:r>
    </w:p>
    <w:p w14:paraId="34151773">
      <w:pPr>
        <w:spacing w:line="360" w:lineRule="auto"/>
        <w:ind w:firstLine="420" w:firstLineChars="200"/>
        <w:rPr>
          <w:rFonts w:ascii="宋体" w:hAnsi="宋体" w:cs="宋体"/>
          <w:color w:val="auto"/>
          <w:kern w:val="0"/>
          <w:highlight w:val="none"/>
        </w:rPr>
      </w:pPr>
      <w:bookmarkStart w:id="378" w:name="_Toc351203573"/>
      <w:r>
        <w:rPr>
          <w:rFonts w:hint="eastAsia" w:ascii="宋体" w:hAnsi="宋体" w:cs="宋体"/>
          <w:color w:val="auto"/>
          <w:kern w:val="0"/>
          <w:highlight w:val="none"/>
        </w:rPr>
        <w:t>1</w:t>
      </w:r>
      <w:bookmarkStart w:id="379" w:name="_Toc337558793"/>
      <w:r>
        <w:rPr>
          <w:rFonts w:hint="eastAsia" w:ascii="宋体" w:hAnsi="宋体" w:cs="宋体"/>
          <w:color w:val="auto"/>
          <w:kern w:val="0"/>
          <w:highlight w:val="none"/>
        </w:rPr>
        <w:t>0.6变更引起的工期调整</w:t>
      </w:r>
      <w:bookmarkEnd w:id="378"/>
      <w:r>
        <w:rPr>
          <w:rFonts w:hint="eastAsia" w:ascii="宋体" w:hAnsi="宋体" w:cs="宋体"/>
          <w:color w:val="auto"/>
          <w:kern w:val="0"/>
          <w:highlight w:val="none"/>
        </w:rPr>
        <w:t xml:space="preserve"> </w:t>
      </w:r>
      <w:bookmarkEnd w:id="379"/>
      <w:r>
        <w:rPr>
          <w:rFonts w:hint="eastAsia" w:ascii="宋体" w:hAnsi="宋体" w:cs="宋体"/>
          <w:color w:val="auto"/>
          <w:kern w:val="0"/>
          <w:highlight w:val="none"/>
        </w:rPr>
        <w:t xml:space="preserve">  </w:t>
      </w:r>
    </w:p>
    <w:p w14:paraId="2BF246C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因变更引起工期变化的，合同当事人均可要求调整合同工期，由合同当事人按照第4.4款〔商定或确定〕并参考工程所在地的工期定额标准确定增减工期天数。</w:t>
      </w:r>
    </w:p>
    <w:p w14:paraId="0C07B205">
      <w:pPr>
        <w:spacing w:line="360" w:lineRule="auto"/>
        <w:ind w:firstLine="420" w:firstLineChars="200"/>
        <w:rPr>
          <w:rFonts w:ascii="宋体" w:hAnsi="宋体" w:cs="宋体"/>
          <w:color w:val="auto"/>
          <w:kern w:val="0"/>
          <w:highlight w:val="none"/>
        </w:rPr>
      </w:pPr>
      <w:bookmarkStart w:id="380" w:name="_Toc351203574"/>
      <w:r>
        <w:rPr>
          <w:rFonts w:hint="eastAsia" w:ascii="宋体" w:hAnsi="宋体" w:cs="宋体"/>
          <w:color w:val="auto"/>
          <w:kern w:val="0"/>
          <w:highlight w:val="none"/>
        </w:rPr>
        <w:t>10.7暂估价</w:t>
      </w:r>
      <w:bookmarkEnd w:id="380"/>
    </w:p>
    <w:p w14:paraId="67A0333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暂估价专业分包工程、服务、材料和工程设备的明细由合同当事人在专用合同条款中约定。</w:t>
      </w:r>
    </w:p>
    <w:p w14:paraId="7F3EFFB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10.7.1 依法必须招标的暂估价项目</w:t>
      </w:r>
    </w:p>
    <w:p w14:paraId="3D8CF7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对于依法必须招标的暂估价项目，采取以下第1种方式确定。合同当事人也可以在专用合同条款中选择其他招标方式。</w:t>
      </w:r>
    </w:p>
    <w:p w14:paraId="51AED8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第1种方式：对于依法必须招标的暂估价项目，由承包人招标，对该暂估价项目的确认和批准按照以下约定执行：</w:t>
      </w:r>
    </w:p>
    <w:p w14:paraId="007882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1487E2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5A2B4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284E4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569CEF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10.7.2不属于依法必须招标的暂估价项目</w:t>
      </w:r>
    </w:p>
    <w:p w14:paraId="4C74CB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除专用合同条款另有约定外，对于不属于依法必须招标的暂估价项目，采取以下第1种方式确定： </w:t>
      </w:r>
    </w:p>
    <w:p w14:paraId="4A6F406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第1种方式：对于不属于依法必须招标的暂估价项目，按本项约定确认和批准：</w:t>
      </w:r>
    </w:p>
    <w:p w14:paraId="610379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39DBC1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（2）发包人认为承包人确定的供应商、分包人无法满足工程质量或合同要求的，发包人可以要求承包人重新确定暂估价项目的供应商、分包人;</w:t>
      </w:r>
    </w:p>
    <w:p w14:paraId="2D2997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（3）承包人应当在签订暂估价合同后7天内，将暂估价合同副本报送发包人留存。</w:t>
      </w:r>
    </w:p>
    <w:p w14:paraId="3679FBA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第2种方式：承包人按照第10.7.1项〔依法必须招标的暂估价项目〕约定的第1种方式确定暂估价项目。</w:t>
      </w:r>
    </w:p>
    <w:p w14:paraId="368F09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第3种方式：承包人直接实施的暂估价项目</w:t>
      </w:r>
    </w:p>
    <w:p w14:paraId="11A8060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承包人具备实施暂估价项目的资格和条件的，经发包人和承包人协商一致后，可由承包人自行实施暂估价项目，合同当事人可以在专用合同条款约定具体事项。</w:t>
      </w:r>
    </w:p>
    <w:p w14:paraId="3EF36C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21A1B0E">
      <w:pPr>
        <w:spacing w:line="360" w:lineRule="auto"/>
        <w:ind w:firstLine="420" w:firstLineChars="200"/>
        <w:rPr>
          <w:rFonts w:ascii="宋体" w:hAnsi="宋体" w:cs="宋体"/>
          <w:color w:val="auto"/>
          <w:kern w:val="0"/>
          <w:highlight w:val="none"/>
        </w:rPr>
      </w:pPr>
      <w:bookmarkStart w:id="381" w:name="_Toc351203575"/>
      <w:r>
        <w:rPr>
          <w:rFonts w:hint="eastAsia" w:ascii="宋体" w:hAnsi="宋体" w:cs="宋体"/>
          <w:color w:val="auto"/>
          <w:kern w:val="0"/>
          <w:highlight w:val="none"/>
        </w:rPr>
        <w:t>1</w:t>
      </w:r>
      <w:bookmarkStart w:id="382" w:name="_Toc337558794"/>
      <w:bookmarkStart w:id="383" w:name="_Toc322522561"/>
      <w:bookmarkStart w:id="384" w:name="_Toc296346591"/>
      <w:bookmarkStart w:id="385" w:name="_Toc296503090"/>
      <w:r>
        <w:rPr>
          <w:rFonts w:hint="eastAsia" w:ascii="宋体" w:hAnsi="宋体" w:cs="宋体"/>
          <w:color w:val="auto"/>
          <w:kern w:val="0"/>
          <w:highlight w:val="none"/>
        </w:rPr>
        <w:t>0.8暂列金额</w:t>
      </w:r>
      <w:bookmarkEnd w:id="381"/>
    </w:p>
    <w:bookmarkEnd w:id="382"/>
    <w:p w14:paraId="5C08C4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暂列金额应按照发包人的要求使用，发包人的要求应通过监理人发出。合同当事人可以在专用合同条款中协商确定有关事项。</w:t>
      </w:r>
    </w:p>
    <w:bookmarkEnd w:id="383"/>
    <w:bookmarkEnd w:id="384"/>
    <w:bookmarkEnd w:id="385"/>
    <w:p w14:paraId="0507131D">
      <w:pPr>
        <w:spacing w:line="360" w:lineRule="auto"/>
        <w:ind w:firstLine="420" w:firstLineChars="200"/>
        <w:rPr>
          <w:rFonts w:ascii="宋体" w:hAnsi="宋体" w:cs="宋体"/>
          <w:color w:val="auto"/>
          <w:kern w:val="0"/>
          <w:highlight w:val="none"/>
        </w:rPr>
      </w:pPr>
      <w:bookmarkStart w:id="386" w:name="_Toc351203576"/>
      <w:r>
        <w:rPr>
          <w:rFonts w:hint="eastAsia" w:ascii="宋体" w:hAnsi="宋体" w:cs="宋体"/>
          <w:color w:val="auto"/>
          <w:kern w:val="0"/>
          <w:highlight w:val="none"/>
        </w:rPr>
        <w:t>1</w:t>
      </w:r>
      <w:bookmarkStart w:id="387" w:name="_Toc337558796"/>
      <w:bookmarkStart w:id="388" w:name="_Toc296346592"/>
      <w:bookmarkStart w:id="389" w:name="_Toc296503091"/>
      <w:r>
        <w:rPr>
          <w:rFonts w:hint="eastAsia" w:ascii="宋体" w:hAnsi="宋体" w:cs="宋体"/>
          <w:color w:val="auto"/>
          <w:kern w:val="0"/>
          <w:highlight w:val="none"/>
        </w:rPr>
        <w:t>0.9计日工</w:t>
      </w:r>
      <w:bookmarkEnd w:id="386"/>
      <w:r>
        <w:rPr>
          <w:rFonts w:hint="eastAsia" w:ascii="宋体" w:hAnsi="宋体" w:cs="宋体"/>
          <w:color w:val="auto"/>
          <w:kern w:val="0"/>
          <w:highlight w:val="none"/>
        </w:rPr>
        <w:t xml:space="preserve"> </w:t>
      </w:r>
      <w:bookmarkEnd w:id="387"/>
      <w:bookmarkEnd w:id="388"/>
      <w:bookmarkEnd w:id="389"/>
    </w:p>
    <w:p w14:paraId="2715F22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BEF3D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采用计日工计价的任何一项工作，承包人应在该项工作实施过程中，每天提交以下报表和有关凭证报送监理人审查：</w:t>
      </w:r>
    </w:p>
    <w:p w14:paraId="701645C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（1）工作名称、内容和数量；</w:t>
      </w:r>
    </w:p>
    <w:p w14:paraId="795D1B6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（2）投入该工作的所有人员的姓名、专业、工种、级别和耗用工时；</w:t>
      </w:r>
    </w:p>
    <w:p w14:paraId="1294BFD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（3）投入该工作的材料类别和数量；</w:t>
      </w:r>
    </w:p>
    <w:p w14:paraId="23ACD3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（4）投入该工作的施工设备型号、台数和耗用台时；</w:t>
      </w:r>
    </w:p>
    <w:p w14:paraId="42B5DE4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（5）其他有关资料和凭证。</w:t>
      </w:r>
    </w:p>
    <w:p w14:paraId="6CEA6E9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计日工由承包人汇总后，列入最近一期进度付款申请单，由监理人审查并经发包人批准后列入进度付款。</w:t>
      </w:r>
    </w:p>
    <w:p w14:paraId="356FC982">
      <w:pPr>
        <w:spacing w:line="360" w:lineRule="auto"/>
        <w:ind w:firstLine="420" w:firstLineChars="200"/>
        <w:rPr>
          <w:rFonts w:ascii="宋体" w:hAnsi="宋体" w:cs="宋体"/>
          <w:color w:val="auto"/>
          <w:kern w:val="0"/>
          <w:highlight w:val="none"/>
        </w:rPr>
      </w:pPr>
      <w:bookmarkStart w:id="390" w:name="_Toc351203577"/>
      <w:r>
        <w:rPr>
          <w:rFonts w:hint="eastAsia" w:ascii="宋体" w:hAnsi="宋体" w:cs="宋体"/>
          <w:color w:val="auto"/>
          <w:kern w:val="0"/>
          <w:highlight w:val="none"/>
        </w:rPr>
        <w:t>11. 价格调整</w:t>
      </w:r>
      <w:bookmarkEnd w:id="390"/>
    </w:p>
    <w:p w14:paraId="1A1CB80F">
      <w:pPr>
        <w:spacing w:line="360" w:lineRule="auto"/>
        <w:ind w:firstLine="420" w:firstLineChars="200"/>
        <w:rPr>
          <w:rFonts w:ascii="宋体" w:hAnsi="宋体" w:cs="宋体"/>
          <w:color w:val="auto"/>
          <w:kern w:val="0"/>
          <w:highlight w:val="none"/>
        </w:rPr>
      </w:pPr>
      <w:bookmarkStart w:id="391" w:name="_Toc351203578"/>
      <w:bookmarkStart w:id="392" w:name="_Toc296346593"/>
      <w:bookmarkStart w:id="393" w:name="_Toc296503092"/>
      <w:bookmarkStart w:id="394" w:name="_Toc337558797"/>
      <w:r>
        <w:rPr>
          <w:rFonts w:hint="eastAsia" w:ascii="宋体" w:hAnsi="宋体" w:cs="宋体"/>
          <w:color w:val="auto"/>
          <w:kern w:val="0"/>
          <w:highlight w:val="none"/>
        </w:rPr>
        <w:t>11.1市场价格波动引起的调整</w:t>
      </w:r>
      <w:bookmarkEnd w:id="391"/>
    </w:p>
    <w:bookmarkEnd w:id="392"/>
    <w:bookmarkEnd w:id="393"/>
    <w:bookmarkEnd w:id="394"/>
    <w:p w14:paraId="0C1BAFD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除专用合同条款另有约定外，市场价格波动超过合同当事人约定的范围，合同价格应当调整。合同当事人可以在专用合同条款中约定选择以下一种方式对合同价格进行调整：</w:t>
      </w:r>
    </w:p>
    <w:p w14:paraId="0EB5D4A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第1种方式：采用价格指数进行价格调整。</w:t>
      </w:r>
    </w:p>
    <w:p w14:paraId="5B4FF7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（1）价格调整公式</w:t>
      </w:r>
    </w:p>
    <w:p w14:paraId="2779227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因人工、材料和设备等价格波动影响合同价格时，根据专用合同条款中约定的数据，按以下公式计算差额并调整合同价格：</w:t>
      </w:r>
    </w:p>
    <w:p w14:paraId="4A6FC74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5" o:spt="75" type="#_x0000_t75" style="height:44.25pt;width:360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14:paraId="1A9F2BE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公式中：ΔP——需调整的价格差额；</w:t>
      </w:r>
    </w:p>
    <w:p w14:paraId="67F0343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6" o:spt="75" type="#_x0000_t75" style="height:18pt;width:18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宋体" w:hAnsi="宋体" w:cs="宋体"/>
          <w:color w:val="auto"/>
          <w:kern w:val="0"/>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16FCD8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A——定值权重（即不调部分的权重）；</w:t>
      </w:r>
    </w:p>
    <w:p w14:paraId="26BDE99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7" o:spt="75" type="#_x0000_t75" style="height:21pt;width:101.2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宋体" w:cs="宋体"/>
          <w:color w:val="auto"/>
          <w:kern w:val="0"/>
          <w:highlight w:val="none"/>
        </w:rPr>
        <w:t>——各可调因子的变值权重（即可调部分的权重），为各可调因子在签约合同价中所占的比例；</w:t>
      </w:r>
    </w:p>
    <w:p w14:paraId="452425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8" o:spt="75" type="#_x0000_t75" style="height:20.25pt;width:102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宋体" w:cs="宋体"/>
          <w:color w:val="auto"/>
          <w:kern w:val="0"/>
          <w:highlight w:val="none"/>
        </w:rPr>
        <w:t>——各可调因子的现行价格指数，指约定的付款证书相关周期最后一天的前42天的各可调因子的价格指数；</w:t>
      </w:r>
    </w:p>
    <w:p w14:paraId="3DEA994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9" o:spt="75" type="#_x0000_t75" style="height:20.25pt;width:108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宋体" w:hAnsi="宋体" w:cs="宋体"/>
          <w:color w:val="auto"/>
          <w:kern w:val="0"/>
          <w:highlight w:val="none"/>
        </w:rPr>
        <w:t>——各可调因子的基本价格指数，指基准日期的各可调因子的价格指数。</w:t>
      </w:r>
    </w:p>
    <w:p w14:paraId="2421E4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79EEB9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（2）暂时确定调整差额</w:t>
      </w:r>
    </w:p>
    <w:p w14:paraId="5482B61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在计算调整差额时无现行价格指数的，合同当事人同意暂用前次价格指数计算。实际价格指数有调整的，合同当事人进行相应调整。</w:t>
      </w:r>
    </w:p>
    <w:p w14:paraId="4A290AE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（3）权重的调整</w:t>
      </w:r>
    </w:p>
    <w:p w14:paraId="440B0D7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因变更导致合同约定的权重不合理时，按照第4.4款〔商定或确定〕执行。</w:t>
      </w:r>
    </w:p>
    <w:p w14:paraId="49B7A75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（4）因承包人原因工期延误后的价格调整</w:t>
      </w:r>
    </w:p>
    <w:p w14:paraId="13CCB6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047CAD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第2种方式：采用造价信息进行价格调整。</w:t>
      </w:r>
    </w:p>
    <w:p w14:paraId="48B271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BB63F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B554B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（2）材料、工程设备价格变化的价款调整按照发包人提供的基准价格，按以下风险范围规定执行:</w:t>
      </w:r>
    </w:p>
    <w:p w14:paraId="01032D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B5261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CB3BF4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③承包人在已标价工程量清单或预算书中载明材料单价等于基准价格的：除专用合同条款另有约定外，合同履行期间材料单价涨跌幅以基准价格为基础超过±5%时，其超过部分据实调整。</w:t>
      </w:r>
    </w:p>
    <w:p w14:paraId="583BF1C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4C42541">
      <w:pPr>
        <w:spacing w:line="360" w:lineRule="auto"/>
        <w:ind w:firstLine="420" w:firstLineChars="200"/>
        <w:rPr>
          <w:rFonts w:ascii="宋体" w:hAnsi="宋体" w:cs="宋体"/>
          <w:color w:val="auto"/>
          <w:kern w:val="0"/>
          <w:highlight w:val="none"/>
        </w:rPr>
      </w:pPr>
      <w:bookmarkStart w:id="395" w:name="OLE_LINK3"/>
      <w:r>
        <w:rPr>
          <w:rFonts w:hint="eastAsia" w:ascii="宋体" w:hAnsi="宋体" w:cs="宋体"/>
          <w:color w:val="auto"/>
          <w:kern w:val="0"/>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48F504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（3）施工机械台班单价或施工机械使用费发生变化超过省级或行业建设主管部门或其授权的工程造价管理机构规定的范围时，按规定调整合同价格。</w:t>
      </w:r>
    </w:p>
    <w:p w14:paraId="368CE9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第3种方式：专用合同条款约定的其他方式。</w:t>
      </w:r>
    </w:p>
    <w:p w14:paraId="5795C1C6">
      <w:pPr>
        <w:spacing w:line="360" w:lineRule="auto"/>
        <w:ind w:firstLine="420" w:firstLineChars="200"/>
        <w:rPr>
          <w:rFonts w:ascii="宋体" w:hAnsi="宋体" w:cs="宋体"/>
          <w:color w:val="auto"/>
          <w:kern w:val="0"/>
          <w:highlight w:val="none"/>
        </w:rPr>
      </w:pPr>
      <w:bookmarkStart w:id="396" w:name="_Toc351203579"/>
      <w:bookmarkStart w:id="397" w:name="_Toc296503093"/>
      <w:bookmarkStart w:id="398" w:name="_Toc337558798"/>
      <w:bookmarkStart w:id="399" w:name="_Toc296346594"/>
      <w:r>
        <w:rPr>
          <w:rFonts w:hint="eastAsia" w:ascii="宋体" w:hAnsi="宋体" w:cs="宋体"/>
          <w:color w:val="auto"/>
          <w:kern w:val="0"/>
          <w:highlight w:val="none"/>
        </w:rPr>
        <w:t>11.2法律变化引起的调整</w:t>
      </w:r>
      <w:bookmarkEnd w:id="396"/>
    </w:p>
    <w:bookmarkEnd w:id="397"/>
    <w:bookmarkEnd w:id="398"/>
    <w:bookmarkEnd w:id="399"/>
    <w:p w14:paraId="7F9E7E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03032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因法律变化引起的合同价格和工期调整，合同当事人无法达成一致的，由总监理工程师按第4.4款〔商定或确定〕的约定处理。</w:t>
      </w:r>
    </w:p>
    <w:p w14:paraId="7686F5C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因承包人原因造成工期延误，在工期延误期间出现法律变化的，由此增加的费用和（或）延误的工期由承包人承担。</w:t>
      </w:r>
    </w:p>
    <w:p w14:paraId="5C6EDA55">
      <w:pPr>
        <w:spacing w:line="360" w:lineRule="auto"/>
        <w:ind w:firstLine="420" w:firstLineChars="200"/>
        <w:rPr>
          <w:rFonts w:ascii="宋体" w:hAnsi="宋体" w:cs="宋体"/>
          <w:color w:val="auto"/>
          <w:kern w:val="0"/>
          <w:highlight w:val="none"/>
        </w:rPr>
      </w:pPr>
      <w:bookmarkStart w:id="400" w:name="_Toc351203580"/>
      <w:bookmarkStart w:id="401" w:name="_Toc337558799"/>
      <w:bookmarkStart w:id="402" w:name="_Toc296346597"/>
      <w:bookmarkStart w:id="403" w:name="_Toc296503096"/>
      <w:r>
        <w:rPr>
          <w:rFonts w:hint="eastAsia" w:ascii="宋体" w:hAnsi="宋体" w:cs="宋体"/>
          <w:color w:val="auto"/>
          <w:kern w:val="0"/>
          <w:highlight w:val="none"/>
        </w:rPr>
        <w:t>12. 合同价格、计量与支付</w:t>
      </w:r>
      <w:bookmarkEnd w:id="400"/>
    </w:p>
    <w:bookmarkEnd w:id="401"/>
    <w:p w14:paraId="6DE4FE80">
      <w:pPr>
        <w:spacing w:line="360" w:lineRule="auto"/>
        <w:ind w:firstLine="420" w:firstLineChars="200"/>
        <w:rPr>
          <w:rFonts w:ascii="宋体" w:hAnsi="宋体" w:cs="宋体"/>
          <w:color w:val="auto"/>
          <w:kern w:val="0"/>
          <w:highlight w:val="none"/>
        </w:rPr>
      </w:pPr>
      <w:bookmarkStart w:id="404" w:name="_Toc351203581"/>
      <w:bookmarkStart w:id="405" w:name="_Toc337558800"/>
      <w:r>
        <w:rPr>
          <w:rFonts w:hint="eastAsia" w:ascii="宋体" w:hAnsi="宋体" w:cs="宋体"/>
          <w:color w:val="auto"/>
          <w:kern w:val="0"/>
          <w:highlight w:val="none"/>
        </w:rPr>
        <w:t>12.1 合同价</w:t>
      </w:r>
      <w:bookmarkEnd w:id="402"/>
      <w:bookmarkEnd w:id="403"/>
      <w:r>
        <w:rPr>
          <w:rFonts w:hint="eastAsia" w:ascii="宋体" w:hAnsi="宋体" w:cs="宋体"/>
          <w:color w:val="auto"/>
          <w:kern w:val="0"/>
          <w:highlight w:val="none"/>
        </w:rPr>
        <w:t>格形式</w:t>
      </w:r>
      <w:bookmarkEnd w:id="404"/>
    </w:p>
    <w:bookmarkEnd w:id="405"/>
    <w:p w14:paraId="4F22BD8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发包人和承包人应在合同协议书中选择下列一种合同价格形式： </w:t>
      </w:r>
    </w:p>
    <w:p w14:paraId="703FEB6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1.单价合同</w:t>
      </w:r>
    </w:p>
    <w:p w14:paraId="77381D2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0C5DCE5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2.总价合同</w:t>
      </w:r>
    </w:p>
    <w:p w14:paraId="31CF821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E5DB2E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3.其它价格形式</w:t>
      </w:r>
    </w:p>
    <w:p w14:paraId="5F88915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合同当事人可在专用合同条款中约定其他合同价格形式。</w:t>
      </w:r>
    </w:p>
    <w:p w14:paraId="0B8636A9">
      <w:pPr>
        <w:spacing w:line="360" w:lineRule="auto"/>
        <w:ind w:firstLine="420" w:firstLineChars="200"/>
        <w:rPr>
          <w:rFonts w:ascii="宋体" w:hAnsi="宋体" w:cs="宋体"/>
          <w:color w:val="auto"/>
          <w:kern w:val="0"/>
          <w:highlight w:val="none"/>
        </w:rPr>
      </w:pPr>
      <w:bookmarkStart w:id="406" w:name="_Toc296503097"/>
      <w:bookmarkStart w:id="407" w:name="_Toc296346598"/>
      <w:bookmarkStart w:id="408" w:name="_Toc351203582"/>
      <w:bookmarkStart w:id="409" w:name="_Toc337558801"/>
      <w:r>
        <w:rPr>
          <w:rFonts w:hint="eastAsia" w:ascii="宋体" w:hAnsi="宋体" w:cs="宋体"/>
          <w:color w:val="auto"/>
          <w:kern w:val="0"/>
          <w:highlight w:val="none"/>
        </w:rPr>
        <w:t>12.2预</w:t>
      </w:r>
      <w:bookmarkEnd w:id="406"/>
      <w:bookmarkEnd w:id="407"/>
      <w:bookmarkStart w:id="410" w:name="_Toc296346601"/>
      <w:bookmarkStart w:id="411" w:name="_Toc296503100"/>
      <w:r>
        <w:rPr>
          <w:rFonts w:hint="eastAsia" w:ascii="宋体" w:hAnsi="宋体" w:cs="宋体"/>
          <w:color w:val="auto"/>
          <w:kern w:val="0"/>
          <w:highlight w:val="none"/>
        </w:rPr>
        <w:t>付款</w:t>
      </w:r>
      <w:bookmarkEnd w:id="408"/>
    </w:p>
    <w:bookmarkEnd w:id="409"/>
    <w:bookmarkEnd w:id="410"/>
    <w:bookmarkEnd w:id="411"/>
    <w:p w14:paraId="01A1DA2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12.2.1预付款的支付</w:t>
      </w:r>
    </w:p>
    <w:p w14:paraId="22DDF94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预付款的支付按照专用合同条款约定执行，但至迟应在开工通知载明的开工日期7天前支付。预付款应当用于材料、工程设备、施工设备的采购及修建临时工程、组织施工队伍进场等。</w:t>
      </w:r>
    </w:p>
    <w:p w14:paraId="4B4F70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除专用合同条款另有约定外，预付款在进度付款中同比例扣回。</w:t>
      </w:r>
      <w:bookmarkEnd w:id="395"/>
      <w:r>
        <w:rPr>
          <w:rFonts w:hint="eastAsia" w:ascii="宋体" w:hAnsi="宋体" w:cs="宋体"/>
          <w:color w:val="auto"/>
          <w:kern w:val="0"/>
          <w:highlight w:val="none"/>
        </w:rPr>
        <w:t>在颁发工程接收证书前，提前解除合同的，尚未扣完的预付款应与合同价款一并结算。</w:t>
      </w:r>
    </w:p>
    <w:p w14:paraId="75432A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发包人逾期支付预付款超过7天的，承包人有权向发包人发出要求预付的催告通知，发包人收到通知后7天内仍未支付的，承包人有权暂停施工，并按第16.1.1项〔发包人违约的情形〕执行。</w:t>
      </w:r>
    </w:p>
    <w:p w14:paraId="4312879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12.2.2 预付款担保</w:t>
      </w:r>
    </w:p>
    <w:p w14:paraId="6DBE39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C86836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发包人在工程款中逐期扣回预付款后，预付款担保额度应相应减少，但剩余的预付款担保金额不得低于未被扣回的预付款金额。</w:t>
      </w:r>
    </w:p>
    <w:p w14:paraId="103926FB">
      <w:pPr>
        <w:spacing w:line="360" w:lineRule="auto"/>
        <w:ind w:firstLine="420" w:firstLineChars="200"/>
        <w:rPr>
          <w:rFonts w:ascii="宋体" w:hAnsi="宋体" w:cs="宋体"/>
          <w:color w:val="auto"/>
          <w:kern w:val="0"/>
          <w:highlight w:val="none"/>
        </w:rPr>
      </w:pPr>
      <w:bookmarkStart w:id="412" w:name="_Toc351203583"/>
      <w:bookmarkStart w:id="413" w:name="_Toc337558802"/>
      <w:r>
        <w:rPr>
          <w:rFonts w:hint="eastAsia" w:ascii="宋体" w:hAnsi="宋体" w:cs="宋体"/>
          <w:color w:val="auto"/>
          <w:kern w:val="0"/>
          <w:highlight w:val="none"/>
        </w:rPr>
        <w:t>12.3计量</w:t>
      </w:r>
      <w:bookmarkEnd w:id="412"/>
    </w:p>
    <w:bookmarkEnd w:id="413"/>
    <w:p w14:paraId="109C9DA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12.3.1 计量原则</w:t>
      </w:r>
    </w:p>
    <w:p w14:paraId="5DDB26E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工程量计量按照合同约定的工程量计算规则、图纸及变更指示等进行计量。工程量计算规则应以相关的国家标准、行业标准等为依据，由合同当事人在专用合同条款中约定。</w:t>
      </w:r>
    </w:p>
    <w:p w14:paraId="17E9F3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12.3.2 计量周期</w:t>
      </w:r>
    </w:p>
    <w:p w14:paraId="01CFC30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除专用合同条款另有约定外，工程量的计量按月进行。</w:t>
      </w:r>
    </w:p>
    <w:p w14:paraId="6D849EB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12.3.3 单价合同的计量</w:t>
      </w:r>
    </w:p>
    <w:p w14:paraId="264C355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除专用合同条款另有约定外，单价合同的计量按照本项约定执行：</w:t>
      </w:r>
    </w:p>
    <w:p w14:paraId="6751DE3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（1）承包人应于每月25日向监理人报送上月20日至当月19日已完成的工程量报告，并附具进度付款申请单、已完成工程量报表和有关资料。</w:t>
      </w:r>
    </w:p>
    <w:p w14:paraId="78452D8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54C49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（3）监理人未在收到承包人提交的工程量报表后的7天内完成审核的，承包人报送的工程量报告中的工程量视为承包人实际完成的工程量，据此计算工程价款。</w:t>
      </w:r>
    </w:p>
    <w:p w14:paraId="1F3607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12.3.4 总价合同的计量</w:t>
      </w:r>
    </w:p>
    <w:p w14:paraId="0A5A68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除专用合同条款另有约定外，按月计量支付的总价合同，按照本项约定执行：</w:t>
      </w:r>
    </w:p>
    <w:p w14:paraId="4370B8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（1）承包人应于每月25日向监理人报送上月20日至当月19日已完成的工程量报告，并附具进度付款申请单、已完成工程量报表和有关资料。</w:t>
      </w:r>
    </w:p>
    <w:p w14:paraId="5FA8C9C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558FF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（3）监理人未在收到承包人提交的工程量报表后的7天内完成复核的，承包人提交的工程量报告中的工程量视为承包人实际完成的工程量。</w:t>
      </w:r>
    </w:p>
    <w:p w14:paraId="156F26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12.3.5 总价合同采用支付分解表计量支付的，可以按照第12.3.4项〔总价合同的计量〕约定进行计量，但合同价款按照支付分解表进行支付。</w:t>
      </w:r>
    </w:p>
    <w:p w14:paraId="4518CF8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12.3.6 其他价格形式合同的计量</w:t>
      </w:r>
    </w:p>
    <w:p w14:paraId="24DF691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合同当事人可在专用合同条款中约定其他价格形式合同的计量方式和程序。</w:t>
      </w:r>
    </w:p>
    <w:p w14:paraId="7BC6E5A4">
      <w:pPr>
        <w:spacing w:line="360" w:lineRule="auto"/>
        <w:ind w:firstLine="420" w:firstLineChars="200"/>
        <w:rPr>
          <w:rFonts w:ascii="宋体" w:hAnsi="宋体" w:cs="宋体"/>
          <w:color w:val="auto"/>
          <w:kern w:val="0"/>
          <w:highlight w:val="none"/>
        </w:rPr>
      </w:pPr>
      <w:bookmarkStart w:id="414" w:name="_Toc296346602"/>
      <w:bookmarkStart w:id="415" w:name="_Toc296503101"/>
      <w:bookmarkStart w:id="416" w:name="_Toc351203584"/>
      <w:bookmarkStart w:id="417" w:name="_Toc337558803"/>
      <w:r>
        <w:rPr>
          <w:rFonts w:hint="eastAsia" w:ascii="宋体" w:hAnsi="宋体" w:cs="宋体"/>
          <w:color w:val="auto"/>
          <w:kern w:val="0"/>
          <w:highlight w:val="none"/>
        </w:rPr>
        <w:t>12.4工程进度款支</w:t>
      </w:r>
      <w:bookmarkEnd w:id="414"/>
      <w:bookmarkEnd w:id="415"/>
      <w:r>
        <w:rPr>
          <w:rFonts w:hint="eastAsia" w:ascii="宋体" w:hAnsi="宋体" w:cs="宋体"/>
          <w:color w:val="auto"/>
          <w:kern w:val="0"/>
          <w:highlight w:val="none"/>
        </w:rPr>
        <w:t>付</w:t>
      </w:r>
      <w:bookmarkEnd w:id="416"/>
    </w:p>
    <w:bookmarkEnd w:id="417"/>
    <w:p w14:paraId="7B24D70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12.4.1 付款周期</w:t>
      </w:r>
    </w:p>
    <w:p w14:paraId="085874F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除专用合同条款另有约定外，付款周期应按照第12.3.2项〔计量周期〕的约定与计量周期保持一致。</w:t>
      </w:r>
    </w:p>
    <w:p w14:paraId="198B0F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12.4.2 进度付款申请单的编制</w:t>
      </w:r>
    </w:p>
    <w:p w14:paraId="3C5227C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除专用合同条款另有约定外，进度付款申请单应包括下列内容：</w:t>
      </w:r>
    </w:p>
    <w:p w14:paraId="16469A6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（1）截至本次付款周期已完成工作对应的金额；</w:t>
      </w:r>
    </w:p>
    <w:p w14:paraId="25797B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（2）根据第10条〔变更〕应增加和扣减的变更金额；</w:t>
      </w:r>
    </w:p>
    <w:p w14:paraId="7C19505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（3）根据第12.2款〔预付款〕约定应支付的预付款和扣减的返还预付款；</w:t>
      </w:r>
    </w:p>
    <w:p w14:paraId="38F4D7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（4）根据第15.3款〔质量保证金〕约定应扣减的质量保证金；</w:t>
      </w:r>
    </w:p>
    <w:p w14:paraId="32BAEC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（5）根据第19条〔索赔〕应增加和扣减的索赔金额；</w:t>
      </w:r>
    </w:p>
    <w:p w14:paraId="2095C18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（6）对已签发的进度款支付证书中出现错误的修正，应在本次进度付款中支付或扣除的金额；</w:t>
      </w:r>
    </w:p>
    <w:p w14:paraId="3E0D39F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（7）根据合同约定应增加和扣减的其他金额。</w:t>
      </w:r>
    </w:p>
    <w:p w14:paraId="755B4F2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12.4.3 进度付款申请单的提交</w:t>
      </w:r>
    </w:p>
    <w:p w14:paraId="591B5EA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（1）单价合同进度付款申请单的提交</w:t>
      </w:r>
    </w:p>
    <w:p w14:paraId="56BE2FC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970574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（2）总价合同进度付款申请单的提交</w:t>
      </w:r>
    </w:p>
    <w:p w14:paraId="0CAB0C6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总价合同按月计量支付的，承包人按照第12.3.4项〔总价合同的计量〕约定的时间按月向监理人提交进度付款申请单，并附上已完成工程量报表和有关资料。</w:t>
      </w:r>
    </w:p>
    <w:p w14:paraId="0CF28E8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总价合同按支付分解表支付的，承包人应按照第12.4.6项〔支付分解表〕及第12.4.2项〔进度付款申请单的编制〕的约定向监理人提交进度付款申请单。</w:t>
      </w:r>
    </w:p>
    <w:p w14:paraId="6A8CB84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（3）其他价格形式合同的进度付款申请单的提交</w:t>
      </w:r>
    </w:p>
    <w:p w14:paraId="2D54BB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合同当事人可在专用合同条款中约定其他价格形式合同的进度付款申请单的编制和提交程序。</w:t>
      </w:r>
    </w:p>
    <w:p w14:paraId="27F49CD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12.4.4 进度款审核和支付</w:t>
      </w:r>
    </w:p>
    <w:p w14:paraId="58FD1D2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4A9F5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F4E44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55AFC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（3）发包人签发进度款支付证书或临时进度款支付证书，不表明发包人已同意、批准或接受了承包人完成的相应部分的工作。</w:t>
      </w:r>
    </w:p>
    <w:p w14:paraId="1D29D7F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12.4.5 进度付款的修正</w:t>
      </w:r>
    </w:p>
    <w:p w14:paraId="4B6C2A1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在对已签发的进度款支付证书进行阶段汇总和复核中发现错误、遗漏或重复的，发包人和承包人均有权提出修正申请。经发包人和承包人同意的修正，应在下期进度付款中支付或扣除。</w:t>
      </w:r>
    </w:p>
    <w:p w14:paraId="590BB9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12.4.6 支付分解表</w:t>
      </w:r>
    </w:p>
    <w:p w14:paraId="35DB749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1.支付分解表的编制要求</w:t>
      </w:r>
    </w:p>
    <w:p w14:paraId="1E0E874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（1）支付分解表中所列的每期付款金额，应为第12.4.2项〔进度付款申请单的编制〕第（1）目的估算金额；</w:t>
      </w:r>
    </w:p>
    <w:p w14:paraId="557E7C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（2）实际进度与施工进度计划不一致的，合同当事人可按照第4.4款〔商定或确定〕修改支付分解表；</w:t>
      </w:r>
    </w:p>
    <w:p w14:paraId="20928C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（3）不采用支付分解表的，承包人应向发包人和监理人提交按季度编制的支付估算分解表，用于支付参考。</w:t>
      </w:r>
    </w:p>
    <w:p w14:paraId="30D461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2.总价合同支付分解表的编制与审批</w:t>
      </w:r>
    </w:p>
    <w:p w14:paraId="0EDD88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94BF3C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（2）监理人应在收到支付分解表后7天内完成审核并报送发包人。发包人应在收到经监理人审核的支付分解表后7天内完成审批，经发包人批准的支付分解表为有约束力的支付分解表。</w:t>
      </w:r>
    </w:p>
    <w:p w14:paraId="4377E87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（3）发包人逾期未完成支付分解表审批的，也未及时要求承包人进行修正和提供补充资料的，则承包人提交的支付分解表视为已经获得发包人批准。</w:t>
      </w:r>
    </w:p>
    <w:p w14:paraId="6030E8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3.单价合同的总价项目支付分解表的编制与审批</w:t>
      </w:r>
    </w:p>
    <w:p w14:paraId="1599CFB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233DB9C">
      <w:pPr>
        <w:spacing w:line="360" w:lineRule="auto"/>
        <w:ind w:firstLine="420" w:firstLineChars="200"/>
        <w:rPr>
          <w:rFonts w:ascii="宋体" w:hAnsi="宋体" w:cs="宋体"/>
          <w:color w:val="auto"/>
          <w:kern w:val="0"/>
          <w:highlight w:val="none"/>
        </w:rPr>
      </w:pPr>
      <w:bookmarkStart w:id="418" w:name="_Toc351203585"/>
      <w:r>
        <w:rPr>
          <w:rFonts w:hint="eastAsia" w:ascii="宋体" w:hAnsi="宋体" w:cs="宋体"/>
          <w:color w:val="auto"/>
          <w:kern w:val="0"/>
          <w:highlight w:val="none"/>
        </w:rPr>
        <w:t>12.5支付账户</w:t>
      </w:r>
      <w:bookmarkEnd w:id="418"/>
    </w:p>
    <w:p w14:paraId="72F705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发包人应将合同价款支付至合同协议书中约定的承包人账户。</w:t>
      </w:r>
    </w:p>
    <w:p w14:paraId="34F2F546">
      <w:pPr>
        <w:spacing w:line="360" w:lineRule="auto"/>
        <w:ind w:firstLine="420" w:firstLineChars="200"/>
        <w:rPr>
          <w:rFonts w:ascii="宋体" w:hAnsi="宋体" w:cs="宋体"/>
          <w:color w:val="auto"/>
          <w:kern w:val="0"/>
          <w:highlight w:val="none"/>
        </w:rPr>
      </w:pPr>
      <w:bookmarkStart w:id="419" w:name="_Toc351203586"/>
      <w:bookmarkStart w:id="420" w:name="_Toc337558804"/>
      <w:bookmarkStart w:id="421" w:name="_Toc296346607"/>
      <w:bookmarkStart w:id="422" w:name="_Toc296503106"/>
      <w:bookmarkStart w:id="423" w:name="_Toc322522574"/>
      <w:r>
        <w:rPr>
          <w:rFonts w:hint="eastAsia" w:ascii="宋体" w:hAnsi="宋体" w:cs="宋体"/>
          <w:color w:val="auto"/>
          <w:kern w:val="0"/>
          <w:highlight w:val="none"/>
        </w:rPr>
        <w:t>13. 验收和工程试车</w:t>
      </w:r>
      <w:bookmarkEnd w:id="419"/>
    </w:p>
    <w:bookmarkEnd w:id="420"/>
    <w:bookmarkEnd w:id="421"/>
    <w:bookmarkEnd w:id="422"/>
    <w:bookmarkEnd w:id="423"/>
    <w:p w14:paraId="236FF1AA">
      <w:pPr>
        <w:spacing w:line="360" w:lineRule="auto"/>
        <w:ind w:firstLine="420" w:firstLineChars="200"/>
        <w:rPr>
          <w:rFonts w:ascii="宋体" w:hAnsi="宋体" w:cs="宋体"/>
          <w:color w:val="auto"/>
          <w:kern w:val="0"/>
          <w:highlight w:val="none"/>
        </w:rPr>
      </w:pPr>
      <w:bookmarkStart w:id="424" w:name="_Toc351203587"/>
      <w:bookmarkStart w:id="425" w:name="_Toc337558805"/>
      <w:bookmarkStart w:id="426" w:name="_Toc296346611"/>
      <w:bookmarkStart w:id="427" w:name="_Toc296503110"/>
      <w:r>
        <w:rPr>
          <w:rFonts w:hint="eastAsia" w:ascii="宋体" w:hAnsi="宋体" w:cs="宋体"/>
          <w:color w:val="auto"/>
          <w:kern w:val="0"/>
          <w:highlight w:val="none"/>
        </w:rPr>
        <w:t>13.1分部分项工程验收</w:t>
      </w:r>
      <w:bookmarkEnd w:id="424"/>
    </w:p>
    <w:bookmarkEnd w:id="425"/>
    <w:p w14:paraId="079F19D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13.1.1 分部分项工程质量应符合国家有关工程施工验收规范、标准及合同约定，承包人应按照施工组织设计的要求完成分部分项工程施工。</w:t>
      </w:r>
    </w:p>
    <w:p w14:paraId="675872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C12CE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分部分项工程的验收资料应当作为竣工资料的组成部分。</w:t>
      </w:r>
    </w:p>
    <w:p w14:paraId="7A254A74">
      <w:pPr>
        <w:spacing w:line="360" w:lineRule="auto"/>
        <w:ind w:firstLine="420" w:firstLineChars="200"/>
        <w:rPr>
          <w:rFonts w:ascii="宋体" w:hAnsi="宋体" w:cs="宋体"/>
          <w:color w:val="auto"/>
          <w:kern w:val="0"/>
          <w:highlight w:val="none"/>
        </w:rPr>
      </w:pPr>
      <w:bookmarkStart w:id="428" w:name="_Toc351203588"/>
      <w:bookmarkStart w:id="429" w:name="_Toc337558806"/>
      <w:r>
        <w:rPr>
          <w:rFonts w:hint="eastAsia" w:ascii="宋体" w:hAnsi="宋体" w:cs="宋体"/>
          <w:color w:val="auto"/>
          <w:kern w:val="0"/>
          <w:highlight w:val="none"/>
        </w:rPr>
        <w:t>13.2竣工验收</w:t>
      </w:r>
      <w:bookmarkEnd w:id="428"/>
    </w:p>
    <w:bookmarkEnd w:id="426"/>
    <w:bookmarkEnd w:id="427"/>
    <w:bookmarkEnd w:id="429"/>
    <w:p w14:paraId="420B5D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13.2.1竣工验收条件</w:t>
      </w:r>
    </w:p>
    <w:p w14:paraId="62F482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工程具备以下条件的，承包人可以申请竣工验收：</w:t>
      </w:r>
    </w:p>
    <w:p w14:paraId="2D799D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（1）除发包人同意的甩项工作和缺陷修补工作外，合同范围内的全部工程以及有关工作，包括合同要求的试验、试运行以及检验均已完成，并符合合同要求；</w:t>
      </w:r>
    </w:p>
    <w:p w14:paraId="198621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（2）已按合同约定编制了甩项工作和缺陷修补工作清单以及相应的施工计划；</w:t>
      </w:r>
    </w:p>
    <w:p w14:paraId="10E9DE1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（3）已按合同约定的内容和份数备齐竣工资料。</w:t>
      </w:r>
    </w:p>
    <w:p w14:paraId="105A502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13.2.2竣工验收程序</w:t>
      </w:r>
    </w:p>
    <w:p w14:paraId="77F4F1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除专用合同条款另有约定外，承包人申请竣工验收的，应当按照以下程序进行：</w:t>
      </w:r>
    </w:p>
    <w:p w14:paraId="5D2500D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C534E7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EB6DFF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（3）竣工验收合格的，发包人应在验收合格后14天内向承包人签发工程接收证书。发包人无正当理由逾期不颁发工程接收证书的，自验收合格后第15天起视为已颁发工程接收证书。</w:t>
      </w:r>
    </w:p>
    <w:p w14:paraId="00C5A14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30B4B0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D6946C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2B3820E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13.2.3竣工日期</w:t>
      </w:r>
    </w:p>
    <w:p w14:paraId="55AEA33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30" w:name="#go14"/>
      <w:bookmarkEnd w:id="430"/>
      <w:r>
        <w:rPr>
          <w:rFonts w:hint="eastAsia" w:ascii="宋体" w:hAnsi="宋体" w:cs="宋体"/>
          <w:color w:val="auto"/>
          <w:kern w:val="0"/>
          <w:highlight w:val="none"/>
        </w:rPr>
        <w:t>收申请报告的日期为实际竣工日期；工程未经竣工验收，发包人擅自使用的，以转移占有工程之日为实际竣工日期。</w:t>
      </w:r>
    </w:p>
    <w:p w14:paraId="4436EB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13.2.4 拒绝接收全部或部分工程</w:t>
      </w:r>
    </w:p>
    <w:p w14:paraId="2EB1DC4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54126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13.2.5 移交、接收全部与部分工程</w:t>
      </w:r>
    </w:p>
    <w:p w14:paraId="2B3ECDC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除专用合同条款另有约定外，合同当事人应当在颁发工程接收证书后7天内完成工程的移交。</w:t>
      </w:r>
    </w:p>
    <w:p w14:paraId="5E6294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084DCFC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5A239767">
      <w:pPr>
        <w:spacing w:line="360" w:lineRule="auto"/>
        <w:ind w:firstLine="420" w:firstLineChars="200"/>
        <w:rPr>
          <w:rFonts w:ascii="宋体" w:hAnsi="宋体" w:cs="宋体"/>
          <w:color w:val="auto"/>
          <w:kern w:val="0"/>
          <w:highlight w:val="none"/>
        </w:rPr>
      </w:pPr>
      <w:bookmarkStart w:id="431" w:name="_Toc351203589"/>
      <w:bookmarkStart w:id="432" w:name="_Toc296503111"/>
      <w:bookmarkStart w:id="433" w:name="_Toc296346612"/>
      <w:bookmarkStart w:id="434" w:name="_Toc337558807"/>
      <w:r>
        <w:rPr>
          <w:rFonts w:hint="eastAsia" w:ascii="宋体" w:hAnsi="宋体" w:cs="宋体"/>
          <w:color w:val="auto"/>
          <w:kern w:val="0"/>
          <w:highlight w:val="none"/>
        </w:rPr>
        <w:t>13.3工程试车</w:t>
      </w:r>
      <w:bookmarkEnd w:id="431"/>
    </w:p>
    <w:bookmarkEnd w:id="432"/>
    <w:bookmarkEnd w:id="433"/>
    <w:bookmarkEnd w:id="434"/>
    <w:p w14:paraId="0354056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13.3.1试车程序</w:t>
      </w:r>
    </w:p>
    <w:p w14:paraId="7A0A3A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工程需要试车的，除专用合同条款另有约定外，试车内容应与承包人承包范围相一致，试车费用由承包人承担。工程试车应按如下程序进行：</w:t>
      </w:r>
    </w:p>
    <w:p w14:paraId="28742D4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8132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56B31FA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AB5548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13.3.2 试车中的责任</w:t>
      </w:r>
    </w:p>
    <w:p w14:paraId="39F057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FBBEA0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DC876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13.3.3 投料试车</w:t>
      </w:r>
    </w:p>
    <w:p w14:paraId="53E0D3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如需进行投料试车的，发包人应在工程竣工验收后组织投料试车。发包人要求在工程竣工验收前进行或需要承包人配合时，应征得承包人同意，并在专用合同条款中约定有关事项。</w:t>
      </w:r>
    </w:p>
    <w:p w14:paraId="0231454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3335CF5">
      <w:pPr>
        <w:spacing w:line="360" w:lineRule="auto"/>
        <w:ind w:firstLine="420" w:firstLineChars="200"/>
        <w:rPr>
          <w:rFonts w:ascii="宋体" w:hAnsi="宋体" w:cs="宋体"/>
          <w:color w:val="auto"/>
          <w:kern w:val="0"/>
          <w:highlight w:val="none"/>
        </w:rPr>
      </w:pPr>
      <w:bookmarkStart w:id="435" w:name="_Toc351203590"/>
      <w:bookmarkStart w:id="436" w:name="_Toc337558808"/>
      <w:r>
        <w:rPr>
          <w:rFonts w:hint="eastAsia" w:ascii="宋体" w:hAnsi="宋体" w:cs="宋体"/>
          <w:color w:val="auto"/>
          <w:kern w:val="0"/>
          <w:highlight w:val="none"/>
        </w:rPr>
        <w:t>13.4提前交付单位工程的验收</w:t>
      </w:r>
      <w:bookmarkEnd w:id="435"/>
    </w:p>
    <w:bookmarkEnd w:id="436"/>
    <w:p w14:paraId="423AC74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13.4.1 发包人需要在工程竣工前使用单位工程的，或承包人提出提前交付已经竣工的单位工程且经发包人同意的，可进行单位工程验收，验收的程序按照第13.2款〔竣工验收〕的约定进行。</w:t>
      </w:r>
    </w:p>
    <w:p w14:paraId="40A0DE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0755D0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13.4.2 发包人要求在工程竣工前交付单位工程，由此导致承包人费用增加和（或）工期延误的，由发包人承担由此增加的费用和（或）延误的工期，并支付承包人合理的利润。</w:t>
      </w:r>
    </w:p>
    <w:p w14:paraId="467C398E">
      <w:pPr>
        <w:spacing w:line="360" w:lineRule="auto"/>
        <w:ind w:firstLine="420" w:firstLineChars="200"/>
        <w:rPr>
          <w:rFonts w:ascii="宋体" w:hAnsi="宋体" w:cs="宋体"/>
          <w:color w:val="auto"/>
          <w:kern w:val="0"/>
          <w:highlight w:val="none"/>
        </w:rPr>
      </w:pPr>
      <w:bookmarkStart w:id="437" w:name="_Toc351203591"/>
      <w:r>
        <w:rPr>
          <w:rFonts w:hint="eastAsia" w:ascii="宋体" w:hAnsi="宋体" w:cs="宋体"/>
          <w:color w:val="auto"/>
          <w:kern w:val="0"/>
          <w:highlight w:val="none"/>
        </w:rPr>
        <w:t>13.5 施工期运行</w:t>
      </w:r>
      <w:bookmarkEnd w:id="437"/>
    </w:p>
    <w:p w14:paraId="4921BF4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1012C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13.5.2 在施工期运行中发现工程或工程设备损坏或存在缺陷的，由承包人按第15.2款〔缺陷责任期〕约定进行修复。</w:t>
      </w:r>
    </w:p>
    <w:p w14:paraId="04A1232F">
      <w:pPr>
        <w:spacing w:line="360" w:lineRule="auto"/>
        <w:ind w:firstLine="420" w:firstLineChars="200"/>
        <w:rPr>
          <w:rFonts w:ascii="宋体" w:hAnsi="宋体" w:cs="宋体"/>
          <w:color w:val="auto"/>
          <w:kern w:val="0"/>
          <w:highlight w:val="none"/>
        </w:rPr>
      </w:pPr>
      <w:bookmarkStart w:id="438" w:name="_Toc296346613"/>
      <w:bookmarkStart w:id="439" w:name="_Toc296503112"/>
      <w:bookmarkStart w:id="440" w:name="_Toc351203592"/>
      <w:bookmarkStart w:id="441" w:name="_Toc337558809"/>
      <w:r>
        <w:rPr>
          <w:rFonts w:hint="eastAsia" w:ascii="宋体" w:hAnsi="宋体" w:cs="宋体"/>
          <w:color w:val="auto"/>
          <w:kern w:val="0"/>
          <w:highlight w:val="none"/>
        </w:rPr>
        <w:t>13.6 竣工退</w:t>
      </w:r>
      <w:bookmarkEnd w:id="438"/>
      <w:bookmarkEnd w:id="439"/>
      <w:r>
        <w:rPr>
          <w:rFonts w:hint="eastAsia" w:ascii="宋体" w:hAnsi="宋体" w:cs="宋体"/>
          <w:color w:val="auto"/>
          <w:kern w:val="0"/>
          <w:highlight w:val="none"/>
        </w:rPr>
        <w:t>场</w:t>
      </w:r>
      <w:bookmarkEnd w:id="440"/>
    </w:p>
    <w:bookmarkEnd w:id="441"/>
    <w:p w14:paraId="4C67D7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13.6.1 竣工退场</w:t>
      </w:r>
    </w:p>
    <w:p w14:paraId="780F5E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颁发工程接收证书后，承包人应按以下要求对施工现场进行清理：</w:t>
      </w:r>
    </w:p>
    <w:p w14:paraId="6CCFEC6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（1）施工现场内残留的垃圾已全部清除出场；</w:t>
      </w:r>
    </w:p>
    <w:p w14:paraId="51659B6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（2）临时工程已拆除，场地已进行清理、平整或复原；</w:t>
      </w:r>
    </w:p>
    <w:p w14:paraId="27A2F2B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（3）按合同约定应撤离的人员、承包人施工设备和剩余的材料，包括废弃的施工设备和材料，已按计划撤离施工现场；</w:t>
      </w:r>
    </w:p>
    <w:p w14:paraId="2593E1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（4）施工现场周边及其附近道路、河道的施工堆积物，已全部清理；</w:t>
      </w:r>
    </w:p>
    <w:p w14:paraId="3CEA76F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（5）施工现场其他场地清理工作已全部完成。</w:t>
      </w:r>
    </w:p>
    <w:p w14:paraId="415070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ADA867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13.6.2 地表还原</w:t>
      </w:r>
    </w:p>
    <w:p w14:paraId="10FE9F7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95DBE43">
      <w:pPr>
        <w:spacing w:line="360" w:lineRule="auto"/>
        <w:ind w:firstLine="420" w:firstLineChars="200"/>
        <w:rPr>
          <w:rFonts w:ascii="宋体" w:hAnsi="宋体" w:cs="宋体"/>
          <w:color w:val="auto"/>
          <w:kern w:val="0"/>
          <w:highlight w:val="none"/>
        </w:rPr>
      </w:pPr>
      <w:bookmarkStart w:id="442" w:name="_Toc351203593"/>
      <w:bookmarkStart w:id="443" w:name="_Toc337558810"/>
      <w:bookmarkStart w:id="444" w:name="_Toc296346614"/>
      <w:bookmarkStart w:id="445" w:name="_Toc296503113"/>
      <w:r>
        <w:rPr>
          <w:rFonts w:hint="eastAsia" w:ascii="宋体" w:hAnsi="宋体" w:cs="宋体"/>
          <w:color w:val="auto"/>
          <w:kern w:val="0"/>
          <w:highlight w:val="none"/>
        </w:rPr>
        <w:t>14. 竣工结算</w:t>
      </w:r>
      <w:bookmarkEnd w:id="442"/>
    </w:p>
    <w:bookmarkEnd w:id="443"/>
    <w:p w14:paraId="7E2F9566">
      <w:pPr>
        <w:spacing w:line="360" w:lineRule="auto"/>
        <w:ind w:firstLine="420" w:firstLineChars="200"/>
        <w:rPr>
          <w:rFonts w:ascii="宋体" w:hAnsi="宋体" w:cs="宋体"/>
          <w:color w:val="auto"/>
          <w:kern w:val="0"/>
          <w:highlight w:val="none"/>
        </w:rPr>
      </w:pPr>
      <w:bookmarkStart w:id="446" w:name="_Toc351203594"/>
      <w:bookmarkStart w:id="447" w:name="_Toc337558811"/>
      <w:r>
        <w:rPr>
          <w:rFonts w:hint="eastAsia" w:ascii="宋体" w:hAnsi="宋体" w:cs="宋体"/>
          <w:color w:val="auto"/>
          <w:kern w:val="0"/>
          <w:highlight w:val="none"/>
        </w:rPr>
        <w:t>14.1 竣工结算申请</w:t>
      </w:r>
      <w:bookmarkEnd w:id="446"/>
    </w:p>
    <w:bookmarkEnd w:id="447"/>
    <w:p w14:paraId="12F1DA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07887C6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除专用合同条款另有约定外，竣工结算申请单应包括以下内容：</w:t>
      </w:r>
    </w:p>
    <w:p w14:paraId="7924C6B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（1）竣工结算合同价格；</w:t>
      </w:r>
    </w:p>
    <w:p w14:paraId="64FDE6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（2）发包人已支付承包人的款项；</w:t>
      </w:r>
    </w:p>
    <w:p w14:paraId="0CE256D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（3）应扣留的质量保证金。已缴纳履约保证金的或提供其他工程质量担保方式的除外； </w:t>
      </w:r>
    </w:p>
    <w:p w14:paraId="7B489D1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（4）发包人应支付承包人的合同价款。</w:t>
      </w:r>
    </w:p>
    <w:p w14:paraId="41B19C35">
      <w:pPr>
        <w:spacing w:line="360" w:lineRule="auto"/>
        <w:ind w:firstLine="420" w:firstLineChars="200"/>
        <w:rPr>
          <w:rFonts w:ascii="宋体" w:hAnsi="宋体" w:cs="宋体"/>
          <w:color w:val="auto"/>
          <w:kern w:val="0"/>
          <w:highlight w:val="none"/>
        </w:rPr>
      </w:pPr>
      <w:bookmarkStart w:id="448" w:name="_Toc351203595"/>
      <w:bookmarkStart w:id="449" w:name="_Toc337558812"/>
      <w:r>
        <w:rPr>
          <w:rFonts w:hint="eastAsia" w:ascii="宋体" w:hAnsi="宋体" w:cs="宋体"/>
          <w:color w:val="auto"/>
          <w:kern w:val="0"/>
          <w:highlight w:val="none"/>
        </w:rPr>
        <w:t>14.2 竣工结算审核</w:t>
      </w:r>
      <w:bookmarkEnd w:id="448"/>
    </w:p>
    <w:bookmarkEnd w:id="449"/>
    <w:p w14:paraId="46784D5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DB28CD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D9ED9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F8602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E2EDC14">
      <w:pPr>
        <w:spacing w:line="360" w:lineRule="auto"/>
        <w:ind w:firstLine="420" w:firstLineChars="200"/>
        <w:rPr>
          <w:rFonts w:ascii="宋体" w:hAnsi="宋体" w:cs="宋体"/>
          <w:color w:val="auto"/>
          <w:kern w:val="0"/>
          <w:highlight w:val="none"/>
        </w:rPr>
      </w:pPr>
      <w:bookmarkStart w:id="450" w:name="_Toc351203596"/>
      <w:bookmarkStart w:id="451" w:name="_Toc337558813"/>
      <w:r>
        <w:rPr>
          <w:rFonts w:hint="eastAsia" w:ascii="宋体" w:hAnsi="宋体" w:cs="宋体"/>
          <w:color w:val="auto"/>
          <w:kern w:val="0"/>
          <w:highlight w:val="none"/>
        </w:rPr>
        <w:t>14.3 甩项竣工协议</w:t>
      </w:r>
      <w:bookmarkEnd w:id="450"/>
    </w:p>
    <w:bookmarkEnd w:id="451"/>
    <w:p w14:paraId="4210DD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22C1F67">
      <w:pPr>
        <w:spacing w:line="360" w:lineRule="auto"/>
        <w:ind w:firstLine="420" w:firstLineChars="200"/>
        <w:rPr>
          <w:rFonts w:ascii="宋体" w:hAnsi="宋体" w:cs="宋体"/>
          <w:color w:val="auto"/>
          <w:kern w:val="0"/>
          <w:highlight w:val="none"/>
        </w:rPr>
      </w:pPr>
      <w:bookmarkStart w:id="452" w:name="_Toc351203597"/>
      <w:bookmarkStart w:id="453" w:name="_Toc337558814"/>
      <w:r>
        <w:rPr>
          <w:rFonts w:hint="eastAsia" w:ascii="宋体" w:hAnsi="宋体" w:cs="宋体"/>
          <w:color w:val="auto"/>
          <w:kern w:val="0"/>
          <w:highlight w:val="none"/>
        </w:rPr>
        <w:t>14.4 最终结清</w:t>
      </w:r>
      <w:bookmarkEnd w:id="452"/>
    </w:p>
    <w:bookmarkEnd w:id="453"/>
    <w:p w14:paraId="334880A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14.4.1 最终结清申请单</w:t>
      </w:r>
    </w:p>
    <w:p w14:paraId="23EFFEE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（1）除专用合同条款另有约定外，承包人应在缺陷责任期终止证书颁发后7天内，按专用合同条款约定的份数向发包人提交最终结清申请单，并提供相关证明材料。</w:t>
      </w:r>
    </w:p>
    <w:p w14:paraId="35BF6CB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除专用合同条款另有约定外，最终结清申请单应列明质量保证金、应扣除的质量保证金、缺陷责任期内发生的增减费用。</w:t>
      </w:r>
    </w:p>
    <w:p w14:paraId="6D0B21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（2）发包人对最终结清申请单内容有异议的，有权要求承包人进行修正和提供补充资料，承包人应向发包人提交修正后的最终结清申请单。</w:t>
      </w:r>
    </w:p>
    <w:p w14:paraId="10ABDF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14.4.2 最终结清证书和支付</w:t>
      </w:r>
    </w:p>
    <w:p w14:paraId="12D880D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50EE1A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2A68A6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（3）承包人对发包人颁发的最终结清证书有异议的，按第20条〔争议解决〕的约定办理。</w:t>
      </w:r>
    </w:p>
    <w:p w14:paraId="3FCAA80F">
      <w:pPr>
        <w:spacing w:line="360" w:lineRule="auto"/>
        <w:ind w:firstLine="420" w:firstLineChars="200"/>
        <w:rPr>
          <w:rFonts w:ascii="宋体" w:hAnsi="宋体" w:cs="宋体"/>
          <w:color w:val="auto"/>
          <w:kern w:val="0"/>
          <w:highlight w:val="none"/>
        </w:rPr>
      </w:pPr>
      <w:bookmarkStart w:id="454" w:name="_Toc351203598"/>
      <w:bookmarkStart w:id="455" w:name="_Toc337558815"/>
      <w:r>
        <w:rPr>
          <w:rFonts w:hint="eastAsia" w:ascii="宋体" w:hAnsi="宋体" w:cs="宋体"/>
          <w:color w:val="auto"/>
          <w:kern w:val="0"/>
          <w:highlight w:val="none"/>
        </w:rPr>
        <w:t>15. 缺陷责任与保修</w:t>
      </w:r>
      <w:bookmarkEnd w:id="454"/>
    </w:p>
    <w:bookmarkEnd w:id="444"/>
    <w:bookmarkEnd w:id="445"/>
    <w:bookmarkEnd w:id="455"/>
    <w:p w14:paraId="2CDB1F4D">
      <w:pPr>
        <w:spacing w:line="360" w:lineRule="auto"/>
        <w:ind w:firstLine="420" w:firstLineChars="200"/>
        <w:rPr>
          <w:rFonts w:ascii="宋体" w:hAnsi="宋体" w:cs="宋体"/>
          <w:color w:val="auto"/>
          <w:kern w:val="0"/>
          <w:highlight w:val="none"/>
        </w:rPr>
      </w:pPr>
      <w:bookmarkStart w:id="456" w:name="_Toc351203599"/>
      <w:bookmarkStart w:id="457" w:name="_Toc337558816"/>
      <w:bookmarkStart w:id="458" w:name="_Toc296503114"/>
      <w:bookmarkStart w:id="459" w:name="_Toc296346615"/>
      <w:r>
        <w:rPr>
          <w:rFonts w:hint="eastAsia" w:ascii="宋体" w:hAnsi="宋体" w:cs="宋体"/>
          <w:color w:val="auto"/>
          <w:kern w:val="0"/>
          <w:highlight w:val="none"/>
        </w:rPr>
        <w:t>15.1 工程保修的原则</w:t>
      </w:r>
      <w:bookmarkEnd w:id="456"/>
    </w:p>
    <w:bookmarkEnd w:id="457"/>
    <w:p w14:paraId="6AE736D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在工程移交发包人后，因承包人原因产生的质量缺陷，承包人应承担质量缺陷责任和保修义务。缺陷责任期届满，承包人仍应按合同约定的工程各部位保修年限承担保修义务。</w:t>
      </w:r>
    </w:p>
    <w:p w14:paraId="18DE7810">
      <w:pPr>
        <w:spacing w:line="360" w:lineRule="auto"/>
        <w:ind w:firstLine="420" w:firstLineChars="200"/>
        <w:rPr>
          <w:rFonts w:ascii="宋体" w:hAnsi="宋体" w:cs="宋体"/>
          <w:color w:val="auto"/>
          <w:kern w:val="0"/>
          <w:highlight w:val="none"/>
        </w:rPr>
      </w:pPr>
      <w:bookmarkStart w:id="460" w:name="_Toc351203600"/>
      <w:bookmarkStart w:id="461" w:name="_Toc337558817"/>
      <w:r>
        <w:rPr>
          <w:rFonts w:hint="eastAsia" w:ascii="宋体" w:hAnsi="宋体" w:cs="宋体"/>
          <w:color w:val="auto"/>
          <w:kern w:val="0"/>
          <w:highlight w:val="none"/>
        </w:rPr>
        <w:t>15.2 缺陷责任期</w:t>
      </w:r>
      <w:bookmarkEnd w:id="458"/>
      <w:bookmarkEnd w:id="459"/>
      <w:bookmarkEnd w:id="460"/>
    </w:p>
    <w:bookmarkEnd w:id="461"/>
    <w:p w14:paraId="5B23769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15.2.1 缺陷责任期从工程通过竣工验收之日起计算，合同当事人应在专用合同条款约定缺陷责任期的具体期限，但该期限最长不超过24个月。</w:t>
      </w:r>
    </w:p>
    <w:p w14:paraId="30E2603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AC2A95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3CB1600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由他人原因造成的缺陷，发包人负责组织维修，承包人不承担费用，且发包人不得从保证金中扣除费用。</w:t>
      </w:r>
    </w:p>
    <w:p w14:paraId="4A217B2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15.2.3 任何一项缺陷或损坏修复后，经检查证明其影响了工程或工程设备的使用性能，承包人应重新进行合同约定的试验和试运行，试验和试运行的全部费用应由责任方承担。</w:t>
      </w:r>
    </w:p>
    <w:p w14:paraId="36BCEA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2078EA4">
      <w:pPr>
        <w:spacing w:line="360" w:lineRule="auto"/>
        <w:ind w:firstLine="420" w:firstLineChars="200"/>
        <w:rPr>
          <w:rFonts w:ascii="宋体" w:hAnsi="宋体" w:cs="宋体"/>
          <w:color w:val="auto"/>
          <w:kern w:val="0"/>
          <w:highlight w:val="none"/>
        </w:rPr>
      </w:pPr>
      <w:bookmarkStart w:id="462" w:name="_Toc351203601"/>
      <w:bookmarkStart w:id="463" w:name="_Toc337558818"/>
      <w:bookmarkStart w:id="464" w:name="_Toc296346616"/>
      <w:bookmarkStart w:id="465" w:name="_Toc296503115"/>
      <w:r>
        <w:rPr>
          <w:rFonts w:hint="eastAsia" w:ascii="宋体" w:hAnsi="宋体" w:cs="宋体"/>
          <w:color w:val="auto"/>
          <w:kern w:val="0"/>
          <w:highlight w:val="none"/>
        </w:rPr>
        <w:t>15.3 质量保证金</w:t>
      </w:r>
      <w:bookmarkEnd w:id="462"/>
    </w:p>
    <w:bookmarkEnd w:id="463"/>
    <w:p w14:paraId="428B9AD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经合同当事人协商一致扣留质量保证金的，应在专用合同条款中予以明确。</w:t>
      </w:r>
    </w:p>
    <w:p w14:paraId="3A16EE3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在工程项目竣工前，承包人已经提供履约担保的，发包人不得同时预留工程质量保证金。</w:t>
      </w:r>
    </w:p>
    <w:p w14:paraId="6919D72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15.3.1 承包人提供质量保证金的方式</w:t>
      </w:r>
    </w:p>
    <w:p w14:paraId="331BAAE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承包人提供质量保证金有以下三种方式：</w:t>
      </w:r>
    </w:p>
    <w:p w14:paraId="5452F4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（1）质量保证金保函； </w:t>
      </w:r>
    </w:p>
    <w:p w14:paraId="0DD86E2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（2）相应比例的工程款；</w:t>
      </w:r>
    </w:p>
    <w:p w14:paraId="2375861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（3）双方约定的其他方式。</w:t>
      </w:r>
    </w:p>
    <w:p w14:paraId="61B413B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除专用合同条款另有约定外，质量保证金原则上采用上述第（1）种方式。</w:t>
      </w:r>
    </w:p>
    <w:p w14:paraId="7BCA0E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15.3.2 质量保证金的扣留</w:t>
      </w:r>
    </w:p>
    <w:p w14:paraId="291EDBA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质量保证金的扣留有以下三种方式：</w:t>
      </w:r>
    </w:p>
    <w:p w14:paraId="78D8D2E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（1）在支付工程进度款时逐次扣留，在此情形下，质量保证金的计算基数不包括预付款的支付、扣回以及价格调整的金额；</w:t>
      </w:r>
    </w:p>
    <w:p w14:paraId="66CE8FC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（2）工</w:t>
      </w:r>
      <w:bookmarkStart w:id="466" w:name="#go6"/>
      <w:bookmarkEnd w:id="466"/>
      <w:r>
        <w:rPr>
          <w:rFonts w:hint="eastAsia" w:ascii="宋体" w:hAnsi="宋体" w:cs="宋体"/>
          <w:color w:val="auto"/>
          <w:kern w:val="0"/>
          <w:highlight w:val="none"/>
        </w:rPr>
        <w:t>程竣工结算时一次性扣留质量保证金；</w:t>
      </w:r>
    </w:p>
    <w:p w14:paraId="591E7F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（3）双方约定的其他扣留方式。</w:t>
      </w:r>
    </w:p>
    <w:p w14:paraId="5DFF38F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除专用合同条款另有约定外，质量保证金的扣留原则上采用上述第（1）种方式。</w:t>
      </w:r>
    </w:p>
    <w:p w14:paraId="3DB230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w:t>
      </w:r>
      <w:bookmarkStart w:id="467" w:name="#go4"/>
      <w:bookmarkEnd w:id="467"/>
      <w:r>
        <w:rPr>
          <w:rFonts w:hint="eastAsia" w:ascii="宋体" w:hAnsi="宋体" w:cs="宋体"/>
          <w:color w:val="auto"/>
          <w:kern w:val="0"/>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6BD82C4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发包人在退还质量保证金的同时按照中国人民银行发布的同期同类贷款基准利率支付利息。</w:t>
      </w:r>
    </w:p>
    <w:p w14:paraId="0EA8008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15.3.3 质量保证金的退还</w:t>
      </w:r>
    </w:p>
    <w:p w14:paraId="0B4517B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缺陷责任期内，承包人认真履行合同约定的责任，到期后，承包人可向发包人申请返还保证金。</w:t>
      </w:r>
    </w:p>
    <w:p w14:paraId="6F74965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DF14C8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发包人和承包人对保证金预留、返还以及工程维修质量、费用有争议的，按本合同第20条约定的争议和纠纷解决程序处理。</w:t>
      </w:r>
    </w:p>
    <w:p w14:paraId="34B51E16">
      <w:pPr>
        <w:spacing w:line="360" w:lineRule="auto"/>
        <w:ind w:firstLine="420" w:firstLineChars="200"/>
        <w:rPr>
          <w:rFonts w:ascii="宋体" w:hAnsi="宋体" w:cs="宋体"/>
          <w:color w:val="auto"/>
          <w:kern w:val="0"/>
          <w:highlight w:val="none"/>
        </w:rPr>
      </w:pPr>
      <w:bookmarkStart w:id="468" w:name="_Toc351203602"/>
      <w:bookmarkStart w:id="469" w:name="_Toc337558819"/>
      <w:r>
        <w:rPr>
          <w:rFonts w:hint="eastAsia" w:ascii="宋体" w:hAnsi="宋体" w:cs="宋体"/>
          <w:color w:val="auto"/>
          <w:kern w:val="0"/>
          <w:highlight w:val="none"/>
        </w:rPr>
        <w:t>15.4 保修</w:t>
      </w:r>
      <w:bookmarkEnd w:id="468"/>
    </w:p>
    <w:bookmarkEnd w:id="464"/>
    <w:bookmarkEnd w:id="465"/>
    <w:bookmarkEnd w:id="469"/>
    <w:p w14:paraId="033155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15.4.1保修责任</w:t>
      </w:r>
    </w:p>
    <w:p w14:paraId="1BFC33B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F414B8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发包人未经竣工验收擅自使用工程的，保修期自转移占有之日起算。</w:t>
      </w:r>
    </w:p>
    <w:p w14:paraId="161C4BB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15.4.2 修复费用</w:t>
      </w:r>
    </w:p>
    <w:p w14:paraId="770CA8A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保修期内，修复的费用按照以下约定处理：</w:t>
      </w:r>
    </w:p>
    <w:p w14:paraId="7B69169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（1）保修期内，因承包人原因造成工程的缺陷、损坏，承包人应负责修复，并承担修复的费用以及因工程的缺陷、损坏造成的人身伤害和财产损失；</w:t>
      </w:r>
    </w:p>
    <w:p w14:paraId="411B721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（2）保修期内，因发包人使用不当造成工程的缺陷、损坏，可以委托承包人修复，但发包人应承担修复的费用，并支付承包人合理利润；</w:t>
      </w:r>
    </w:p>
    <w:p w14:paraId="43980A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（3）因其他原因造成工程的缺陷、损坏，可以委托承包人修复，发包人应承担修复的费用，并支付承包人合理的利润，因工程的缺陷、损坏造成的人身伤害和财产损失由责任方承担。</w:t>
      </w:r>
    </w:p>
    <w:p w14:paraId="12B5FFC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15.4.3 修复通知</w:t>
      </w:r>
    </w:p>
    <w:p w14:paraId="579D58F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99AD6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15.4.4 未能修复</w:t>
      </w:r>
    </w:p>
    <w:p w14:paraId="58882CE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F522BF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15.4.5 承包人出入权</w:t>
      </w:r>
    </w:p>
    <w:p w14:paraId="184F929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333E720">
      <w:pPr>
        <w:spacing w:line="360" w:lineRule="auto"/>
        <w:ind w:firstLine="420" w:firstLineChars="200"/>
        <w:rPr>
          <w:rFonts w:ascii="宋体" w:hAnsi="宋体" w:cs="宋体"/>
          <w:color w:val="auto"/>
          <w:kern w:val="0"/>
          <w:highlight w:val="none"/>
        </w:rPr>
      </w:pPr>
      <w:bookmarkStart w:id="470" w:name="_Toc351203603"/>
      <w:bookmarkStart w:id="471" w:name="_Toc337558820"/>
      <w:r>
        <w:rPr>
          <w:rFonts w:hint="eastAsia" w:ascii="宋体" w:hAnsi="宋体" w:cs="宋体"/>
          <w:color w:val="auto"/>
          <w:kern w:val="0"/>
          <w:highlight w:val="none"/>
        </w:rPr>
        <w:t>16. 违约</w:t>
      </w:r>
      <w:bookmarkEnd w:id="470"/>
    </w:p>
    <w:bookmarkEnd w:id="471"/>
    <w:p w14:paraId="727DEC31">
      <w:pPr>
        <w:spacing w:line="360" w:lineRule="auto"/>
        <w:ind w:firstLine="420" w:firstLineChars="200"/>
        <w:rPr>
          <w:rFonts w:ascii="宋体" w:hAnsi="宋体" w:cs="宋体"/>
          <w:color w:val="auto"/>
          <w:kern w:val="0"/>
          <w:highlight w:val="none"/>
        </w:rPr>
      </w:pPr>
      <w:bookmarkStart w:id="472" w:name="_Toc296503129"/>
      <w:bookmarkStart w:id="473" w:name="_Toc296346630"/>
      <w:bookmarkStart w:id="474" w:name="_Toc351203604"/>
      <w:bookmarkStart w:id="475" w:name="_Toc337558821"/>
      <w:r>
        <w:rPr>
          <w:rFonts w:hint="eastAsia" w:ascii="宋体" w:hAnsi="宋体" w:cs="宋体"/>
          <w:color w:val="auto"/>
          <w:kern w:val="0"/>
          <w:highlight w:val="none"/>
        </w:rPr>
        <w:t>16.1 发</w:t>
      </w:r>
      <w:bookmarkEnd w:id="472"/>
      <w:bookmarkEnd w:id="473"/>
      <w:r>
        <w:rPr>
          <w:rFonts w:hint="eastAsia" w:ascii="宋体" w:hAnsi="宋体" w:cs="宋体"/>
          <w:color w:val="auto"/>
          <w:kern w:val="0"/>
          <w:highlight w:val="none"/>
        </w:rPr>
        <w:t>包人违约</w:t>
      </w:r>
      <w:bookmarkEnd w:id="474"/>
    </w:p>
    <w:bookmarkEnd w:id="475"/>
    <w:p w14:paraId="0D2991A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16.1.1 发包人违约的情形</w:t>
      </w:r>
    </w:p>
    <w:p w14:paraId="07269FC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在合同履行过程中发生的下列情形，属于发包人违约：</w:t>
      </w:r>
    </w:p>
    <w:p w14:paraId="6FA40D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（1）因发包人原因未能在计划开工日期前7天内下达开工通知的；</w:t>
      </w:r>
    </w:p>
    <w:p w14:paraId="634E9CE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（2）因发包人原因未能按合同约定支付合同价款的；</w:t>
      </w:r>
    </w:p>
    <w:p w14:paraId="3B9451D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（3）发包人违反第10.1款〔变更的范围〕第（2）项约定，自行实施被取消的工作或转由他人实施的；</w:t>
      </w:r>
    </w:p>
    <w:p w14:paraId="5E9E16A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w:t>
      </w:r>
    </w:p>
    <w:p w14:paraId="4A8B00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（5）因发包人违反合同约定造成暂停施工的；</w:t>
      </w:r>
    </w:p>
    <w:p w14:paraId="15A0EC8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（6）发包人无正当理由没有在约定期限内发出复工指示，导致承包人无法复工的；</w:t>
      </w:r>
    </w:p>
    <w:p w14:paraId="5376A40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（7）发包人明确表示或者以其行为表明不履行合同主要义务的；</w:t>
      </w:r>
    </w:p>
    <w:p w14:paraId="6B14A0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（8）发包人未能按照合同约定履行其他义务的。</w:t>
      </w:r>
    </w:p>
    <w:p w14:paraId="58D6553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23B78B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16.1.2 发包人违约的责任</w:t>
      </w:r>
    </w:p>
    <w:p w14:paraId="540195C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发包人应承担因其违约给承包人增加的费用和（或）延误的工期，并支付承包人合理的利润。此外，合同当事人可在专用合同条款中另行约定发包人违约责任的承担方式和计算方法。</w:t>
      </w:r>
    </w:p>
    <w:p w14:paraId="37DC5B5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16.1.3 因发包人违约解除合同</w:t>
      </w:r>
    </w:p>
    <w:p w14:paraId="6ECACF7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F4C176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16.1.4 因发包人违约解除合同后的付款</w:t>
      </w:r>
    </w:p>
    <w:p w14:paraId="4D43007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承包人按照本款约定解除合同的，发包人应在解除合同后28天内支付下列款项，并解除履约担保：</w:t>
      </w:r>
    </w:p>
    <w:p w14:paraId="0733258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（1）合同解除前所完成工作的价款；</w:t>
      </w:r>
    </w:p>
    <w:p w14:paraId="286BF9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（2）承包人为工程施工订购并已付款的材料、工程设备和其他物品的价款；</w:t>
      </w:r>
    </w:p>
    <w:p w14:paraId="010A21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（3）承包人撤离施工现场以及遣散承包人人员的款项；</w:t>
      </w:r>
    </w:p>
    <w:p w14:paraId="01058D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（4）按照合同约定在合同解除前应支付的违约金；</w:t>
      </w:r>
    </w:p>
    <w:p w14:paraId="1A8E041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（5）按照合同约定应当支付给承包人的其他款项；</w:t>
      </w:r>
    </w:p>
    <w:p w14:paraId="2736D5B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（6）按照合同约定应退还的质量保证金；</w:t>
      </w:r>
    </w:p>
    <w:p w14:paraId="3D86A5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（7）因解除合同给承包人造成的损失。</w:t>
      </w:r>
    </w:p>
    <w:p w14:paraId="1AC9D9F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合同当事人未能就解除合同后的结清达成一致的，按照第20条〔争议解决〕的约定处理。</w:t>
      </w:r>
    </w:p>
    <w:p w14:paraId="6866E3C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承包人应妥善做好已完工程和与工程有关的已购材料、工程设备的保护和移交工作，并将施工设备和人员撤出施工现场，发包人应为承包人撤出提供必要条件。</w:t>
      </w:r>
    </w:p>
    <w:p w14:paraId="1D9B63E9">
      <w:pPr>
        <w:spacing w:line="360" w:lineRule="auto"/>
        <w:ind w:firstLine="420" w:firstLineChars="200"/>
        <w:rPr>
          <w:rFonts w:ascii="宋体" w:hAnsi="宋体" w:cs="宋体"/>
          <w:color w:val="auto"/>
          <w:kern w:val="0"/>
          <w:highlight w:val="none"/>
        </w:rPr>
      </w:pPr>
      <w:bookmarkStart w:id="476" w:name="_Toc351203605"/>
      <w:bookmarkStart w:id="477" w:name="_Toc337558822"/>
      <w:bookmarkStart w:id="478" w:name="_Toc296503131"/>
      <w:bookmarkStart w:id="479" w:name="_Toc296346632"/>
      <w:r>
        <w:rPr>
          <w:rFonts w:hint="eastAsia" w:ascii="宋体" w:hAnsi="宋体" w:cs="宋体"/>
          <w:color w:val="auto"/>
          <w:kern w:val="0"/>
          <w:highlight w:val="none"/>
        </w:rPr>
        <w:t>16.2 承包人违约</w:t>
      </w:r>
      <w:bookmarkEnd w:id="476"/>
    </w:p>
    <w:bookmarkEnd w:id="477"/>
    <w:bookmarkEnd w:id="478"/>
    <w:bookmarkEnd w:id="479"/>
    <w:p w14:paraId="0BBA0F0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16.2.1 承包人违约的情形</w:t>
      </w:r>
    </w:p>
    <w:p w14:paraId="234043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在合同履行过程中发生的下列情形，属于承包人违约：</w:t>
      </w:r>
    </w:p>
    <w:p w14:paraId="1FA229E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（1）承包人违反合同约定进行转包或违法分包的；</w:t>
      </w:r>
    </w:p>
    <w:p w14:paraId="7CC17F1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（2）承包人违反合同约定采购和使用不合格的材料和工程设备的；</w:t>
      </w:r>
    </w:p>
    <w:p w14:paraId="4826E1D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（3）因承包人原因导致工程质量不符合合同要求的； </w:t>
      </w:r>
    </w:p>
    <w:p w14:paraId="3AB64E8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（4）承包人违反第8.9款〔材料与设备专用要求〕的约定，未经批准，私自将已按照合同约定进入施工现场的材料或设备撤离施工现场的；</w:t>
      </w:r>
    </w:p>
    <w:p w14:paraId="7E7E6F0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（5）承包人未能按施工进度计划及时完成合同约定的工作，造成工期延误的；</w:t>
      </w:r>
    </w:p>
    <w:p w14:paraId="0D51845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（6）承包人在缺陷责任期及保修期内，未能在合理期限对工程缺陷进行修复，或拒绝按发包人要求进行修复的；</w:t>
      </w:r>
    </w:p>
    <w:p w14:paraId="77A17AD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（7）承包人明确表示或者以其行为表明不履行合同主要义务的；</w:t>
      </w:r>
    </w:p>
    <w:p w14:paraId="2F44478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（8）承包人未能按照合同约定履行其他义务的。</w:t>
      </w:r>
    </w:p>
    <w:p w14:paraId="707EA8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承包人发生除本项第（7）目约定以外的其他违约情况时，监理人可向承包人发出整改通知，要求其在指定的期限内改正。</w:t>
      </w:r>
    </w:p>
    <w:p w14:paraId="0A49CE3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16.2.2 承包人违约的责任</w:t>
      </w:r>
    </w:p>
    <w:p w14:paraId="56005F1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承包人应承担因其违约行为而增加的费用和（或）延误的工期。此外，合同当事人可在专用合同条款中另行约定承包人违约责任的承担方式和计算方法。</w:t>
      </w:r>
    </w:p>
    <w:p w14:paraId="2D737A1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16.2.3 因承包人违约解除合同</w:t>
      </w:r>
    </w:p>
    <w:p w14:paraId="11970E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61A713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16.2.4因承包人违约解除合同后的处理</w:t>
      </w:r>
    </w:p>
    <w:p w14:paraId="099A5B6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因承包人原因导致合同解除的，则合同当事人应在合同解除后28天内完成估价、付款和清算，并按以下约定执行：</w:t>
      </w:r>
    </w:p>
    <w:p w14:paraId="20B7F28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（1）合同解除后，按第4.4款〔商定或确定〕商定或确定承包人实际完成工作对应的合同价款，以及承包人已提供的材料、工程设备、施工设备和临时工程等的价值；</w:t>
      </w:r>
    </w:p>
    <w:p w14:paraId="06F53D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（2）合同解除后，承包人应支付的违约金；</w:t>
      </w:r>
    </w:p>
    <w:p w14:paraId="17464CD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（3）合同解除后，因解除合同给发包人造成的损失；</w:t>
      </w:r>
    </w:p>
    <w:p w14:paraId="5723B7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（4）合同解除后，承包人应按照发包人要求和监理人的指示完成现场的清理和撤离；</w:t>
      </w:r>
    </w:p>
    <w:p w14:paraId="6A32CA7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（5）发包人和承包人应在合同解除后进行清算，出具最终结清付款证书，结清全部款项。</w:t>
      </w:r>
    </w:p>
    <w:p w14:paraId="61DBBE5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19D58EC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16.2.5采购合同权益转让</w:t>
      </w:r>
    </w:p>
    <w:p w14:paraId="7242C4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21B9A6A">
      <w:pPr>
        <w:spacing w:line="360" w:lineRule="auto"/>
        <w:ind w:firstLine="420" w:firstLineChars="200"/>
        <w:rPr>
          <w:rFonts w:ascii="宋体" w:hAnsi="宋体" w:cs="宋体"/>
          <w:color w:val="auto"/>
          <w:kern w:val="0"/>
          <w:highlight w:val="none"/>
        </w:rPr>
      </w:pPr>
      <w:bookmarkStart w:id="480" w:name="_Toc351203606"/>
      <w:r>
        <w:rPr>
          <w:rFonts w:hint="eastAsia" w:ascii="宋体" w:hAnsi="宋体" w:cs="宋体"/>
          <w:color w:val="auto"/>
          <w:kern w:val="0"/>
          <w:highlight w:val="none"/>
        </w:rPr>
        <w:t>16.3 第三人造成的违约</w:t>
      </w:r>
      <w:bookmarkEnd w:id="480"/>
    </w:p>
    <w:p w14:paraId="29A7840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在履行合同过程中，一方当事人因第三人的原因造成违约的，应当向对方当事人承担违约责任。一方当事人和第三人之间的纠纷，依照法律规定或者按照约定解决。</w:t>
      </w:r>
    </w:p>
    <w:p w14:paraId="6A41AF64">
      <w:pPr>
        <w:spacing w:line="360" w:lineRule="auto"/>
        <w:ind w:firstLine="420" w:firstLineChars="200"/>
        <w:rPr>
          <w:rFonts w:ascii="宋体" w:hAnsi="宋体" w:cs="宋体"/>
          <w:color w:val="auto"/>
          <w:kern w:val="0"/>
          <w:highlight w:val="none"/>
        </w:rPr>
      </w:pPr>
      <w:bookmarkStart w:id="481" w:name="_Toc351203607"/>
      <w:bookmarkStart w:id="482" w:name="_Toc296503116"/>
      <w:bookmarkStart w:id="483" w:name="_Toc337558823"/>
      <w:bookmarkStart w:id="484" w:name="_Toc296346617"/>
      <w:r>
        <w:rPr>
          <w:rFonts w:hint="eastAsia" w:ascii="宋体" w:hAnsi="宋体" w:cs="宋体"/>
          <w:color w:val="auto"/>
          <w:kern w:val="0"/>
          <w:highlight w:val="none"/>
        </w:rPr>
        <w:t>17. 不可抗力</w:t>
      </w:r>
      <w:bookmarkEnd w:id="481"/>
      <w:r>
        <w:rPr>
          <w:rFonts w:hint="eastAsia" w:ascii="宋体" w:hAnsi="宋体" w:cs="宋体"/>
          <w:color w:val="auto"/>
          <w:kern w:val="0"/>
          <w:highlight w:val="none"/>
        </w:rPr>
        <w:t xml:space="preserve"> </w:t>
      </w:r>
      <w:bookmarkEnd w:id="482"/>
      <w:bookmarkEnd w:id="483"/>
      <w:bookmarkEnd w:id="484"/>
    </w:p>
    <w:p w14:paraId="3E3A4830">
      <w:pPr>
        <w:spacing w:line="360" w:lineRule="auto"/>
        <w:ind w:firstLine="420" w:firstLineChars="200"/>
        <w:rPr>
          <w:rFonts w:ascii="宋体" w:hAnsi="宋体" w:cs="宋体"/>
          <w:color w:val="auto"/>
          <w:kern w:val="0"/>
          <w:highlight w:val="none"/>
        </w:rPr>
      </w:pPr>
      <w:bookmarkStart w:id="485" w:name="_Toc351203608"/>
      <w:bookmarkStart w:id="486" w:name="_Toc337558824"/>
      <w:bookmarkStart w:id="487" w:name="_Toc296346618"/>
      <w:bookmarkStart w:id="488" w:name="_Toc296503117"/>
      <w:r>
        <w:rPr>
          <w:rFonts w:hint="eastAsia" w:ascii="宋体" w:hAnsi="宋体" w:cs="宋体"/>
          <w:color w:val="auto"/>
          <w:kern w:val="0"/>
          <w:highlight w:val="none"/>
        </w:rPr>
        <w:t>17.1 不可抗力的确认</w:t>
      </w:r>
      <w:bookmarkEnd w:id="485"/>
    </w:p>
    <w:bookmarkEnd w:id="486"/>
    <w:bookmarkEnd w:id="487"/>
    <w:bookmarkEnd w:id="488"/>
    <w:p w14:paraId="65A5BF2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A86EB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5C115222">
      <w:pPr>
        <w:spacing w:line="360" w:lineRule="auto"/>
        <w:ind w:firstLine="420" w:firstLineChars="200"/>
        <w:rPr>
          <w:rFonts w:ascii="宋体" w:hAnsi="宋体" w:cs="宋体"/>
          <w:color w:val="auto"/>
          <w:kern w:val="0"/>
          <w:highlight w:val="none"/>
        </w:rPr>
      </w:pPr>
      <w:bookmarkStart w:id="489" w:name="_Toc351203609"/>
      <w:bookmarkStart w:id="490" w:name="_Toc296503118"/>
      <w:bookmarkStart w:id="491" w:name="_Toc296346619"/>
      <w:bookmarkStart w:id="492" w:name="_Toc337558825"/>
      <w:r>
        <w:rPr>
          <w:rFonts w:hint="eastAsia" w:ascii="宋体" w:hAnsi="宋体" w:cs="宋体"/>
          <w:color w:val="auto"/>
          <w:kern w:val="0"/>
          <w:highlight w:val="none"/>
        </w:rPr>
        <w:t>17.2 不可抗力的通知</w:t>
      </w:r>
      <w:bookmarkEnd w:id="489"/>
    </w:p>
    <w:bookmarkEnd w:id="490"/>
    <w:bookmarkEnd w:id="491"/>
    <w:bookmarkEnd w:id="492"/>
    <w:p w14:paraId="7AAFF4F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合同一方当事人遇到不可抗力事件，使其履行合同义务受到阻碍时，应立即通知合同另一方当事人和监理人，书面说明不可抗力和受阻碍的详细情况，并提供必要的证明。</w:t>
      </w:r>
    </w:p>
    <w:p w14:paraId="2734479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A54A17B">
      <w:pPr>
        <w:spacing w:line="360" w:lineRule="auto"/>
        <w:ind w:firstLine="420" w:firstLineChars="200"/>
        <w:rPr>
          <w:rFonts w:ascii="宋体" w:hAnsi="宋体" w:cs="宋体"/>
          <w:color w:val="auto"/>
          <w:kern w:val="0"/>
          <w:highlight w:val="none"/>
        </w:rPr>
      </w:pPr>
      <w:bookmarkStart w:id="493" w:name="_Toc351203610"/>
      <w:bookmarkStart w:id="494" w:name="_Toc296503119"/>
      <w:bookmarkStart w:id="495" w:name="_Toc337558826"/>
      <w:bookmarkStart w:id="496" w:name="_Toc296346620"/>
      <w:r>
        <w:rPr>
          <w:rFonts w:hint="eastAsia" w:ascii="宋体" w:hAnsi="宋体" w:cs="宋体"/>
          <w:color w:val="auto"/>
          <w:kern w:val="0"/>
          <w:highlight w:val="none"/>
        </w:rPr>
        <w:t>17.3 不可抗力后果的承担</w:t>
      </w:r>
      <w:bookmarkEnd w:id="493"/>
    </w:p>
    <w:bookmarkEnd w:id="494"/>
    <w:bookmarkEnd w:id="495"/>
    <w:bookmarkEnd w:id="496"/>
    <w:p w14:paraId="5CDA6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17.3.1 不可抗力引起的后果及造成的损失由合同当事人按照法律规定及合同约定各自承担。不可抗力发生前已完成的工程应当按照合同约定进行计量支付。</w:t>
      </w:r>
    </w:p>
    <w:p w14:paraId="4D19859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17.3.2 不可抗力导致的人员伤亡、财产损失、费用增加和（或）工期延误等后果，由合同当事人按以下原则承担：</w:t>
      </w:r>
    </w:p>
    <w:p w14:paraId="0B7BE94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（1）永久工程、已运至施工现场的材料和工程设备的损坏，以及因工程损坏造成的第三人人员伤亡和财产损失由发包人承担；</w:t>
      </w:r>
    </w:p>
    <w:p w14:paraId="672FC5A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（2）承包人施工设备的损坏由承包人承担；</w:t>
      </w:r>
    </w:p>
    <w:p w14:paraId="2771B38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（3）发包人和承包人承担各自人员伤亡和财产的损失；</w:t>
      </w:r>
    </w:p>
    <w:p w14:paraId="6D428D4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3B567D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（5）因不可抗力引起或将引起工期延误，发包人要求赶工的，由此增加的赶工费用由发包人承担；</w:t>
      </w:r>
    </w:p>
    <w:p w14:paraId="4AAF06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（6）承包人在停工期间按照发包人要求照管、清理和修复工程的费用由发包人承担。</w:t>
      </w:r>
    </w:p>
    <w:p w14:paraId="1A7EE69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不可抗力发生后，合同当事人均应采取措施尽量避免和减少损失的扩大，任何一方当事人没有采取有效措施导致损失扩大的，应对扩大的损失承担责任。</w:t>
      </w:r>
    </w:p>
    <w:p w14:paraId="74395ED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因合同一方迟延履行合同义务，在迟延履行期间遭遇不可抗力的，不免除其违约责任。</w:t>
      </w:r>
    </w:p>
    <w:p w14:paraId="1A6005C7">
      <w:pPr>
        <w:spacing w:line="360" w:lineRule="auto"/>
        <w:ind w:firstLine="420" w:firstLineChars="200"/>
        <w:rPr>
          <w:rFonts w:ascii="宋体" w:hAnsi="宋体" w:cs="宋体"/>
          <w:color w:val="auto"/>
          <w:kern w:val="0"/>
          <w:highlight w:val="none"/>
        </w:rPr>
      </w:pPr>
      <w:bookmarkStart w:id="497" w:name="_Toc351203611"/>
      <w:bookmarkStart w:id="498" w:name="_Toc337558827"/>
      <w:r>
        <w:rPr>
          <w:rFonts w:hint="eastAsia" w:ascii="宋体" w:hAnsi="宋体" w:cs="宋体"/>
          <w:color w:val="auto"/>
          <w:kern w:val="0"/>
          <w:highlight w:val="none"/>
        </w:rPr>
        <w:t>17.4 因不可抗力解除合同</w:t>
      </w:r>
      <w:bookmarkEnd w:id="497"/>
    </w:p>
    <w:bookmarkEnd w:id="498"/>
    <w:p w14:paraId="7B88E0F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75F446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（1）合同解除前承包人已完成工作的价款；</w:t>
      </w:r>
    </w:p>
    <w:p w14:paraId="375FE7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（2）承包人为工程订购的并已交付给承包人，或承包人有责任接受交付的材料、工程设备和其他物品的价款；</w:t>
      </w:r>
    </w:p>
    <w:p w14:paraId="256DB58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（3）发包人要求承包人退货或解除订货合同而产生的费用，或因不能退货或解除合同而产生的损失；</w:t>
      </w:r>
    </w:p>
    <w:p w14:paraId="3C90592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（4）承包人撤离施工现场以及遣散承包人人员的费用；</w:t>
      </w:r>
    </w:p>
    <w:p w14:paraId="521E5D4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（5）按照合同约定在合同解除前应支付给承包人的其他款项；</w:t>
      </w:r>
    </w:p>
    <w:p w14:paraId="479736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（6）扣减承包人按照合同约定应向发包人支付的款项；</w:t>
      </w:r>
    </w:p>
    <w:p w14:paraId="2A76897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（7）双方商定或确定的其他款项。</w:t>
      </w:r>
    </w:p>
    <w:p w14:paraId="210E39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除专用合同条款另有约定外，合同解除后，发包人应在商定或确定上述款项后28天内完成上述款项的支付。</w:t>
      </w:r>
    </w:p>
    <w:p w14:paraId="6BC5E0F6">
      <w:pPr>
        <w:spacing w:line="360" w:lineRule="auto"/>
        <w:ind w:firstLine="420" w:firstLineChars="200"/>
        <w:rPr>
          <w:rFonts w:ascii="宋体" w:hAnsi="宋体" w:cs="宋体"/>
          <w:color w:val="auto"/>
          <w:kern w:val="0"/>
          <w:highlight w:val="none"/>
        </w:rPr>
      </w:pPr>
      <w:bookmarkStart w:id="499" w:name="_Toc351203612"/>
      <w:bookmarkStart w:id="500" w:name="_Toc296346621"/>
      <w:bookmarkStart w:id="501" w:name="_Toc337558828"/>
      <w:bookmarkStart w:id="502" w:name="_Toc296503120"/>
      <w:r>
        <w:rPr>
          <w:rFonts w:hint="eastAsia" w:ascii="宋体" w:hAnsi="宋体" w:cs="宋体"/>
          <w:color w:val="auto"/>
          <w:kern w:val="0"/>
          <w:highlight w:val="none"/>
        </w:rPr>
        <w:t>18. 保险</w:t>
      </w:r>
      <w:bookmarkEnd w:id="499"/>
    </w:p>
    <w:bookmarkEnd w:id="500"/>
    <w:bookmarkEnd w:id="501"/>
    <w:bookmarkEnd w:id="502"/>
    <w:p w14:paraId="0EE71A7D">
      <w:pPr>
        <w:spacing w:line="360" w:lineRule="auto"/>
        <w:ind w:firstLine="420" w:firstLineChars="200"/>
        <w:rPr>
          <w:rFonts w:ascii="宋体" w:hAnsi="宋体" w:cs="宋体"/>
          <w:color w:val="auto"/>
          <w:kern w:val="0"/>
          <w:highlight w:val="none"/>
        </w:rPr>
      </w:pPr>
      <w:bookmarkStart w:id="503" w:name="_Toc351203613"/>
      <w:bookmarkStart w:id="504" w:name="_Toc296346622"/>
      <w:bookmarkStart w:id="505" w:name="_Toc337558829"/>
      <w:bookmarkStart w:id="506" w:name="_Toc296503121"/>
      <w:r>
        <w:rPr>
          <w:rFonts w:hint="eastAsia" w:ascii="宋体" w:hAnsi="宋体" w:cs="宋体"/>
          <w:color w:val="auto"/>
          <w:kern w:val="0"/>
          <w:highlight w:val="none"/>
        </w:rPr>
        <w:t>18.1 工程保险</w:t>
      </w:r>
      <w:bookmarkEnd w:id="503"/>
    </w:p>
    <w:bookmarkEnd w:id="504"/>
    <w:bookmarkEnd w:id="505"/>
    <w:bookmarkEnd w:id="506"/>
    <w:p w14:paraId="7FC7CA9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除专用合同条款另有约定外，发包人应投保建筑工程一切险或安装工程一切险；发包人委托承包人投保的，因投保产生的保险费和其他相关费用由发包人承担。</w:t>
      </w:r>
    </w:p>
    <w:p w14:paraId="7F31F50E">
      <w:pPr>
        <w:spacing w:line="360" w:lineRule="auto"/>
        <w:ind w:firstLine="420" w:firstLineChars="200"/>
        <w:rPr>
          <w:rFonts w:ascii="宋体" w:hAnsi="宋体" w:cs="宋体"/>
          <w:color w:val="auto"/>
          <w:kern w:val="0"/>
          <w:highlight w:val="none"/>
        </w:rPr>
      </w:pPr>
      <w:bookmarkStart w:id="507" w:name="_Toc351203614"/>
      <w:bookmarkStart w:id="508" w:name="_Toc296346623"/>
      <w:bookmarkStart w:id="509" w:name="_Toc296503122"/>
      <w:bookmarkStart w:id="510" w:name="_Toc337558830"/>
      <w:r>
        <w:rPr>
          <w:rFonts w:hint="eastAsia" w:ascii="宋体" w:hAnsi="宋体" w:cs="宋体"/>
          <w:color w:val="auto"/>
          <w:kern w:val="0"/>
          <w:highlight w:val="none"/>
        </w:rPr>
        <w:t>18.2 工伤保险</w:t>
      </w:r>
      <w:bookmarkEnd w:id="507"/>
    </w:p>
    <w:bookmarkEnd w:id="508"/>
    <w:bookmarkEnd w:id="509"/>
    <w:bookmarkEnd w:id="510"/>
    <w:p w14:paraId="2ED3A28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18.2.1 发包人应依照法律规定参加工伤保险，并为在施工现场的全部员工办理工伤保险，缴纳工伤保险费，并要求监理人及由发包人为履行合同聘请的第三方依法参加工伤保险。</w:t>
      </w:r>
    </w:p>
    <w:p w14:paraId="6704F9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18.2.2 承包人应依照法律规定参加工伤保险，并为其履行合同的全部员工办理工伤保险，缴纳工伤保险费，并要求分包人及由承包人为履行合同聘请的第三方依法参加工伤保险。</w:t>
      </w:r>
    </w:p>
    <w:p w14:paraId="4661BA39">
      <w:pPr>
        <w:spacing w:line="360" w:lineRule="auto"/>
        <w:ind w:firstLine="420" w:firstLineChars="200"/>
        <w:rPr>
          <w:rFonts w:ascii="宋体" w:hAnsi="宋体" w:cs="宋体"/>
          <w:color w:val="auto"/>
          <w:kern w:val="0"/>
          <w:highlight w:val="none"/>
        </w:rPr>
      </w:pPr>
      <w:bookmarkStart w:id="511" w:name="_Toc351203615"/>
      <w:bookmarkStart w:id="512" w:name="_Toc296503125"/>
      <w:bookmarkStart w:id="513" w:name="_Toc296346626"/>
      <w:bookmarkStart w:id="514" w:name="_Toc337558831"/>
      <w:r>
        <w:rPr>
          <w:rFonts w:hint="eastAsia" w:ascii="宋体" w:hAnsi="宋体" w:cs="宋体"/>
          <w:color w:val="auto"/>
          <w:kern w:val="0"/>
          <w:highlight w:val="none"/>
        </w:rPr>
        <w:t>18.3其他保险</w:t>
      </w:r>
      <w:bookmarkEnd w:id="511"/>
    </w:p>
    <w:bookmarkEnd w:id="512"/>
    <w:bookmarkEnd w:id="513"/>
    <w:bookmarkEnd w:id="514"/>
    <w:p w14:paraId="4BC6558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发包人和承包人可以为其施工现场的全部人员办理意外伤害保险并支付保险费，包括其员工及为履行合同聘请的第三方的人员，具体事项由合同当事人在专用合同条款约定。</w:t>
      </w:r>
    </w:p>
    <w:p w14:paraId="0E37E6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除专用合同条款另有约定外，承包人应为其施工设备等办理财产保险。</w:t>
      </w:r>
    </w:p>
    <w:p w14:paraId="31F909A2">
      <w:pPr>
        <w:spacing w:line="360" w:lineRule="auto"/>
        <w:ind w:firstLine="420" w:firstLineChars="200"/>
        <w:rPr>
          <w:rFonts w:ascii="宋体" w:hAnsi="宋体" w:cs="宋体"/>
          <w:color w:val="auto"/>
          <w:kern w:val="0"/>
          <w:highlight w:val="none"/>
        </w:rPr>
      </w:pPr>
      <w:bookmarkStart w:id="515" w:name="_Toc351203616"/>
      <w:r>
        <w:rPr>
          <w:rFonts w:hint="eastAsia" w:ascii="宋体" w:hAnsi="宋体" w:cs="宋体"/>
          <w:color w:val="auto"/>
          <w:kern w:val="0"/>
          <w:highlight w:val="none"/>
        </w:rPr>
        <w:t>18.4持续保险</w:t>
      </w:r>
      <w:bookmarkEnd w:id="515"/>
    </w:p>
    <w:p w14:paraId="2817A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合同当事人应与保险人保持联系，使保险人能够随时了解工程实施中的变动，并确保按保险合同条款要求持续保险。</w:t>
      </w:r>
    </w:p>
    <w:p w14:paraId="40966541">
      <w:pPr>
        <w:spacing w:line="360" w:lineRule="auto"/>
        <w:ind w:firstLine="420" w:firstLineChars="200"/>
        <w:rPr>
          <w:rFonts w:ascii="宋体" w:hAnsi="宋体" w:cs="宋体"/>
          <w:color w:val="auto"/>
          <w:kern w:val="0"/>
          <w:highlight w:val="none"/>
        </w:rPr>
      </w:pPr>
      <w:bookmarkStart w:id="516" w:name="_Toc351203617"/>
      <w:bookmarkStart w:id="517" w:name="_Toc296346627"/>
      <w:bookmarkStart w:id="518" w:name="_Toc296503126"/>
      <w:bookmarkStart w:id="519" w:name="_Toc337558832"/>
      <w:r>
        <w:rPr>
          <w:rFonts w:hint="eastAsia" w:ascii="宋体" w:hAnsi="宋体" w:cs="宋体"/>
          <w:color w:val="auto"/>
          <w:kern w:val="0"/>
          <w:highlight w:val="none"/>
        </w:rPr>
        <w:t>18.5 保险凭证</w:t>
      </w:r>
      <w:bookmarkEnd w:id="516"/>
    </w:p>
    <w:bookmarkEnd w:id="517"/>
    <w:bookmarkEnd w:id="518"/>
    <w:bookmarkEnd w:id="519"/>
    <w:p w14:paraId="0BC19F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合同当事人应及时向另一方当事人提交其已投保的各项保险的凭证和保险单复印件。</w:t>
      </w:r>
    </w:p>
    <w:p w14:paraId="3AA7EE77">
      <w:pPr>
        <w:spacing w:line="360" w:lineRule="auto"/>
        <w:ind w:firstLine="420" w:firstLineChars="200"/>
        <w:rPr>
          <w:rFonts w:ascii="宋体" w:hAnsi="宋体" w:cs="宋体"/>
          <w:color w:val="auto"/>
          <w:kern w:val="0"/>
          <w:highlight w:val="none"/>
        </w:rPr>
      </w:pPr>
      <w:bookmarkStart w:id="520" w:name="_Toc351203618"/>
      <w:bookmarkStart w:id="521" w:name="_Toc337558833"/>
      <w:bookmarkStart w:id="522" w:name="_Toc296503127"/>
      <w:bookmarkStart w:id="523" w:name="_Toc296346628"/>
      <w:r>
        <w:rPr>
          <w:rFonts w:hint="eastAsia" w:ascii="宋体" w:hAnsi="宋体" w:cs="宋体"/>
          <w:color w:val="auto"/>
          <w:kern w:val="0"/>
          <w:highlight w:val="none"/>
        </w:rPr>
        <w:t>18.6 未按约定投保的补救</w:t>
      </w:r>
      <w:bookmarkEnd w:id="520"/>
    </w:p>
    <w:bookmarkEnd w:id="521"/>
    <w:bookmarkEnd w:id="522"/>
    <w:bookmarkEnd w:id="523"/>
    <w:p w14:paraId="257AB0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18.6.1发包人未按合同约定办理保险，或未能使保险持续有效的，则承包人可代为办理，所需费用由发包人承担。发包人未按合同约定办理保险，导致未能得到足额赔偿的，由发包人负责补足。</w:t>
      </w:r>
    </w:p>
    <w:p w14:paraId="41DED5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18.6.2承包人未按合同约定办理保险，或未能使保险持续有效的，则发包人可代为办理，所需费用由承包人承担。承包人未按合同约定办理保险，导致未能得到足额赔偿的，由承包人负责补足。</w:t>
      </w:r>
    </w:p>
    <w:p w14:paraId="606831B9">
      <w:pPr>
        <w:spacing w:line="360" w:lineRule="auto"/>
        <w:ind w:firstLine="420" w:firstLineChars="200"/>
        <w:rPr>
          <w:rFonts w:ascii="宋体" w:hAnsi="宋体" w:cs="宋体"/>
          <w:color w:val="auto"/>
          <w:kern w:val="0"/>
          <w:highlight w:val="none"/>
        </w:rPr>
      </w:pPr>
      <w:bookmarkStart w:id="524" w:name="_Toc351203619"/>
      <w:bookmarkStart w:id="525" w:name="_Toc337558834"/>
      <w:r>
        <w:rPr>
          <w:rFonts w:hint="eastAsia" w:ascii="宋体" w:hAnsi="宋体" w:cs="宋体"/>
          <w:color w:val="auto"/>
          <w:kern w:val="0"/>
          <w:highlight w:val="none"/>
        </w:rPr>
        <w:t>18.7 通知义务</w:t>
      </w:r>
      <w:bookmarkEnd w:id="524"/>
    </w:p>
    <w:bookmarkEnd w:id="525"/>
    <w:p w14:paraId="0E8079C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A41BE0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保险事故发生时，投保人应按照保险合同规定的条件和期限及时向保险人报告。发包人和承包人应当在知道保险事故发生后及时通知对方。</w:t>
      </w:r>
    </w:p>
    <w:p w14:paraId="362A48F1">
      <w:pPr>
        <w:spacing w:line="360" w:lineRule="auto"/>
        <w:ind w:firstLine="420" w:firstLineChars="200"/>
        <w:rPr>
          <w:rFonts w:ascii="宋体" w:hAnsi="宋体" w:cs="宋体"/>
          <w:color w:val="auto"/>
          <w:kern w:val="0"/>
          <w:highlight w:val="none"/>
        </w:rPr>
      </w:pPr>
      <w:bookmarkStart w:id="526" w:name="_Toc351203620"/>
      <w:bookmarkStart w:id="527" w:name="_Toc337558835"/>
      <w:bookmarkStart w:id="528" w:name="_Toc296346641"/>
      <w:bookmarkStart w:id="529" w:name="_Toc296503140"/>
      <w:r>
        <w:rPr>
          <w:rFonts w:hint="eastAsia" w:ascii="宋体" w:hAnsi="宋体" w:cs="宋体"/>
          <w:color w:val="auto"/>
          <w:kern w:val="0"/>
          <w:highlight w:val="none"/>
        </w:rPr>
        <w:t>19. 索赔</w:t>
      </w:r>
      <w:bookmarkEnd w:id="526"/>
    </w:p>
    <w:bookmarkEnd w:id="527"/>
    <w:bookmarkEnd w:id="528"/>
    <w:bookmarkEnd w:id="529"/>
    <w:p w14:paraId="53A44120">
      <w:pPr>
        <w:spacing w:line="360" w:lineRule="auto"/>
        <w:ind w:firstLine="420" w:firstLineChars="200"/>
        <w:rPr>
          <w:rFonts w:ascii="宋体" w:hAnsi="宋体" w:cs="宋体"/>
          <w:color w:val="auto"/>
          <w:kern w:val="0"/>
          <w:highlight w:val="none"/>
        </w:rPr>
      </w:pPr>
      <w:bookmarkStart w:id="530" w:name="_Toc351203621"/>
      <w:bookmarkStart w:id="531" w:name="_Toc296346642"/>
      <w:bookmarkStart w:id="532" w:name="_Toc337558836"/>
      <w:bookmarkStart w:id="533" w:name="_Toc296503141"/>
      <w:r>
        <w:rPr>
          <w:rFonts w:hint="eastAsia" w:ascii="宋体" w:hAnsi="宋体" w:cs="宋体"/>
          <w:color w:val="auto"/>
          <w:kern w:val="0"/>
          <w:highlight w:val="none"/>
        </w:rPr>
        <w:t>19.1承包人的索赔</w:t>
      </w:r>
      <w:bookmarkEnd w:id="530"/>
    </w:p>
    <w:bookmarkEnd w:id="531"/>
    <w:bookmarkEnd w:id="532"/>
    <w:bookmarkEnd w:id="533"/>
    <w:p w14:paraId="0F65A82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根据合同约定，承包人认为有权得到追加付款和（或）延长工期的，应按以下程序向发包人提出索赔：</w:t>
      </w:r>
    </w:p>
    <w:p w14:paraId="4AF8B58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40D08C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（2）承包人应在发出索赔意向通知书后28天内，向监理人正式递交索赔报告；索赔报告应详细说明索赔理由以及要求追加的付款金额和（或）延长的工期，并附必要的记录和证明材料；</w:t>
      </w:r>
    </w:p>
    <w:p w14:paraId="53B7D56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（3）索赔事件具有持续影响的，承包人应按合理时间间隔继续递交延续索赔通知，说明持续影响的实际情况和记录，列出累计的追加付款金额和（或）工期延长天数；</w:t>
      </w:r>
    </w:p>
    <w:p w14:paraId="147F67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（4）在索赔事件影响结束后28天内，承包人应向监理人递交最终索赔报告，说明最终要求索赔的追加付款金额和（或）延长的工期，并附必要的记录和证明材料。</w:t>
      </w:r>
    </w:p>
    <w:p w14:paraId="554F7552">
      <w:pPr>
        <w:spacing w:line="360" w:lineRule="auto"/>
        <w:ind w:firstLine="420" w:firstLineChars="200"/>
        <w:rPr>
          <w:rFonts w:ascii="宋体" w:hAnsi="宋体" w:cs="宋体"/>
          <w:color w:val="auto"/>
          <w:kern w:val="0"/>
          <w:highlight w:val="none"/>
        </w:rPr>
      </w:pPr>
      <w:bookmarkStart w:id="534" w:name="_Toc351203622"/>
      <w:bookmarkStart w:id="535" w:name="_Toc296503142"/>
      <w:bookmarkStart w:id="536" w:name="_Toc337558837"/>
      <w:bookmarkStart w:id="537" w:name="_Toc296346643"/>
      <w:r>
        <w:rPr>
          <w:rFonts w:hint="eastAsia" w:ascii="宋体" w:hAnsi="宋体" w:cs="宋体"/>
          <w:color w:val="auto"/>
          <w:kern w:val="0"/>
          <w:highlight w:val="none"/>
        </w:rPr>
        <w:t>19.2 对承包人索赔的处理</w:t>
      </w:r>
      <w:bookmarkEnd w:id="534"/>
    </w:p>
    <w:bookmarkEnd w:id="535"/>
    <w:bookmarkEnd w:id="536"/>
    <w:bookmarkEnd w:id="537"/>
    <w:p w14:paraId="0C2B00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对承包人索赔的处理如下：</w:t>
      </w:r>
    </w:p>
    <w:p w14:paraId="718276D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（1）监理人应在收到索赔报告后14天内完成审查并报送发包人。监理人对索赔报告存在异议的，有权要求承包人提交全部原始记录副本；</w:t>
      </w:r>
    </w:p>
    <w:p w14:paraId="6C18AA6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（2）发包人应在监理人收到索赔报告或有关索赔的进一步证明材料后的28天内，由监理人向承包人出具经发包人签认的索赔处理结果。发包人逾期答复的，则视为认可承包人的索赔要求；</w:t>
      </w:r>
    </w:p>
    <w:p w14:paraId="520D0C2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（3）承包人接受索赔处理结果的，索赔款项在当期进度款中进行支付；承包人不接受索赔处理结果的，按照第20条〔争议解决〕约定处理。</w:t>
      </w:r>
    </w:p>
    <w:p w14:paraId="067C8C3B">
      <w:pPr>
        <w:spacing w:line="360" w:lineRule="auto"/>
        <w:ind w:firstLine="420" w:firstLineChars="200"/>
        <w:rPr>
          <w:rFonts w:ascii="宋体" w:hAnsi="宋体" w:cs="宋体"/>
          <w:color w:val="auto"/>
          <w:kern w:val="0"/>
          <w:highlight w:val="none"/>
        </w:rPr>
      </w:pPr>
      <w:bookmarkStart w:id="538" w:name="_Toc351203623"/>
      <w:bookmarkStart w:id="539" w:name="_Toc296503143"/>
      <w:bookmarkStart w:id="540" w:name="_Toc337558838"/>
      <w:bookmarkStart w:id="541" w:name="_Toc296346644"/>
      <w:r>
        <w:rPr>
          <w:rFonts w:hint="eastAsia" w:ascii="宋体" w:hAnsi="宋体" w:cs="宋体"/>
          <w:color w:val="auto"/>
          <w:kern w:val="0"/>
          <w:highlight w:val="none"/>
        </w:rPr>
        <w:t>19.3发包人的索赔</w:t>
      </w:r>
      <w:bookmarkEnd w:id="538"/>
    </w:p>
    <w:bookmarkEnd w:id="539"/>
    <w:bookmarkEnd w:id="540"/>
    <w:bookmarkEnd w:id="541"/>
    <w:p w14:paraId="7657A43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根据合同约定，发包人认为有权得到赔付金额和（或）延长缺陷责任期的，监理人应向承包人发出通知并附有详细的证明。</w:t>
      </w:r>
    </w:p>
    <w:p w14:paraId="5F77D47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0CA1B4E">
      <w:pPr>
        <w:spacing w:line="360" w:lineRule="auto"/>
        <w:ind w:firstLine="420" w:firstLineChars="200"/>
        <w:rPr>
          <w:rFonts w:ascii="宋体" w:hAnsi="宋体" w:cs="宋体"/>
          <w:color w:val="auto"/>
          <w:kern w:val="0"/>
          <w:highlight w:val="none"/>
        </w:rPr>
      </w:pPr>
      <w:bookmarkStart w:id="542" w:name="_Toc351203624"/>
      <w:bookmarkStart w:id="543" w:name="_Toc296346645"/>
      <w:bookmarkStart w:id="544" w:name="_Toc296503144"/>
      <w:bookmarkStart w:id="545" w:name="_Toc337558839"/>
      <w:r>
        <w:rPr>
          <w:rFonts w:hint="eastAsia" w:ascii="宋体" w:hAnsi="宋体" w:cs="宋体"/>
          <w:color w:val="auto"/>
          <w:kern w:val="0"/>
          <w:highlight w:val="none"/>
        </w:rPr>
        <w:t>19.4 对发包人索赔的处理</w:t>
      </w:r>
      <w:bookmarkEnd w:id="542"/>
    </w:p>
    <w:bookmarkEnd w:id="543"/>
    <w:bookmarkEnd w:id="544"/>
    <w:bookmarkEnd w:id="545"/>
    <w:p w14:paraId="6F3A640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对发包人索赔的处理如下：</w:t>
      </w:r>
    </w:p>
    <w:p w14:paraId="680989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（1）承包人收到发包人提交的索赔报告后，应及时审查索赔报告的内容、查验发包人证明材料；</w:t>
      </w:r>
    </w:p>
    <w:p w14:paraId="18B48F7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（2）承包人应在收到索赔报告或有关索赔的进一步证明材料后28天内，将索赔处理结果答复发包人。如果承包人未在上述期限内作出答复的，则视为对发包人索赔要求的认可；</w:t>
      </w:r>
    </w:p>
    <w:p w14:paraId="3F1F2D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（3）承包人接受索赔处理结果的，发包人可从应支付给承包人的合同价款中扣除赔付的金额或延长缺陷责任期；发包人不接受索赔处理结果的，按第20条〔争议解决〕约定处理。</w:t>
      </w:r>
    </w:p>
    <w:p w14:paraId="17ACAABA">
      <w:pPr>
        <w:spacing w:line="360" w:lineRule="auto"/>
        <w:ind w:firstLine="420" w:firstLineChars="200"/>
        <w:rPr>
          <w:rFonts w:ascii="宋体" w:hAnsi="宋体" w:cs="宋体"/>
          <w:color w:val="auto"/>
          <w:kern w:val="0"/>
          <w:highlight w:val="none"/>
        </w:rPr>
      </w:pPr>
      <w:bookmarkStart w:id="546" w:name="_Toc351203625"/>
      <w:r>
        <w:rPr>
          <w:rFonts w:hint="eastAsia" w:ascii="宋体" w:hAnsi="宋体" w:cs="宋体"/>
          <w:color w:val="auto"/>
          <w:kern w:val="0"/>
          <w:highlight w:val="none"/>
        </w:rPr>
        <w:t>19.5 提出索赔的期限</w:t>
      </w:r>
      <w:bookmarkEnd w:id="546"/>
    </w:p>
    <w:p w14:paraId="03F7875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（1）承包人按第14.2款〔竣工结算审核〕约定接收竣工付款证书后，应被视为已无权再提出在工程接收证书颁发前所发生的任何索赔。</w:t>
      </w:r>
    </w:p>
    <w:p w14:paraId="3E4EAE4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（2）承包人按第14.4款〔最终结清〕提交的最终结清申请单中，只限于提出工程接收证书颁发后发生的索赔。提出索赔的期限自接受最终结清证书时终止。</w:t>
      </w:r>
    </w:p>
    <w:p w14:paraId="00FFEA28">
      <w:pPr>
        <w:spacing w:line="360" w:lineRule="auto"/>
        <w:ind w:firstLine="420" w:firstLineChars="200"/>
        <w:rPr>
          <w:rFonts w:ascii="宋体" w:hAnsi="宋体" w:cs="宋体"/>
          <w:color w:val="auto"/>
          <w:kern w:val="0"/>
          <w:highlight w:val="none"/>
        </w:rPr>
      </w:pPr>
      <w:bookmarkStart w:id="547" w:name="_Toc351203626"/>
      <w:r>
        <w:rPr>
          <w:rFonts w:hint="eastAsia" w:ascii="宋体" w:hAnsi="宋体" w:cs="宋体"/>
          <w:color w:val="auto"/>
          <w:kern w:val="0"/>
          <w:highlight w:val="none"/>
        </w:rPr>
        <w:t>20</w:t>
      </w:r>
      <w:bookmarkStart w:id="548" w:name="_Toc296346647"/>
      <w:bookmarkStart w:id="549" w:name="_Toc337558840"/>
      <w:bookmarkStart w:id="550" w:name="_Toc296503146"/>
      <w:r>
        <w:rPr>
          <w:rFonts w:hint="eastAsia" w:ascii="宋体" w:hAnsi="宋体" w:cs="宋体"/>
          <w:color w:val="auto"/>
          <w:kern w:val="0"/>
          <w:highlight w:val="none"/>
        </w:rPr>
        <w:t>. 争议解决</w:t>
      </w:r>
      <w:bookmarkEnd w:id="547"/>
    </w:p>
    <w:bookmarkEnd w:id="548"/>
    <w:bookmarkEnd w:id="549"/>
    <w:bookmarkEnd w:id="550"/>
    <w:p w14:paraId="048BC317">
      <w:pPr>
        <w:spacing w:line="360" w:lineRule="auto"/>
        <w:ind w:firstLine="420" w:firstLineChars="200"/>
        <w:rPr>
          <w:rFonts w:ascii="宋体" w:hAnsi="宋体" w:cs="宋体"/>
          <w:color w:val="auto"/>
          <w:kern w:val="0"/>
          <w:highlight w:val="none"/>
        </w:rPr>
      </w:pPr>
      <w:bookmarkStart w:id="551" w:name="_Toc351203627"/>
      <w:bookmarkStart w:id="552" w:name="_Toc296503147"/>
      <w:bookmarkStart w:id="553" w:name="_Toc337558841"/>
      <w:bookmarkStart w:id="554" w:name="_Toc296346648"/>
      <w:r>
        <w:rPr>
          <w:rFonts w:hint="eastAsia" w:ascii="宋体" w:hAnsi="宋体" w:cs="宋体"/>
          <w:color w:val="auto"/>
          <w:kern w:val="0"/>
          <w:highlight w:val="none"/>
        </w:rPr>
        <w:t>20.1和解</w:t>
      </w:r>
      <w:bookmarkEnd w:id="551"/>
    </w:p>
    <w:bookmarkEnd w:id="552"/>
    <w:bookmarkEnd w:id="553"/>
    <w:bookmarkEnd w:id="554"/>
    <w:p w14:paraId="2854BF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合同当事人可以就争议自行和解，自行和解达成协议的经双方签字并盖章后作为合同补充文件，双方均应遵照执行。</w:t>
      </w:r>
    </w:p>
    <w:p w14:paraId="71966408">
      <w:pPr>
        <w:spacing w:line="360" w:lineRule="auto"/>
        <w:ind w:firstLine="420" w:firstLineChars="200"/>
        <w:rPr>
          <w:rFonts w:ascii="宋体" w:hAnsi="宋体" w:cs="宋体"/>
          <w:color w:val="auto"/>
          <w:kern w:val="0"/>
          <w:highlight w:val="none"/>
        </w:rPr>
      </w:pPr>
      <w:bookmarkStart w:id="555" w:name="_Toc351203628"/>
      <w:r>
        <w:rPr>
          <w:rFonts w:hint="eastAsia" w:ascii="宋体" w:hAnsi="宋体" w:cs="宋体"/>
          <w:color w:val="auto"/>
          <w:kern w:val="0"/>
          <w:highlight w:val="none"/>
        </w:rPr>
        <w:t>20</w:t>
      </w:r>
      <w:bookmarkStart w:id="556" w:name="_Toc296503148"/>
      <w:bookmarkStart w:id="557" w:name="_Toc296346649"/>
      <w:bookmarkStart w:id="558" w:name="_Toc337558842"/>
      <w:r>
        <w:rPr>
          <w:rFonts w:hint="eastAsia" w:ascii="宋体" w:hAnsi="宋体" w:cs="宋体"/>
          <w:color w:val="auto"/>
          <w:kern w:val="0"/>
          <w:highlight w:val="none"/>
        </w:rPr>
        <w:t>.2调解</w:t>
      </w:r>
      <w:bookmarkEnd w:id="555"/>
    </w:p>
    <w:bookmarkEnd w:id="556"/>
    <w:bookmarkEnd w:id="557"/>
    <w:bookmarkEnd w:id="558"/>
    <w:p w14:paraId="094BD62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合同当事人可以就争议请求建设行政主管部门、行业协会或其他第三方进行调解，调解达成协议的，经双方签字并盖章后作为合同补充文件，双方均应遵照执行。</w:t>
      </w:r>
    </w:p>
    <w:p w14:paraId="426EE119">
      <w:pPr>
        <w:spacing w:line="360" w:lineRule="auto"/>
        <w:ind w:firstLine="420" w:firstLineChars="200"/>
        <w:rPr>
          <w:rFonts w:ascii="宋体" w:hAnsi="宋体" w:cs="宋体"/>
          <w:color w:val="auto"/>
          <w:kern w:val="0"/>
          <w:highlight w:val="none"/>
        </w:rPr>
      </w:pPr>
      <w:bookmarkStart w:id="559" w:name="_Toc351203629"/>
      <w:bookmarkStart w:id="560" w:name="_Toc337558843"/>
      <w:bookmarkStart w:id="561" w:name="_Toc296346650"/>
      <w:bookmarkStart w:id="562" w:name="_Toc296503149"/>
      <w:r>
        <w:rPr>
          <w:rFonts w:hint="eastAsia" w:ascii="宋体" w:hAnsi="宋体" w:cs="宋体"/>
          <w:color w:val="auto"/>
          <w:kern w:val="0"/>
          <w:highlight w:val="none"/>
        </w:rPr>
        <w:t>20.3争议评审</w:t>
      </w:r>
      <w:bookmarkEnd w:id="559"/>
    </w:p>
    <w:bookmarkEnd w:id="560"/>
    <w:bookmarkEnd w:id="561"/>
    <w:bookmarkEnd w:id="562"/>
    <w:p w14:paraId="1AFA05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合同当事人在专用合同条款中约定采取争议评审方式解决争议以及评审规则，并按下列约定执行： </w:t>
      </w:r>
    </w:p>
    <w:p w14:paraId="1D411A7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20.3.1 争议评审小组的确定</w:t>
      </w:r>
    </w:p>
    <w:p w14:paraId="3791272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合同当事人可以共同选择一名或三名争议评审员，组成争议评审小组。除专用合同条款另有约定外，合同当事人应当自合同签订后28天内，或者争议发生后14天内，选定争议评审员。</w:t>
      </w:r>
    </w:p>
    <w:p w14:paraId="364B235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0EE016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除专用合同条款另有约定外，评审员报酬由发包人和承包人各承担一半。</w:t>
      </w:r>
    </w:p>
    <w:p w14:paraId="7443C7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20.3.2 争议评审小组的决定</w:t>
      </w:r>
    </w:p>
    <w:p w14:paraId="5D15C85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79700D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20.3.3 争议评审小组决定的效力</w:t>
      </w:r>
    </w:p>
    <w:p w14:paraId="6DB7F9F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争议评审小组作出的书面决定经合同当事人签字确认后，对双方具有约束力，双方应遵照执行。</w:t>
      </w:r>
    </w:p>
    <w:p w14:paraId="72E4FFE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任何一方当事人不接受争议评审小组决定或不履行争议评审小组决定的，双方可选择采用其他争议解决方式。</w:t>
      </w:r>
    </w:p>
    <w:p w14:paraId="38C63847">
      <w:pPr>
        <w:spacing w:line="360" w:lineRule="auto"/>
        <w:ind w:firstLine="420" w:firstLineChars="200"/>
        <w:rPr>
          <w:rFonts w:ascii="宋体" w:hAnsi="宋体" w:cs="宋体"/>
          <w:color w:val="auto"/>
          <w:kern w:val="0"/>
          <w:highlight w:val="none"/>
        </w:rPr>
      </w:pPr>
      <w:bookmarkStart w:id="563" w:name="_Toc351203630"/>
      <w:bookmarkStart w:id="564" w:name="_Toc296346651"/>
      <w:bookmarkStart w:id="565" w:name="_Toc296503150"/>
      <w:bookmarkStart w:id="566" w:name="_Toc337558844"/>
      <w:r>
        <w:rPr>
          <w:rFonts w:hint="eastAsia" w:ascii="宋体" w:hAnsi="宋体" w:cs="宋体"/>
          <w:color w:val="auto"/>
          <w:kern w:val="0"/>
          <w:highlight w:val="none"/>
        </w:rPr>
        <w:t>20.4仲裁或诉讼</w:t>
      </w:r>
      <w:bookmarkEnd w:id="563"/>
    </w:p>
    <w:bookmarkEnd w:id="564"/>
    <w:bookmarkEnd w:id="565"/>
    <w:bookmarkEnd w:id="566"/>
    <w:p w14:paraId="411BDE7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因合同及合同有关事项产生的争议，合同当事人可以在专用合同条款中约定以下一种方式解决争议：</w:t>
      </w:r>
    </w:p>
    <w:p w14:paraId="2E71949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（1）向约定的仲裁委员会申请仲裁；</w:t>
      </w:r>
    </w:p>
    <w:p w14:paraId="019FC2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（2）向有管辖权的人民法院起诉。</w:t>
      </w:r>
    </w:p>
    <w:p w14:paraId="275E418D">
      <w:pPr>
        <w:spacing w:line="360" w:lineRule="auto"/>
        <w:ind w:firstLine="420" w:firstLineChars="200"/>
        <w:rPr>
          <w:rFonts w:ascii="宋体" w:hAnsi="宋体" w:cs="宋体"/>
          <w:color w:val="auto"/>
          <w:kern w:val="0"/>
          <w:highlight w:val="none"/>
        </w:rPr>
      </w:pPr>
      <w:bookmarkStart w:id="567" w:name="_Toc351203631"/>
      <w:bookmarkStart w:id="568" w:name="_Toc296503152"/>
      <w:bookmarkStart w:id="569" w:name="_Toc337558845"/>
      <w:bookmarkStart w:id="570" w:name="_Toc296346653"/>
      <w:r>
        <w:rPr>
          <w:rFonts w:hint="eastAsia" w:ascii="宋体" w:hAnsi="宋体" w:cs="宋体"/>
          <w:color w:val="auto"/>
          <w:kern w:val="0"/>
          <w:highlight w:val="none"/>
        </w:rPr>
        <w:t>20.5争议解决条款效力</w:t>
      </w:r>
      <w:bookmarkEnd w:id="567"/>
    </w:p>
    <w:bookmarkEnd w:id="568"/>
    <w:bookmarkEnd w:id="569"/>
    <w:bookmarkEnd w:id="570"/>
    <w:p w14:paraId="385D305D">
      <w:pPr>
        <w:spacing w:line="360" w:lineRule="auto"/>
        <w:ind w:firstLine="420" w:firstLineChars="200"/>
        <w:rPr>
          <w:rFonts w:ascii="宋体" w:hAnsi="宋体" w:cs="宋体"/>
          <w:b/>
          <w:bCs/>
          <w:color w:val="auto"/>
          <w:kern w:val="0"/>
          <w:highlight w:val="none"/>
        </w:rPr>
      </w:pPr>
      <w:r>
        <w:rPr>
          <w:rFonts w:hint="eastAsia" w:ascii="宋体" w:hAnsi="宋体" w:cs="宋体"/>
          <w:color w:val="auto"/>
          <w:kern w:val="0"/>
          <w:highlight w:val="none"/>
        </w:rPr>
        <w:t>合同有关争议解决的条款独立存在，合同的变更、解除、终止、无效或者被撤销均不影响其效力。</w:t>
      </w:r>
    </w:p>
    <w:p w14:paraId="4B33AFC0">
      <w:pPr>
        <w:pStyle w:val="2"/>
        <w:keepNext w:val="0"/>
        <w:keepLines w:val="0"/>
        <w:jc w:val="center"/>
        <w:rPr>
          <w:rFonts w:hAnsi="宋体" w:cs="黑体"/>
          <w:color w:val="auto"/>
          <w:sz w:val="30"/>
          <w:szCs w:val="30"/>
          <w:highlight w:val="none"/>
        </w:rPr>
      </w:pPr>
    </w:p>
    <w:p w14:paraId="67A8FEA3">
      <w:pPr>
        <w:pStyle w:val="2"/>
        <w:keepNext w:val="0"/>
        <w:keepLines w:val="0"/>
        <w:jc w:val="center"/>
        <w:rPr>
          <w:rFonts w:hAnsi="宋体" w:cs="黑体"/>
          <w:color w:val="auto"/>
          <w:sz w:val="30"/>
          <w:szCs w:val="30"/>
          <w:highlight w:val="none"/>
        </w:rPr>
      </w:pPr>
    </w:p>
    <w:p w14:paraId="4623B1A0">
      <w:pPr>
        <w:pStyle w:val="2"/>
        <w:keepNext w:val="0"/>
        <w:keepLines w:val="0"/>
        <w:jc w:val="center"/>
        <w:rPr>
          <w:rFonts w:hAnsi="宋体" w:cs="黑体"/>
          <w:color w:val="auto"/>
          <w:sz w:val="30"/>
          <w:szCs w:val="30"/>
          <w:highlight w:val="none"/>
        </w:rPr>
      </w:pPr>
    </w:p>
    <w:p w14:paraId="5DD81BB2">
      <w:pPr>
        <w:pStyle w:val="2"/>
        <w:keepNext w:val="0"/>
        <w:keepLines w:val="0"/>
        <w:jc w:val="center"/>
        <w:rPr>
          <w:rFonts w:hAnsi="宋体" w:cs="黑体"/>
          <w:color w:val="auto"/>
          <w:sz w:val="30"/>
          <w:szCs w:val="30"/>
          <w:highlight w:val="none"/>
        </w:rPr>
      </w:pPr>
    </w:p>
    <w:p w14:paraId="43FB0A43">
      <w:pPr>
        <w:pStyle w:val="2"/>
        <w:keepNext w:val="0"/>
        <w:keepLines w:val="0"/>
        <w:jc w:val="center"/>
        <w:rPr>
          <w:rFonts w:hAnsi="宋体" w:cs="黑体"/>
          <w:color w:val="auto"/>
          <w:sz w:val="30"/>
          <w:szCs w:val="30"/>
          <w:highlight w:val="none"/>
        </w:rPr>
      </w:pPr>
    </w:p>
    <w:p w14:paraId="2DF3B145">
      <w:pPr>
        <w:rPr>
          <w:rFonts w:hAnsi="宋体" w:cs="黑体"/>
          <w:color w:val="auto"/>
          <w:sz w:val="30"/>
          <w:szCs w:val="30"/>
          <w:highlight w:val="none"/>
        </w:rPr>
      </w:pPr>
    </w:p>
    <w:p w14:paraId="5C20D6E7">
      <w:pPr>
        <w:pStyle w:val="2"/>
        <w:keepNext w:val="0"/>
        <w:keepLines w:val="0"/>
        <w:jc w:val="center"/>
        <w:rPr>
          <w:rFonts w:hAnsi="宋体"/>
          <w:color w:val="auto"/>
          <w:sz w:val="30"/>
          <w:szCs w:val="30"/>
          <w:highlight w:val="none"/>
        </w:rPr>
      </w:pPr>
      <w:r>
        <w:rPr>
          <w:rFonts w:hint="eastAsia" w:hAnsi="宋体" w:cs="黑体"/>
          <w:color w:val="auto"/>
          <w:sz w:val="40"/>
          <w:szCs w:val="40"/>
          <w:highlight w:val="none"/>
        </w:rPr>
        <w:t>第三部分</w:t>
      </w:r>
      <w:r>
        <w:rPr>
          <w:color w:val="auto"/>
          <w:sz w:val="40"/>
          <w:szCs w:val="40"/>
          <w:highlight w:val="none"/>
        </w:rPr>
        <w:t xml:space="preserve"> </w:t>
      </w:r>
      <w:r>
        <w:rPr>
          <w:rFonts w:hint="eastAsia" w:hAnsi="宋体" w:cs="黑体"/>
          <w:color w:val="auto"/>
          <w:sz w:val="40"/>
          <w:szCs w:val="40"/>
          <w:highlight w:val="none"/>
        </w:rPr>
        <w:t>专用合同条款</w:t>
      </w:r>
      <w:bookmarkEnd w:id="136"/>
      <w:bookmarkEnd w:id="137"/>
      <w:bookmarkEnd w:id="138"/>
      <w:bookmarkEnd w:id="139"/>
      <w:bookmarkEnd w:id="140"/>
      <w:bookmarkEnd w:id="141"/>
      <w:bookmarkEnd w:id="142"/>
    </w:p>
    <w:p w14:paraId="2411367C">
      <w:pPr>
        <w:rPr>
          <w:color w:val="auto"/>
          <w:sz w:val="20"/>
          <w:highlight w:val="none"/>
        </w:rPr>
      </w:pPr>
    </w:p>
    <w:p w14:paraId="6BA96124">
      <w:pPr>
        <w:pStyle w:val="3"/>
        <w:rPr>
          <w:rFonts w:ascii="宋体" w:hAnsi="宋体" w:cs="宋体"/>
          <w:color w:val="auto"/>
          <w:highlight w:val="none"/>
        </w:rPr>
      </w:pPr>
      <w:bookmarkStart w:id="571" w:name="_Toc1013968286"/>
      <w:bookmarkStart w:id="572" w:name="_Toc373227692"/>
      <w:bookmarkStart w:id="573" w:name="_Toc407135194"/>
      <w:bookmarkStart w:id="574" w:name="_Toc373478339"/>
      <w:bookmarkStart w:id="575" w:name="_Toc1516097295"/>
      <w:bookmarkStart w:id="576" w:name="_Toc389065258"/>
      <w:bookmarkStart w:id="577" w:name="_Toc78449780"/>
      <w:bookmarkStart w:id="578" w:name="_Toc351203633"/>
      <w:r>
        <w:rPr>
          <w:rFonts w:hint="eastAsia" w:ascii="宋体" w:hAnsi="宋体" w:cs="宋体"/>
          <w:color w:val="auto"/>
          <w:highlight w:val="none"/>
        </w:rPr>
        <w:t>1</w:t>
      </w:r>
      <w:bookmarkStart w:id="579" w:name="_Toc296503156"/>
      <w:bookmarkStart w:id="580" w:name="_Toc297120456"/>
      <w:bookmarkStart w:id="581" w:name="_Toc292559361"/>
      <w:bookmarkStart w:id="582" w:name="_Toc296891196"/>
      <w:bookmarkStart w:id="583" w:name="_Toc296347155"/>
      <w:bookmarkStart w:id="584" w:name="_Toc296346657"/>
      <w:bookmarkStart w:id="585" w:name="_Toc296890984"/>
      <w:bookmarkStart w:id="586" w:name="_Toc292559866"/>
      <w:bookmarkStart w:id="587" w:name="_Toc297048342"/>
      <w:bookmarkStart w:id="588" w:name="_Toc296944495"/>
      <w:r>
        <w:rPr>
          <w:rFonts w:hint="eastAsia" w:ascii="宋体" w:hAnsi="宋体" w:cs="宋体"/>
          <w:color w:val="auto"/>
          <w:highlight w:val="none"/>
        </w:rPr>
        <w:t>. 一般约定</w:t>
      </w:r>
      <w:bookmarkEnd w:id="571"/>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p w14:paraId="799733AF">
      <w:pPr>
        <w:pStyle w:val="4"/>
        <w:rPr>
          <w:rFonts w:ascii="宋体" w:hAnsi="宋体" w:cs="宋体"/>
          <w:color w:val="auto"/>
          <w:highlight w:val="none"/>
        </w:rPr>
      </w:pPr>
      <w:bookmarkStart w:id="589" w:name="_Toc1618220701"/>
      <w:bookmarkStart w:id="590" w:name="_Toc389065259"/>
      <w:bookmarkStart w:id="591" w:name="_Toc407135195"/>
      <w:bookmarkStart w:id="592" w:name="_Toc78449781"/>
      <w:bookmarkStart w:id="593" w:name="_Toc373478340"/>
      <w:bookmarkStart w:id="594" w:name="_Toc155697041"/>
      <w:bookmarkStart w:id="595" w:name="_Toc373227693"/>
      <w:r>
        <w:rPr>
          <w:rFonts w:hint="eastAsia" w:ascii="宋体" w:hAnsi="宋体" w:cs="宋体"/>
          <w:color w:val="auto"/>
          <w:highlight w:val="none"/>
        </w:rPr>
        <w:t>1.1 词语定义</w:t>
      </w:r>
      <w:bookmarkEnd w:id="589"/>
      <w:bookmarkEnd w:id="590"/>
      <w:bookmarkEnd w:id="591"/>
      <w:bookmarkEnd w:id="592"/>
      <w:bookmarkEnd w:id="593"/>
      <w:bookmarkEnd w:id="594"/>
      <w:bookmarkEnd w:id="595"/>
    </w:p>
    <w:p w14:paraId="79B2F3E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 合同</w:t>
      </w:r>
    </w:p>
    <w:p w14:paraId="3709EC76">
      <w:pPr>
        <w:pStyle w:val="11"/>
        <w:spacing w:before="157" w:line="359" w:lineRule="auto"/>
        <w:rPr>
          <w:rFonts w:ascii="宋体" w:hAnsi="宋体" w:cs="宋体"/>
          <w:color w:val="auto"/>
          <w:kern w:val="0"/>
          <w:highlight w:val="none"/>
        </w:rPr>
      </w:pPr>
      <w:r>
        <w:rPr>
          <w:rFonts w:hint="eastAsia" w:ascii="宋体" w:hAnsi="宋体" w:cs="宋体"/>
          <w:color w:val="auto"/>
          <w:kern w:val="0"/>
          <w:highlight w:val="none"/>
        </w:rPr>
        <w:t>1.1.1.10 其他合同文件包括：</w:t>
      </w:r>
      <w:r>
        <w:rPr>
          <w:rFonts w:hint="eastAsia" w:ascii="宋体" w:hAnsi="宋体" w:cs="宋体"/>
          <w:color w:val="auto"/>
          <w:spacing w:val="2"/>
          <w:szCs w:val="21"/>
          <w:highlight w:val="none"/>
          <w:u w:val="single"/>
        </w:rPr>
        <w:t>双方约定的与工程施工有关的具有合同约束力的文件或书</w:t>
      </w:r>
      <w:r>
        <w:rPr>
          <w:rFonts w:hint="eastAsia" w:ascii="宋体" w:hAnsi="宋体" w:cs="宋体"/>
          <w:color w:val="auto"/>
          <w:szCs w:val="21"/>
          <w:highlight w:val="none"/>
          <w:u w:val="single"/>
        </w:rPr>
        <w:t>面协议</w:t>
      </w:r>
      <w:r>
        <w:rPr>
          <w:rFonts w:hint="eastAsia" w:ascii="宋体" w:hAnsi="宋体" w:cs="宋体"/>
          <w:color w:val="auto"/>
          <w:highlight w:val="none"/>
        </w:rPr>
        <w:t>。</w:t>
      </w:r>
    </w:p>
    <w:p w14:paraId="43D661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合同当事人及其他相关方</w:t>
      </w:r>
    </w:p>
    <w:p w14:paraId="7BAB853D">
      <w:pPr>
        <w:spacing w:line="360" w:lineRule="auto"/>
        <w:ind w:firstLine="420" w:firstLineChars="200"/>
        <w:outlineLvl w:val="0"/>
        <w:rPr>
          <w:rFonts w:ascii="宋体" w:hAnsi="宋体" w:cs="宋体"/>
          <w:color w:val="auto"/>
          <w:highlight w:val="none"/>
        </w:rPr>
      </w:pPr>
      <w:r>
        <w:rPr>
          <w:rFonts w:hint="eastAsia" w:ascii="宋体" w:hAnsi="宋体" w:cs="宋体"/>
          <w:color w:val="auto"/>
          <w:highlight w:val="none"/>
        </w:rPr>
        <w:t>1.1.2.4 监理人：</w:t>
      </w:r>
    </w:p>
    <w:p w14:paraId="20DC5C5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发包人安排并通知到位 </w:t>
      </w:r>
      <w:r>
        <w:rPr>
          <w:rFonts w:hint="eastAsia" w:ascii="宋体" w:hAnsi="宋体" w:cs="宋体"/>
          <w:color w:val="auto"/>
          <w:highlight w:val="none"/>
        </w:rPr>
        <w:t>；</w:t>
      </w:r>
    </w:p>
    <w:p w14:paraId="08252B1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spacing w:val="13"/>
          <w:highlight w:val="none"/>
          <w:u w:val="single"/>
        </w:rPr>
        <w:t>详见监理合同</w:t>
      </w:r>
      <w:r>
        <w:rPr>
          <w:rFonts w:hint="eastAsia" w:ascii="宋体" w:hAnsi="宋体" w:cs="宋体"/>
          <w:color w:val="auto"/>
          <w:highlight w:val="none"/>
        </w:rPr>
        <w:t>；</w:t>
      </w:r>
    </w:p>
    <w:p w14:paraId="175453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pacing w:val="13"/>
          <w:highlight w:val="none"/>
          <w:u w:val="single"/>
        </w:rPr>
        <w:t>详见监理合同</w:t>
      </w:r>
      <w:r>
        <w:rPr>
          <w:rFonts w:hint="eastAsia" w:ascii="宋体" w:hAnsi="宋体" w:cs="宋体"/>
          <w:color w:val="auto"/>
          <w:highlight w:val="none"/>
        </w:rPr>
        <w:t>；</w:t>
      </w:r>
    </w:p>
    <w:p w14:paraId="4BD4DA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spacing w:val="13"/>
          <w:highlight w:val="none"/>
          <w:u w:val="single"/>
        </w:rPr>
        <w:t>详见监理合同</w:t>
      </w:r>
      <w:r>
        <w:rPr>
          <w:rFonts w:hint="eastAsia" w:ascii="宋体" w:hAnsi="宋体" w:cs="宋体"/>
          <w:color w:val="auto"/>
          <w:highlight w:val="none"/>
        </w:rPr>
        <w:t>；</w:t>
      </w:r>
    </w:p>
    <w:p w14:paraId="4FE1A3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spacing w:val="13"/>
          <w:highlight w:val="none"/>
          <w:u w:val="single"/>
        </w:rPr>
        <w:t>详见监理合同</w:t>
      </w:r>
      <w:r>
        <w:rPr>
          <w:rFonts w:hint="eastAsia" w:ascii="宋体" w:hAnsi="宋体" w:cs="宋体"/>
          <w:color w:val="auto"/>
          <w:highlight w:val="none"/>
        </w:rPr>
        <w:t>。</w:t>
      </w:r>
    </w:p>
    <w:p w14:paraId="4BB7A99D">
      <w:pPr>
        <w:spacing w:line="360" w:lineRule="auto"/>
        <w:ind w:firstLine="420" w:firstLineChars="200"/>
        <w:outlineLvl w:val="0"/>
        <w:rPr>
          <w:rFonts w:ascii="宋体" w:hAnsi="宋体" w:cs="宋体"/>
          <w:color w:val="auto"/>
          <w:highlight w:val="none"/>
        </w:rPr>
      </w:pPr>
      <w:r>
        <w:rPr>
          <w:rFonts w:hint="eastAsia" w:ascii="宋体" w:hAnsi="宋体" w:cs="宋体"/>
          <w:color w:val="auto"/>
          <w:highlight w:val="none"/>
        </w:rPr>
        <w:t>1.1.2.5 设计人：</w:t>
      </w:r>
    </w:p>
    <w:p w14:paraId="12E37D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发包人安排并通知到位 </w:t>
      </w:r>
      <w:r>
        <w:rPr>
          <w:rFonts w:hint="eastAsia" w:ascii="宋体" w:hAnsi="宋体" w:cs="宋体"/>
          <w:color w:val="auto"/>
          <w:highlight w:val="none"/>
        </w:rPr>
        <w:t>；</w:t>
      </w:r>
    </w:p>
    <w:p w14:paraId="405ED5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spacing w:val="37"/>
          <w:highlight w:val="none"/>
          <w:u w:val="single"/>
        </w:rPr>
        <w:t>详见设计合同</w:t>
      </w:r>
      <w:r>
        <w:rPr>
          <w:rFonts w:hint="eastAsia" w:ascii="宋体" w:hAnsi="宋体" w:cs="宋体"/>
          <w:color w:val="auto"/>
          <w:highlight w:val="none"/>
        </w:rPr>
        <w:t>；</w:t>
      </w:r>
    </w:p>
    <w:p w14:paraId="7FDE01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pacing w:val="37"/>
          <w:highlight w:val="none"/>
          <w:u w:val="single"/>
        </w:rPr>
        <w:t>详见设计合同</w:t>
      </w:r>
      <w:r>
        <w:rPr>
          <w:rFonts w:hint="eastAsia" w:ascii="宋体" w:hAnsi="宋体" w:cs="宋体"/>
          <w:color w:val="auto"/>
          <w:highlight w:val="none"/>
        </w:rPr>
        <w:t>；</w:t>
      </w:r>
    </w:p>
    <w:p w14:paraId="7B508E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spacing w:val="37"/>
          <w:highlight w:val="none"/>
          <w:u w:val="single"/>
        </w:rPr>
        <w:t>详见设计合同</w:t>
      </w:r>
      <w:r>
        <w:rPr>
          <w:rFonts w:hint="eastAsia" w:ascii="宋体" w:hAnsi="宋体" w:cs="宋体"/>
          <w:color w:val="auto"/>
          <w:highlight w:val="none"/>
        </w:rPr>
        <w:t>；</w:t>
      </w:r>
    </w:p>
    <w:p w14:paraId="7A884B3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spacing w:val="37"/>
          <w:highlight w:val="none"/>
          <w:u w:val="single"/>
        </w:rPr>
        <w:t>详见设计合同</w:t>
      </w:r>
      <w:r>
        <w:rPr>
          <w:rFonts w:hint="eastAsia" w:ascii="宋体" w:hAnsi="宋体" w:cs="宋体"/>
          <w:color w:val="auto"/>
          <w:highlight w:val="none"/>
        </w:rPr>
        <w:t>。</w:t>
      </w:r>
    </w:p>
    <w:p w14:paraId="31D122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工程和设备</w:t>
      </w:r>
    </w:p>
    <w:p w14:paraId="3AB2D774">
      <w:pPr>
        <w:spacing w:line="360" w:lineRule="auto"/>
        <w:ind w:firstLine="420" w:firstLineChars="200"/>
        <w:outlineLvl w:val="0"/>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指用于合同工程施工的场所，以及在合同中指定作为施工场地组成部分的其他场所，包括永久占地和临时占地</w:t>
      </w:r>
      <w:r>
        <w:rPr>
          <w:rFonts w:hint="eastAsia" w:ascii="宋体" w:hAnsi="宋体" w:cs="宋体"/>
          <w:color w:val="auto"/>
          <w:highlight w:val="none"/>
        </w:rPr>
        <w:t>。</w:t>
      </w:r>
    </w:p>
    <w:p w14:paraId="76C48C6A">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kern w:val="0"/>
          <w:highlight w:val="none"/>
          <w:u w:val="single"/>
        </w:rPr>
        <w:t>依据选址图、设计图纸或其他文件规定的范围</w:t>
      </w:r>
      <w:r>
        <w:rPr>
          <w:rFonts w:hint="eastAsia" w:ascii="宋体" w:hAnsi="宋体" w:cs="宋体"/>
          <w:color w:val="auto"/>
          <w:kern w:val="0"/>
          <w:highlight w:val="none"/>
        </w:rPr>
        <w:t>。</w:t>
      </w:r>
    </w:p>
    <w:p w14:paraId="1C191B6F">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kern w:val="0"/>
          <w:highlight w:val="none"/>
          <w:u w:val="single"/>
        </w:rPr>
        <w:t>根据施工现场双方约定</w:t>
      </w:r>
      <w:r>
        <w:rPr>
          <w:rFonts w:hint="eastAsia" w:ascii="宋体" w:hAnsi="宋体" w:cs="宋体"/>
          <w:color w:val="auto"/>
          <w:kern w:val="0"/>
          <w:highlight w:val="none"/>
        </w:rPr>
        <w:t>。</w:t>
      </w:r>
    </w:p>
    <w:p w14:paraId="2F9993ED">
      <w:pPr>
        <w:pStyle w:val="4"/>
        <w:rPr>
          <w:rFonts w:ascii="宋体" w:hAnsi="宋体" w:cs="宋体"/>
          <w:color w:val="auto"/>
          <w:highlight w:val="none"/>
        </w:rPr>
      </w:pPr>
      <w:bookmarkStart w:id="596" w:name="_Toc373478341"/>
      <w:bookmarkStart w:id="597" w:name="_Toc78449782"/>
      <w:bookmarkStart w:id="598" w:name="_Toc1182598796"/>
      <w:bookmarkStart w:id="599" w:name="_Toc407135196"/>
      <w:bookmarkStart w:id="600" w:name="_Toc389065260"/>
      <w:bookmarkStart w:id="601" w:name="_Toc373227694"/>
      <w:bookmarkStart w:id="602" w:name="_Toc1162259329"/>
      <w:r>
        <w:rPr>
          <w:rFonts w:hint="eastAsia" w:ascii="宋体" w:hAnsi="宋体" w:cs="宋体"/>
          <w:color w:val="auto"/>
          <w:highlight w:val="none"/>
        </w:rPr>
        <w:t>1.3 法律</w:t>
      </w:r>
      <w:bookmarkEnd w:id="596"/>
      <w:bookmarkEnd w:id="597"/>
      <w:bookmarkEnd w:id="598"/>
      <w:bookmarkEnd w:id="599"/>
      <w:bookmarkEnd w:id="600"/>
      <w:bookmarkEnd w:id="601"/>
      <w:bookmarkEnd w:id="602"/>
    </w:p>
    <w:p w14:paraId="61374727">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适用于合同的其他规范性文件： 《建筑法》、《招投标法》、《民法典》、《建筑工程质量管理条例》、本地区的行业标准或规范等</w:t>
      </w:r>
      <w:r>
        <w:rPr>
          <w:rFonts w:hint="eastAsia" w:ascii="宋体" w:hAnsi="宋体" w:cs="宋体"/>
          <w:color w:val="auto"/>
          <w:highlight w:val="none"/>
        </w:rPr>
        <w:t>。</w:t>
      </w:r>
    </w:p>
    <w:p w14:paraId="21511D74">
      <w:pPr>
        <w:pStyle w:val="4"/>
        <w:rPr>
          <w:rFonts w:ascii="宋体" w:hAnsi="宋体" w:cs="宋体"/>
          <w:color w:val="auto"/>
          <w:highlight w:val="none"/>
        </w:rPr>
      </w:pPr>
      <w:bookmarkStart w:id="603" w:name="_Toc1694357896"/>
      <w:bookmarkStart w:id="604" w:name="_Toc1569433547"/>
      <w:bookmarkStart w:id="605" w:name="_Toc78449783"/>
      <w:bookmarkStart w:id="606" w:name="_Toc407135197"/>
      <w:bookmarkStart w:id="607" w:name="_Toc373478342"/>
      <w:bookmarkStart w:id="608" w:name="_Toc389065261"/>
      <w:bookmarkStart w:id="609" w:name="_Toc373227695"/>
      <w:r>
        <w:rPr>
          <w:rFonts w:hint="eastAsia" w:ascii="宋体" w:hAnsi="宋体" w:cs="宋体"/>
          <w:color w:val="auto"/>
          <w:highlight w:val="none"/>
        </w:rPr>
        <w:t>1.4 标准和规范</w:t>
      </w:r>
      <w:bookmarkEnd w:id="603"/>
      <w:bookmarkEnd w:id="604"/>
      <w:bookmarkEnd w:id="605"/>
      <w:bookmarkEnd w:id="606"/>
      <w:bookmarkEnd w:id="607"/>
      <w:bookmarkEnd w:id="608"/>
      <w:bookmarkEnd w:id="609"/>
    </w:p>
    <w:p w14:paraId="66E8E8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1.4.1 适用于工程的标准规范包括：</w:t>
      </w:r>
      <w:r>
        <w:rPr>
          <w:rFonts w:hint="eastAsia" w:ascii="宋体" w:hAnsi="宋体" w:cs="宋体"/>
          <w:color w:val="auto"/>
          <w:highlight w:val="none"/>
          <w:u w:val="single"/>
        </w:rPr>
        <w:t>《建筑工程施工质理验收统一标准》、《建筑工程管理条例》等与本工程施工、验收相关的规范</w:t>
      </w:r>
      <w:r>
        <w:rPr>
          <w:rFonts w:hint="eastAsia" w:ascii="宋体" w:hAnsi="宋体" w:cs="宋体"/>
          <w:color w:val="auto"/>
          <w:highlight w:val="none"/>
        </w:rPr>
        <w:t>。</w:t>
      </w:r>
    </w:p>
    <w:p w14:paraId="29043CE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1.4.2 发包人提供国外标准、规范的名称：</w:t>
      </w:r>
      <w:r>
        <w:rPr>
          <w:rFonts w:hint="eastAsia" w:ascii="宋体" w:hAnsi="宋体" w:cs="宋体"/>
          <w:color w:val="auto"/>
          <w:highlight w:val="none"/>
          <w:u w:val="single"/>
        </w:rPr>
        <w:t>无</w:t>
      </w:r>
      <w:r>
        <w:rPr>
          <w:rFonts w:hint="eastAsia" w:ascii="宋体" w:hAnsi="宋体" w:cs="宋体"/>
          <w:color w:val="auto"/>
          <w:highlight w:val="none"/>
        </w:rPr>
        <w:t>；</w:t>
      </w:r>
    </w:p>
    <w:p w14:paraId="4C69FAB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4CAB1934">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发包人提供国外标准、规范的名称：</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00F013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1.4.3 发包人对工程的技术标准和功能要求的特殊要求： </w:t>
      </w:r>
      <w:r>
        <w:rPr>
          <w:rFonts w:hint="eastAsia" w:ascii="宋体" w:hAnsi="宋体" w:cs="宋体"/>
          <w:color w:val="auto"/>
          <w:highlight w:val="none"/>
          <w:u w:val="single"/>
        </w:rPr>
        <w:t>施工图纸、涉及本工程的施工及验收规范等</w:t>
      </w:r>
      <w:r>
        <w:rPr>
          <w:rFonts w:hint="eastAsia" w:ascii="宋体" w:hAnsi="宋体" w:cs="宋体"/>
          <w:color w:val="auto"/>
          <w:highlight w:val="none"/>
        </w:rPr>
        <w:t>。</w:t>
      </w:r>
    </w:p>
    <w:p w14:paraId="252D7E30">
      <w:pPr>
        <w:pStyle w:val="4"/>
        <w:rPr>
          <w:rFonts w:ascii="宋体" w:hAnsi="宋体" w:cs="宋体"/>
          <w:color w:val="auto"/>
          <w:highlight w:val="none"/>
        </w:rPr>
      </w:pPr>
      <w:bookmarkStart w:id="610" w:name="_Toc373478343"/>
      <w:bookmarkStart w:id="611" w:name="_Toc407135198"/>
      <w:bookmarkStart w:id="612" w:name="_Toc188277238"/>
      <w:bookmarkStart w:id="613" w:name="_Toc24431861"/>
      <w:bookmarkStart w:id="614" w:name="_Toc389065262"/>
      <w:bookmarkStart w:id="615" w:name="_Toc373227696"/>
      <w:bookmarkStart w:id="616" w:name="_Toc78449784"/>
      <w:r>
        <w:rPr>
          <w:rFonts w:hint="eastAsia" w:ascii="宋体" w:hAnsi="宋体" w:cs="宋体"/>
          <w:color w:val="auto"/>
          <w:highlight w:val="none"/>
        </w:rPr>
        <w:t>1.5 合同文件的优先顺序</w:t>
      </w:r>
      <w:bookmarkEnd w:id="610"/>
      <w:bookmarkEnd w:id="611"/>
      <w:bookmarkEnd w:id="612"/>
      <w:bookmarkEnd w:id="613"/>
      <w:bookmarkEnd w:id="614"/>
      <w:bookmarkEnd w:id="615"/>
      <w:bookmarkEnd w:id="616"/>
    </w:p>
    <w:p w14:paraId="26FECE2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（1）合同协议书；</w:t>
      </w:r>
    </w:p>
    <w:p w14:paraId="5740A803">
      <w:pPr>
        <w:spacing w:line="360" w:lineRule="auto"/>
        <w:ind w:firstLine="420" w:firstLineChars="200"/>
        <w:rPr>
          <w:rFonts w:ascii="宋体" w:hAnsi="宋体" w:cs="宋体"/>
          <w:color w:val="auto"/>
          <w:kern w:val="0"/>
          <w:highlight w:val="none"/>
        </w:rPr>
      </w:pPr>
      <w:bookmarkStart w:id="617" w:name="bookmark916"/>
      <w:bookmarkEnd w:id="617"/>
      <w:r>
        <w:rPr>
          <w:rFonts w:hint="eastAsia" w:ascii="宋体" w:hAnsi="宋体" w:cs="宋体"/>
          <w:color w:val="auto"/>
          <w:kern w:val="0"/>
          <w:highlight w:val="none"/>
        </w:rPr>
        <w:t>（2）专用合同条款；</w:t>
      </w:r>
    </w:p>
    <w:p w14:paraId="6991AFBD">
      <w:pPr>
        <w:spacing w:line="360" w:lineRule="auto"/>
        <w:ind w:firstLine="420" w:firstLineChars="200"/>
        <w:rPr>
          <w:rFonts w:ascii="宋体" w:hAnsi="宋体" w:cs="宋体"/>
          <w:color w:val="auto"/>
          <w:kern w:val="0"/>
          <w:highlight w:val="none"/>
        </w:rPr>
      </w:pPr>
      <w:bookmarkStart w:id="618" w:name="bookmark917"/>
      <w:bookmarkEnd w:id="618"/>
      <w:r>
        <w:rPr>
          <w:rFonts w:hint="eastAsia" w:ascii="宋体" w:hAnsi="宋体" w:cs="宋体"/>
          <w:color w:val="auto"/>
          <w:kern w:val="0"/>
          <w:highlight w:val="none"/>
        </w:rPr>
        <w:t>（3）通用合同条款；</w:t>
      </w:r>
    </w:p>
    <w:p w14:paraId="59278329">
      <w:pPr>
        <w:spacing w:line="360" w:lineRule="auto"/>
        <w:ind w:firstLine="420" w:firstLineChars="200"/>
        <w:rPr>
          <w:rFonts w:ascii="宋体" w:hAnsi="宋体" w:cs="宋体"/>
          <w:color w:val="auto"/>
          <w:kern w:val="0"/>
          <w:highlight w:val="none"/>
        </w:rPr>
      </w:pPr>
      <w:bookmarkStart w:id="619" w:name="bookmark918"/>
      <w:bookmarkEnd w:id="619"/>
      <w:r>
        <w:rPr>
          <w:rFonts w:hint="eastAsia" w:ascii="宋体" w:hAnsi="宋体" w:cs="宋体"/>
          <w:color w:val="auto"/>
          <w:kern w:val="0"/>
          <w:highlight w:val="none"/>
        </w:rPr>
        <w:t>（4）技术标准和要求；</w:t>
      </w:r>
    </w:p>
    <w:p w14:paraId="54485B3F">
      <w:pPr>
        <w:spacing w:line="360" w:lineRule="auto"/>
        <w:ind w:firstLine="420" w:firstLineChars="200"/>
        <w:rPr>
          <w:rFonts w:ascii="宋体" w:hAnsi="宋体" w:cs="宋体"/>
          <w:color w:val="auto"/>
          <w:kern w:val="0"/>
          <w:highlight w:val="none"/>
        </w:rPr>
      </w:pPr>
      <w:bookmarkStart w:id="620" w:name="bookmark919"/>
      <w:bookmarkEnd w:id="620"/>
      <w:r>
        <w:rPr>
          <w:rFonts w:hint="eastAsia" w:ascii="宋体" w:hAnsi="宋体" w:cs="宋体"/>
          <w:color w:val="auto"/>
          <w:kern w:val="0"/>
          <w:highlight w:val="none"/>
        </w:rPr>
        <w:t>（5）已标价工程量清单；</w:t>
      </w:r>
    </w:p>
    <w:p w14:paraId="5F1462DD">
      <w:pPr>
        <w:spacing w:line="360" w:lineRule="auto"/>
        <w:ind w:firstLine="420" w:firstLineChars="200"/>
        <w:rPr>
          <w:rFonts w:ascii="宋体" w:hAnsi="宋体" w:cs="宋体"/>
          <w:color w:val="auto"/>
          <w:kern w:val="0"/>
          <w:highlight w:val="none"/>
        </w:rPr>
      </w:pPr>
      <w:bookmarkStart w:id="621" w:name="bookmark920"/>
      <w:bookmarkEnd w:id="621"/>
      <w:r>
        <w:rPr>
          <w:rFonts w:hint="eastAsia" w:ascii="宋体" w:hAnsi="宋体" w:cs="宋体"/>
          <w:color w:val="auto"/>
          <w:kern w:val="0"/>
          <w:highlight w:val="none"/>
        </w:rPr>
        <w:t>（6）图纸；</w:t>
      </w:r>
    </w:p>
    <w:p w14:paraId="33314432">
      <w:pPr>
        <w:spacing w:line="360" w:lineRule="auto"/>
        <w:ind w:firstLine="420" w:firstLineChars="200"/>
        <w:rPr>
          <w:rFonts w:ascii="宋体" w:hAnsi="宋体" w:cs="宋体"/>
          <w:color w:val="auto"/>
          <w:kern w:val="0"/>
          <w:highlight w:val="none"/>
        </w:rPr>
      </w:pPr>
      <w:bookmarkStart w:id="622" w:name="bookmark921"/>
      <w:bookmarkEnd w:id="622"/>
      <w:r>
        <w:rPr>
          <w:rFonts w:hint="eastAsia" w:ascii="宋体" w:hAnsi="宋体" w:cs="宋体"/>
          <w:color w:val="auto"/>
          <w:kern w:val="0"/>
          <w:highlight w:val="none"/>
        </w:rPr>
        <w:t>（7）其他合同文件；</w:t>
      </w:r>
    </w:p>
    <w:p w14:paraId="6F72330F">
      <w:pPr>
        <w:spacing w:line="360" w:lineRule="auto"/>
        <w:ind w:firstLine="420" w:firstLineChars="200"/>
        <w:jc w:val="left"/>
        <w:rPr>
          <w:rFonts w:ascii="宋体" w:hAnsi="宋体" w:cs="宋体"/>
          <w:color w:val="auto"/>
          <w:kern w:val="0"/>
          <w:highlight w:val="none"/>
        </w:rPr>
      </w:pPr>
      <w:bookmarkStart w:id="623" w:name="bookmark922"/>
      <w:bookmarkEnd w:id="623"/>
      <w:r>
        <w:rPr>
          <w:rFonts w:hint="eastAsia" w:ascii="宋体" w:hAnsi="宋体" w:cs="宋体"/>
          <w:color w:val="auto"/>
          <w:kern w:val="0"/>
          <w:highlight w:val="none"/>
        </w:rPr>
        <w:t>（8）《建设工程工程量清单计价规范（GB5050-2013）》及其广西实施细则及《关于建筑业实施营业税改征增值税后广西壮族自治区建设工程计价依据调整的通知》（桂建标〔2016〕17 号）、《建设工程工程量清单计算规范（GB5854~50862-2013）》及其广西实施细则（修订本） (适用于实行工程量清单计价的项目) ；</w:t>
      </w:r>
    </w:p>
    <w:p w14:paraId="57CEE33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ACB2887">
      <w:pPr>
        <w:pStyle w:val="4"/>
        <w:rPr>
          <w:rFonts w:ascii="宋体" w:hAnsi="宋体" w:cs="宋体"/>
          <w:color w:val="auto"/>
          <w:highlight w:val="none"/>
        </w:rPr>
      </w:pPr>
      <w:bookmarkStart w:id="624" w:name="_Toc78449785"/>
      <w:bookmarkStart w:id="625" w:name="_Toc389065263"/>
      <w:bookmarkStart w:id="626" w:name="_Toc407135199"/>
      <w:bookmarkStart w:id="627" w:name="_Toc373478344"/>
      <w:bookmarkStart w:id="628" w:name="_Toc1537247101"/>
      <w:bookmarkStart w:id="629" w:name="_Toc373227697"/>
      <w:bookmarkStart w:id="630" w:name="_Toc1531480704"/>
      <w:r>
        <w:rPr>
          <w:rFonts w:hint="eastAsia" w:ascii="宋体" w:hAnsi="宋体" w:cs="宋体"/>
          <w:color w:val="auto"/>
          <w:highlight w:val="none"/>
        </w:rPr>
        <w:t>1.6 图纸和承包人文件</w:t>
      </w:r>
      <w:bookmarkEnd w:id="624"/>
      <w:bookmarkEnd w:id="625"/>
      <w:bookmarkEnd w:id="626"/>
      <w:bookmarkEnd w:id="627"/>
      <w:bookmarkEnd w:id="628"/>
      <w:bookmarkEnd w:id="629"/>
      <w:bookmarkEnd w:id="630"/>
      <w:r>
        <w:rPr>
          <w:rFonts w:hint="eastAsia" w:ascii="宋体" w:hAnsi="宋体" w:cs="宋体"/>
          <w:color w:val="auto"/>
          <w:highlight w:val="none"/>
        </w:rPr>
        <w:tab/>
      </w:r>
    </w:p>
    <w:p w14:paraId="2666E4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1.6.1 图纸的提供</w:t>
      </w:r>
    </w:p>
    <w:p w14:paraId="78DCCD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szCs w:val="21"/>
          <w:highlight w:val="none"/>
          <w:u w:val="single"/>
        </w:rPr>
        <w:t>合同生效后5日内</w:t>
      </w:r>
      <w:r>
        <w:rPr>
          <w:rFonts w:hint="eastAsia" w:ascii="宋体" w:hAnsi="宋体" w:cs="宋体"/>
          <w:color w:val="auto"/>
          <w:highlight w:val="none"/>
        </w:rPr>
        <w:t>；</w:t>
      </w:r>
    </w:p>
    <w:p w14:paraId="4C24F2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一式2</w:t>
      </w:r>
      <w:r>
        <w:rPr>
          <w:rFonts w:hint="eastAsia" w:ascii="宋体" w:hAnsi="宋体" w:cs="宋体"/>
          <w:color w:val="auto"/>
          <w:highlight w:val="none"/>
        </w:rPr>
        <w:t>套（承包人需要增加图纸套数的，发包人应代为复制，复制费用由承包人承担）；</w:t>
      </w:r>
    </w:p>
    <w:p w14:paraId="7E737D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详见施工图纸</w:t>
      </w:r>
      <w:r>
        <w:rPr>
          <w:rFonts w:hint="eastAsia" w:ascii="宋体" w:hAnsi="宋体" w:cs="宋体"/>
          <w:color w:val="auto"/>
          <w:highlight w:val="none"/>
        </w:rPr>
        <w:t>。</w:t>
      </w:r>
    </w:p>
    <w:p w14:paraId="467CEF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1.6.4 承包人文件</w:t>
      </w:r>
    </w:p>
    <w:p w14:paraId="4B6242A8">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除专用合同条款约定的由承包人提供的设计文件外，本项约定的其他应由承包人提供的文件，包括必要的加工图和大样图，均不是合同计量与支付的依据文件。由承包人提供的文件范围：工程建设项目竣工验收前，承包人应根据合同工作内容要求， 分别整理竣工验收资料（含竣工图），汇总为完整的建设项目竣工资料报发包人（费用由承包人负责）</w:t>
      </w:r>
      <w:r>
        <w:rPr>
          <w:rFonts w:hint="eastAsia" w:ascii="宋体" w:hAnsi="宋体" w:cs="宋体"/>
          <w:color w:val="auto"/>
          <w:highlight w:val="none"/>
        </w:rPr>
        <w:t>；</w:t>
      </w:r>
    </w:p>
    <w:p w14:paraId="3AF1B3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color w:val="auto"/>
          <w:szCs w:val="21"/>
          <w:highlight w:val="none"/>
          <w:u w:val="single"/>
        </w:rPr>
        <w:t>竣工验收正式通过后30天内</w:t>
      </w:r>
      <w:r>
        <w:rPr>
          <w:rFonts w:hint="eastAsia" w:ascii="宋体" w:hAnsi="宋体" w:cs="宋体"/>
          <w:color w:val="auto"/>
          <w:highlight w:val="none"/>
        </w:rPr>
        <w:t>；</w:t>
      </w:r>
    </w:p>
    <w:p w14:paraId="60BFA2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按需提供</w:t>
      </w:r>
      <w:r>
        <w:rPr>
          <w:rFonts w:hint="eastAsia" w:ascii="宋体" w:hAnsi="宋体" w:cs="宋体"/>
          <w:color w:val="auto"/>
          <w:highlight w:val="none"/>
        </w:rPr>
        <w:t>；</w:t>
      </w:r>
    </w:p>
    <w:p w14:paraId="2C8161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纸质版本</w:t>
      </w:r>
      <w:r>
        <w:rPr>
          <w:rFonts w:hint="eastAsia" w:ascii="宋体" w:hAnsi="宋体" w:cs="宋体"/>
          <w:color w:val="auto"/>
          <w:highlight w:val="none"/>
        </w:rPr>
        <w:t>；</w:t>
      </w:r>
    </w:p>
    <w:p w14:paraId="176B37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其他约定：</w:t>
      </w:r>
      <w:r>
        <w:rPr>
          <w:rFonts w:hint="eastAsia" w:ascii="宋体" w:hAnsi="宋体" w:cs="宋体"/>
          <w:color w:val="auto"/>
          <w:highlight w:val="none"/>
          <w:u w:val="single"/>
        </w:rPr>
        <w:t>承包人按国家、地方的工程竣工验收有关规定，向发包人提交完整的竣工资料、 竣工图及竣工验收报告；由监理工程师负责审核并组织竣工验收。承包人提交的工程文件（档 案）、竣工资料、竣工图必须满足国家、地方（含城建档案管理部门等）相关规范、规定，否则，监理单位及发包人均有权拒绝竣工验收及结算，承包人因此逾期交付的，发包人有权按本合同的相关条款追究其违约责任</w:t>
      </w:r>
      <w:r>
        <w:rPr>
          <w:rFonts w:hint="eastAsia" w:ascii="宋体" w:hAnsi="宋体" w:cs="宋体"/>
          <w:color w:val="auto"/>
          <w:highlight w:val="none"/>
        </w:rPr>
        <w:t>；</w:t>
      </w:r>
    </w:p>
    <w:p w14:paraId="71C430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收到后30天内</w:t>
      </w:r>
      <w:r>
        <w:rPr>
          <w:rFonts w:hint="eastAsia" w:ascii="宋体" w:hAnsi="宋体" w:cs="宋体"/>
          <w:color w:val="auto"/>
          <w:highlight w:val="none"/>
        </w:rPr>
        <w:t>。</w:t>
      </w:r>
    </w:p>
    <w:p w14:paraId="77F2DD6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1.6.5 现场图纸准备</w:t>
      </w:r>
    </w:p>
    <w:p w14:paraId="5DE6F8C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szCs w:val="21"/>
          <w:highlight w:val="none"/>
          <w:u w:val="single"/>
        </w:rPr>
        <w:t>开工前7天完成图纸会审</w:t>
      </w:r>
      <w:r>
        <w:rPr>
          <w:rFonts w:hint="eastAsia" w:ascii="宋体" w:hAnsi="宋体" w:cs="宋体"/>
          <w:color w:val="auto"/>
          <w:highlight w:val="none"/>
        </w:rPr>
        <w:t>。</w:t>
      </w:r>
    </w:p>
    <w:p w14:paraId="517FD8DA">
      <w:pPr>
        <w:pStyle w:val="4"/>
        <w:rPr>
          <w:rFonts w:ascii="宋体" w:hAnsi="宋体" w:cs="宋体"/>
          <w:color w:val="auto"/>
          <w:highlight w:val="none"/>
        </w:rPr>
      </w:pPr>
      <w:bookmarkStart w:id="631" w:name="_Toc110523719"/>
      <w:bookmarkStart w:id="632" w:name="_Toc373227698"/>
      <w:bookmarkStart w:id="633" w:name="_Toc389065264"/>
      <w:bookmarkStart w:id="634" w:name="_Toc373478345"/>
      <w:bookmarkStart w:id="635" w:name="_Toc407135200"/>
      <w:bookmarkStart w:id="636" w:name="_Toc1944260835"/>
      <w:bookmarkStart w:id="637" w:name="_Toc78449786"/>
      <w:r>
        <w:rPr>
          <w:rFonts w:hint="eastAsia" w:ascii="宋体" w:hAnsi="宋体" w:cs="宋体"/>
          <w:color w:val="auto"/>
          <w:highlight w:val="none"/>
        </w:rPr>
        <w:t>1.7 联络</w:t>
      </w:r>
      <w:bookmarkEnd w:id="631"/>
      <w:bookmarkEnd w:id="632"/>
      <w:bookmarkEnd w:id="633"/>
      <w:bookmarkEnd w:id="634"/>
      <w:bookmarkEnd w:id="635"/>
      <w:bookmarkEnd w:id="636"/>
      <w:bookmarkEnd w:id="637"/>
    </w:p>
    <w:p w14:paraId="5EAC40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color w:val="auto"/>
          <w:highlight w:val="none"/>
          <w:u w:val="single"/>
        </w:rPr>
        <w:t>7</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713429E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color w:val="auto"/>
          <w:highlight w:val="none"/>
          <w:u w:val="single"/>
        </w:rPr>
        <w:t xml:space="preserve"> 横州市第二高级中学  </w:t>
      </w:r>
      <w:r>
        <w:rPr>
          <w:rFonts w:hint="eastAsia" w:ascii="宋体" w:hAnsi="宋体" w:cs="宋体"/>
          <w:color w:val="auto"/>
          <w:kern w:val="0"/>
          <w:highlight w:val="none"/>
        </w:rPr>
        <w:t>；</w:t>
      </w:r>
    </w:p>
    <w:p w14:paraId="6D8FBC5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 xml:space="preserve">发包人现场代表     </w:t>
      </w:r>
      <w:r>
        <w:rPr>
          <w:rFonts w:hint="eastAsia" w:ascii="宋体" w:hAnsi="宋体" w:cs="宋体"/>
          <w:color w:val="auto"/>
          <w:kern w:val="0"/>
          <w:highlight w:val="none"/>
        </w:rPr>
        <w:t>。</w:t>
      </w:r>
    </w:p>
    <w:p w14:paraId="4469D4A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color w:val="auto"/>
          <w:highlight w:val="none"/>
          <w:u w:val="single"/>
        </w:rPr>
        <w:t xml:space="preserve">   由承包人指定  </w:t>
      </w:r>
      <w:r>
        <w:rPr>
          <w:rFonts w:hint="eastAsia" w:ascii="宋体" w:hAnsi="宋体" w:cs="宋体"/>
          <w:color w:val="auto"/>
          <w:kern w:val="0"/>
          <w:highlight w:val="none"/>
        </w:rPr>
        <w:t>；</w:t>
      </w:r>
    </w:p>
    <w:p w14:paraId="233F474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 xml:space="preserve">   由承包人指定  </w:t>
      </w:r>
      <w:r>
        <w:rPr>
          <w:rFonts w:hint="eastAsia" w:ascii="宋体" w:hAnsi="宋体" w:cs="宋体"/>
          <w:color w:val="auto"/>
          <w:kern w:val="0"/>
          <w:highlight w:val="none"/>
        </w:rPr>
        <w:t>。</w:t>
      </w:r>
    </w:p>
    <w:p w14:paraId="4574123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highlight w:val="none"/>
          <w:u w:val="single"/>
        </w:rPr>
        <w:t xml:space="preserve">  由监理人指定  </w:t>
      </w:r>
      <w:r>
        <w:rPr>
          <w:rFonts w:hint="eastAsia" w:ascii="宋体" w:hAnsi="宋体" w:cs="宋体"/>
          <w:color w:val="auto"/>
          <w:kern w:val="0"/>
          <w:highlight w:val="none"/>
        </w:rPr>
        <w:t>；</w:t>
      </w:r>
    </w:p>
    <w:p w14:paraId="62E88ED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color w:val="auto"/>
          <w:highlight w:val="none"/>
          <w:u w:val="single"/>
        </w:rPr>
        <w:t xml:space="preserve">  由监理人指定  </w:t>
      </w:r>
      <w:r>
        <w:rPr>
          <w:rFonts w:hint="eastAsia" w:ascii="宋体" w:hAnsi="宋体" w:cs="宋体"/>
          <w:color w:val="auto"/>
          <w:kern w:val="0"/>
          <w:highlight w:val="none"/>
        </w:rPr>
        <w:t>。</w:t>
      </w:r>
    </w:p>
    <w:p w14:paraId="3AAE38BD">
      <w:pPr>
        <w:pStyle w:val="4"/>
        <w:rPr>
          <w:rFonts w:ascii="宋体" w:hAnsi="宋体" w:cs="宋体"/>
          <w:color w:val="auto"/>
          <w:highlight w:val="none"/>
        </w:rPr>
      </w:pPr>
      <w:bookmarkStart w:id="638" w:name="_Toc407135201"/>
      <w:bookmarkStart w:id="639" w:name="_Toc389065265"/>
      <w:bookmarkStart w:id="640" w:name="_Toc78449787"/>
      <w:bookmarkStart w:id="641" w:name="_Toc373478346"/>
      <w:bookmarkStart w:id="642" w:name="_Toc1387231545"/>
      <w:bookmarkStart w:id="643" w:name="_Toc224348539"/>
      <w:bookmarkStart w:id="644" w:name="_Toc373227699"/>
      <w:r>
        <w:rPr>
          <w:rFonts w:hint="eastAsia" w:ascii="宋体" w:hAnsi="宋体" w:cs="宋体"/>
          <w:color w:val="auto"/>
          <w:highlight w:val="none"/>
        </w:rPr>
        <w:t>1.10 交通运输</w:t>
      </w:r>
      <w:bookmarkEnd w:id="638"/>
      <w:bookmarkEnd w:id="639"/>
      <w:bookmarkEnd w:id="640"/>
      <w:bookmarkEnd w:id="641"/>
      <w:bookmarkEnd w:id="642"/>
      <w:bookmarkEnd w:id="643"/>
      <w:bookmarkEnd w:id="644"/>
    </w:p>
    <w:p w14:paraId="3CF77C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bookmarkStart w:id="645" w:name="_Toc300934943"/>
      <w:bookmarkStart w:id="646" w:name="_Toc312677986"/>
      <w:bookmarkStart w:id="647" w:name="_Toc304295521"/>
      <w:bookmarkStart w:id="648" w:name="_Toc303539100"/>
      <w:bookmarkStart w:id="649" w:name="_Toc318581155"/>
      <w:r>
        <w:rPr>
          <w:rFonts w:hint="eastAsia" w:ascii="宋体" w:hAnsi="宋体" w:cs="宋体"/>
          <w:color w:val="auto"/>
          <w:highlight w:val="none"/>
        </w:rPr>
        <w:t>.10.1 出入现场的权利</w:t>
      </w:r>
    </w:p>
    <w:p w14:paraId="3841CFB0">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双方协商</w:t>
      </w:r>
      <w:r>
        <w:rPr>
          <w:rFonts w:hint="eastAsia" w:ascii="宋体" w:hAnsi="宋体" w:cs="宋体"/>
          <w:color w:val="auto"/>
          <w:highlight w:val="none"/>
        </w:rPr>
        <w:t>。</w:t>
      </w:r>
    </w:p>
    <w:bookmarkEnd w:id="645"/>
    <w:bookmarkEnd w:id="646"/>
    <w:bookmarkEnd w:id="647"/>
    <w:bookmarkEnd w:id="648"/>
    <w:bookmarkEnd w:id="649"/>
    <w:p w14:paraId="069B3E9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Start w:id="650" w:name="_Toc303539101"/>
      <w:bookmarkStart w:id="651" w:name="_Toc300934944"/>
      <w:bookmarkStart w:id="652" w:name="_Toc304295522"/>
      <w:bookmarkStart w:id="653" w:name="_Toc312677987"/>
      <w:bookmarkStart w:id="654" w:name="_Toc318581156"/>
      <w:r>
        <w:rPr>
          <w:rFonts w:hint="eastAsia" w:ascii="宋体" w:hAnsi="宋体" w:cs="宋体"/>
          <w:color w:val="auto"/>
          <w:highlight w:val="none"/>
        </w:rPr>
        <w:t>.10.3 场内交通</w:t>
      </w:r>
    </w:p>
    <w:p w14:paraId="20350904">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关于场外交通和场内交通的边界的约定：</w:t>
      </w:r>
      <w:r>
        <w:rPr>
          <w:rFonts w:hint="eastAsia" w:ascii="宋体" w:hAnsi="宋体" w:cs="宋体"/>
          <w:color w:val="auto"/>
          <w:highlight w:val="none"/>
          <w:u w:val="single"/>
        </w:rPr>
        <w:t>承包人负责修建、维修、养护和管理其他场内临时道路及其他设施。建设单位和监理人可以为实现合同目的使用承包人修建的场内临时道路及其他设施</w:t>
      </w:r>
      <w:r>
        <w:rPr>
          <w:rFonts w:hint="eastAsia" w:ascii="宋体" w:hAnsi="宋体" w:cs="宋体"/>
          <w:color w:val="auto"/>
          <w:highlight w:val="none"/>
        </w:rPr>
        <w:t>。</w:t>
      </w:r>
    </w:p>
    <w:p w14:paraId="098789E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红线范围 内施工道路均由承包人负责修建，若损坏应负责及时修复。 承包人负责修建、维修、养护和管理施工现场所需的其他场内临时道路交通及其他设施</w:t>
      </w:r>
      <w:r>
        <w:rPr>
          <w:rFonts w:hint="eastAsia" w:ascii="宋体" w:hAnsi="宋体" w:cs="宋体"/>
          <w:color w:val="auto"/>
          <w:highlight w:val="none"/>
        </w:rPr>
        <w:t>。</w:t>
      </w:r>
      <w:bookmarkEnd w:id="650"/>
      <w:bookmarkEnd w:id="651"/>
      <w:bookmarkEnd w:id="652"/>
      <w:bookmarkEnd w:id="653"/>
      <w:bookmarkEnd w:id="654"/>
      <w:bookmarkStart w:id="655" w:name="_Toc318581157"/>
    </w:p>
    <w:p w14:paraId="74CF40B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1.10.4 超大件和超重件的运输</w:t>
      </w:r>
    </w:p>
    <w:p w14:paraId="07E5FB28">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承担。</w:t>
      </w:r>
    </w:p>
    <w:bookmarkEnd w:id="655"/>
    <w:p w14:paraId="32AD8715">
      <w:pPr>
        <w:pStyle w:val="4"/>
        <w:rPr>
          <w:rFonts w:ascii="宋体" w:hAnsi="宋体" w:cs="宋体"/>
          <w:color w:val="auto"/>
          <w:highlight w:val="none"/>
        </w:rPr>
      </w:pPr>
      <w:bookmarkStart w:id="656" w:name="_Toc1495098807"/>
      <w:bookmarkStart w:id="657" w:name="_Toc389065266"/>
      <w:bookmarkStart w:id="658" w:name="_Toc373478347"/>
      <w:bookmarkStart w:id="659" w:name="_Toc407135202"/>
      <w:bookmarkStart w:id="660" w:name="_Toc512841653"/>
      <w:bookmarkStart w:id="661" w:name="_Toc373227700"/>
      <w:bookmarkStart w:id="662" w:name="_Toc78449788"/>
      <w:r>
        <w:rPr>
          <w:rFonts w:hint="eastAsia" w:ascii="宋体" w:hAnsi="宋体" w:cs="宋体"/>
          <w:color w:val="auto"/>
          <w:highlight w:val="none"/>
        </w:rPr>
        <w:t>1.11 知识产权</w:t>
      </w:r>
      <w:bookmarkEnd w:id="656"/>
      <w:bookmarkEnd w:id="657"/>
      <w:bookmarkEnd w:id="658"/>
      <w:bookmarkEnd w:id="659"/>
      <w:bookmarkEnd w:id="660"/>
      <w:bookmarkEnd w:id="661"/>
      <w:bookmarkEnd w:id="662"/>
    </w:p>
    <w:p w14:paraId="54E2D6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发包人</w:t>
      </w:r>
      <w:r>
        <w:rPr>
          <w:rFonts w:hint="eastAsia" w:ascii="宋体" w:hAnsi="宋体" w:cs="宋体"/>
          <w:color w:val="auto"/>
          <w:highlight w:val="none"/>
        </w:rPr>
        <w:t>。</w:t>
      </w:r>
    </w:p>
    <w:p w14:paraId="4C2C72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szCs w:val="21"/>
          <w:highlight w:val="none"/>
          <w:u w:val="single"/>
        </w:rPr>
        <w:t>仅限于工程施工</w:t>
      </w:r>
      <w:r>
        <w:rPr>
          <w:rFonts w:hint="eastAsia" w:ascii="宋体" w:hAnsi="宋体" w:cs="宋体"/>
          <w:color w:val="auto"/>
          <w:spacing w:val="-1"/>
          <w:szCs w:val="21"/>
          <w:highlight w:val="none"/>
          <w:u w:val="single"/>
        </w:rPr>
        <w:t>和竣工验收使用</w:t>
      </w:r>
      <w:r>
        <w:rPr>
          <w:rFonts w:hint="eastAsia" w:ascii="宋体" w:hAnsi="宋体" w:cs="宋体"/>
          <w:color w:val="auto"/>
          <w:highlight w:val="none"/>
        </w:rPr>
        <w:t>。</w:t>
      </w:r>
    </w:p>
    <w:p w14:paraId="18D325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承包人</w:t>
      </w:r>
      <w:r>
        <w:rPr>
          <w:rFonts w:hint="eastAsia" w:ascii="宋体" w:hAnsi="宋体" w:cs="宋体"/>
          <w:color w:val="auto"/>
          <w:highlight w:val="none"/>
        </w:rPr>
        <w:t>。</w:t>
      </w:r>
    </w:p>
    <w:p w14:paraId="1F33DC6A">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关于承包人提供的上述文件的使用限制的要求：</w:t>
      </w:r>
      <w:r>
        <w:rPr>
          <w:rFonts w:hint="eastAsia" w:ascii="宋体" w:hAnsi="宋体" w:cs="宋体"/>
          <w:color w:val="auto"/>
          <w:szCs w:val="21"/>
          <w:highlight w:val="none"/>
          <w:u w:val="single"/>
        </w:rPr>
        <w:t>在施工期间对发</w:t>
      </w:r>
      <w:r>
        <w:rPr>
          <w:rFonts w:hint="eastAsia" w:ascii="宋体" w:hAnsi="宋体" w:cs="宋体"/>
          <w:color w:val="auto"/>
          <w:spacing w:val="-1"/>
          <w:szCs w:val="21"/>
          <w:highlight w:val="none"/>
          <w:u w:val="single"/>
        </w:rPr>
        <w:t>包人免费使用</w:t>
      </w:r>
      <w:r>
        <w:rPr>
          <w:rFonts w:hint="eastAsia" w:ascii="宋体" w:hAnsi="宋体" w:cs="宋体"/>
          <w:color w:val="auto"/>
          <w:highlight w:val="none"/>
        </w:rPr>
        <w:t>。</w:t>
      </w:r>
    </w:p>
    <w:p w14:paraId="44EE4CD7">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1.11.4 承包人在施工过程中所采用的专利、专有技术、技术秘密的使用费的承担方式：</w:t>
      </w:r>
    </w:p>
    <w:p w14:paraId="74CB494A">
      <w:pPr>
        <w:spacing w:line="360" w:lineRule="auto"/>
        <w:rPr>
          <w:rFonts w:ascii="宋体" w:hAnsi="宋体" w:cs="宋体"/>
          <w:color w:val="auto"/>
          <w:kern w:val="0"/>
          <w:highlight w:val="none"/>
        </w:rPr>
      </w:pPr>
      <w:r>
        <w:rPr>
          <w:rFonts w:hint="eastAsia" w:ascii="宋体" w:hAnsi="宋体" w:cs="宋体"/>
          <w:color w:val="auto"/>
          <w:highlight w:val="none"/>
          <w:u w:val="single"/>
        </w:rPr>
        <w:t>承包人自行承担</w:t>
      </w:r>
      <w:r>
        <w:rPr>
          <w:rFonts w:hint="eastAsia" w:ascii="宋体" w:hAnsi="宋体" w:cs="宋体"/>
          <w:color w:val="auto"/>
          <w:kern w:val="0"/>
          <w:highlight w:val="none"/>
        </w:rPr>
        <w:t>。</w:t>
      </w:r>
    </w:p>
    <w:p w14:paraId="1AA2BA61">
      <w:pPr>
        <w:pStyle w:val="4"/>
        <w:rPr>
          <w:rFonts w:ascii="宋体" w:hAnsi="宋体" w:cs="宋体"/>
          <w:color w:val="auto"/>
          <w:highlight w:val="none"/>
        </w:rPr>
      </w:pPr>
      <w:bookmarkStart w:id="663" w:name="_Toc373227701"/>
      <w:bookmarkStart w:id="664" w:name="_Toc389065267"/>
      <w:bookmarkStart w:id="665" w:name="_Toc407135203"/>
      <w:bookmarkStart w:id="666" w:name="_Toc373478348"/>
      <w:bookmarkStart w:id="667" w:name="_Toc1194977599"/>
      <w:bookmarkStart w:id="668" w:name="_Toc78449789"/>
      <w:bookmarkStart w:id="669" w:name="_Toc267680563"/>
      <w:r>
        <w:rPr>
          <w:rFonts w:hint="eastAsia" w:ascii="宋体" w:hAnsi="宋体" w:cs="宋体"/>
          <w:color w:val="auto"/>
          <w:highlight w:val="none"/>
        </w:rPr>
        <w:t>1.13工程量清单错误的修正</w:t>
      </w:r>
      <w:bookmarkEnd w:id="663"/>
      <w:bookmarkEnd w:id="664"/>
      <w:bookmarkEnd w:id="665"/>
      <w:bookmarkEnd w:id="666"/>
      <w:bookmarkEnd w:id="667"/>
      <w:bookmarkEnd w:id="668"/>
      <w:bookmarkEnd w:id="669"/>
    </w:p>
    <w:p w14:paraId="086F4C87">
      <w:pPr>
        <w:spacing w:line="360" w:lineRule="auto"/>
        <w:ind w:firstLine="420" w:firstLineChars="200"/>
        <w:rPr>
          <w:rFonts w:ascii="宋体" w:hAnsi="宋体" w:cs="宋体"/>
          <w:color w:val="auto"/>
          <w:highlight w:val="none"/>
        </w:rPr>
      </w:pPr>
      <w:bookmarkStart w:id="670" w:name="_Toc373227702"/>
      <w:bookmarkStart w:id="671" w:name="_Toc389065268"/>
      <w:bookmarkStart w:id="672" w:name="_Toc373478349"/>
      <w:bookmarkStart w:id="673" w:name="_Toc351203634"/>
      <w:bookmarkStart w:id="674" w:name="_Toc143780453"/>
      <w:bookmarkStart w:id="675" w:name="_Toc407135204"/>
      <w:bookmarkStart w:id="676" w:name="_Toc78449790"/>
      <w:bookmarkStart w:id="677" w:name="_Toc1415467590"/>
      <w:r>
        <w:rPr>
          <w:rFonts w:hint="eastAsia" w:ascii="宋体" w:hAnsi="宋体" w:cs="宋体"/>
          <w:color w:val="auto"/>
          <w:highlight w:val="none"/>
        </w:rPr>
        <w:t>出现工程量清单工程量偏差时，是否调整对应清单单价：</w:t>
      </w:r>
      <w:r>
        <w:rPr>
          <w:rFonts w:hint="eastAsia" w:ascii="宋体" w:hAnsi="宋体" w:cs="宋体"/>
          <w:color w:val="auto"/>
          <w:highlight w:val="none"/>
          <w:u w:val="single"/>
        </w:rPr>
        <w:t>□是  ☑否</w:t>
      </w:r>
      <w:r>
        <w:rPr>
          <w:rFonts w:hint="eastAsia" w:ascii="宋体" w:hAnsi="宋体" w:cs="宋体"/>
          <w:color w:val="auto"/>
          <w:kern w:val="0"/>
          <w:highlight w:val="none"/>
        </w:rPr>
        <w:t>。</w:t>
      </w:r>
    </w:p>
    <w:p w14:paraId="20F0F5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允许调整清单单价的工程量偏差范围及其调整办法：</w:t>
      </w:r>
    </w:p>
    <w:p w14:paraId="26CEDCBD">
      <w:pPr>
        <w:spacing w:line="360" w:lineRule="auto"/>
        <w:ind w:firstLine="420" w:firstLineChars="200"/>
        <w:rPr>
          <w:rFonts w:ascii="宋体" w:hAnsi="宋体" w:cs="宋体"/>
          <w:color w:val="auto"/>
          <w:kern w:val="0"/>
          <w:highlight w:val="none"/>
        </w:rPr>
      </w:pPr>
      <w:r>
        <w:rPr>
          <w:rFonts w:hint="eastAsia" w:ascii="宋体" w:hAnsi="宋体" w:cs="宋体"/>
          <w:color w:val="auto"/>
          <w:highlight w:val="none"/>
        </w:rPr>
        <w:t>□</w:t>
      </w:r>
      <w:r>
        <w:rPr>
          <w:rFonts w:hint="eastAsia" w:ascii="宋体" w:hAnsi="宋体" w:cs="宋体"/>
          <w:color w:val="auto"/>
          <w:highlight w:val="none"/>
          <w:u w:val="single"/>
        </w:rPr>
        <w:t xml:space="preserve"> 除严重不平衡报价外，无论分部分项工程量清单项目中的工程量变化多少均不调整    </w:t>
      </w:r>
      <w:r>
        <w:rPr>
          <w:rFonts w:hint="eastAsia" w:ascii="宋体" w:hAnsi="宋体" w:cs="宋体"/>
          <w:color w:val="auto"/>
          <w:kern w:val="0"/>
          <w:highlight w:val="none"/>
        </w:rPr>
        <w:t>。</w:t>
      </w:r>
    </w:p>
    <w:p w14:paraId="343B164A">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highlight w:val="none"/>
          <w:u w:val="single"/>
        </w:rPr>
        <w:t>承包人实际完成的某单项清单项目工程量与招标工程量清单工程量偏差超过 / %且该单项清单造价超过合同总价/ %以上的，超过后增加部分工程量或减少后剩余部分工程量的综合单价按以下方法调整：     /    。</w:t>
      </w:r>
    </w:p>
    <w:p w14:paraId="5E12516F">
      <w:pPr>
        <w:pStyle w:val="3"/>
        <w:rPr>
          <w:rFonts w:ascii="宋体" w:hAnsi="宋体" w:cs="宋体"/>
          <w:color w:val="auto"/>
          <w:highlight w:val="none"/>
        </w:rPr>
      </w:pPr>
      <w:r>
        <w:rPr>
          <w:rFonts w:hint="eastAsia" w:ascii="宋体" w:hAnsi="宋体" w:cs="宋体"/>
          <w:color w:val="auto"/>
          <w:highlight w:val="none"/>
        </w:rPr>
        <w:t>2</w:t>
      </w:r>
      <w:bookmarkStart w:id="678" w:name="_Toc292559867"/>
      <w:bookmarkStart w:id="679" w:name="_Toc292559362"/>
      <w:bookmarkStart w:id="680" w:name="_Toc296347156"/>
      <w:bookmarkStart w:id="681" w:name="_Toc296891197"/>
      <w:bookmarkStart w:id="682" w:name="_Toc297120457"/>
      <w:bookmarkStart w:id="683" w:name="_Toc296503157"/>
      <w:bookmarkStart w:id="684" w:name="_Toc296890985"/>
      <w:bookmarkStart w:id="685" w:name="_Toc297048343"/>
      <w:bookmarkStart w:id="686" w:name="_Toc296346658"/>
      <w:bookmarkStart w:id="687" w:name="_Toc296944496"/>
      <w:r>
        <w:rPr>
          <w:rFonts w:hint="eastAsia" w:ascii="宋体" w:hAnsi="宋体" w:cs="宋体"/>
          <w:color w:val="auto"/>
          <w:highlight w:val="none"/>
        </w:rPr>
        <w:t>. 发包人</w:t>
      </w:r>
      <w:bookmarkEnd w:id="670"/>
      <w:bookmarkEnd w:id="671"/>
      <w:bookmarkEnd w:id="672"/>
      <w:bookmarkEnd w:id="673"/>
      <w:bookmarkEnd w:id="674"/>
      <w:bookmarkEnd w:id="675"/>
      <w:bookmarkEnd w:id="676"/>
      <w:bookmarkEnd w:id="677"/>
    </w:p>
    <w:bookmarkEnd w:id="678"/>
    <w:bookmarkEnd w:id="679"/>
    <w:bookmarkEnd w:id="680"/>
    <w:bookmarkEnd w:id="681"/>
    <w:bookmarkEnd w:id="682"/>
    <w:bookmarkEnd w:id="683"/>
    <w:bookmarkEnd w:id="684"/>
    <w:bookmarkEnd w:id="685"/>
    <w:bookmarkEnd w:id="686"/>
    <w:bookmarkEnd w:id="687"/>
    <w:p w14:paraId="16A3BD2E">
      <w:pPr>
        <w:pStyle w:val="4"/>
        <w:rPr>
          <w:rFonts w:ascii="宋体" w:hAnsi="宋体" w:cs="宋体"/>
          <w:color w:val="auto"/>
          <w:highlight w:val="none"/>
        </w:rPr>
      </w:pPr>
      <w:bookmarkStart w:id="688" w:name="_Toc407135205"/>
      <w:bookmarkStart w:id="689" w:name="_Toc389065269"/>
      <w:bookmarkStart w:id="690" w:name="_Toc373227703"/>
      <w:bookmarkStart w:id="691" w:name="_Toc78449791"/>
      <w:bookmarkStart w:id="692" w:name="_Toc547644210"/>
      <w:bookmarkStart w:id="693" w:name="_Toc971240048"/>
      <w:bookmarkStart w:id="694" w:name="_Toc373478350"/>
      <w:r>
        <w:rPr>
          <w:rFonts w:hint="eastAsia" w:ascii="宋体" w:hAnsi="宋体" w:cs="宋体"/>
          <w:color w:val="auto"/>
          <w:highlight w:val="none"/>
        </w:rPr>
        <w:t>2.2 发包人代表</w:t>
      </w:r>
      <w:bookmarkEnd w:id="688"/>
      <w:bookmarkEnd w:id="689"/>
      <w:bookmarkEnd w:id="690"/>
      <w:bookmarkEnd w:id="691"/>
      <w:bookmarkEnd w:id="692"/>
      <w:bookmarkEnd w:id="693"/>
      <w:bookmarkEnd w:id="694"/>
      <w:r>
        <w:rPr>
          <w:rFonts w:hint="eastAsia" w:ascii="宋体" w:hAnsi="宋体" w:cs="宋体"/>
          <w:color w:val="auto"/>
          <w:highlight w:val="none"/>
        </w:rPr>
        <w:t>（发包人通知到位）</w:t>
      </w:r>
    </w:p>
    <w:p w14:paraId="25F140A1">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发包人代表：</w:t>
      </w:r>
      <w:r>
        <w:rPr>
          <w:rFonts w:hint="eastAsia" w:ascii="宋体" w:hAnsi="宋体" w:cs="宋体"/>
          <w:color w:val="auto"/>
          <w:highlight w:val="none"/>
          <w:u w:val="single"/>
        </w:rPr>
        <w:t>基建股干部              ；</w:t>
      </w:r>
    </w:p>
    <w:p w14:paraId="432F6C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0771-7261995</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24D82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tj7226886@163.com    </w:t>
      </w:r>
      <w:r>
        <w:rPr>
          <w:rFonts w:hint="eastAsia" w:ascii="宋体" w:hAnsi="宋体" w:cs="宋体"/>
          <w:color w:val="auto"/>
          <w:highlight w:val="none"/>
        </w:rPr>
        <w:t>；</w:t>
      </w:r>
    </w:p>
    <w:p w14:paraId="2EAD74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横州市横州镇柳福北巷21号（横州市第二高级中学基建股）。</w:t>
      </w:r>
      <w:r>
        <w:rPr>
          <w:rFonts w:hint="eastAsia" w:ascii="宋体" w:hAnsi="宋体" w:cs="宋体"/>
          <w:color w:val="auto"/>
          <w:highlight w:val="none"/>
        </w:rPr>
        <w:t xml:space="preserve"> </w:t>
      </w:r>
    </w:p>
    <w:p w14:paraId="40C18421">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color w:val="auto"/>
          <w:szCs w:val="21"/>
          <w:highlight w:val="none"/>
          <w:u w:val="single"/>
        </w:rPr>
        <w:t>督促指导监理单位管理人员履行监理职责，协调解决有关设计变更、工程进度和安全文明施工等工程施工过程遇到的问题，办理、签认现场合理的经济技术签证，审核工程进度报表等。</w:t>
      </w:r>
    </w:p>
    <w:p w14:paraId="4483E4DD">
      <w:pPr>
        <w:pStyle w:val="4"/>
        <w:rPr>
          <w:rFonts w:ascii="宋体" w:hAnsi="宋体" w:cs="宋体"/>
          <w:color w:val="auto"/>
          <w:highlight w:val="none"/>
        </w:rPr>
      </w:pPr>
      <w:bookmarkStart w:id="695" w:name="_Toc389065270"/>
      <w:bookmarkStart w:id="696" w:name="_Toc373478351"/>
      <w:bookmarkStart w:id="697" w:name="_Toc78449792"/>
      <w:bookmarkStart w:id="698" w:name="_Toc2066513957"/>
      <w:bookmarkStart w:id="699" w:name="_Toc407135206"/>
      <w:bookmarkStart w:id="700" w:name="_Toc373227704"/>
      <w:bookmarkStart w:id="701" w:name="_Toc2077499244"/>
      <w:r>
        <w:rPr>
          <w:rFonts w:hint="eastAsia" w:ascii="宋体" w:hAnsi="宋体" w:cs="宋体"/>
          <w:color w:val="auto"/>
          <w:highlight w:val="none"/>
        </w:rPr>
        <w:t>2.4 施工现场、施工条件和基础资料的提供</w:t>
      </w:r>
      <w:bookmarkEnd w:id="695"/>
      <w:bookmarkEnd w:id="696"/>
      <w:bookmarkEnd w:id="697"/>
      <w:bookmarkEnd w:id="698"/>
      <w:bookmarkEnd w:id="699"/>
      <w:bookmarkEnd w:id="700"/>
      <w:bookmarkEnd w:id="701"/>
    </w:p>
    <w:p w14:paraId="6550DE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2.4.1 提供施工现场</w:t>
      </w:r>
    </w:p>
    <w:p w14:paraId="62648F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施工场地应当在监理人发出的开工通知中载明的开工日期前 7 天具备施工条件并移交给承包人，具体施工条件在以下条款中约定。发包人最迟应当在移交施工场地的同时向承包人提供施工场地内地下管线和地下设施等有关资料，并保证资料的真实、准确和完整</w:t>
      </w:r>
      <w:r>
        <w:rPr>
          <w:rFonts w:hint="eastAsia" w:ascii="宋体" w:hAnsi="宋体" w:cs="宋体"/>
          <w:color w:val="auto"/>
          <w:highlight w:val="none"/>
        </w:rPr>
        <w:t>。</w:t>
      </w:r>
    </w:p>
    <w:p w14:paraId="6CBD37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2.4.2 提供施工条件</w:t>
      </w:r>
    </w:p>
    <w:p w14:paraId="45CB75BF">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将项目施工所需水、电、电讯线路接至项目所在学校内，但具体从校内接至施工指定场地发生的费用由承包人承担。若供电部门的原因造成停电，承包人必须自行解决施工用电，费用自理</w:t>
      </w:r>
      <w:r>
        <w:rPr>
          <w:rFonts w:hint="eastAsia" w:ascii="宋体" w:hAnsi="宋体" w:cs="宋体"/>
          <w:color w:val="auto"/>
          <w:highlight w:val="none"/>
        </w:rPr>
        <w:t>。</w:t>
      </w:r>
    </w:p>
    <w:p w14:paraId="4D844731">
      <w:pPr>
        <w:pStyle w:val="4"/>
        <w:rPr>
          <w:rFonts w:ascii="宋体" w:hAnsi="宋体" w:cs="宋体"/>
          <w:color w:val="auto"/>
          <w:highlight w:val="none"/>
        </w:rPr>
      </w:pPr>
      <w:bookmarkStart w:id="702" w:name="_Toc373227705"/>
      <w:bookmarkStart w:id="703" w:name="_Toc672429943"/>
      <w:bookmarkStart w:id="704" w:name="_Toc1238195908"/>
      <w:bookmarkStart w:id="705" w:name="_Toc373478352"/>
      <w:bookmarkStart w:id="706" w:name="_Toc78449793"/>
      <w:bookmarkStart w:id="707" w:name="_Toc407135207"/>
      <w:bookmarkStart w:id="708" w:name="_Toc389065271"/>
      <w:r>
        <w:rPr>
          <w:rFonts w:hint="eastAsia" w:ascii="宋体" w:hAnsi="宋体" w:cs="宋体"/>
          <w:color w:val="auto"/>
          <w:highlight w:val="none"/>
        </w:rPr>
        <w:t>2.5 资金来源证明及支付担保</w:t>
      </w:r>
      <w:bookmarkEnd w:id="702"/>
      <w:bookmarkEnd w:id="703"/>
      <w:bookmarkEnd w:id="704"/>
      <w:bookmarkEnd w:id="705"/>
      <w:bookmarkEnd w:id="706"/>
      <w:bookmarkEnd w:id="707"/>
      <w:bookmarkEnd w:id="708"/>
    </w:p>
    <w:p w14:paraId="384A7D0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szCs w:val="21"/>
          <w:highlight w:val="none"/>
          <w:u w:val="single"/>
        </w:rPr>
        <w:t>见第一</w:t>
      </w:r>
      <w:r>
        <w:rPr>
          <w:rFonts w:hint="eastAsia" w:ascii="宋体" w:hAnsi="宋体" w:cs="宋体"/>
          <w:color w:val="auto"/>
          <w:spacing w:val="-1"/>
          <w:szCs w:val="21"/>
          <w:highlight w:val="none"/>
          <w:u w:val="single"/>
        </w:rPr>
        <w:t>部分合同协议书</w:t>
      </w:r>
      <w:r>
        <w:rPr>
          <w:rFonts w:hint="eastAsia" w:ascii="宋体" w:hAnsi="宋体" w:cs="宋体"/>
          <w:color w:val="auto"/>
          <w:highlight w:val="none"/>
        </w:rPr>
        <w:t>。</w:t>
      </w:r>
    </w:p>
    <w:p w14:paraId="4F4B54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不提供</w:t>
      </w:r>
      <w:r>
        <w:rPr>
          <w:rFonts w:hint="eastAsia" w:ascii="宋体" w:hAnsi="宋体" w:cs="宋体"/>
          <w:color w:val="auto"/>
          <w:highlight w:val="none"/>
        </w:rPr>
        <w:t xml:space="preserve"> 。</w:t>
      </w:r>
    </w:p>
    <w:p w14:paraId="75485A61">
      <w:pPr>
        <w:spacing w:line="360" w:lineRule="auto"/>
        <w:ind w:firstLine="420" w:firstLineChars="200"/>
        <w:rPr>
          <w:rFonts w:ascii="宋体" w:hAnsi="宋体" w:cs="宋体"/>
          <w:color w:val="auto"/>
          <w:highlight w:val="none"/>
          <w:lang w:val="en"/>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无</w:t>
      </w:r>
      <w:r>
        <w:rPr>
          <w:rFonts w:hint="eastAsia" w:ascii="宋体" w:hAnsi="宋体" w:cs="宋体"/>
          <w:color w:val="auto"/>
          <w:highlight w:val="none"/>
          <w:lang w:val="en"/>
        </w:rPr>
        <w:t>。</w:t>
      </w:r>
    </w:p>
    <w:p w14:paraId="3045F926">
      <w:pPr>
        <w:pStyle w:val="3"/>
        <w:rPr>
          <w:rFonts w:ascii="宋体" w:hAnsi="宋体" w:cs="宋体"/>
          <w:color w:val="auto"/>
          <w:highlight w:val="none"/>
        </w:rPr>
      </w:pPr>
      <w:bookmarkStart w:id="709" w:name="_Toc729657770"/>
      <w:bookmarkStart w:id="710" w:name="_Toc1181400362"/>
      <w:bookmarkStart w:id="711" w:name="_Toc351203635"/>
      <w:bookmarkStart w:id="712" w:name="_Toc373478353"/>
      <w:bookmarkStart w:id="713" w:name="_Toc407135208"/>
      <w:bookmarkStart w:id="714" w:name="_Toc373227706"/>
      <w:bookmarkStart w:id="715" w:name="_Toc389065272"/>
      <w:bookmarkStart w:id="716" w:name="_Toc78449794"/>
      <w:r>
        <w:rPr>
          <w:rFonts w:hint="eastAsia" w:ascii="宋体" w:hAnsi="宋体" w:cs="宋体"/>
          <w:color w:val="auto"/>
          <w:highlight w:val="none"/>
        </w:rPr>
        <w:t>3</w:t>
      </w:r>
      <w:bookmarkStart w:id="717" w:name="_Toc296346659"/>
      <w:bookmarkStart w:id="718" w:name="_Toc297120458"/>
      <w:bookmarkStart w:id="719" w:name="_Toc296890986"/>
      <w:bookmarkStart w:id="720" w:name="_Toc296503158"/>
      <w:bookmarkStart w:id="721" w:name="_Toc296944497"/>
      <w:bookmarkStart w:id="722" w:name="_Toc297048344"/>
      <w:bookmarkStart w:id="723" w:name="_Toc296891198"/>
      <w:bookmarkStart w:id="724" w:name="_Toc292559363"/>
      <w:bookmarkStart w:id="725" w:name="_Toc296347157"/>
      <w:bookmarkStart w:id="726" w:name="_Toc292559868"/>
      <w:r>
        <w:rPr>
          <w:rFonts w:hint="eastAsia" w:ascii="宋体" w:hAnsi="宋体" w:cs="宋体"/>
          <w:color w:val="auto"/>
          <w:highlight w:val="none"/>
        </w:rPr>
        <w:t>. 承包人</w:t>
      </w:r>
      <w:bookmarkEnd w:id="709"/>
      <w:bookmarkEnd w:id="710"/>
      <w:bookmarkEnd w:id="711"/>
      <w:bookmarkEnd w:id="712"/>
      <w:bookmarkEnd w:id="713"/>
      <w:bookmarkEnd w:id="714"/>
      <w:bookmarkEnd w:id="715"/>
      <w:bookmarkEnd w:id="716"/>
    </w:p>
    <w:bookmarkEnd w:id="717"/>
    <w:bookmarkEnd w:id="718"/>
    <w:bookmarkEnd w:id="719"/>
    <w:bookmarkEnd w:id="720"/>
    <w:bookmarkEnd w:id="721"/>
    <w:bookmarkEnd w:id="722"/>
    <w:bookmarkEnd w:id="723"/>
    <w:bookmarkEnd w:id="724"/>
    <w:bookmarkEnd w:id="725"/>
    <w:bookmarkEnd w:id="726"/>
    <w:p w14:paraId="306C34B6">
      <w:pPr>
        <w:pStyle w:val="4"/>
        <w:rPr>
          <w:rFonts w:ascii="宋体" w:hAnsi="宋体" w:cs="宋体"/>
          <w:color w:val="auto"/>
          <w:highlight w:val="none"/>
        </w:rPr>
      </w:pPr>
      <w:bookmarkStart w:id="727" w:name="_Toc1642190822"/>
      <w:bookmarkStart w:id="728" w:name="_Toc962678435"/>
      <w:bookmarkStart w:id="729" w:name="_Toc373227707"/>
      <w:bookmarkStart w:id="730" w:name="_Toc389065273"/>
      <w:bookmarkStart w:id="731" w:name="_Toc78449795"/>
      <w:bookmarkStart w:id="732" w:name="_Toc373478354"/>
      <w:bookmarkStart w:id="733" w:name="_Toc407135209"/>
      <w:r>
        <w:rPr>
          <w:rFonts w:hint="eastAsia" w:ascii="宋体" w:hAnsi="宋体" w:cs="宋体"/>
          <w:color w:val="auto"/>
          <w:highlight w:val="none"/>
        </w:rPr>
        <w:t>3.1 承包人的一般义务</w:t>
      </w:r>
      <w:bookmarkEnd w:id="727"/>
      <w:bookmarkEnd w:id="728"/>
      <w:bookmarkEnd w:id="729"/>
      <w:bookmarkEnd w:id="730"/>
      <w:bookmarkEnd w:id="731"/>
      <w:bookmarkEnd w:id="732"/>
      <w:bookmarkEnd w:id="733"/>
    </w:p>
    <w:p w14:paraId="34B4F0CF">
      <w:pPr>
        <w:spacing w:line="360" w:lineRule="auto"/>
        <w:ind w:firstLine="420" w:firstLineChars="200"/>
        <w:rPr>
          <w:rFonts w:ascii="宋体" w:hAnsi="宋体" w:cs="宋体"/>
          <w:color w:val="auto"/>
          <w:highlight w:val="none"/>
          <w:u w:val="single"/>
        </w:rPr>
      </w:pPr>
      <w:r>
        <w:rPr>
          <w:rFonts w:hint="eastAsia" w:ascii="宋体" w:hAnsi="宋体" w:cs="宋体"/>
          <w:color w:val="auto"/>
          <w:kern w:val="0"/>
          <w:highlight w:val="none"/>
        </w:rPr>
        <w:t>（9）</w:t>
      </w:r>
      <w:r>
        <w:rPr>
          <w:rFonts w:hint="eastAsia" w:ascii="宋体" w:hAnsi="宋体" w:cs="宋体"/>
          <w:color w:val="auto"/>
          <w:highlight w:val="none"/>
        </w:rPr>
        <w:t>承包人提交的竣工资料的内容：</w:t>
      </w:r>
      <w:r>
        <w:rPr>
          <w:rFonts w:hint="eastAsia" w:ascii="宋体" w:hAnsi="宋体" w:cs="宋体"/>
          <w:color w:val="auto"/>
          <w:highlight w:val="none"/>
          <w:u w:val="single"/>
        </w:rPr>
        <w:t>除专用合同条款约定的由承包人提供的设计文件外，本项约定的其他应由承包人提供的文件，包括必要的加工图和大样图，均不是合同计量与支付的依据文件。由承包人提供的文件范围：工程建设项目竣工验收前，承包人应根据合同工作内容要求，分别整理竣工验收资料（含竣工图），汇总为完整的建设项目竣工资料报发包人</w:t>
      </w:r>
      <w:r>
        <w:rPr>
          <w:rFonts w:hint="eastAsia" w:ascii="宋体" w:hAnsi="宋体" w:cs="宋体"/>
          <w:color w:val="auto"/>
          <w:highlight w:val="none"/>
        </w:rPr>
        <w:t>。</w:t>
      </w:r>
    </w:p>
    <w:p w14:paraId="1D42ED8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提供竣工验收资料的数量为2 套，竣工图的数量为贰套</w:t>
      </w:r>
      <w:r>
        <w:rPr>
          <w:rFonts w:hint="eastAsia" w:ascii="宋体" w:hAnsi="宋体" w:cs="宋体"/>
          <w:color w:val="auto"/>
          <w:highlight w:val="none"/>
        </w:rPr>
        <w:t>。</w:t>
      </w:r>
    </w:p>
    <w:p w14:paraId="7DACFC29">
      <w:pPr>
        <w:spacing w:line="360" w:lineRule="auto"/>
        <w:ind w:left="424" w:leftChars="202"/>
        <w:jc w:val="left"/>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由承包人承担</w:t>
      </w:r>
      <w:r>
        <w:rPr>
          <w:rFonts w:hint="eastAsia" w:ascii="宋体" w:hAnsi="宋体" w:cs="宋体"/>
          <w:color w:val="auto"/>
          <w:highlight w:val="none"/>
        </w:rPr>
        <w:t>。</w:t>
      </w:r>
    </w:p>
    <w:p w14:paraId="1AAF4043">
      <w:pPr>
        <w:spacing w:line="360" w:lineRule="auto"/>
        <w:ind w:left="424" w:leftChars="202"/>
        <w:jc w:val="left"/>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szCs w:val="21"/>
          <w:highlight w:val="none"/>
          <w:u w:val="single"/>
        </w:rPr>
        <w:t>竣工验收后30天内</w:t>
      </w:r>
      <w:r>
        <w:rPr>
          <w:rFonts w:hint="eastAsia" w:ascii="宋体" w:hAnsi="宋体" w:cs="宋体"/>
          <w:color w:val="auto"/>
          <w:highlight w:val="none"/>
        </w:rPr>
        <w:t>。</w:t>
      </w:r>
    </w:p>
    <w:p w14:paraId="72DE0C7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承包人按国家、地方的工程竣工验收有关规定，向发包  人提交完整的竣工资料、竣工图及竣工验收报告； 由监理工程师负责审核并组织竣工验收。承  包人提交的工程文件（档案）、竣工资料、竣工图必须满足国家、地方（含城建档案管理部门等）相关规范、规定，否则， 监理单位及发包人均有权拒绝竣工验收及结算，承包人因此逾期交付的，发包人有权按本合同的相关条款追究其违约责任</w:t>
      </w:r>
      <w:r>
        <w:rPr>
          <w:rFonts w:hint="eastAsia" w:ascii="宋体" w:hAnsi="宋体" w:cs="宋体"/>
          <w:color w:val="auto"/>
          <w:highlight w:val="none"/>
        </w:rPr>
        <w:t>。</w:t>
      </w:r>
    </w:p>
    <w:p w14:paraId="234871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（10）承包人应履行的其他义务：</w:t>
      </w:r>
      <w:r>
        <w:rPr>
          <w:rFonts w:hint="eastAsia" w:ascii="宋体" w:hAnsi="宋体" w:cs="宋体"/>
          <w:color w:val="auto"/>
          <w:kern w:val="0"/>
          <w:highlight w:val="none"/>
          <w:u w:val="single"/>
        </w:rPr>
        <w:t>对开工的项目，须组建项目工会。 ①施工场地周围地下 管线和邻近建筑物、构筑物（含文物保护建筑）、古树名木的保护要求及费用承担：承包人施 工时应探明并负责保护且承包费用，施工时如损坏地下管线、邻近建筑物、构筑物，所发生费用由承包人承担。②取土场及弃土场由承包人自行解决，但不得违反相关管理规定， 并承担相关费用</w:t>
      </w:r>
      <w:r>
        <w:rPr>
          <w:rFonts w:hint="eastAsia" w:ascii="宋体" w:hAnsi="宋体" w:cs="宋体"/>
          <w:color w:val="auto"/>
          <w:kern w:val="0"/>
          <w:highlight w:val="none"/>
        </w:rPr>
        <w:t>。</w:t>
      </w:r>
    </w:p>
    <w:p w14:paraId="0A75A649">
      <w:pPr>
        <w:pStyle w:val="4"/>
        <w:rPr>
          <w:rFonts w:ascii="宋体" w:hAnsi="宋体" w:cs="宋体"/>
          <w:color w:val="auto"/>
          <w:highlight w:val="none"/>
        </w:rPr>
      </w:pPr>
      <w:bookmarkStart w:id="734" w:name="_Toc373227708"/>
      <w:bookmarkStart w:id="735" w:name="_Toc373478355"/>
      <w:bookmarkStart w:id="736" w:name="_Toc1659520837"/>
      <w:bookmarkStart w:id="737" w:name="_Toc407135210"/>
      <w:bookmarkStart w:id="738" w:name="_Toc501741485"/>
      <w:bookmarkStart w:id="739" w:name="_Toc389065274"/>
      <w:bookmarkStart w:id="740" w:name="_Toc78449796"/>
      <w:r>
        <w:rPr>
          <w:rFonts w:hint="eastAsia" w:ascii="宋体" w:hAnsi="宋体" w:cs="宋体"/>
          <w:color w:val="auto"/>
          <w:highlight w:val="none"/>
        </w:rPr>
        <w:t>3.2 项目经理</w:t>
      </w:r>
      <w:bookmarkEnd w:id="734"/>
      <w:bookmarkEnd w:id="735"/>
      <w:bookmarkEnd w:id="736"/>
      <w:bookmarkEnd w:id="737"/>
      <w:bookmarkEnd w:id="738"/>
      <w:bookmarkEnd w:id="739"/>
      <w:bookmarkEnd w:id="740"/>
    </w:p>
    <w:p w14:paraId="6E451B57">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7B57E952">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姓    名：</w:t>
      </w:r>
      <w:r>
        <w:rPr>
          <w:rFonts w:hint="eastAsia" w:ascii="宋体" w:hAnsi="宋体" w:cs="宋体"/>
          <w:color w:val="auto"/>
          <w:highlight w:val="none"/>
          <w:u w:val="single"/>
        </w:rPr>
        <w:t xml:space="preserve">       XX                 </w:t>
      </w:r>
      <w:r>
        <w:rPr>
          <w:rFonts w:hint="eastAsia" w:ascii="宋体" w:hAnsi="宋体" w:cs="宋体"/>
          <w:color w:val="auto"/>
          <w:highlight w:val="none"/>
        </w:rPr>
        <w:t>；</w:t>
      </w:r>
    </w:p>
    <w:p w14:paraId="59EF2435">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452122XXX0011         </w:t>
      </w:r>
      <w:r>
        <w:rPr>
          <w:rFonts w:hint="eastAsia" w:ascii="宋体" w:hAnsi="宋体" w:cs="宋体"/>
          <w:color w:val="auto"/>
          <w:highlight w:val="none"/>
        </w:rPr>
        <w:t>；</w:t>
      </w:r>
    </w:p>
    <w:p w14:paraId="4CD1DA0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xml:space="preserve">      贰级              </w:t>
      </w:r>
      <w:r>
        <w:rPr>
          <w:rFonts w:hint="eastAsia" w:ascii="宋体" w:hAnsi="宋体" w:cs="宋体"/>
          <w:color w:val="auto"/>
          <w:highlight w:val="none"/>
        </w:rPr>
        <w:t>；</w:t>
      </w:r>
    </w:p>
    <w:p w14:paraId="5543EBF5">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建造师注册证书号：</w:t>
      </w:r>
      <w:r>
        <w:rPr>
          <w:rFonts w:hint="eastAsia" w:ascii="宋体" w:hAnsi="宋体" w:cs="宋体"/>
          <w:color w:val="auto"/>
          <w:highlight w:val="none"/>
          <w:u w:val="single"/>
        </w:rPr>
        <w:t xml:space="preserve">     桂24xxxxx110      </w:t>
      </w:r>
      <w:r>
        <w:rPr>
          <w:rFonts w:hint="eastAsia" w:ascii="宋体" w:hAnsi="宋体" w:cs="宋体"/>
          <w:color w:val="auto"/>
          <w:highlight w:val="none"/>
        </w:rPr>
        <w:t>；</w:t>
      </w:r>
    </w:p>
    <w:p w14:paraId="4A289F80">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 xml:space="preserve">   桂建安B(2015)0xxxxx  </w:t>
      </w:r>
      <w:r>
        <w:rPr>
          <w:rFonts w:hint="eastAsia" w:ascii="宋体" w:hAnsi="宋体" w:cs="宋体"/>
          <w:color w:val="auto"/>
          <w:highlight w:val="none"/>
        </w:rPr>
        <w:t>；</w:t>
      </w:r>
    </w:p>
    <w:p w14:paraId="4AF8B98D">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0771-7xxxx                </w:t>
      </w:r>
      <w:r>
        <w:rPr>
          <w:rFonts w:hint="eastAsia" w:ascii="宋体" w:hAnsi="宋体" w:cs="宋体"/>
          <w:color w:val="auto"/>
          <w:highlight w:val="none"/>
        </w:rPr>
        <w:t>；</w:t>
      </w:r>
    </w:p>
    <w:p w14:paraId="1BCCB3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w:t>
      </w:r>
      <w:r>
        <w:rPr>
          <w:rFonts w:hint="eastAsia" w:ascii="宋体" w:hAnsi="宋体" w:cs="宋体"/>
          <w:color w:val="auto"/>
          <w:highlight w:val="none"/>
        </w:rPr>
        <w:t>；</w:t>
      </w:r>
    </w:p>
    <w:p w14:paraId="327132D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7D6EB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项目经理仅限于对本工程的施工现场全面管理，包括质量、技术、安全、进度管理，及与发包人、监理工程师有关工程联系单、工程管理的函件往来的签收，但未经承包人盖章同意授权下不得以承包人名义向外采购材料设备、租用建筑周转材料、雇佣劳动力、签订分包合同等从事一切为承包人设立义务或责任</w:t>
      </w:r>
      <w:r>
        <w:rPr>
          <w:rFonts w:hint="eastAsia" w:ascii="宋体" w:hAnsi="宋体" w:cs="宋体"/>
          <w:color w:val="auto"/>
          <w:highlight w:val="none"/>
        </w:rPr>
        <w:t>。</w:t>
      </w:r>
    </w:p>
    <w:p w14:paraId="0D4FE30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关于项目经理每月在施工现场的时间要求：</w:t>
      </w:r>
      <w:r>
        <w:rPr>
          <w:rFonts w:hint="eastAsia" w:ascii="宋体" w:hAnsi="宋体" w:cs="宋体"/>
          <w:color w:val="auto"/>
          <w:szCs w:val="21"/>
          <w:highlight w:val="none"/>
          <w:u w:val="single"/>
        </w:rPr>
        <w:t>按相关工程质量管理规</w:t>
      </w:r>
      <w:r>
        <w:rPr>
          <w:rFonts w:hint="eastAsia" w:ascii="宋体" w:hAnsi="宋体" w:cs="宋体"/>
          <w:color w:val="auto"/>
          <w:spacing w:val="-1"/>
          <w:szCs w:val="21"/>
          <w:highlight w:val="none"/>
          <w:u w:val="single"/>
        </w:rPr>
        <w:t>范或条例要求</w:t>
      </w:r>
      <w:r>
        <w:rPr>
          <w:rFonts w:hint="eastAsia" w:ascii="宋体" w:hAnsi="宋体" w:cs="宋体"/>
          <w:color w:val="auto"/>
          <w:highlight w:val="none"/>
        </w:rPr>
        <w:t>。</w:t>
      </w:r>
    </w:p>
    <w:p w14:paraId="0DE53E6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kern w:val="0"/>
          <w:highlight w:val="none"/>
          <w:u w:val="single"/>
        </w:rPr>
        <w:t xml:space="preserve"> / </w:t>
      </w:r>
      <w:r>
        <w:rPr>
          <w:rFonts w:hint="eastAsia" w:ascii="宋体" w:hAnsi="宋体" w:cs="宋体"/>
          <w:color w:val="auto"/>
          <w:highlight w:val="none"/>
        </w:rPr>
        <w:t>。</w:t>
      </w:r>
    </w:p>
    <w:p w14:paraId="7D147F74">
      <w:pPr>
        <w:spacing w:line="360" w:lineRule="auto"/>
        <w:ind w:firstLine="420" w:firstLineChars="200"/>
        <w:rPr>
          <w:rFonts w:ascii="宋体" w:hAnsi="宋体" w:cs="宋体"/>
          <w:color w:val="auto"/>
          <w:highlight w:val="none"/>
          <w:u w:val="single"/>
        </w:rPr>
      </w:pPr>
      <w:r>
        <w:rPr>
          <w:rFonts w:hint="eastAsia" w:ascii="宋体" w:hAnsi="宋体" w:cs="宋体"/>
          <w:color w:val="auto"/>
          <w:kern w:val="0"/>
          <w:highlight w:val="none"/>
        </w:rPr>
        <w:t>项目经理未经批准，擅自离开施工现场的违约责任：</w:t>
      </w:r>
      <w:r>
        <w:rPr>
          <w:rFonts w:hint="eastAsia" w:ascii="宋体" w:hAnsi="宋体" w:cs="宋体"/>
          <w:color w:val="auto"/>
          <w:kern w:val="0"/>
          <w:highlight w:val="none"/>
          <w:u w:val="single"/>
        </w:rPr>
        <w:t>项目经理每月在岗带班时间不得少于 当月施工时间的 80%。未经发包人同意或正当理由，项目经理每月在岗带班时间少于当月施工时间 80%的，少在岗带班一天， 发包人有权处违约金 1000 元/日（人民币）</w:t>
      </w:r>
      <w:r>
        <w:rPr>
          <w:rFonts w:hint="eastAsia" w:ascii="宋体" w:hAnsi="宋体" w:cs="宋体"/>
          <w:color w:val="auto"/>
          <w:highlight w:val="none"/>
        </w:rPr>
        <w:t>。</w:t>
      </w:r>
    </w:p>
    <w:p w14:paraId="52A5F64A">
      <w:pPr>
        <w:adjustRightInd w:val="0"/>
        <w:snapToGrid w:val="0"/>
        <w:spacing w:line="460" w:lineRule="exact"/>
        <w:jc w:val="left"/>
        <w:rPr>
          <w:rFonts w:ascii="宋体" w:hAnsi="宋体" w:cs="宋体"/>
          <w:color w:val="auto"/>
          <w:highlight w:val="none"/>
        </w:rPr>
      </w:pPr>
      <w:r>
        <w:rPr>
          <w:rFonts w:hint="eastAsia" w:ascii="宋体" w:hAnsi="宋体" w:cs="宋体"/>
          <w:color w:val="auto"/>
          <w:highlight w:val="none"/>
        </w:rPr>
        <w:t>3.2.3 承包人擅自更换项目经理的违约责任：</w:t>
      </w:r>
      <w:r>
        <w:rPr>
          <w:rFonts w:hint="eastAsia" w:ascii="宋体" w:hAnsi="宋体" w:cs="宋体"/>
          <w:color w:val="auto"/>
          <w:highlight w:val="none"/>
          <w:u w:val="single"/>
        </w:rPr>
        <w:t>承包人项目经理必须与承包人所承诺的人员一致，并在  （开工日期）  前到</w:t>
      </w:r>
      <w:r>
        <w:rPr>
          <w:rFonts w:hint="eastAsia" w:ascii="宋体" w:hAnsi="宋体" w:cs="宋体"/>
          <w:color w:val="auto"/>
          <w:highlight w:val="none"/>
        </w:rPr>
        <w:t xml:space="preserve">任。在监理人向承包人颁发 </w:t>
      </w:r>
      <w:r>
        <w:rPr>
          <w:rFonts w:hint="eastAsia" w:ascii="宋体" w:hAnsi="宋体" w:cs="宋体"/>
          <w:color w:val="auto"/>
          <w:highlight w:val="none"/>
          <w:u w:val="single"/>
        </w:rPr>
        <w:t xml:space="preserve"> （竣工证明材料名称）   </w:t>
      </w:r>
      <w:r>
        <w:rPr>
          <w:rFonts w:hint="eastAsia" w:ascii="宋体" w:hAnsi="宋体" w:cs="宋体"/>
          <w:color w:val="auto"/>
          <w:highlight w:val="none"/>
        </w:rPr>
        <w:t xml:space="preserve"> 前，项目经理不得同时兼任其他任何项目的项目经理（符合《广西壮族自治区建筑市场诚信卡管理暂行办法》第十六条第一款及桂建管﹝2016﹞70号、</w:t>
      </w:r>
      <w:r>
        <w:rPr>
          <w:rFonts w:hint="eastAsia" w:ascii="宋体" w:hAnsi="宋体" w:cs="宋体"/>
          <w:color w:val="auto"/>
          <w:szCs w:val="21"/>
          <w:highlight w:val="none"/>
        </w:rPr>
        <w:t>桂建管〔2020〕11号</w:t>
      </w:r>
      <w:r>
        <w:rPr>
          <w:rFonts w:hint="eastAsia" w:ascii="宋体" w:hAnsi="宋体" w:cs="宋体"/>
          <w:color w:val="auto"/>
          <w:highlight w:val="none"/>
        </w:rPr>
        <w:t>文除外）。未经发包人书面同意，承包人擅自更换项目经理的视为违约，违约金处</w:t>
      </w:r>
      <w:r>
        <w:rPr>
          <w:rFonts w:hint="eastAsia" w:ascii="宋体" w:hAnsi="宋体" w:cs="宋体"/>
          <w:color w:val="auto"/>
          <w:highlight w:val="none"/>
          <w:u w:val="single"/>
        </w:rPr>
        <w:t>1000</w:t>
      </w:r>
      <w:r>
        <w:rPr>
          <w:rFonts w:hint="eastAsia" w:ascii="宋体" w:hAnsi="宋体" w:cs="宋体"/>
          <w:color w:val="auto"/>
          <w:highlight w:val="none"/>
        </w:rPr>
        <w:t>元/人•次（人民币）。</w:t>
      </w:r>
    </w:p>
    <w:p w14:paraId="271D65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因承包人项目经理不称职，发包人要求调换而未及时调换的，视为承包人违约，必须向发包人交纳处罚金1000元/人•次（人民币）</w:t>
      </w:r>
      <w:r>
        <w:rPr>
          <w:rFonts w:hint="eastAsia" w:ascii="宋体" w:hAnsi="宋体" w:cs="宋体"/>
          <w:color w:val="auto"/>
          <w:highlight w:val="none"/>
        </w:rPr>
        <w:t>。</w:t>
      </w:r>
    </w:p>
    <w:p w14:paraId="792C3349">
      <w:pPr>
        <w:pStyle w:val="4"/>
        <w:rPr>
          <w:rFonts w:ascii="宋体" w:hAnsi="宋体" w:cs="宋体"/>
          <w:color w:val="auto"/>
          <w:highlight w:val="none"/>
        </w:rPr>
      </w:pPr>
      <w:bookmarkStart w:id="741" w:name="_Toc373478356"/>
      <w:bookmarkStart w:id="742" w:name="_Toc78449797"/>
      <w:bookmarkStart w:id="743" w:name="_Toc389065275"/>
      <w:bookmarkStart w:id="744" w:name="_Toc373227709"/>
      <w:bookmarkStart w:id="745" w:name="_Toc1443830486"/>
      <w:bookmarkStart w:id="746" w:name="_Toc747710271"/>
      <w:bookmarkStart w:id="747" w:name="_Toc407135211"/>
      <w:r>
        <w:rPr>
          <w:rFonts w:hint="eastAsia" w:ascii="宋体" w:hAnsi="宋体" w:cs="宋体"/>
          <w:color w:val="auto"/>
          <w:highlight w:val="none"/>
        </w:rPr>
        <w:t>3.3 承包人人员</w:t>
      </w:r>
      <w:bookmarkEnd w:id="741"/>
      <w:bookmarkEnd w:id="742"/>
      <w:bookmarkEnd w:id="743"/>
      <w:bookmarkEnd w:id="744"/>
      <w:bookmarkEnd w:id="745"/>
      <w:bookmarkEnd w:id="746"/>
      <w:bookmarkEnd w:id="747"/>
    </w:p>
    <w:p w14:paraId="7DFAA8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开工前七天</w:t>
      </w:r>
      <w:r>
        <w:rPr>
          <w:rFonts w:hint="eastAsia" w:ascii="宋体" w:hAnsi="宋体" w:cs="宋体"/>
          <w:color w:val="auto"/>
          <w:highlight w:val="none"/>
        </w:rPr>
        <w:t>。</w:t>
      </w:r>
    </w:p>
    <w:p w14:paraId="4B5EAF7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1000元/人•次（人民币）</w:t>
      </w:r>
      <w:r>
        <w:rPr>
          <w:rFonts w:hint="eastAsia" w:ascii="宋体" w:hAnsi="宋体" w:cs="宋体"/>
          <w:color w:val="auto"/>
          <w:highlight w:val="none"/>
        </w:rPr>
        <w:t>。</w:t>
      </w:r>
    </w:p>
    <w:p w14:paraId="6C1C13B6">
      <w:pPr>
        <w:pStyle w:val="11"/>
        <w:spacing w:before="134" w:line="359" w:lineRule="auto"/>
        <w:ind w:left="442" w:firstLine="420"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spacing w:val="-3"/>
          <w:szCs w:val="21"/>
          <w:highlight w:val="none"/>
          <w:u w:val="single"/>
        </w:rPr>
        <w:t>按相关工程质量管理规范或</w:t>
      </w:r>
      <w:r>
        <w:rPr>
          <w:rFonts w:hint="eastAsia" w:ascii="宋体" w:hAnsi="宋体" w:cs="宋体"/>
          <w:color w:val="auto"/>
          <w:spacing w:val="-2"/>
          <w:szCs w:val="21"/>
          <w:highlight w:val="none"/>
          <w:u w:val="single"/>
        </w:rPr>
        <w:t>条例要求</w:t>
      </w:r>
      <w:r>
        <w:rPr>
          <w:rFonts w:hint="eastAsia" w:ascii="宋体" w:hAnsi="宋体" w:cs="宋体"/>
          <w:color w:val="auto"/>
          <w:highlight w:val="none"/>
        </w:rPr>
        <w:t>。</w:t>
      </w:r>
    </w:p>
    <w:p w14:paraId="7335CC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3.3.5 承包人擅自更换主要施工管理人员的违约责任：</w:t>
      </w:r>
      <w:r>
        <w:rPr>
          <w:rFonts w:hint="eastAsia" w:ascii="宋体" w:hAnsi="宋体" w:cs="宋体"/>
          <w:color w:val="auto"/>
          <w:highlight w:val="none"/>
          <w:u w:val="single"/>
        </w:rPr>
        <w:t>项目技术负责人、专职安全生产管理人员及其承诺的其它在场管理人员未经发包人书面同意不准擅自更换，擅自更换项目技术负责人处2000元/人•次（人民币）违约金；擅自更换专职安全生产管理人员处500元/人•次（人民币）违约金；擅自更换其它在场管理人员处200元/人•次（人民币）违约金</w:t>
      </w:r>
      <w:r>
        <w:rPr>
          <w:rFonts w:hint="eastAsia" w:ascii="宋体" w:hAnsi="宋体" w:cs="宋体"/>
          <w:color w:val="auto"/>
          <w:highlight w:val="none"/>
        </w:rPr>
        <w:t>。</w:t>
      </w:r>
    </w:p>
    <w:p w14:paraId="1E1196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未经发包人同意，项目技术负责人擅自离岗的，视为承包人违约，发包人有权处违约金1000元/人•次（人民币）；未经发包人同意，专职安全生产管理人员擅自离岗的，视为承包人违约，发包人有权处违约金300元/人•次（人民币）；其它在场管理人员擅自离岗的，视为承包人违约，发包人有权处违约金100元/人•次（人民币）</w:t>
      </w:r>
      <w:r>
        <w:rPr>
          <w:rFonts w:hint="eastAsia" w:ascii="宋体" w:hAnsi="宋体" w:cs="宋体"/>
          <w:color w:val="auto"/>
          <w:highlight w:val="none"/>
        </w:rPr>
        <w:t>。</w:t>
      </w:r>
    </w:p>
    <w:p w14:paraId="7ED60E2F">
      <w:pPr>
        <w:pStyle w:val="4"/>
        <w:rPr>
          <w:rFonts w:ascii="宋体" w:hAnsi="宋体" w:cs="宋体"/>
          <w:color w:val="auto"/>
          <w:highlight w:val="none"/>
        </w:rPr>
      </w:pPr>
      <w:bookmarkStart w:id="748" w:name="_Toc373227710"/>
      <w:bookmarkStart w:id="749" w:name="_Toc78449798"/>
      <w:bookmarkStart w:id="750" w:name="_Toc407135212"/>
      <w:bookmarkStart w:id="751" w:name="_Toc389065276"/>
      <w:bookmarkStart w:id="752" w:name="_Toc2025600126"/>
      <w:bookmarkStart w:id="753" w:name="_Toc2066279184"/>
      <w:bookmarkStart w:id="754" w:name="_Toc373478357"/>
      <w:r>
        <w:rPr>
          <w:rFonts w:hint="eastAsia" w:ascii="宋体" w:hAnsi="宋体" w:cs="宋体"/>
          <w:color w:val="auto"/>
          <w:highlight w:val="none"/>
        </w:rPr>
        <w:t>3</w:t>
      </w:r>
      <w:bookmarkStart w:id="755" w:name="_Toc303539102"/>
      <w:bookmarkStart w:id="756" w:name="_Toc297123492"/>
      <w:bookmarkStart w:id="757" w:name="_Toc296347158"/>
      <w:bookmarkStart w:id="758" w:name="_Toc296891199"/>
      <w:bookmarkStart w:id="759" w:name="_Toc292559869"/>
      <w:bookmarkStart w:id="760" w:name="_Toc297048345"/>
      <w:bookmarkStart w:id="761" w:name="_Toc297120459"/>
      <w:bookmarkStart w:id="762" w:name="_Toc296944498"/>
      <w:bookmarkStart w:id="763" w:name="_Toc296346660"/>
      <w:bookmarkStart w:id="764" w:name="_Toc292559364"/>
      <w:bookmarkStart w:id="765" w:name="_Toc304295523"/>
      <w:bookmarkStart w:id="766" w:name="_Toc312677988"/>
      <w:bookmarkStart w:id="767" w:name="_Toc296503159"/>
      <w:bookmarkStart w:id="768" w:name="_Toc296890987"/>
      <w:bookmarkStart w:id="769" w:name="_Toc300934945"/>
      <w:bookmarkStart w:id="770" w:name="_Toc297216151"/>
      <w:r>
        <w:rPr>
          <w:rFonts w:hint="eastAsia" w:ascii="宋体" w:hAnsi="宋体" w:cs="宋体"/>
          <w:color w:val="auto"/>
          <w:highlight w:val="none"/>
        </w:rPr>
        <w:t>.5 分包</w:t>
      </w:r>
      <w:bookmarkEnd w:id="748"/>
      <w:bookmarkEnd w:id="749"/>
      <w:bookmarkEnd w:id="750"/>
      <w:bookmarkEnd w:id="751"/>
      <w:bookmarkEnd w:id="752"/>
      <w:bookmarkEnd w:id="753"/>
      <w:bookmarkEnd w:id="754"/>
    </w:p>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14:paraId="2C6FD6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bookmarkStart w:id="771" w:name="_Toc297120460"/>
      <w:bookmarkStart w:id="772" w:name="_Toc296891200"/>
      <w:bookmarkStart w:id="773" w:name="_Toc296346661"/>
      <w:bookmarkStart w:id="774" w:name="_Toc296503160"/>
      <w:bookmarkStart w:id="775" w:name="_Toc318581158"/>
      <w:bookmarkStart w:id="776" w:name="_Toc292559365"/>
      <w:bookmarkStart w:id="777" w:name="_Toc312677989"/>
      <w:bookmarkStart w:id="778" w:name="_Toc296944499"/>
      <w:bookmarkStart w:id="779" w:name="_Toc303539103"/>
      <w:bookmarkStart w:id="780" w:name="_Toc292559870"/>
      <w:bookmarkStart w:id="781" w:name="_Toc296347159"/>
      <w:bookmarkStart w:id="782" w:name="_Toc297048346"/>
      <w:bookmarkStart w:id="783" w:name="_Toc304295524"/>
      <w:bookmarkStart w:id="784" w:name="_Toc296890988"/>
      <w:bookmarkStart w:id="785" w:name="_Toc297216152"/>
      <w:bookmarkStart w:id="786" w:name="_Toc297123493"/>
      <w:bookmarkStart w:id="787" w:name="_Toc300934946"/>
      <w:r>
        <w:rPr>
          <w:rFonts w:hint="eastAsia" w:ascii="宋体" w:hAnsi="宋体" w:cs="宋体"/>
          <w:color w:val="auto"/>
          <w:highlight w:val="none"/>
        </w:rPr>
        <w:t>.5.1 分包的一般约定</w:t>
      </w:r>
    </w:p>
    <w:p w14:paraId="0C496DB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spacing w:val="-1"/>
          <w:szCs w:val="21"/>
          <w:highlight w:val="none"/>
          <w:u w:val="single"/>
        </w:rPr>
        <w:t>主体结构、关键性工作等</w:t>
      </w:r>
      <w:r>
        <w:rPr>
          <w:rFonts w:hint="eastAsia" w:ascii="宋体" w:hAnsi="宋体" w:cs="宋体"/>
          <w:color w:val="auto"/>
          <w:highlight w:val="none"/>
        </w:rPr>
        <w:t>。</w:t>
      </w:r>
    </w:p>
    <w:p w14:paraId="3030FB8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主体结构、关键性工作的范围：</w:t>
      </w:r>
      <w:r>
        <w:rPr>
          <w:rFonts w:hint="eastAsia" w:ascii="宋体" w:hAnsi="宋体" w:cs="宋体"/>
          <w:color w:val="auto"/>
          <w:spacing w:val="-4"/>
          <w:szCs w:val="21"/>
          <w:highlight w:val="none"/>
          <w:u w:val="single"/>
        </w:rPr>
        <w:t>基础工程、主体工程</w:t>
      </w:r>
      <w:r>
        <w:rPr>
          <w:rFonts w:hint="eastAsia" w:ascii="宋体" w:hAnsi="宋体" w:cs="宋体"/>
          <w:color w:val="auto"/>
          <w:highlight w:val="none"/>
        </w:rPr>
        <w:t>。</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5B0D2B4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bookmarkStart w:id="788" w:name="_Toc312677990"/>
      <w:bookmarkStart w:id="789" w:name="_Toc318581159"/>
      <w:r>
        <w:rPr>
          <w:rFonts w:hint="eastAsia" w:ascii="宋体" w:hAnsi="宋体" w:cs="宋体"/>
          <w:color w:val="auto"/>
          <w:highlight w:val="none"/>
        </w:rPr>
        <w:t>.5.2 分包的确定</w:t>
      </w:r>
    </w:p>
    <w:p w14:paraId="02244FBD">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无</w:t>
      </w:r>
      <w:r>
        <w:rPr>
          <w:rFonts w:hint="eastAsia" w:ascii="宋体" w:hAnsi="宋体" w:cs="宋体"/>
          <w:color w:val="auto"/>
          <w:highlight w:val="none"/>
        </w:rPr>
        <w:t>。</w:t>
      </w:r>
    </w:p>
    <w:p w14:paraId="0BCB8C5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其他关于分包的约定：</w:t>
      </w:r>
    </w:p>
    <w:p w14:paraId="2E98C839">
      <w:pPr>
        <w:numPr>
          <w:ilvl w:val="0"/>
          <w:numId w:val="4"/>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6A9FA305">
      <w:pPr>
        <w:numPr>
          <w:ilvl w:val="0"/>
          <w:numId w:val="4"/>
        </w:num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在相关分包合同签订并报送有关建设行政主管部门备案后7天内，承包人应当将一份副本提交给监理人，承包人应保障分包工作不得再次分包。</w:t>
      </w:r>
    </w:p>
    <w:p w14:paraId="148EB6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1E483EB5">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（4）承包人有以下情况之一者，发包人有权解除合同，并视情况扣除其履约保证金：</w:t>
      </w:r>
    </w:p>
    <w:p w14:paraId="2F153BDB">
      <w:pPr>
        <w:pStyle w:val="15"/>
        <w:spacing w:line="360" w:lineRule="auto"/>
        <w:ind w:firstLine="441" w:firstLineChars="210"/>
        <w:rPr>
          <w:rFonts w:hAnsi="宋体" w:cs="宋体"/>
          <w:color w:val="auto"/>
          <w:sz w:val="21"/>
          <w:highlight w:val="none"/>
        </w:rPr>
      </w:pPr>
      <w:r>
        <w:rPr>
          <w:rFonts w:hint="eastAsia" w:hAnsi="宋体" w:cs="宋体"/>
          <w:color w:val="auto"/>
          <w:sz w:val="21"/>
          <w:highlight w:val="none"/>
        </w:rPr>
        <w:t>①个人承包工程，包括本人单位及外单位人员承包，发包人不承认其个人拥有任何资质等级及营业许可资格。没收全部履约保证金。</w:t>
      </w:r>
    </w:p>
    <w:p w14:paraId="7CF0AFE1">
      <w:pPr>
        <w:pStyle w:val="15"/>
        <w:spacing w:line="360" w:lineRule="auto"/>
        <w:ind w:firstLine="441" w:firstLineChars="210"/>
        <w:rPr>
          <w:rFonts w:hAnsi="宋体" w:cs="宋体"/>
          <w:color w:val="auto"/>
          <w:sz w:val="21"/>
          <w:highlight w:val="none"/>
        </w:rPr>
      </w:pPr>
      <w:r>
        <w:rPr>
          <w:rFonts w:hint="eastAsia" w:hAnsi="宋体" w:cs="宋体"/>
          <w:color w:val="auto"/>
          <w:sz w:val="21"/>
          <w:highlight w:val="none"/>
        </w:rPr>
        <w:t>②几个人联合承包工程，就地组织暗分包队伍，不具备完成本工程的技术、机械能力，被发包人判定为没有能力履行的承包人。没收全部履约保证金。</w:t>
      </w:r>
    </w:p>
    <w:p w14:paraId="1C2F360F">
      <w:pPr>
        <w:pStyle w:val="15"/>
        <w:spacing w:line="360" w:lineRule="auto"/>
        <w:ind w:firstLine="441" w:firstLineChars="210"/>
        <w:rPr>
          <w:rFonts w:hAnsi="宋体" w:cs="宋体"/>
          <w:color w:val="auto"/>
          <w:sz w:val="21"/>
          <w:highlight w:val="none"/>
        </w:rPr>
      </w:pPr>
      <w:r>
        <w:rPr>
          <w:rFonts w:hint="eastAsia" w:hAnsi="宋体" w:cs="宋体"/>
          <w:color w:val="auto"/>
          <w:sz w:val="21"/>
          <w:highlight w:val="none"/>
        </w:rPr>
        <w:t>③就地转包全部的工程，以谋取高额转让费、管理费的承包人。没收全部履约保证金。</w:t>
      </w:r>
    </w:p>
    <w:p w14:paraId="20270235">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55E963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3.5.4 分包合同价款</w:t>
      </w:r>
    </w:p>
    <w:bookmarkEnd w:id="788"/>
    <w:bookmarkEnd w:id="789"/>
    <w:p w14:paraId="7D18CF2B">
      <w:pPr>
        <w:spacing w:line="360" w:lineRule="auto"/>
        <w:ind w:firstLine="420" w:firstLineChars="200"/>
        <w:rPr>
          <w:rFonts w:ascii="宋体" w:hAnsi="宋体" w:cs="宋体"/>
          <w:color w:val="auto"/>
          <w:highlight w:val="none"/>
        </w:rPr>
      </w:pPr>
      <w:bookmarkStart w:id="790" w:name="_Toc373227711"/>
      <w:bookmarkStart w:id="791" w:name="_Toc373478358"/>
      <w:bookmarkStart w:id="792" w:name="_Toc389065277"/>
      <w:r>
        <w:rPr>
          <w:rFonts w:hint="eastAsia" w:ascii="宋体" w:hAnsi="宋体" w:cs="宋体"/>
          <w:color w:val="auto"/>
          <w:highlight w:val="none"/>
        </w:rPr>
        <w:t>关于分包合同价款支付的约定：</w:t>
      </w:r>
      <w:r>
        <w:rPr>
          <w:rFonts w:hint="eastAsia" w:ascii="宋体" w:hAnsi="宋体" w:cs="宋体"/>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3BBB4EB">
      <w:pPr>
        <w:pStyle w:val="4"/>
        <w:rPr>
          <w:rFonts w:ascii="宋体" w:hAnsi="宋体" w:cs="宋体"/>
          <w:color w:val="auto"/>
          <w:highlight w:val="none"/>
        </w:rPr>
      </w:pPr>
      <w:bookmarkStart w:id="793" w:name="_Toc78449799"/>
      <w:bookmarkStart w:id="794" w:name="_Toc407135213"/>
      <w:bookmarkStart w:id="795" w:name="_Toc101808609"/>
      <w:bookmarkStart w:id="796" w:name="_Toc57329529"/>
      <w:r>
        <w:rPr>
          <w:rFonts w:hint="eastAsia" w:ascii="宋体" w:hAnsi="宋体" w:cs="宋体"/>
          <w:color w:val="auto"/>
          <w:highlight w:val="none"/>
        </w:rPr>
        <w:t>3.6 工程照管与成品、半成品保护</w:t>
      </w:r>
      <w:bookmarkEnd w:id="790"/>
      <w:bookmarkEnd w:id="791"/>
      <w:bookmarkEnd w:id="792"/>
      <w:bookmarkEnd w:id="793"/>
      <w:bookmarkEnd w:id="794"/>
      <w:bookmarkEnd w:id="795"/>
      <w:bookmarkEnd w:id="796"/>
    </w:p>
    <w:p w14:paraId="23A96FA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承包人负责照管工程及工程相关的材料、工程设备的起始时间：</w:t>
      </w:r>
    </w:p>
    <w:p w14:paraId="12DE4DD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 承包人负责照管工程及工程相关的材料、工程设备的起始时间： 施工现场移交时 。</w:t>
      </w:r>
    </w:p>
    <w:p w14:paraId="193F45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 承包人负责对未验收工程和双方已到货材料、设备的现场保管，包括因发包人原因暂时无法安装的材料和设备。</w:t>
      </w:r>
    </w:p>
    <w:p w14:paraId="3A9D5BFF">
      <w:pPr>
        <w:pStyle w:val="4"/>
        <w:rPr>
          <w:rFonts w:ascii="宋体" w:hAnsi="宋体" w:cs="宋体"/>
          <w:color w:val="auto"/>
          <w:highlight w:val="none"/>
        </w:rPr>
      </w:pPr>
      <w:bookmarkStart w:id="797" w:name="_Toc389065278"/>
      <w:bookmarkStart w:id="798" w:name="_Toc373227712"/>
      <w:bookmarkStart w:id="799" w:name="_Toc373478359"/>
      <w:bookmarkStart w:id="800" w:name="_Toc1649716734"/>
      <w:bookmarkStart w:id="801" w:name="_Toc407135214"/>
      <w:bookmarkStart w:id="802" w:name="_Toc1042049436"/>
      <w:bookmarkStart w:id="803" w:name="_Toc78449800"/>
      <w:r>
        <w:rPr>
          <w:rFonts w:hint="eastAsia" w:ascii="宋体" w:hAnsi="宋体" w:cs="宋体"/>
          <w:color w:val="auto"/>
          <w:highlight w:val="none"/>
        </w:rPr>
        <w:t>3.7 履约</w:t>
      </w:r>
      <w:bookmarkEnd w:id="797"/>
      <w:bookmarkEnd w:id="798"/>
      <w:bookmarkEnd w:id="799"/>
      <w:r>
        <w:rPr>
          <w:rFonts w:hint="eastAsia" w:ascii="宋体" w:hAnsi="宋体" w:cs="宋体"/>
          <w:color w:val="auto"/>
          <w:highlight w:val="none"/>
        </w:rPr>
        <w:t>保证金</w:t>
      </w:r>
      <w:bookmarkEnd w:id="800"/>
      <w:bookmarkEnd w:id="801"/>
      <w:bookmarkEnd w:id="802"/>
      <w:bookmarkEnd w:id="803"/>
    </w:p>
    <w:p w14:paraId="39F8F929">
      <w:pPr>
        <w:spacing w:line="360" w:lineRule="auto"/>
        <w:ind w:firstLine="420" w:firstLineChars="200"/>
        <w:jc w:val="left"/>
        <w:rPr>
          <w:rFonts w:ascii="宋体" w:hAnsi="宋体" w:cs="宋体"/>
          <w:color w:val="auto"/>
          <w:highlight w:val="none"/>
          <w:u w:val="single"/>
        </w:rPr>
      </w:pPr>
      <w:bookmarkStart w:id="804" w:name="_Toc373227713"/>
      <w:bookmarkStart w:id="805" w:name="_Toc389065279"/>
      <w:bookmarkStart w:id="806" w:name="_Toc351203636"/>
      <w:bookmarkStart w:id="807" w:name="_Toc373478360"/>
      <w:r>
        <w:rPr>
          <w:rFonts w:hint="eastAsia" w:ascii="宋体" w:hAnsi="宋体" w:cs="宋体"/>
          <w:color w:val="auto"/>
          <w:highlight w:val="none"/>
        </w:rPr>
        <w:t>承包人提供履约担保的形式、金额及期限的：</w:t>
      </w:r>
      <w:r>
        <w:rPr>
          <w:rFonts w:hint="eastAsia" w:ascii="宋体" w:hAnsi="宋体" w:cs="宋体"/>
          <w:color w:val="auto"/>
          <w:highlight w:val="none"/>
          <w:u w:val="single"/>
        </w:rPr>
        <w:t xml:space="preserve">       /   。</w:t>
      </w:r>
    </w:p>
    <w:p w14:paraId="45F866C3">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承包人提供履约担保的形式：</w:t>
      </w:r>
      <w:r>
        <w:rPr>
          <w:rFonts w:hint="eastAsia" w:ascii="宋体" w:hAnsi="宋体" w:cs="宋体"/>
          <w:color w:val="auto"/>
          <w:highlight w:val="none"/>
          <w:u w:val="single"/>
        </w:rPr>
        <w:t>/   。</w:t>
      </w:r>
    </w:p>
    <w:p w14:paraId="0497B273">
      <w:pPr>
        <w:pStyle w:val="3"/>
        <w:rPr>
          <w:rFonts w:ascii="宋体" w:hAnsi="宋体" w:cs="宋体"/>
          <w:color w:val="auto"/>
          <w:highlight w:val="none"/>
        </w:rPr>
      </w:pPr>
      <w:bookmarkStart w:id="808" w:name="_Toc78449801"/>
      <w:bookmarkStart w:id="809" w:name="_Toc907912356"/>
      <w:bookmarkStart w:id="810" w:name="_Toc407135215"/>
      <w:bookmarkStart w:id="811" w:name="_Toc931514330"/>
      <w:r>
        <w:rPr>
          <w:rFonts w:hint="eastAsia" w:ascii="宋体" w:hAnsi="宋体" w:cs="宋体"/>
          <w:color w:val="auto"/>
          <w:highlight w:val="none"/>
        </w:rPr>
        <w:t>4</w:t>
      </w:r>
      <w:bookmarkStart w:id="812" w:name="_Toc292559366"/>
      <w:bookmarkStart w:id="813" w:name="_Toc296944501"/>
      <w:bookmarkStart w:id="814" w:name="_Toc267251413"/>
      <w:bookmarkStart w:id="815" w:name="_Toc292559871"/>
      <w:bookmarkStart w:id="816" w:name="_Toc296891202"/>
      <w:bookmarkStart w:id="817" w:name="_Toc296347161"/>
      <w:bookmarkStart w:id="818" w:name="_Toc296503162"/>
      <w:bookmarkStart w:id="819" w:name="_Toc297048348"/>
      <w:bookmarkStart w:id="820" w:name="_Toc297120462"/>
      <w:bookmarkStart w:id="821" w:name="_Toc296890990"/>
      <w:bookmarkStart w:id="822" w:name="_Toc296346663"/>
      <w:r>
        <w:rPr>
          <w:rFonts w:hint="eastAsia" w:ascii="宋体" w:hAnsi="宋体" w:cs="宋体"/>
          <w:color w:val="auto"/>
          <w:highlight w:val="none"/>
        </w:rPr>
        <w:t>. 监</w:t>
      </w:r>
      <w:bookmarkEnd w:id="812"/>
      <w:bookmarkEnd w:id="813"/>
      <w:bookmarkEnd w:id="814"/>
      <w:bookmarkEnd w:id="815"/>
      <w:bookmarkEnd w:id="816"/>
      <w:bookmarkEnd w:id="817"/>
      <w:bookmarkEnd w:id="818"/>
      <w:bookmarkEnd w:id="819"/>
      <w:bookmarkEnd w:id="820"/>
      <w:bookmarkEnd w:id="821"/>
      <w:bookmarkEnd w:id="822"/>
      <w:r>
        <w:rPr>
          <w:rFonts w:hint="eastAsia" w:ascii="宋体" w:hAnsi="宋体" w:cs="宋体"/>
          <w:color w:val="auto"/>
          <w:highlight w:val="none"/>
        </w:rPr>
        <w:t>理人</w:t>
      </w:r>
      <w:bookmarkEnd w:id="804"/>
      <w:bookmarkEnd w:id="805"/>
      <w:bookmarkEnd w:id="806"/>
      <w:bookmarkEnd w:id="807"/>
      <w:bookmarkEnd w:id="808"/>
      <w:bookmarkEnd w:id="809"/>
      <w:bookmarkEnd w:id="810"/>
      <w:bookmarkEnd w:id="811"/>
    </w:p>
    <w:p w14:paraId="2CC25C1F">
      <w:pPr>
        <w:pStyle w:val="4"/>
        <w:rPr>
          <w:rFonts w:ascii="宋体" w:hAnsi="宋体" w:cs="宋体"/>
          <w:color w:val="auto"/>
          <w:highlight w:val="none"/>
        </w:rPr>
      </w:pPr>
      <w:bookmarkStart w:id="823" w:name="_Toc373227714"/>
      <w:bookmarkStart w:id="824" w:name="_Toc373478361"/>
      <w:bookmarkStart w:id="825" w:name="_Toc389065280"/>
      <w:bookmarkStart w:id="826" w:name="_Toc1008304989"/>
      <w:bookmarkStart w:id="827" w:name="_Toc78449802"/>
      <w:bookmarkStart w:id="828" w:name="_Toc1595043148"/>
      <w:bookmarkStart w:id="829" w:name="_Toc407135216"/>
      <w:r>
        <w:rPr>
          <w:rFonts w:hint="eastAsia" w:ascii="宋体" w:hAnsi="宋体" w:cs="宋体"/>
          <w:color w:val="auto"/>
          <w:highlight w:val="none"/>
        </w:rPr>
        <w:t>4.1 监理人的一般规定</w:t>
      </w:r>
      <w:bookmarkEnd w:id="823"/>
      <w:bookmarkEnd w:id="824"/>
      <w:bookmarkEnd w:id="825"/>
      <w:bookmarkEnd w:id="826"/>
      <w:bookmarkEnd w:id="827"/>
      <w:bookmarkEnd w:id="828"/>
      <w:bookmarkEnd w:id="829"/>
    </w:p>
    <w:p w14:paraId="45F4C14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szCs w:val="21"/>
          <w:highlight w:val="none"/>
          <w:u w:val="single"/>
        </w:rPr>
        <w:t>按本工程的监理合同中的有关条款</w:t>
      </w:r>
      <w:r>
        <w:rPr>
          <w:rFonts w:hint="eastAsia" w:ascii="宋体" w:hAnsi="宋体" w:cs="宋体"/>
          <w:color w:val="auto"/>
          <w:highlight w:val="none"/>
        </w:rPr>
        <w:t>。</w:t>
      </w:r>
    </w:p>
    <w:p w14:paraId="034BB55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szCs w:val="21"/>
          <w:highlight w:val="none"/>
          <w:u w:val="single"/>
        </w:rPr>
        <w:t>按本工程的监理合同中的有关条款</w:t>
      </w:r>
      <w:r>
        <w:rPr>
          <w:rFonts w:hint="eastAsia" w:ascii="宋体" w:hAnsi="宋体" w:cs="宋体"/>
          <w:color w:val="auto"/>
          <w:highlight w:val="none"/>
        </w:rPr>
        <w:t xml:space="preserve">。 </w:t>
      </w:r>
    </w:p>
    <w:p w14:paraId="01465E89">
      <w:pPr>
        <w:spacing w:line="360" w:lineRule="auto"/>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szCs w:val="21"/>
          <w:highlight w:val="none"/>
          <w:u w:val="single"/>
        </w:rPr>
        <w:t>按本工程的监理合同中的有关条款</w:t>
      </w:r>
      <w:r>
        <w:rPr>
          <w:rFonts w:hint="eastAsia" w:ascii="宋体" w:hAnsi="宋体" w:cs="宋体"/>
          <w:color w:val="auto"/>
          <w:highlight w:val="none"/>
        </w:rPr>
        <w:t>。</w:t>
      </w:r>
    </w:p>
    <w:p w14:paraId="1ED7DE55">
      <w:pPr>
        <w:pStyle w:val="4"/>
        <w:rPr>
          <w:rFonts w:ascii="宋体" w:hAnsi="宋体" w:cs="宋体"/>
          <w:color w:val="auto"/>
          <w:highlight w:val="none"/>
        </w:rPr>
      </w:pPr>
      <w:bookmarkStart w:id="830" w:name="_Toc1350458461"/>
      <w:bookmarkStart w:id="831" w:name="_Toc407135217"/>
      <w:bookmarkStart w:id="832" w:name="_Toc78449803"/>
      <w:bookmarkStart w:id="833" w:name="_Toc386397261"/>
      <w:bookmarkStart w:id="834" w:name="_Toc373227715"/>
      <w:bookmarkStart w:id="835" w:name="_Toc389065281"/>
      <w:bookmarkStart w:id="836" w:name="_Toc373478362"/>
      <w:r>
        <w:rPr>
          <w:rFonts w:hint="eastAsia" w:ascii="宋体" w:hAnsi="宋体" w:cs="宋体"/>
          <w:color w:val="auto"/>
          <w:highlight w:val="none"/>
        </w:rPr>
        <w:t>4.2 监理人员</w:t>
      </w:r>
      <w:bookmarkEnd w:id="830"/>
      <w:bookmarkEnd w:id="831"/>
      <w:bookmarkEnd w:id="832"/>
      <w:bookmarkEnd w:id="833"/>
      <w:bookmarkEnd w:id="834"/>
      <w:bookmarkEnd w:id="835"/>
      <w:bookmarkEnd w:id="836"/>
      <w:r>
        <w:rPr>
          <w:rFonts w:hint="eastAsia" w:ascii="宋体" w:hAnsi="宋体" w:cs="宋体"/>
          <w:color w:val="auto"/>
          <w:highlight w:val="none"/>
        </w:rPr>
        <w:t>(发包人通知到位)</w:t>
      </w:r>
    </w:p>
    <w:p w14:paraId="05467D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总监理工程师：</w:t>
      </w:r>
    </w:p>
    <w:p w14:paraId="5356D3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701397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6558F8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监理工程师注册证书号：</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59FB59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3B4417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6DEBD7E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2CDE077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0969A471">
      <w:pPr>
        <w:pStyle w:val="4"/>
        <w:rPr>
          <w:rFonts w:ascii="宋体" w:hAnsi="宋体" w:cs="宋体"/>
          <w:color w:val="auto"/>
          <w:highlight w:val="none"/>
        </w:rPr>
      </w:pPr>
      <w:bookmarkStart w:id="837" w:name="_Toc539923186"/>
      <w:bookmarkStart w:id="838" w:name="_Toc373478363"/>
      <w:bookmarkStart w:id="839" w:name="_Toc78449804"/>
      <w:bookmarkStart w:id="840" w:name="_Toc941562442"/>
      <w:bookmarkStart w:id="841" w:name="_Toc389065282"/>
      <w:bookmarkStart w:id="842" w:name="_Toc373227716"/>
      <w:bookmarkStart w:id="843" w:name="_Toc407135218"/>
      <w:r>
        <w:rPr>
          <w:rFonts w:hint="eastAsia" w:ascii="宋体" w:hAnsi="宋体" w:cs="宋体"/>
          <w:color w:val="auto"/>
          <w:highlight w:val="none"/>
        </w:rPr>
        <w:t>4.4 商定或确定</w:t>
      </w:r>
      <w:bookmarkEnd w:id="837"/>
      <w:bookmarkEnd w:id="838"/>
      <w:bookmarkEnd w:id="839"/>
      <w:bookmarkEnd w:id="840"/>
      <w:bookmarkEnd w:id="841"/>
      <w:bookmarkEnd w:id="842"/>
      <w:bookmarkEnd w:id="843"/>
    </w:p>
    <w:p w14:paraId="1D3E2C97">
      <w:pPr>
        <w:spacing w:line="360" w:lineRule="auto"/>
        <w:ind w:firstLine="420" w:firstLineChars="200"/>
        <w:rPr>
          <w:rFonts w:ascii="宋体" w:hAnsi="宋体" w:cs="宋体"/>
          <w:color w:val="auto"/>
          <w:highlight w:val="none"/>
        </w:rPr>
      </w:pPr>
      <w:bookmarkStart w:id="844" w:name="_Toc267251418"/>
      <w:r>
        <w:rPr>
          <w:rFonts w:hint="eastAsia" w:ascii="宋体" w:hAnsi="宋体" w:cs="宋体"/>
          <w:color w:val="auto"/>
          <w:highlight w:val="none"/>
        </w:rPr>
        <w:t>在发包人和承包人不能通过协商达成一致意见时，发包人授权监理人对以下事项进行确定：</w:t>
      </w:r>
    </w:p>
    <w:p w14:paraId="3533AFB0">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无</w:t>
      </w:r>
      <w:r>
        <w:rPr>
          <w:rFonts w:hint="eastAsia" w:ascii="宋体" w:hAnsi="宋体" w:cs="宋体"/>
          <w:color w:val="auto"/>
          <w:highlight w:val="none"/>
        </w:rPr>
        <w:t>；</w:t>
      </w:r>
    </w:p>
    <w:p w14:paraId="5A97E3AF">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u w:val="single"/>
        </w:rPr>
        <w:t>无</w:t>
      </w:r>
      <w:r>
        <w:rPr>
          <w:rFonts w:hint="eastAsia" w:ascii="宋体" w:hAnsi="宋体" w:cs="宋体"/>
          <w:color w:val="auto"/>
          <w:highlight w:val="none"/>
        </w:rPr>
        <w:t>；</w:t>
      </w:r>
    </w:p>
    <w:p w14:paraId="1E395C0F">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u w:val="single"/>
        </w:rPr>
        <w:t>无</w:t>
      </w:r>
      <w:r>
        <w:rPr>
          <w:rFonts w:hint="eastAsia" w:ascii="宋体" w:hAnsi="宋体" w:cs="宋体"/>
          <w:color w:val="auto"/>
          <w:highlight w:val="none"/>
        </w:rPr>
        <w:t>。</w:t>
      </w:r>
    </w:p>
    <w:p w14:paraId="7973A994">
      <w:pPr>
        <w:pStyle w:val="3"/>
        <w:rPr>
          <w:rFonts w:ascii="宋体" w:hAnsi="宋体" w:cs="宋体"/>
          <w:color w:val="auto"/>
          <w:highlight w:val="none"/>
        </w:rPr>
      </w:pPr>
      <w:bookmarkStart w:id="845" w:name="_Toc373478364"/>
      <w:bookmarkStart w:id="846" w:name="_Toc351203637"/>
      <w:bookmarkStart w:id="847" w:name="_Toc373227717"/>
      <w:bookmarkStart w:id="848" w:name="_Toc1687297496"/>
      <w:bookmarkStart w:id="849" w:name="_Toc389065283"/>
      <w:bookmarkStart w:id="850" w:name="_Toc1603077308"/>
      <w:bookmarkStart w:id="851" w:name="_Toc78449805"/>
      <w:bookmarkStart w:id="852" w:name="_Toc407135219"/>
      <w:r>
        <w:rPr>
          <w:rFonts w:hint="eastAsia" w:ascii="宋体" w:hAnsi="宋体" w:cs="宋体"/>
          <w:color w:val="auto"/>
          <w:highlight w:val="none"/>
        </w:rPr>
        <w:t>5</w:t>
      </w:r>
      <w:bookmarkEnd w:id="844"/>
      <w:bookmarkStart w:id="853" w:name="_Toc296503163"/>
      <w:bookmarkStart w:id="854" w:name="_Toc296890991"/>
      <w:bookmarkStart w:id="855" w:name="_Toc296891203"/>
      <w:bookmarkStart w:id="856" w:name="_Toc297120463"/>
      <w:bookmarkStart w:id="857" w:name="_Toc292559872"/>
      <w:bookmarkStart w:id="858" w:name="_Toc296944502"/>
      <w:bookmarkStart w:id="859" w:name="_Toc297048349"/>
      <w:bookmarkStart w:id="860" w:name="_Toc292559367"/>
      <w:bookmarkStart w:id="861" w:name="_Toc296346664"/>
      <w:bookmarkStart w:id="862" w:name="_Toc296347162"/>
      <w:r>
        <w:rPr>
          <w:rFonts w:hint="eastAsia" w:ascii="宋体" w:hAnsi="宋体" w:cs="宋体"/>
          <w:color w:val="auto"/>
          <w:highlight w:val="none"/>
        </w:rPr>
        <w:t>. 工程质量</w:t>
      </w:r>
      <w:bookmarkEnd w:id="845"/>
      <w:bookmarkEnd w:id="846"/>
      <w:bookmarkEnd w:id="847"/>
      <w:bookmarkEnd w:id="848"/>
      <w:bookmarkEnd w:id="849"/>
      <w:bookmarkEnd w:id="850"/>
      <w:bookmarkEnd w:id="851"/>
      <w:bookmarkEnd w:id="852"/>
    </w:p>
    <w:p w14:paraId="67C18CB3">
      <w:pPr>
        <w:pStyle w:val="4"/>
        <w:rPr>
          <w:rFonts w:ascii="宋体" w:hAnsi="宋体" w:cs="宋体"/>
          <w:color w:val="auto"/>
          <w:highlight w:val="none"/>
        </w:rPr>
      </w:pPr>
      <w:bookmarkStart w:id="863" w:name="_Toc78449806"/>
      <w:bookmarkStart w:id="864" w:name="_Toc389065284"/>
      <w:bookmarkStart w:id="865" w:name="_Toc373227718"/>
      <w:bookmarkStart w:id="866" w:name="_Toc373478365"/>
      <w:bookmarkStart w:id="867" w:name="_Toc1952042622"/>
      <w:bookmarkStart w:id="868" w:name="_Toc1835421345"/>
      <w:bookmarkStart w:id="869" w:name="_Toc407135220"/>
      <w:r>
        <w:rPr>
          <w:rFonts w:hint="eastAsia" w:ascii="宋体" w:hAnsi="宋体" w:cs="宋体"/>
          <w:color w:val="auto"/>
          <w:highlight w:val="none"/>
        </w:rPr>
        <w:t>5.1 质量要求</w:t>
      </w:r>
      <w:bookmarkEnd w:id="863"/>
      <w:bookmarkEnd w:id="864"/>
      <w:bookmarkEnd w:id="865"/>
      <w:bookmarkEnd w:id="866"/>
      <w:bookmarkEnd w:id="867"/>
      <w:bookmarkEnd w:id="868"/>
      <w:bookmarkEnd w:id="869"/>
    </w:p>
    <w:p w14:paraId="17710211">
      <w:pPr>
        <w:spacing w:line="360" w:lineRule="auto"/>
        <w:jc w:val="left"/>
        <w:rPr>
          <w:rFonts w:ascii="宋体" w:hAnsi="宋体" w:cs="宋体"/>
          <w:color w:val="auto"/>
          <w:highlight w:val="none"/>
          <w:u w:val="single"/>
        </w:rPr>
      </w:pPr>
      <w:r>
        <w:rPr>
          <w:rFonts w:hint="eastAsia" w:ascii="宋体" w:hAnsi="宋体" w:cs="宋体"/>
          <w:color w:val="auto"/>
          <w:highlight w:val="none"/>
        </w:rPr>
        <w:t>5</w:t>
      </w:r>
      <w:bookmarkStart w:id="870" w:name="_Toc300934949"/>
      <w:bookmarkStart w:id="871" w:name="_Toc312677997"/>
      <w:bookmarkStart w:id="872" w:name="_Toc318581164"/>
      <w:bookmarkStart w:id="873" w:name="_Toc297123496"/>
      <w:bookmarkStart w:id="874" w:name="_Toc303539106"/>
      <w:bookmarkStart w:id="875" w:name="_Toc297216155"/>
      <w:bookmarkStart w:id="876" w:name="_Toc304295527"/>
      <w:r>
        <w:rPr>
          <w:rFonts w:hint="eastAsia" w:ascii="宋体" w:hAnsi="宋体" w:cs="宋体"/>
          <w:color w:val="auto"/>
          <w:highlight w:val="none"/>
        </w:rPr>
        <w:t>.1.1 特殊质量标准和要求：</w:t>
      </w:r>
      <w:r>
        <w:rPr>
          <w:rFonts w:hint="eastAsia" w:ascii="宋体" w:hAnsi="宋体" w:cs="宋体"/>
          <w:color w:val="auto"/>
          <w:szCs w:val="21"/>
          <w:highlight w:val="none"/>
          <w:u w:val="single"/>
        </w:rPr>
        <w:t>达到国家施工验收规范合格工程标准</w:t>
      </w:r>
      <w:r>
        <w:rPr>
          <w:rFonts w:hint="eastAsia" w:ascii="宋体" w:hAnsi="宋体" w:cs="宋体"/>
          <w:color w:val="auto"/>
          <w:highlight w:val="none"/>
        </w:rPr>
        <w:t>。</w:t>
      </w:r>
    </w:p>
    <w:p w14:paraId="2A6326D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关于工程奖项的约定： 无</w:t>
      </w:r>
    </w:p>
    <w:p w14:paraId="2AB7E61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5.3 隐蔽工程检查</w:t>
      </w:r>
    </w:p>
    <w:p w14:paraId="40F9BA00">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9636CD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24</w:t>
      </w:r>
      <w:r>
        <w:rPr>
          <w:rFonts w:hint="eastAsia" w:ascii="宋体" w:hAnsi="宋体" w:cs="宋体"/>
          <w:color w:val="auto"/>
          <w:highlight w:val="none"/>
        </w:rPr>
        <w:t>小时提交书面延期要求。</w:t>
      </w:r>
    </w:p>
    <w:p w14:paraId="438066D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48</w:t>
      </w:r>
      <w:r>
        <w:rPr>
          <w:rFonts w:hint="eastAsia" w:ascii="宋体" w:hAnsi="宋体" w:cs="宋体"/>
          <w:color w:val="auto"/>
          <w:highlight w:val="none"/>
        </w:rPr>
        <w:t>小时。</w:t>
      </w:r>
    </w:p>
    <w:p w14:paraId="5E792309">
      <w:pPr>
        <w:pStyle w:val="3"/>
        <w:rPr>
          <w:rFonts w:ascii="宋体" w:hAnsi="宋体" w:cs="宋体"/>
          <w:color w:val="auto"/>
          <w:highlight w:val="none"/>
        </w:rPr>
      </w:pPr>
      <w:bookmarkStart w:id="877" w:name="_Toc373227719"/>
      <w:bookmarkStart w:id="878" w:name="_Toc1259019817"/>
      <w:bookmarkStart w:id="879" w:name="_Toc703841976"/>
      <w:bookmarkStart w:id="880" w:name="_Toc351203638"/>
      <w:bookmarkStart w:id="881" w:name="_Toc389065285"/>
      <w:bookmarkStart w:id="882" w:name="_Toc373478366"/>
      <w:bookmarkStart w:id="883" w:name="_Toc407135221"/>
      <w:bookmarkStart w:id="884" w:name="_Toc78449807"/>
      <w:r>
        <w:rPr>
          <w:rFonts w:hint="eastAsia" w:ascii="宋体" w:hAnsi="宋体" w:cs="宋体"/>
          <w:color w:val="auto"/>
          <w:highlight w:val="none"/>
        </w:rPr>
        <w:t>6. 安全文明施工与环境保护</w:t>
      </w:r>
      <w:bookmarkEnd w:id="877"/>
      <w:bookmarkEnd w:id="878"/>
      <w:bookmarkEnd w:id="879"/>
      <w:bookmarkEnd w:id="880"/>
      <w:bookmarkEnd w:id="881"/>
      <w:bookmarkEnd w:id="882"/>
      <w:bookmarkEnd w:id="883"/>
      <w:bookmarkEnd w:id="884"/>
    </w:p>
    <w:p w14:paraId="5A83C525">
      <w:pPr>
        <w:pStyle w:val="4"/>
        <w:rPr>
          <w:rFonts w:ascii="宋体" w:hAnsi="宋体" w:cs="宋体"/>
          <w:color w:val="auto"/>
          <w:highlight w:val="none"/>
        </w:rPr>
      </w:pPr>
      <w:bookmarkStart w:id="885" w:name="_Toc407135222"/>
      <w:bookmarkStart w:id="886" w:name="_Toc180514231"/>
      <w:bookmarkStart w:id="887" w:name="_Toc373227720"/>
      <w:bookmarkStart w:id="888" w:name="_Toc78449808"/>
      <w:bookmarkStart w:id="889" w:name="_Toc373478367"/>
      <w:bookmarkStart w:id="890" w:name="_Toc1296292062"/>
      <w:bookmarkStart w:id="891" w:name="_Toc389065286"/>
      <w:r>
        <w:rPr>
          <w:rFonts w:hint="eastAsia" w:ascii="宋体" w:hAnsi="宋体" w:cs="宋体"/>
          <w:color w:val="auto"/>
          <w:highlight w:val="none"/>
        </w:rPr>
        <w:t>6.1 安全文明施工</w:t>
      </w:r>
      <w:bookmarkEnd w:id="885"/>
      <w:bookmarkEnd w:id="886"/>
      <w:bookmarkEnd w:id="887"/>
      <w:bookmarkEnd w:id="888"/>
      <w:bookmarkEnd w:id="889"/>
      <w:bookmarkEnd w:id="890"/>
      <w:bookmarkEnd w:id="891"/>
    </w:p>
    <w:p w14:paraId="09A7A9F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承包人应严格按桂建质 [2015]16号文《广西壮族自治区建筑工程安全防护、文明施工措施费及管理细则》和南建质安 [2013]22号文《关于印发南宁市建设工程安全防护、文明施工措施费用管理规定的通知》等法律、法规采取安全措施、组织施工，如发生事故、发生的一切责任与后果均由承包人承担</w:t>
      </w:r>
      <w:r>
        <w:rPr>
          <w:rFonts w:hint="eastAsia" w:ascii="宋体" w:hAnsi="宋体" w:cs="宋体"/>
          <w:color w:val="auto"/>
          <w:highlight w:val="none"/>
        </w:rPr>
        <w:t>。</w:t>
      </w:r>
    </w:p>
    <w:p w14:paraId="04B4ABC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关于安全文明施工奖项的约定：</w:t>
      </w:r>
      <w:r>
        <w:rPr>
          <w:rFonts w:hint="eastAsia" w:ascii="宋体" w:hAnsi="宋体" w:cs="宋体"/>
          <w:color w:val="auto"/>
          <w:highlight w:val="none"/>
          <w:u w:val="single"/>
        </w:rPr>
        <w:t>无</w:t>
      </w:r>
      <w:r>
        <w:rPr>
          <w:rFonts w:hint="eastAsia" w:ascii="宋体" w:hAnsi="宋体" w:cs="宋体"/>
          <w:color w:val="auto"/>
          <w:highlight w:val="none"/>
        </w:rPr>
        <w:t>。</w:t>
      </w:r>
    </w:p>
    <w:p w14:paraId="4D609605">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6.1.4 关于治安保卫的特别约定：</w:t>
      </w:r>
      <w:r>
        <w:rPr>
          <w:rFonts w:hint="eastAsia" w:ascii="宋体"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319F37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承包人应在开工前编制施工场地治安管理计划，并制定应对突发治安的紧急预案上报发包人</w:t>
      </w:r>
      <w:r>
        <w:rPr>
          <w:rFonts w:hint="eastAsia" w:ascii="宋体" w:hAnsi="宋体" w:cs="宋体"/>
          <w:color w:val="auto"/>
          <w:highlight w:val="none"/>
        </w:rPr>
        <w:t>。</w:t>
      </w:r>
    </w:p>
    <w:p w14:paraId="4F9D923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6.1.5 文明施工</w:t>
      </w:r>
    </w:p>
    <w:p w14:paraId="0FE44A56">
      <w:pPr>
        <w:widowControl/>
        <w:ind w:firstLine="420" w:firstLineChars="200"/>
        <w:jc w:val="left"/>
        <w:rPr>
          <w:rFonts w:ascii="宋体" w:hAnsi="宋体" w:cs="宋体"/>
          <w:color w:val="auto"/>
          <w:highlight w:val="none"/>
        </w:rPr>
      </w:pPr>
      <w:r>
        <w:rPr>
          <w:rFonts w:hint="eastAsia" w:ascii="宋体" w:hAnsi="宋体" w:cs="宋体"/>
          <w:color w:val="auto"/>
          <w:highlight w:val="none"/>
        </w:rPr>
        <w:t xml:space="preserve">合同当事人对文明施工的要求： </w:t>
      </w:r>
      <w:r>
        <w:rPr>
          <w:rFonts w:hint="eastAsia" w:ascii="宋体" w:hAnsi="宋体" w:cs="宋体"/>
          <w:color w:val="auto"/>
          <w:highlight w:val="none"/>
          <w:u w:val="single"/>
        </w:rPr>
        <w:t>安全防护、文明施工设施须按南宁市城乡建委《南宁市建设工程质量安全管理标准化图集》（强制性行业标准，2013 年4月版）要求及《南宁市城乡建设委员会关于印发“美丽南宁·整洁畅通有序大行动”活动工地乱象整治工作方案的通知》（南建质安 [2013]28号）有关标准及制度执行</w:t>
      </w:r>
      <w:r>
        <w:rPr>
          <w:rFonts w:hint="eastAsia" w:ascii="宋体" w:hAnsi="宋体" w:cs="宋体"/>
          <w:color w:val="auto"/>
          <w:highlight w:val="none"/>
        </w:rPr>
        <w:t>。</w:t>
      </w:r>
    </w:p>
    <w:p w14:paraId="36091370">
      <w:pPr>
        <w:spacing w:line="360" w:lineRule="auto"/>
        <w:ind w:left="210" w:leftChars="100" w:firstLine="210" w:firstLineChars="100"/>
        <w:jc w:val="left"/>
        <w:rPr>
          <w:rFonts w:ascii="宋体" w:hAnsi="宋体" w:cs="宋体"/>
          <w:color w:val="auto"/>
          <w:kern w:val="0"/>
          <w:highlight w:val="none"/>
        </w:rPr>
      </w:pPr>
      <w:r>
        <w:rPr>
          <w:rFonts w:hint="eastAsia" w:ascii="宋体" w:hAnsi="宋体" w:cs="宋体"/>
          <w:color w:val="auto"/>
          <w:highlight w:val="none"/>
        </w:rPr>
        <w:t>6.1.6</w:t>
      </w:r>
      <w:r>
        <w:rPr>
          <w:rFonts w:hint="eastAsia" w:ascii="宋体" w:hAnsi="宋体" w:cs="宋体"/>
          <w:color w:val="auto"/>
          <w:kern w:val="0"/>
          <w:highlight w:val="none"/>
        </w:rPr>
        <w:t>关于安全生产费总额、支付比例、支付期限、转入和结余收回的约定：</w:t>
      </w:r>
      <w:r>
        <w:rPr>
          <w:rFonts w:hint="eastAsia" w:ascii="宋体" w:hAnsi="宋体" w:cs="宋体"/>
          <w:color w:val="auto"/>
          <w:kern w:val="0"/>
          <w:highlight w:val="none"/>
          <w:u w:val="single"/>
        </w:rPr>
        <w:t xml:space="preserve">文明施工措施费   </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XXX</w:t>
      </w:r>
      <w:r>
        <w:rPr>
          <w:rFonts w:hint="eastAsia" w:ascii="宋体" w:hAnsi="宋体" w:cs="宋体"/>
          <w:color w:val="auto"/>
          <w:kern w:val="0"/>
          <w:highlight w:val="none"/>
          <w:u w:val="single"/>
        </w:rPr>
        <w:t>元（投标工程量清单总价措施费提到有关安全文明施工费之和），使用要求：专款专用。具体按桂建质[2015]16号文《广西壮族自治区建筑工程安全防护、文明施工措施费及管理细则》和南建质安[2013]22号文《关于印发南宁市建设工程安全防护、文明施工措施费用管理规定的通知》要求执行。发包人应在开工后28天内预付安全文明施工费总额的50%元以上，其余部分与进度款同期支付</w:t>
      </w:r>
      <w:r>
        <w:rPr>
          <w:rFonts w:hint="eastAsia" w:ascii="宋体" w:hAnsi="宋体" w:cs="宋体"/>
          <w:color w:val="auto"/>
          <w:kern w:val="0"/>
          <w:highlight w:val="none"/>
        </w:rPr>
        <w:t>。</w:t>
      </w:r>
      <w:r>
        <w:rPr>
          <w:rFonts w:hint="eastAsia" w:ascii="宋体" w:hAnsi="宋体" w:cs="宋体"/>
          <w:color w:val="auto"/>
          <w:kern w:val="0"/>
          <w:highlight w:val="none"/>
          <w:u w:val="single"/>
        </w:rPr>
        <w:t>费用由承包人提出申请，发包人再根据横州市政府投资项目请款流程及时办理请款。若承包人未按文件规定落实安全文明施工各项工作，发包人有权利在扣减相应金额的安全生产费用。</w:t>
      </w:r>
    </w:p>
    <w:p w14:paraId="6D5EAA8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6.1.9.2 </w:t>
      </w:r>
      <w:r>
        <w:rPr>
          <w:rFonts w:hint="eastAsia" w:ascii="宋体" w:hAnsi="宋体" w:cs="宋体"/>
          <w:color w:val="auto"/>
          <w:kern w:val="0"/>
          <w:highlight w:val="none"/>
        </w:rPr>
        <w:t>承包人的安全责任</w:t>
      </w:r>
    </w:p>
    <w:p w14:paraId="1FCF04F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承包人必须文明、安全施工，在施工期间内由于承包人原因造成的一切人员伤亡和财产损失等责任事故和所发生的一切费用一概由承包人承担</w:t>
      </w:r>
      <w:r>
        <w:rPr>
          <w:rFonts w:hint="eastAsia" w:ascii="宋体" w:hAnsi="宋体" w:cs="宋体"/>
          <w:color w:val="auto"/>
          <w:highlight w:val="none"/>
        </w:rPr>
        <w:t>。</w:t>
      </w:r>
    </w:p>
    <w:p w14:paraId="4F40803A">
      <w:pPr>
        <w:pStyle w:val="4"/>
        <w:ind w:firstLine="420" w:firstLineChars="200"/>
        <w:rPr>
          <w:rFonts w:ascii="宋体" w:hAnsi="宋体" w:cs="宋体"/>
          <w:b w:val="0"/>
          <w:bCs w:val="0"/>
          <w:color w:val="auto"/>
          <w:sz w:val="21"/>
          <w:szCs w:val="21"/>
          <w:highlight w:val="none"/>
        </w:rPr>
      </w:pPr>
      <w:bookmarkStart w:id="892" w:name="_Toc389065287"/>
      <w:bookmarkStart w:id="893" w:name="_Toc1519050792"/>
      <w:bookmarkStart w:id="894" w:name="_Toc407135223"/>
      <w:bookmarkStart w:id="895" w:name="_Toc373227721"/>
      <w:bookmarkStart w:id="896" w:name="_Toc1922268668"/>
      <w:bookmarkStart w:id="897" w:name="_Toc78449809"/>
      <w:bookmarkStart w:id="898" w:name="_Toc373478368"/>
      <w:r>
        <w:rPr>
          <w:rFonts w:hint="eastAsia" w:ascii="宋体" w:hAnsi="宋体" w:cs="宋体"/>
          <w:b w:val="0"/>
          <w:bCs w:val="0"/>
          <w:color w:val="auto"/>
          <w:sz w:val="21"/>
          <w:szCs w:val="21"/>
          <w:highlight w:val="none"/>
        </w:rPr>
        <w:t>6.3 环境保护</w:t>
      </w:r>
      <w:bookmarkEnd w:id="892"/>
      <w:bookmarkEnd w:id="893"/>
      <w:bookmarkEnd w:id="894"/>
      <w:bookmarkEnd w:id="895"/>
      <w:bookmarkEnd w:id="896"/>
      <w:bookmarkEnd w:id="897"/>
      <w:bookmarkEnd w:id="898"/>
    </w:p>
    <w:p w14:paraId="544DD7D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因施工需要，经发包人批准，由承包人办理有关施工场地交通、环卫和施工噪音管理等手续，费用由承包人负责。</w:t>
      </w:r>
    </w:p>
    <w:p w14:paraId="3103E81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870"/>
    <w:bookmarkEnd w:id="871"/>
    <w:bookmarkEnd w:id="872"/>
    <w:bookmarkEnd w:id="873"/>
    <w:bookmarkEnd w:id="874"/>
    <w:bookmarkEnd w:id="875"/>
    <w:bookmarkEnd w:id="876"/>
    <w:p w14:paraId="6C36494E">
      <w:pPr>
        <w:pStyle w:val="3"/>
        <w:rPr>
          <w:rFonts w:ascii="宋体" w:hAnsi="宋体" w:cs="宋体"/>
          <w:color w:val="auto"/>
          <w:highlight w:val="none"/>
        </w:rPr>
      </w:pPr>
      <w:bookmarkStart w:id="899" w:name="_Toc373227722"/>
      <w:bookmarkStart w:id="900" w:name="_Toc351203639"/>
      <w:bookmarkStart w:id="901" w:name="_Toc78449810"/>
      <w:bookmarkStart w:id="902" w:name="_Toc315674767"/>
      <w:bookmarkStart w:id="903" w:name="_Toc407135224"/>
      <w:bookmarkStart w:id="904" w:name="_Toc389065288"/>
      <w:bookmarkStart w:id="905" w:name="_Toc1408286886"/>
      <w:bookmarkStart w:id="906" w:name="_Toc373478369"/>
      <w:r>
        <w:rPr>
          <w:rFonts w:hint="eastAsia" w:ascii="宋体" w:hAnsi="宋体" w:cs="宋体"/>
          <w:color w:val="auto"/>
          <w:highlight w:val="none"/>
        </w:rPr>
        <w:t>7. 工期和进度</w:t>
      </w:r>
      <w:bookmarkEnd w:id="899"/>
      <w:bookmarkEnd w:id="900"/>
      <w:bookmarkEnd w:id="901"/>
      <w:bookmarkEnd w:id="902"/>
      <w:bookmarkEnd w:id="903"/>
      <w:bookmarkEnd w:id="904"/>
      <w:bookmarkEnd w:id="905"/>
      <w:bookmarkEnd w:id="906"/>
    </w:p>
    <w:p w14:paraId="139F61FC">
      <w:pPr>
        <w:pStyle w:val="4"/>
        <w:rPr>
          <w:rFonts w:ascii="宋体" w:hAnsi="宋体" w:cs="宋体"/>
          <w:color w:val="auto"/>
          <w:highlight w:val="none"/>
        </w:rPr>
      </w:pPr>
      <w:bookmarkStart w:id="907" w:name="_Toc78449811"/>
      <w:bookmarkStart w:id="908" w:name="_Toc389065289"/>
      <w:bookmarkStart w:id="909" w:name="_Toc1194482517"/>
      <w:bookmarkStart w:id="910" w:name="_Toc373478370"/>
      <w:bookmarkStart w:id="911" w:name="_Toc407135225"/>
      <w:bookmarkStart w:id="912" w:name="_Toc664905709"/>
      <w:bookmarkStart w:id="913" w:name="_Toc373227723"/>
      <w:r>
        <w:rPr>
          <w:rFonts w:hint="eastAsia" w:ascii="宋体" w:hAnsi="宋体" w:cs="宋体"/>
          <w:color w:val="auto"/>
          <w:highlight w:val="none"/>
        </w:rPr>
        <w:t>7.1 施工组织设计</w:t>
      </w:r>
      <w:bookmarkEnd w:id="907"/>
      <w:bookmarkEnd w:id="908"/>
      <w:bookmarkEnd w:id="909"/>
      <w:bookmarkEnd w:id="910"/>
      <w:bookmarkEnd w:id="911"/>
      <w:bookmarkEnd w:id="912"/>
      <w:bookmarkEnd w:id="913"/>
    </w:p>
    <w:p w14:paraId="317BCEC1">
      <w:pPr>
        <w:autoSpaceDE w:val="0"/>
        <w:autoSpaceDN w:val="0"/>
        <w:adjustRightIn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7.1.1 合</w:t>
      </w:r>
      <w:r>
        <w:rPr>
          <w:rFonts w:hint="eastAsia" w:ascii="宋体" w:hAnsi="宋体" w:cs="宋体"/>
          <w:color w:val="auto"/>
          <w:kern w:val="0"/>
          <w:highlight w:val="none"/>
        </w:rPr>
        <w:t>同当事人约定的施工组织设计应包括的其他内容：</w:t>
      </w:r>
      <w:r>
        <w:rPr>
          <w:rFonts w:hint="eastAsia" w:ascii="宋体" w:hAnsi="宋体" w:cs="宋体"/>
          <w:color w:val="auto"/>
          <w:kern w:val="0"/>
          <w:highlight w:val="none"/>
          <w:u w:val="single"/>
        </w:rPr>
        <w:t>按招标文件约定，招标文件无约定的按通用条款或双方另行约定</w:t>
      </w:r>
      <w:r>
        <w:rPr>
          <w:rFonts w:hint="eastAsia" w:ascii="宋体" w:hAnsi="宋体" w:cs="宋体"/>
          <w:color w:val="auto"/>
          <w:highlight w:val="none"/>
        </w:rPr>
        <w:t>。</w:t>
      </w:r>
    </w:p>
    <w:p w14:paraId="734A426C">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14E92DCE">
      <w:pPr>
        <w:autoSpaceDE w:val="0"/>
        <w:autoSpaceDN w:val="0"/>
        <w:adjustRightIn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承包人提交详细施工组织设计的期限的约定：</w:t>
      </w:r>
      <w:r>
        <w:rPr>
          <w:rFonts w:hint="eastAsia" w:ascii="宋体" w:hAnsi="宋体" w:cs="宋体"/>
          <w:color w:val="auto"/>
          <w:highlight w:val="none"/>
          <w:u w:val="single"/>
        </w:rPr>
        <w:t>开工前</w:t>
      </w:r>
      <w:r>
        <w:rPr>
          <w:rFonts w:hint="eastAsia" w:ascii="宋体" w:hAnsi="宋体" w:cs="宋体"/>
          <w:color w:val="auto"/>
          <w:spacing w:val="16"/>
          <w:highlight w:val="none"/>
          <w:u w:val="single"/>
        </w:rPr>
        <w:t>7</w:t>
      </w:r>
      <w:r>
        <w:rPr>
          <w:rFonts w:hint="eastAsia" w:ascii="宋体" w:hAnsi="宋体" w:cs="宋体"/>
          <w:color w:val="auto"/>
          <w:highlight w:val="none"/>
          <w:u w:val="single"/>
        </w:rPr>
        <w:t>天内</w:t>
      </w:r>
      <w:r>
        <w:rPr>
          <w:rFonts w:hint="eastAsia" w:ascii="宋体" w:hAnsi="宋体" w:cs="宋体"/>
          <w:color w:val="auto"/>
          <w:highlight w:val="none"/>
        </w:rPr>
        <w:t>。</w:t>
      </w:r>
    </w:p>
    <w:p w14:paraId="173B418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自</w:t>
      </w:r>
      <w:r>
        <w:rPr>
          <w:rFonts w:hint="eastAsia" w:ascii="宋体" w:hAnsi="宋体" w:cs="宋体"/>
          <w:color w:val="auto"/>
          <w:spacing w:val="-1"/>
          <w:szCs w:val="22"/>
          <w:highlight w:val="none"/>
          <w:u w:val="single"/>
        </w:rPr>
        <w:t>收到承包</w:t>
      </w:r>
      <w:r>
        <w:rPr>
          <w:rFonts w:hint="eastAsia" w:ascii="宋体" w:hAnsi="宋体" w:cs="宋体"/>
          <w:color w:val="auto"/>
          <w:spacing w:val="-5"/>
          <w:highlight w:val="none"/>
          <w:u w:val="single"/>
        </w:rPr>
        <w:t xml:space="preserve">人报送的施工组织设计后 </w:t>
      </w:r>
      <w:r>
        <w:rPr>
          <w:rFonts w:hint="eastAsia" w:ascii="宋体" w:hAnsi="宋体" w:cs="宋体"/>
          <w:color w:val="auto"/>
          <w:highlight w:val="none"/>
          <w:u w:val="single"/>
        </w:rPr>
        <w:t>7</w:t>
      </w:r>
      <w:r>
        <w:rPr>
          <w:rFonts w:hint="eastAsia" w:ascii="宋体" w:hAnsi="宋体" w:cs="宋体"/>
          <w:color w:val="auto"/>
          <w:spacing w:val="6"/>
          <w:highlight w:val="none"/>
          <w:u w:val="single"/>
        </w:rPr>
        <w:t xml:space="preserve"> </w:t>
      </w:r>
      <w:r>
        <w:rPr>
          <w:rFonts w:hint="eastAsia" w:ascii="宋体" w:hAnsi="宋体" w:cs="宋体"/>
          <w:color w:val="auto"/>
          <w:highlight w:val="none"/>
          <w:u w:val="single"/>
        </w:rPr>
        <w:t>天内</w:t>
      </w:r>
      <w:r>
        <w:rPr>
          <w:rFonts w:hint="eastAsia" w:ascii="宋体" w:hAnsi="宋体" w:cs="宋体"/>
          <w:color w:val="auto"/>
          <w:highlight w:val="none"/>
        </w:rPr>
        <w:t>。</w:t>
      </w:r>
    </w:p>
    <w:p w14:paraId="27E84801">
      <w:pPr>
        <w:pStyle w:val="4"/>
        <w:rPr>
          <w:rFonts w:ascii="宋体" w:hAnsi="宋体" w:cs="宋体"/>
          <w:color w:val="auto"/>
          <w:highlight w:val="none"/>
        </w:rPr>
      </w:pPr>
      <w:bookmarkStart w:id="914" w:name="_Toc407135226"/>
      <w:bookmarkStart w:id="915" w:name="_Toc373227724"/>
      <w:bookmarkStart w:id="916" w:name="_Toc78449812"/>
      <w:bookmarkStart w:id="917" w:name="_Toc1674747833"/>
      <w:bookmarkStart w:id="918" w:name="_Toc1393005721"/>
      <w:bookmarkStart w:id="919" w:name="_Toc389065290"/>
      <w:bookmarkStart w:id="920" w:name="_Toc373478371"/>
      <w:r>
        <w:rPr>
          <w:rFonts w:hint="eastAsia" w:ascii="宋体" w:hAnsi="宋体" w:cs="宋体"/>
          <w:color w:val="auto"/>
          <w:highlight w:val="none"/>
        </w:rPr>
        <w:t>7</w:t>
      </w:r>
      <w:bookmarkStart w:id="921" w:name="_Toc312678005"/>
      <w:bookmarkStart w:id="922" w:name="_Toc303539123"/>
      <w:bookmarkStart w:id="923" w:name="_Toc297216173"/>
      <w:bookmarkStart w:id="924" w:name="_Toc297123514"/>
      <w:bookmarkStart w:id="925" w:name="_Toc304295541"/>
      <w:bookmarkStart w:id="926" w:name="_Toc312677479"/>
      <w:bookmarkStart w:id="927" w:name="_Toc300934966"/>
      <w:r>
        <w:rPr>
          <w:rFonts w:hint="eastAsia" w:ascii="宋体" w:hAnsi="宋体" w:cs="宋体"/>
          <w:color w:val="auto"/>
          <w:highlight w:val="none"/>
        </w:rPr>
        <w:t>.2 施工进度计划</w:t>
      </w:r>
      <w:bookmarkEnd w:id="914"/>
      <w:bookmarkEnd w:id="915"/>
      <w:bookmarkEnd w:id="916"/>
      <w:bookmarkEnd w:id="917"/>
      <w:bookmarkEnd w:id="918"/>
      <w:bookmarkEnd w:id="919"/>
      <w:bookmarkEnd w:id="920"/>
    </w:p>
    <w:p w14:paraId="4B46A59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7.2.2 施工进度计划的修订</w:t>
      </w:r>
    </w:p>
    <w:p w14:paraId="71672D5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szCs w:val="21"/>
          <w:highlight w:val="none"/>
          <w:u w:val="single"/>
        </w:rPr>
        <w:t>双方协商</w:t>
      </w:r>
      <w:r>
        <w:rPr>
          <w:rFonts w:hint="eastAsia" w:ascii="宋体" w:hAnsi="宋体" w:cs="宋体"/>
          <w:color w:val="auto"/>
          <w:highlight w:val="none"/>
        </w:rPr>
        <w:t>。</w:t>
      </w:r>
    </w:p>
    <w:p w14:paraId="2937503E">
      <w:pPr>
        <w:pStyle w:val="4"/>
        <w:rPr>
          <w:rFonts w:ascii="宋体" w:hAnsi="宋体" w:cs="宋体"/>
          <w:color w:val="auto"/>
          <w:highlight w:val="none"/>
        </w:rPr>
      </w:pPr>
      <w:bookmarkStart w:id="928" w:name="_Toc373478372"/>
      <w:bookmarkStart w:id="929" w:name="_Toc1498273563"/>
      <w:bookmarkStart w:id="930" w:name="_Toc373227725"/>
      <w:bookmarkStart w:id="931" w:name="_Toc78449813"/>
      <w:bookmarkStart w:id="932" w:name="_Toc423062567"/>
      <w:bookmarkStart w:id="933" w:name="_Toc389065291"/>
      <w:bookmarkStart w:id="934" w:name="_Toc407135227"/>
      <w:r>
        <w:rPr>
          <w:rFonts w:hint="eastAsia" w:ascii="宋体" w:hAnsi="宋体" w:cs="宋体"/>
          <w:color w:val="auto"/>
          <w:highlight w:val="none"/>
        </w:rPr>
        <w:t>7.3 开工</w:t>
      </w:r>
      <w:bookmarkEnd w:id="928"/>
      <w:bookmarkEnd w:id="929"/>
      <w:bookmarkEnd w:id="930"/>
      <w:bookmarkEnd w:id="931"/>
      <w:bookmarkEnd w:id="932"/>
      <w:bookmarkEnd w:id="933"/>
      <w:bookmarkEnd w:id="934"/>
    </w:p>
    <w:p w14:paraId="64C8612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7.3.1 开工准备</w:t>
      </w:r>
    </w:p>
    <w:p w14:paraId="6CFD038E">
      <w:pPr>
        <w:spacing w:line="360" w:lineRule="auto"/>
        <w:ind w:firstLine="426"/>
        <w:jc w:val="left"/>
        <w:rPr>
          <w:rFonts w:ascii="宋体" w:hAnsi="宋体" w:cs="宋体"/>
          <w:color w:val="auto"/>
          <w:highlight w:val="none"/>
          <w:u w:val="single"/>
        </w:rPr>
      </w:pPr>
      <w:r>
        <w:rPr>
          <w:rFonts w:hint="eastAsia" w:ascii="宋体" w:hAnsi="宋体" w:cs="宋体"/>
          <w:color w:val="auto"/>
          <w:highlight w:val="none"/>
        </w:rPr>
        <w:t>关于承包人提交</w:t>
      </w:r>
      <w:r>
        <w:rPr>
          <w:rFonts w:hint="eastAsia" w:ascii="宋体" w:hAnsi="宋体" w:cs="宋体"/>
          <w:color w:val="auto"/>
          <w:kern w:val="0"/>
          <w:highlight w:val="none"/>
        </w:rPr>
        <w:t>工程开工报审表的期限：</w:t>
      </w:r>
      <w:r>
        <w:rPr>
          <w:rFonts w:hint="eastAsia" w:ascii="宋体" w:hAnsi="宋体" w:cs="宋体"/>
          <w:color w:val="auto"/>
          <w:kern w:val="0"/>
          <w:highlight w:val="none"/>
          <w:u w:val="single"/>
        </w:rPr>
        <w:t>合同签订后，</w:t>
      </w:r>
      <w:r>
        <w:rPr>
          <w:rFonts w:hint="eastAsia" w:ascii="宋体" w:hAnsi="宋体" w:cs="宋体"/>
          <w:color w:val="auto"/>
          <w:highlight w:val="none"/>
          <w:u w:val="single"/>
        </w:rPr>
        <w:t>开工前 7 天</w:t>
      </w:r>
      <w:r>
        <w:rPr>
          <w:rFonts w:hint="eastAsia" w:ascii="宋体" w:hAnsi="宋体" w:cs="宋体"/>
          <w:color w:val="auto"/>
          <w:highlight w:val="none"/>
        </w:rPr>
        <w:t>。</w:t>
      </w:r>
    </w:p>
    <w:p w14:paraId="16336141">
      <w:pPr>
        <w:spacing w:line="360" w:lineRule="auto"/>
        <w:ind w:firstLine="426"/>
        <w:jc w:val="left"/>
        <w:rPr>
          <w:rFonts w:ascii="宋体" w:hAnsi="宋体" w:cs="宋体"/>
          <w:color w:val="auto"/>
          <w:highlight w:val="none"/>
          <w:u w:val="singl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w:t>
      </w:r>
      <w:r>
        <w:rPr>
          <w:rFonts w:hint="eastAsia" w:ascii="宋体" w:hAnsi="宋体" w:cs="宋体"/>
          <w:color w:val="auto"/>
          <w:highlight w:val="none"/>
        </w:rPr>
        <w:t>。</w:t>
      </w:r>
    </w:p>
    <w:p w14:paraId="1E39C7FE">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w:t>
      </w:r>
      <w:r>
        <w:rPr>
          <w:rFonts w:hint="eastAsia" w:ascii="宋体" w:hAnsi="宋体" w:cs="宋体"/>
          <w:color w:val="auto"/>
          <w:highlight w:val="none"/>
        </w:rPr>
        <w:t>。</w:t>
      </w:r>
    </w:p>
    <w:p w14:paraId="52E5526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7.3.2 开工通知</w:t>
      </w:r>
    </w:p>
    <w:p w14:paraId="6D5A61F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 xml:space="preserve">  /  </w:t>
      </w:r>
      <w:r>
        <w:rPr>
          <w:rFonts w:hint="eastAsia" w:ascii="宋体" w:hAnsi="宋体" w:cs="宋体"/>
          <w:color w:val="auto"/>
          <w:highlight w:val="none"/>
        </w:rPr>
        <w:t>天内发出开工通知的，承包人有权提出价格调整要求，或者解除合同。</w:t>
      </w:r>
    </w:p>
    <w:bookmarkEnd w:id="921"/>
    <w:bookmarkEnd w:id="922"/>
    <w:bookmarkEnd w:id="923"/>
    <w:bookmarkEnd w:id="924"/>
    <w:bookmarkEnd w:id="925"/>
    <w:bookmarkEnd w:id="926"/>
    <w:bookmarkEnd w:id="927"/>
    <w:p w14:paraId="39EB3505">
      <w:pPr>
        <w:pStyle w:val="4"/>
        <w:rPr>
          <w:rFonts w:ascii="宋体" w:hAnsi="宋体" w:cs="宋体"/>
          <w:color w:val="auto"/>
          <w:highlight w:val="none"/>
        </w:rPr>
      </w:pPr>
      <w:bookmarkStart w:id="935" w:name="_Toc407135228"/>
      <w:bookmarkStart w:id="936" w:name="_Toc373227726"/>
      <w:bookmarkStart w:id="937" w:name="_Toc389065292"/>
      <w:bookmarkStart w:id="938" w:name="_Toc86855608"/>
      <w:bookmarkStart w:id="939" w:name="_Toc741356765"/>
      <w:bookmarkStart w:id="940" w:name="_Toc373478373"/>
      <w:bookmarkStart w:id="941" w:name="_Toc78449814"/>
      <w:r>
        <w:rPr>
          <w:rFonts w:hint="eastAsia" w:ascii="宋体" w:hAnsi="宋体" w:cs="宋体"/>
          <w:color w:val="auto"/>
          <w:highlight w:val="none"/>
        </w:rPr>
        <w:t>7.4 测量放线</w:t>
      </w:r>
      <w:bookmarkEnd w:id="935"/>
      <w:bookmarkEnd w:id="936"/>
      <w:bookmarkEnd w:id="937"/>
      <w:bookmarkEnd w:id="938"/>
      <w:bookmarkEnd w:id="939"/>
      <w:bookmarkEnd w:id="940"/>
      <w:bookmarkEnd w:id="941"/>
    </w:p>
    <w:p w14:paraId="7A072C12">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kern w:val="0"/>
          <w:highlight w:val="none"/>
          <w:u w:val="single"/>
        </w:rPr>
        <w:t>合同签订后，</w:t>
      </w:r>
      <w:r>
        <w:rPr>
          <w:rFonts w:hint="eastAsia" w:ascii="宋体" w:hAnsi="宋体" w:cs="宋体"/>
          <w:color w:val="auto"/>
          <w:highlight w:val="none"/>
          <w:u w:val="single"/>
        </w:rPr>
        <w:t>开工前 7 天</w:t>
      </w:r>
      <w:r>
        <w:rPr>
          <w:rFonts w:hint="eastAsia" w:ascii="宋体" w:hAnsi="宋体" w:cs="宋体"/>
          <w:color w:val="auto"/>
          <w:highlight w:val="none"/>
        </w:rPr>
        <w:t>。</w:t>
      </w:r>
    </w:p>
    <w:p w14:paraId="285465E6">
      <w:pPr>
        <w:pStyle w:val="4"/>
        <w:rPr>
          <w:rFonts w:ascii="宋体" w:hAnsi="宋体" w:cs="宋体"/>
          <w:color w:val="auto"/>
          <w:highlight w:val="none"/>
        </w:rPr>
      </w:pPr>
      <w:bookmarkStart w:id="942" w:name="_Toc373227727"/>
      <w:bookmarkStart w:id="943" w:name="_Toc1863025072"/>
      <w:bookmarkStart w:id="944" w:name="_Toc373478374"/>
      <w:bookmarkStart w:id="945" w:name="_Toc1417437583"/>
      <w:bookmarkStart w:id="946" w:name="_Toc407135229"/>
      <w:bookmarkStart w:id="947" w:name="_Toc389065293"/>
      <w:bookmarkStart w:id="948" w:name="_Toc78449815"/>
      <w:r>
        <w:rPr>
          <w:rFonts w:hint="eastAsia" w:ascii="宋体" w:hAnsi="宋体" w:cs="宋体"/>
          <w:color w:val="auto"/>
          <w:highlight w:val="none"/>
        </w:rPr>
        <w:t>7</w:t>
      </w:r>
      <w:bookmarkStart w:id="949" w:name="_Toc303539125"/>
      <w:bookmarkStart w:id="950" w:name="_Toc304295546"/>
      <w:bookmarkStart w:id="951" w:name="_Toc312677484"/>
      <w:bookmarkStart w:id="952" w:name="_Toc300934968"/>
      <w:bookmarkStart w:id="953" w:name="_Toc312678010"/>
      <w:bookmarkStart w:id="954" w:name="_Toc297216175"/>
      <w:bookmarkStart w:id="955" w:name="_Toc297123516"/>
      <w:r>
        <w:rPr>
          <w:rFonts w:hint="eastAsia" w:ascii="宋体" w:hAnsi="宋体" w:cs="宋体"/>
          <w:color w:val="auto"/>
          <w:highlight w:val="none"/>
        </w:rPr>
        <w:t>.5 工期延误</w:t>
      </w:r>
      <w:bookmarkEnd w:id="942"/>
      <w:bookmarkEnd w:id="943"/>
      <w:bookmarkEnd w:id="944"/>
      <w:bookmarkEnd w:id="945"/>
      <w:bookmarkEnd w:id="946"/>
      <w:bookmarkEnd w:id="947"/>
      <w:bookmarkEnd w:id="948"/>
    </w:p>
    <w:bookmarkEnd w:id="949"/>
    <w:bookmarkEnd w:id="950"/>
    <w:bookmarkEnd w:id="951"/>
    <w:bookmarkEnd w:id="952"/>
    <w:bookmarkEnd w:id="953"/>
    <w:bookmarkEnd w:id="954"/>
    <w:bookmarkEnd w:id="955"/>
    <w:p w14:paraId="2A82B02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7.5.1 因发包人原因导致工期延误</w:t>
      </w:r>
    </w:p>
    <w:p w14:paraId="446E72DB">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highlight w:val="none"/>
        </w:rPr>
        <w:t xml:space="preserve"> 。</w:t>
      </w:r>
    </w:p>
    <w:p w14:paraId="3FDBABF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w:t>
      </w:r>
      <w:bookmarkStart w:id="956" w:name="_Toc312677486"/>
      <w:bookmarkStart w:id="957" w:name="_Toc312678012"/>
      <w:bookmarkStart w:id="958" w:name="_Toc318581169"/>
      <w:bookmarkStart w:id="959" w:name="_Toc303539127"/>
      <w:bookmarkStart w:id="960" w:name="_Toc300934970"/>
      <w:bookmarkStart w:id="961" w:name="_Toc297123518"/>
      <w:bookmarkStart w:id="962" w:name="_Toc304295548"/>
      <w:bookmarkStart w:id="963" w:name="_Toc297216177"/>
      <w:r>
        <w:rPr>
          <w:rFonts w:hint="eastAsia" w:ascii="宋体" w:hAnsi="宋体" w:cs="宋体"/>
          <w:color w:val="auto"/>
          <w:highlight w:val="none"/>
        </w:rPr>
        <w:t>.5.2 因承包人原因导致工期延误</w:t>
      </w:r>
    </w:p>
    <w:bookmarkEnd w:id="956"/>
    <w:bookmarkEnd w:id="957"/>
    <w:bookmarkEnd w:id="958"/>
    <w:p w14:paraId="1ABEE1C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双方约定经监理工程师确认，工期相应顺延的情况：</w:t>
      </w:r>
      <w:r>
        <w:rPr>
          <w:rFonts w:hint="eastAsia" w:ascii="宋体" w:hAnsi="宋体" w:cs="宋体"/>
          <w:color w:val="auto"/>
          <w:spacing w:val="-6"/>
          <w:szCs w:val="21"/>
          <w:highlight w:val="none"/>
          <w:u w:val="single"/>
        </w:rPr>
        <w:t>由于发包人延误，</w:t>
      </w:r>
      <w:r>
        <w:rPr>
          <w:rFonts w:hint="eastAsia" w:ascii="宋体" w:hAnsi="宋体" w:cs="宋体"/>
          <w:color w:val="auto"/>
          <w:spacing w:val="-33"/>
          <w:szCs w:val="21"/>
          <w:highlight w:val="none"/>
          <w:u w:val="single"/>
        </w:rPr>
        <w:t xml:space="preserve"> </w:t>
      </w:r>
      <w:r>
        <w:rPr>
          <w:rFonts w:hint="eastAsia" w:ascii="宋体" w:hAnsi="宋体" w:cs="宋体"/>
          <w:color w:val="auto"/>
          <w:spacing w:val="-6"/>
          <w:szCs w:val="21"/>
          <w:highlight w:val="none"/>
          <w:u w:val="single"/>
        </w:rPr>
        <w:t>工期顺延（须得到</w:t>
      </w:r>
      <w:r>
        <w:rPr>
          <w:rFonts w:hint="eastAsia" w:ascii="宋体" w:hAnsi="宋体" w:cs="宋体"/>
          <w:color w:val="auto"/>
          <w:spacing w:val="-5"/>
          <w:szCs w:val="21"/>
          <w:highlight w:val="none"/>
          <w:u w:val="single"/>
        </w:rPr>
        <w:t>发包人代表的书面签字认可，承包人同意发包人原因的工期顺延，承包人不予索赔）</w:t>
      </w:r>
      <w:r>
        <w:rPr>
          <w:rFonts w:hint="eastAsia" w:ascii="宋体" w:hAnsi="宋体" w:cs="宋体"/>
          <w:color w:val="auto"/>
          <w:highlight w:val="none"/>
        </w:rPr>
        <w:t>。</w:t>
      </w:r>
    </w:p>
    <w:p w14:paraId="76497A3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w:t>
      </w:r>
      <w:bookmarkStart w:id="964" w:name="_Toc312677487"/>
      <w:bookmarkStart w:id="965" w:name="_Toc312678013"/>
      <w:bookmarkStart w:id="966" w:name="_Toc318581170"/>
      <w:r>
        <w:rPr>
          <w:rFonts w:hint="eastAsia" w:ascii="宋体" w:hAnsi="宋体" w:cs="宋体"/>
          <w:color w:val="auto"/>
          <w:highlight w:val="none"/>
        </w:rPr>
        <w:t>承包人原因造成工期延误，逾期竣工违约金的计算方法为：</w:t>
      </w:r>
      <w:bookmarkEnd w:id="959"/>
      <w:bookmarkEnd w:id="960"/>
      <w:bookmarkEnd w:id="961"/>
      <w:bookmarkEnd w:id="962"/>
      <w:bookmarkEnd w:id="963"/>
      <w:bookmarkEnd w:id="964"/>
      <w:bookmarkEnd w:id="965"/>
      <w:bookmarkEnd w:id="966"/>
      <w:bookmarkStart w:id="967" w:name="_Toc318581171"/>
      <w:bookmarkStart w:id="968" w:name="_Toc312678014"/>
      <w:r>
        <w:rPr>
          <w:rFonts w:hint="eastAsia" w:ascii="宋体" w:hAnsi="宋体" w:cs="宋体"/>
          <w:color w:val="auto"/>
          <w:highlight w:val="none"/>
          <w:u w:val="single"/>
        </w:rPr>
        <w:t>无</w:t>
      </w:r>
      <w:r>
        <w:rPr>
          <w:rFonts w:hint="eastAsia" w:ascii="宋体" w:hAnsi="宋体" w:cs="宋体"/>
          <w:color w:val="auto"/>
          <w:highlight w:val="none"/>
        </w:rPr>
        <w:t>。</w:t>
      </w:r>
    </w:p>
    <w:bookmarkEnd w:id="967"/>
    <w:bookmarkEnd w:id="968"/>
    <w:p w14:paraId="18B72693">
      <w:pPr>
        <w:pStyle w:val="4"/>
        <w:rPr>
          <w:rFonts w:ascii="宋体" w:hAnsi="宋体" w:cs="宋体"/>
          <w:color w:val="auto"/>
          <w:highlight w:val="none"/>
        </w:rPr>
      </w:pPr>
      <w:bookmarkStart w:id="969" w:name="_Toc389065294"/>
      <w:bookmarkStart w:id="970" w:name="_Toc407135230"/>
      <w:bookmarkStart w:id="971" w:name="_Toc373227728"/>
      <w:bookmarkStart w:id="972" w:name="_Toc1954543271"/>
      <w:bookmarkStart w:id="973" w:name="_Toc78449816"/>
      <w:bookmarkStart w:id="974" w:name="_Toc888037017"/>
      <w:bookmarkStart w:id="975" w:name="_Toc373478375"/>
      <w:r>
        <w:rPr>
          <w:rFonts w:hint="eastAsia" w:ascii="宋体" w:hAnsi="宋体" w:cs="宋体"/>
          <w:color w:val="auto"/>
          <w:highlight w:val="none"/>
        </w:rPr>
        <w:t>7</w:t>
      </w:r>
      <w:bookmarkStart w:id="976" w:name="_Toc300934971"/>
      <w:bookmarkStart w:id="977" w:name="_Toc297216178"/>
      <w:bookmarkStart w:id="978" w:name="_Toc312678015"/>
      <w:bookmarkStart w:id="979" w:name="_Toc297123519"/>
      <w:bookmarkStart w:id="980" w:name="_Toc304295549"/>
      <w:bookmarkStart w:id="981" w:name="_Toc303539128"/>
      <w:r>
        <w:rPr>
          <w:rFonts w:hint="eastAsia" w:ascii="宋体" w:hAnsi="宋体" w:cs="宋体"/>
          <w:color w:val="auto"/>
          <w:highlight w:val="none"/>
        </w:rPr>
        <w:t>.6 不</w:t>
      </w:r>
      <w:bookmarkEnd w:id="976"/>
      <w:bookmarkEnd w:id="977"/>
      <w:bookmarkEnd w:id="978"/>
      <w:bookmarkEnd w:id="979"/>
      <w:bookmarkEnd w:id="980"/>
      <w:bookmarkEnd w:id="981"/>
      <w:r>
        <w:rPr>
          <w:rFonts w:hint="eastAsia" w:ascii="宋体" w:hAnsi="宋体" w:cs="宋体"/>
          <w:color w:val="auto"/>
          <w:highlight w:val="none"/>
        </w:rPr>
        <w:t>利物质条件</w:t>
      </w:r>
      <w:bookmarkEnd w:id="969"/>
      <w:bookmarkEnd w:id="970"/>
      <w:bookmarkEnd w:id="971"/>
      <w:bookmarkEnd w:id="972"/>
      <w:bookmarkEnd w:id="973"/>
      <w:bookmarkEnd w:id="974"/>
      <w:bookmarkEnd w:id="975"/>
    </w:p>
    <w:p w14:paraId="086F9E68">
      <w:pPr>
        <w:spacing w:line="360" w:lineRule="auto"/>
        <w:ind w:firstLine="420" w:firstLineChars="200"/>
        <w:jc w:val="left"/>
        <w:rPr>
          <w:rFonts w:ascii="宋体" w:hAnsi="宋体" w:cs="宋体"/>
          <w:color w:val="auto"/>
          <w:highlight w:val="none"/>
          <w:u w:val="single"/>
        </w:rPr>
      </w:pPr>
      <w:bookmarkStart w:id="982" w:name="_Toc303539129"/>
      <w:bookmarkStart w:id="983" w:name="_Toc297216179"/>
      <w:bookmarkStart w:id="984" w:name="_Toc312678016"/>
      <w:bookmarkStart w:id="985" w:name="_Toc304295550"/>
      <w:bookmarkStart w:id="986" w:name="_Toc300934972"/>
      <w:bookmarkStart w:id="987" w:name="_Toc318581172"/>
      <w:bookmarkStart w:id="988" w:name="_Toc297123520"/>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雨雪、冰雹、台风、高温天气、低温天气、停水、 停电、节假日、扰民和民扰、市政影响等不利因素等在总工期内，不另外考虑。如遇国家和政府要求短期（临时）停工的，双方协商处理</w:t>
      </w:r>
      <w:r>
        <w:rPr>
          <w:rFonts w:hint="eastAsia" w:ascii="宋体" w:hAnsi="宋体" w:cs="宋体"/>
          <w:color w:val="auto"/>
          <w:highlight w:val="none"/>
        </w:rPr>
        <w:t>。</w:t>
      </w:r>
    </w:p>
    <w:bookmarkEnd w:id="982"/>
    <w:bookmarkEnd w:id="983"/>
    <w:bookmarkEnd w:id="984"/>
    <w:bookmarkEnd w:id="985"/>
    <w:bookmarkEnd w:id="986"/>
    <w:bookmarkEnd w:id="987"/>
    <w:bookmarkEnd w:id="988"/>
    <w:p w14:paraId="39E61B5C">
      <w:pPr>
        <w:pStyle w:val="4"/>
        <w:rPr>
          <w:rFonts w:ascii="宋体" w:hAnsi="宋体" w:cs="宋体"/>
          <w:color w:val="auto"/>
          <w:highlight w:val="none"/>
        </w:rPr>
      </w:pPr>
      <w:bookmarkStart w:id="989" w:name="_Toc2031116443"/>
      <w:bookmarkStart w:id="990" w:name="_Toc373478376"/>
      <w:bookmarkStart w:id="991" w:name="_Toc851880484"/>
      <w:bookmarkStart w:id="992" w:name="_Toc407135231"/>
      <w:bookmarkStart w:id="993" w:name="_Toc389065295"/>
      <w:bookmarkStart w:id="994" w:name="_Toc373227729"/>
      <w:bookmarkStart w:id="995" w:name="_Toc78449817"/>
      <w:r>
        <w:rPr>
          <w:rFonts w:hint="eastAsia" w:ascii="宋体" w:hAnsi="宋体" w:cs="宋体"/>
          <w:color w:val="auto"/>
          <w:highlight w:val="none"/>
        </w:rPr>
        <w:t>7</w:t>
      </w:r>
      <w:bookmarkStart w:id="996" w:name="_Toc303539130"/>
      <w:bookmarkStart w:id="997" w:name="_Toc304295551"/>
      <w:bookmarkStart w:id="998" w:name="_Toc312678017"/>
      <w:bookmarkStart w:id="999" w:name="_Toc297216180"/>
      <w:bookmarkStart w:id="1000" w:name="_Toc300934973"/>
      <w:bookmarkStart w:id="1001" w:name="_Toc297123521"/>
      <w:r>
        <w:rPr>
          <w:rFonts w:hint="eastAsia" w:ascii="宋体" w:hAnsi="宋体" w:cs="宋体"/>
          <w:color w:val="auto"/>
          <w:highlight w:val="none"/>
        </w:rPr>
        <w:t>.7 异常恶劣的气候条件</w:t>
      </w:r>
      <w:bookmarkEnd w:id="989"/>
      <w:bookmarkEnd w:id="990"/>
      <w:bookmarkEnd w:id="991"/>
      <w:bookmarkEnd w:id="992"/>
      <w:bookmarkEnd w:id="993"/>
      <w:bookmarkEnd w:id="994"/>
      <w:bookmarkEnd w:id="995"/>
    </w:p>
    <w:bookmarkEnd w:id="996"/>
    <w:bookmarkEnd w:id="997"/>
    <w:bookmarkEnd w:id="998"/>
    <w:bookmarkEnd w:id="999"/>
    <w:bookmarkEnd w:id="1000"/>
    <w:bookmarkEnd w:id="1001"/>
    <w:p w14:paraId="2B4D15A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p>
    <w:p w14:paraId="590EA14E">
      <w:pPr>
        <w:spacing w:line="360" w:lineRule="auto"/>
        <w:ind w:firstLine="420" w:firstLineChars="200"/>
        <w:jc w:val="left"/>
        <w:rPr>
          <w:rFonts w:ascii="宋体" w:hAnsi="宋体" w:cs="宋体"/>
          <w:color w:val="auto"/>
          <w:szCs w:val="21"/>
          <w:highlight w:val="none"/>
        </w:rPr>
      </w:pPr>
      <w:bookmarkStart w:id="1002" w:name="_Toc373478377"/>
      <w:bookmarkStart w:id="1003" w:name="_Toc407135232"/>
      <w:bookmarkStart w:id="1004" w:name="_Toc373227730"/>
      <w:bookmarkStart w:id="1005" w:name="_Toc657185480"/>
      <w:bookmarkStart w:id="1006" w:name="_Toc78449818"/>
      <w:bookmarkStart w:id="1007" w:name="_Toc389065296"/>
      <w:bookmarkStart w:id="1008" w:name="_Toc2087373611"/>
      <w:r>
        <w:rPr>
          <w:rFonts w:hint="eastAsia" w:ascii="宋体" w:hAnsi="宋体" w:cs="宋体"/>
          <w:color w:val="auto"/>
          <w:szCs w:val="21"/>
          <w:highlight w:val="none"/>
        </w:rPr>
        <w:t>(1)持续高温: 连续三日最高温气温38度以上；</w:t>
      </w:r>
    </w:p>
    <w:p w14:paraId="191C5C7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(2)连续低温:连续三日最低气温-20度以上；</w:t>
      </w:r>
    </w:p>
    <w:p w14:paraId="52BAB24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(3)大风天气：施工水域日风力在6级以上且持续时间不少于4小时，或阵风大于8级；</w:t>
      </w:r>
    </w:p>
    <w:p w14:paraId="2455248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(4)暴雨天气：日降雨量 50mm 以上,或将与强度大于 20mm∕h；</w:t>
      </w:r>
    </w:p>
    <w:p w14:paraId="432AE89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(5)暴雪天气日降雪量 10mm 以上；</w:t>
      </w:r>
    </w:p>
    <w:p w14:paraId="31D2A94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(6)流速或波浪：内河3.5米∕秒以上的流速，海上2米及以上的大浪和强浪；</w:t>
      </w:r>
    </w:p>
    <w:p w14:paraId="64A2FA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(7)水淹：施工场地大部分或全部被潮水、洪水或雨水淹没超过一天；</w:t>
      </w:r>
    </w:p>
    <w:p w14:paraId="44A0B99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(8)大雾：能见度小于50米的雾天超过1天。</w:t>
      </w:r>
    </w:p>
    <w:p w14:paraId="64A6C20A">
      <w:pPr>
        <w:pStyle w:val="4"/>
        <w:rPr>
          <w:rFonts w:ascii="宋体" w:hAnsi="宋体" w:cs="宋体"/>
          <w:color w:val="auto"/>
          <w:highlight w:val="none"/>
        </w:rPr>
      </w:pPr>
      <w:r>
        <w:rPr>
          <w:rFonts w:hint="eastAsia" w:ascii="宋体" w:hAnsi="宋体" w:cs="宋体"/>
          <w:color w:val="auto"/>
          <w:highlight w:val="none"/>
        </w:rPr>
        <w:t>7.9 提前竣工</w:t>
      </w:r>
      <w:bookmarkEnd w:id="1002"/>
      <w:bookmarkEnd w:id="1003"/>
      <w:bookmarkEnd w:id="1004"/>
      <w:bookmarkEnd w:id="1005"/>
      <w:bookmarkEnd w:id="1006"/>
      <w:bookmarkEnd w:id="1007"/>
      <w:bookmarkEnd w:id="1008"/>
    </w:p>
    <w:p w14:paraId="02CFE18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7.9.2提前竣工（赶工）增加费的计算方法：</w:t>
      </w:r>
      <w:r>
        <w:rPr>
          <w:rFonts w:hint="eastAsia" w:ascii="宋体" w:hAnsi="宋体" w:cs="宋体"/>
          <w:color w:val="auto"/>
          <w:highlight w:val="none"/>
          <w:u w:val="single"/>
        </w:rPr>
        <w:t>无</w:t>
      </w:r>
      <w:r>
        <w:rPr>
          <w:rFonts w:hint="eastAsia" w:ascii="宋体" w:hAnsi="宋体" w:cs="宋体"/>
          <w:color w:val="auto"/>
          <w:highlight w:val="none"/>
        </w:rPr>
        <w:t>。</w:t>
      </w:r>
    </w:p>
    <w:p w14:paraId="0D0DBDDC">
      <w:pPr>
        <w:pStyle w:val="3"/>
        <w:rPr>
          <w:rFonts w:ascii="宋体" w:hAnsi="宋体" w:cs="宋体"/>
          <w:color w:val="auto"/>
          <w:highlight w:val="none"/>
        </w:rPr>
      </w:pPr>
      <w:bookmarkStart w:id="1009" w:name="_Toc1400878670"/>
      <w:bookmarkStart w:id="1010" w:name="_Toc78449819"/>
      <w:bookmarkStart w:id="1011" w:name="_Toc407135233"/>
      <w:bookmarkStart w:id="1012" w:name="_Toc373227731"/>
      <w:bookmarkStart w:id="1013" w:name="_Toc1302158431"/>
      <w:bookmarkStart w:id="1014" w:name="_Toc351203640"/>
      <w:bookmarkStart w:id="1015" w:name="_Toc373478378"/>
      <w:bookmarkStart w:id="1016" w:name="_Toc389065297"/>
      <w:r>
        <w:rPr>
          <w:rFonts w:hint="eastAsia" w:ascii="宋体" w:hAnsi="宋体" w:cs="宋体"/>
          <w:color w:val="auto"/>
          <w:highlight w:val="none"/>
        </w:rPr>
        <w:t>8. 材料与设备</w:t>
      </w:r>
      <w:bookmarkEnd w:id="1009"/>
      <w:bookmarkEnd w:id="1010"/>
      <w:bookmarkEnd w:id="1011"/>
      <w:bookmarkEnd w:id="1012"/>
      <w:bookmarkEnd w:id="1013"/>
      <w:bookmarkEnd w:id="1014"/>
      <w:bookmarkEnd w:id="1015"/>
      <w:bookmarkEnd w:id="1016"/>
    </w:p>
    <w:bookmarkEnd w:id="853"/>
    <w:bookmarkEnd w:id="854"/>
    <w:bookmarkEnd w:id="855"/>
    <w:bookmarkEnd w:id="856"/>
    <w:bookmarkEnd w:id="857"/>
    <w:bookmarkEnd w:id="858"/>
    <w:bookmarkEnd w:id="859"/>
    <w:bookmarkEnd w:id="860"/>
    <w:bookmarkEnd w:id="861"/>
    <w:bookmarkEnd w:id="862"/>
    <w:p w14:paraId="25134C08">
      <w:pPr>
        <w:pStyle w:val="4"/>
        <w:rPr>
          <w:rFonts w:ascii="宋体" w:hAnsi="宋体" w:cs="宋体"/>
          <w:color w:val="auto"/>
          <w:highlight w:val="none"/>
        </w:rPr>
      </w:pPr>
      <w:bookmarkStart w:id="1017" w:name="_Toc78449820"/>
      <w:bookmarkStart w:id="1018" w:name="_Toc373227732"/>
      <w:bookmarkStart w:id="1019" w:name="_Toc389065298"/>
      <w:bookmarkStart w:id="1020" w:name="_Toc1119561048"/>
      <w:bookmarkStart w:id="1021" w:name="_Toc1078610395"/>
      <w:bookmarkStart w:id="1022" w:name="_Toc373478379"/>
      <w:bookmarkStart w:id="1023" w:name="_Toc407135234"/>
      <w:r>
        <w:rPr>
          <w:rFonts w:hint="eastAsia" w:ascii="宋体" w:hAnsi="宋体" w:cs="宋体"/>
          <w:color w:val="auto"/>
          <w:highlight w:val="none"/>
        </w:rPr>
        <w:t>8.2 承包人采购材料与工程设备</w:t>
      </w:r>
      <w:bookmarkEnd w:id="1017"/>
      <w:bookmarkEnd w:id="1018"/>
      <w:bookmarkEnd w:id="1019"/>
      <w:bookmarkEnd w:id="1020"/>
      <w:bookmarkEnd w:id="1021"/>
      <w:bookmarkEnd w:id="1022"/>
      <w:bookmarkEnd w:id="1023"/>
    </w:p>
    <w:p w14:paraId="59897C24">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除已标价工程量清单《发包人提供主要材料和工程设备一览表》（表-21）中明确的材料、工程设备外，由承包人负责材料和工程设备的采购、运输和保管。</w:t>
      </w:r>
      <w:bookmarkStart w:id="1024" w:name="_Toc373478380"/>
      <w:bookmarkStart w:id="1025" w:name="_Toc389065299"/>
      <w:bookmarkStart w:id="1026" w:name="_Toc373227733"/>
    </w:p>
    <w:p w14:paraId="2B9CBCD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发包人在提供的招标控制价时有“参照或相当于**品牌、级别”约定的材料或设备，承包人采购时必须按类似于或优于所约定品牌、等级进行采购，施工期间该部分材料或设备如未超过招标约定的风险幅度的，结算时按招标控制价单价支付，不得调整。</w:t>
      </w:r>
    </w:p>
    <w:p w14:paraId="5F0437B9">
      <w:pPr>
        <w:pStyle w:val="47"/>
        <w:autoSpaceDE w:val="0"/>
        <w:autoSpaceDN w:val="0"/>
        <w:adjustRightInd w:val="0"/>
        <w:spacing w:line="360" w:lineRule="auto"/>
        <w:ind w:firstLine="420" w:firstLineChars="200"/>
        <w:jc w:val="left"/>
        <w:rPr>
          <w:rStyle w:val="48"/>
          <w:rFonts w:ascii="宋体" w:hAnsi="宋体" w:cs="宋体"/>
          <w:color w:val="auto"/>
          <w:highlight w:val="none"/>
        </w:rPr>
      </w:pPr>
      <w:r>
        <w:rPr>
          <w:rStyle w:val="48"/>
          <w:rFonts w:hint="eastAsia" w:ascii="宋体" w:hAnsi="宋体" w:cs="宋体"/>
          <w:color w:val="auto"/>
          <w:highlight w:val="none"/>
        </w:rPr>
        <w:t xml:space="preserve">满足南宁市城乡建设委员会南宁市工业和信息化委员会关于重新印发《南宁市城乡建设委员会和南宁市工业和信息化委员会关于推广应用高性能混凝土的通知》的通知（南建规【2016】1号）要求的，本工程如需使用，必须使用高性能混凝土。 </w:t>
      </w:r>
    </w:p>
    <w:p w14:paraId="3DC744E2">
      <w:pPr>
        <w:autoSpaceDE w:val="0"/>
        <w:autoSpaceDN w:val="0"/>
        <w:adjustRightInd w:val="0"/>
        <w:spacing w:line="360" w:lineRule="auto"/>
        <w:ind w:firstLine="420" w:firstLineChars="200"/>
        <w:jc w:val="left"/>
        <w:rPr>
          <w:rFonts w:ascii="宋体" w:hAnsi="宋体" w:cs="宋体"/>
          <w:color w:val="auto"/>
          <w:highlight w:val="none"/>
        </w:rPr>
      </w:pPr>
      <w:r>
        <w:rPr>
          <w:rStyle w:val="48"/>
          <w:rFonts w:hint="eastAsia" w:ascii="宋体" w:hAnsi="宋体" w:cs="宋体"/>
          <w:color w:val="auto"/>
          <w:highlight w:val="none"/>
        </w:rPr>
        <w:t>满足南宁市人民政府印发的《南宁市人民政府关于推广使用预拌砂浆的实施意见》（南府规〔2016〕12 号）要求的，本工程如需使用，必须使用预拌砂浆。</w:t>
      </w:r>
    </w:p>
    <w:p w14:paraId="6D417E5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禁止使用松木、松木包装材料设备、种子、苗木、花卉及繁殖材料。除已标价工程量清单《发包人提供主要材料和工程设备一览表》（表-21）中明确的材料、工程设备外，由承包人负责材料和工程设备的采购、运输和保管。</w:t>
      </w:r>
    </w:p>
    <w:p w14:paraId="38C8857F">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8.2.1 凡属承包范围内的所有材料、设备均由承包人自行采购，承包人应按合同（图纸） 规定的品牌、规格、数量、产地、技术参数等组织采购，但采购前需要携带本材料、设备的原产地 证明、出厂检验报告及产品合格证书提前报监理工程师审核，发包人确认方可采购；承包人若未经监理工程师及发包人确认， 所采购的材料、设备，发包人有权让承包人更换， 由此产生的一切损失由承包人承担；</w:t>
      </w:r>
    </w:p>
    <w:p w14:paraId="163129E9">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8.2.2 承包人采购供应的材料、设备，在开箱验收前 24 小时内，向发包人和监理工程师提出开箱 检验请求，经发包人和监理工程师验收合格并签署意见后方可 使用， 经开箱验收的材料、设备并不等同于最终的质量合格；</w:t>
      </w:r>
    </w:p>
    <w:p w14:paraId="15260C78">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8.2.3 若发现承包人以伪劣产品充抵或与发包人确认的材料设备不符、与设计或标准的材料设备不符，发包人有权让承包人更换直到发包人和监理工程师确认验收合格，并按该批材料、设备价格总额的10% 对承包人进行罚款，由发包人从进度款中直接扣抵，经验收后及在施工过程中发生设备、材料丢失或损坏，均由承包人自负；</w:t>
      </w:r>
    </w:p>
    <w:p w14:paraId="7B4DABF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8.2.4 承包人提供的材料设备产品的质量必须符合设计要求及国家建材行业和机电行业等标准要求；</w:t>
      </w:r>
    </w:p>
    <w:p w14:paraId="4D32D2B6">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8.2.5 因承包人资金投入不足，直接影响工程质量和工期，且无视监 理工程师的多次警告而不做改进，从而引起工程的质量、进度和材料设备准备严重滞后时，发包人有权采取相关措施进行补救，相关措施的费用由承包人承担。</w:t>
      </w:r>
    </w:p>
    <w:p w14:paraId="21C8F27F">
      <w:pPr>
        <w:pStyle w:val="4"/>
        <w:rPr>
          <w:rFonts w:ascii="宋体" w:hAnsi="宋体" w:cs="宋体"/>
          <w:color w:val="auto"/>
          <w:highlight w:val="none"/>
        </w:rPr>
      </w:pPr>
      <w:bookmarkStart w:id="1027" w:name="_Toc800965933"/>
      <w:bookmarkStart w:id="1028" w:name="_Toc407135235"/>
      <w:bookmarkStart w:id="1029" w:name="_Toc1355357553"/>
      <w:bookmarkStart w:id="1030" w:name="_Toc78449821"/>
      <w:r>
        <w:rPr>
          <w:rFonts w:hint="eastAsia" w:ascii="宋体" w:hAnsi="宋体" w:cs="宋体"/>
          <w:color w:val="auto"/>
          <w:highlight w:val="none"/>
        </w:rPr>
        <w:t>8</w:t>
      </w:r>
      <w:bookmarkStart w:id="1031" w:name="_Toc296891207"/>
      <w:bookmarkStart w:id="1032" w:name="_Toc296890995"/>
      <w:bookmarkStart w:id="1033" w:name="_Toc312677493"/>
      <w:bookmarkStart w:id="1034" w:name="_Toc297048353"/>
      <w:bookmarkStart w:id="1035" w:name="_Toc297216186"/>
      <w:bookmarkStart w:id="1036" w:name="_Toc296347166"/>
      <w:bookmarkStart w:id="1037" w:name="_Toc297120467"/>
      <w:bookmarkStart w:id="1038" w:name="_Toc292559372"/>
      <w:bookmarkStart w:id="1039" w:name="_Toc300934979"/>
      <w:bookmarkStart w:id="1040" w:name="_Toc303539136"/>
      <w:bookmarkStart w:id="1041" w:name="_Toc304295556"/>
      <w:bookmarkStart w:id="1042" w:name="_Toc297123527"/>
      <w:bookmarkStart w:id="1043" w:name="_Toc280868654"/>
      <w:bookmarkStart w:id="1044" w:name="_Toc312678019"/>
      <w:bookmarkStart w:id="1045" w:name="_Toc296346668"/>
      <w:bookmarkStart w:id="1046" w:name="_Toc296944506"/>
      <w:bookmarkStart w:id="1047" w:name="_Toc296503167"/>
      <w:bookmarkStart w:id="1048" w:name="_Toc292559877"/>
      <w:bookmarkStart w:id="1049" w:name="_Toc267251424"/>
      <w:bookmarkStart w:id="1050" w:name="_Toc280868655"/>
      <w:bookmarkStart w:id="1051" w:name="_Toc280868656"/>
      <w:r>
        <w:rPr>
          <w:rFonts w:hint="eastAsia" w:ascii="宋体" w:hAnsi="宋体" w:cs="宋体"/>
          <w:color w:val="auto"/>
          <w:highlight w:val="none"/>
        </w:rPr>
        <w:t>.4 材料与工程设备的保管与使用</w:t>
      </w:r>
      <w:bookmarkEnd w:id="1024"/>
      <w:bookmarkEnd w:id="1025"/>
      <w:bookmarkEnd w:id="1026"/>
      <w:bookmarkEnd w:id="1027"/>
      <w:bookmarkEnd w:id="1028"/>
      <w:bookmarkEnd w:id="1029"/>
      <w:bookmarkEnd w:id="1030"/>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14:paraId="0A661DC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8</w:t>
      </w:r>
      <w:bookmarkStart w:id="1052" w:name="_Toc292559373"/>
      <w:bookmarkStart w:id="1053" w:name="_Toc292559878"/>
      <w:bookmarkStart w:id="1054" w:name="_Toc304295557"/>
      <w:bookmarkStart w:id="1055" w:name="_Toc296944507"/>
      <w:bookmarkStart w:id="1056" w:name="_Toc300934980"/>
      <w:bookmarkStart w:id="1057" w:name="_Toc296503168"/>
      <w:bookmarkStart w:id="1058" w:name="_Toc303539137"/>
      <w:bookmarkStart w:id="1059" w:name="_Toc297216187"/>
      <w:bookmarkStart w:id="1060" w:name="_Toc296346669"/>
      <w:bookmarkStart w:id="1061" w:name="_Toc297120468"/>
      <w:bookmarkStart w:id="1062" w:name="_Toc296890996"/>
      <w:bookmarkStart w:id="1063" w:name="_Toc318581173"/>
      <w:bookmarkStart w:id="1064" w:name="_Toc296891208"/>
      <w:bookmarkStart w:id="1065" w:name="_Toc297048354"/>
      <w:bookmarkStart w:id="1066" w:name="_Toc296347167"/>
      <w:bookmarkStart w:id="1067" w:name="_Toc297123528"/>
      <w:bookmarkStart w:id="1068" w:name="_Toc312677494"/>
      <w:bookmarkStart w:id="1069" w:name="_Toc312678020"/>
      <w:r>
        <w:rPr>
          <w:rFonts w:hint="eastAsia" w:ascii="宋体" w:hAnsi="宋体" w:cs="宋体"/>
          <w:color w:val="auto"/>
          <w:highlight w:val="none"/>
        </w:rPr>
        <w:t>.4.1发包人供应的材料设备的保管费用的承担：</w:t>
      </w:r>
      <w:r>
        <w:rPr>
          <w:rFonts w:hint="eastAsia" w:ascii="宋体" w:hAnsi="宋体" w:cs="宋体"/>
          <w:color w:val="auto"/>
          <w:highlight w:val="none"/>
          <w:u w:val="single"/>
        </w:rPr>
        <w:t>由承包人承担，含在合同价中</w:t>
      </w:r>
      <w:r>
        <w:rPr>
          <w:rFonts w:hint="eastAsia" w:ascii="宋体" w:hAnsi="宋体" w:cs="宋体"/>
          <w:color w:val="auto"/>
          <w:highlight w:val="none"/>
        </w:rPr>
        <w:t>。</w:t>
      </w:r>
    </w:p>
    <w:bookmarkEnd w:id="1052"/>
    <w:bookmarkEnd w:id="1053"/>
    <w:p w14:paraId="6DFE9146">
      <w:pPr>
        <w:pStyle w:val="4"/>
        <w:rPr>
          <w:rFonts w:ascii="宋体" w:hAnsi="宋体" w:cs="宋体"/>
          <w:color w:val="auto"/>
          <w:highlight w:val="none"/>
        </w:rPr>
      </w:pPr>
      <w:bookmarkStart w:id="1070" w:name="_Toc373227734"/>
      <w:bookmarkStart w:id="1071" w:name="_Toc78449822"/>
      <w:bookmarkStart w:id="1072" w:name="_Toc373478381"/>
      <w:bookmarkStart w:id="1073" w:name="_Toc125914831"/>
      <w:bookmarkStart w:id="1074" w:name="_Toc407135236"/>
      <w:bookmarkStart w:id="1075" w:name="_Toc1948522881"/>
      <w:bookmarkStart w:id="1076" w:name="_Toc389065300"/>
      <w:r>
        <w:rPr>
          <w:rFonts w:hint="eastAsia" w:ascii="宋体" w:hAnsi="宋体" w:cs="宋体"/>
          <w:color w:val="auto"/>
          <w:highlight w:val="none"/>
        </w:rPr>
        <w:t>8.6 样品</w:t>
      </w:r>
      <w:bookmarkEnd w:id="1070"/>
      <w:bookmarkEnd w:id="1071"/>
      <w:bookmarkEnd w:id="1072"/>
      <w:bookmarkEnd w:id="1073"/>
      <w:bookmarkEnd w:id="1074"/>
      <w:bookmarkEnd w:id="1075"/>
      <w:bookmarkEnd w:id="1076"/>
    </w:p>
    <w:p w14:paraId="2B85D563">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8.6.1 样品的报送与封存</w:t>
      </w:r>
    </w:p>
    <w:p w14:paraId="420BB38F">
      <w:pPr>
        <w:autoSpaceDE w:val="0"/>
        <w:autoSpaceDN w:val="0"/>
        <w:adjustRightIn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主要材料涉及品种、款式、颜色等方面内容的，承包人应提交准备合格的材料样品送发包人选定。</w:t>
      </w:r>
    </w:p>
    <w:p w14:paraId="78864058">
      <w:pPr>
        <w:pStyle w:val="4"/>
        <w:rPr>
          <w:rFonts w:ascii="宋体" w:hAnsi="宋体" w:cs="宋体"/>
          <w:color w:val="auto"/>
          <w:highlight w:val="none"/>
        </w:rPr>
      </w:pPr>
      <w:bookmarkStart w:id="1077" w:name="_Toc997640704"/>
      <w:bookmarkStart w:id="1078" w:name="_Toc407135237"/>
      <w:bookmarkStart w:id="1079" w:name="_Toc389065301"/>
      <w:bookmarkStart w:id="1080" w:name="_Toc373478382"/>
      <w:bookmarkStart w:id="1081" w:name="_Toc373227735"/>
      <w:bookmarkStart w:id="1082" w:name="_Toc1049576644"/>
      <w:bookmarkStart w:id="1083" w:name="_Toc78449823"/>
      <w:r>
        <w:rPr>
          <w:rFonts w:hint="eastAsia" w:ascii="宋体" w:hAnsi="宋体" w:cs="宋体"/>
          <w:color w:val="auto"/>
          <w:highlight w:val="none"/>
        </w:rPr>
        <w:t>8.8 施工设备和临时设施</w:t>
      </w:r>
      <w:bookmarkEnd w:id="1077"/>
      <w:bookmarkEnd w:id="1078"/>
      <w:bookmarkEnd w:id="1079"/>
      <w:bookmarkEnd w:id="1080"/>
      <w:bookmarkEnd w:id="1081"/>
      <w:bookmarkEnd w:id="1082"/>
      <w:bookmarkEnd w:id="1083"/>
    </w:p>
    <w:p w14:paraId="29643649">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8.8.1 承包人提供的施工设备和临时设施</w:t>
      </w:r>
    </w:p>
    <w:p w14:paraId="2531021E">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3。</w:t>
      </w:r>
    </w:p>
    <w:p w14:paraId="35F833B8">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关于修建临时设施费用承担的约定：</w:t>
      </w:r>
    </w:p>
    <w:p w14:paraId="297971D4">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①承包人的临时用地（含项目部驻地等）租用费（含拆迁补偿）、临时用地的环保、恢复、临时用地的青苗补偿及地面附着物拆除等费用均由承包人负责，以上费用在合同价中综合考虑。</w:t>
      </w:r>
    </w:p>
    <w:p w14:paraId="248659E3">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14:paraId="65F8407A">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99873BD">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8.8.2 发包人提供的施工设备和临时设施</w:t>
      </w:r>
    </w:p>
    <w:p w14:paraId="067F3765">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发包人提供的施工设备和临时设施：</w:t>
      </w:r>
      <w:r>
        <w:rPr>
          <w:rFonts w:hint="eastAsia" w:ascii="宋体" w:hAnsi="宋体" w:cs="宋体"/>
          <w:color w:val="auto"/>
          <w:highlight w:val="none"/>
          <w:u w:val="single"/>
        </w:rPr>
        <w:t>无</w:t>
      </w:r>
      <w:r>
        <w:rPr>
          <w:rFonts w:hint="eastAsia" w:ascii="宋体" w:hAnsi="宋体" w:cs="宋体"/>
          <w:color w:val="auto"/>
          <w:highlight w:val="none"/>
        </w:rPr>
        <w:t>。</w:t>
      </w:r>
    </w:p>
    <w:p w14:paraId="6F4DFF04">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发包人提供的施工设备和临时设施的运行、维护、拆除、清运费用的承担人：</w:t>
      </w:r>
      <w:r>
        <w:rPr>
          <w:rFonts w:hint="eastAsia" w:ascii="宋体" w:hAnsi="宋体" w:cs="宋体"/>
          <w:color w:val="auto"/>
          <w:highlight w:val="none"/>
          <w:u w:val="single"/>
        </w:rPr>
        <w:t>无</w:t>
      </w:r>
      <w:r>
        <w:rPr>
          <w:rFonts w:hint="eastAsia" w:ascii="宋体" w:hAnsi="宋体" w:cs="宋体"/>
          <w:color w:val="auto"/>
          <w:highlight w:val="none"/>
        </w:rPr>
        <w:t>。</w:t>
      </w:r>
    </w:p>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14:paraId="171038E5">
      <w:pPr>
        <w:pStyle w:val="3"/>
        <w:rPr>
          <w:rFonts w:ascii="宋体" w:hAnsi="宋体" w:cs="宋体"/>
          <w:color w:val="auto"/>
          <w:highlight w:val="none"/>
        </w:rPr>
      </w:pPr>
      <w:bookmarkStart w:id="1084" w:name="_Toc373227736"/>
      <w:bookmarkStart w:id="1085" w:name="_Toc389065302"/>
      <w:bookmarkStart w:id="1086" w:name="_Toc78449824"/>
      <w:bookmarkStart w:id="1087" w:name="_Toc2039161841"/>
      <w:bookmarkStart w:id="1088" w:name="_Toc373478383"/>
      <w:bookmarkStart w:id="1089" w:name="_Toc2027787496"/>
      <w:bookmarkStart w:id="1090" w:name="_Toc351203641"/>
      <w:bookmarkStart w:id="1091" w:name="_Toc407135238"/>
      <w:r>
        <w:rPr>
          <w:rFonts w:hint="eastAsia" w:ascii="宋体" w:hAnsi="宋体" w:cs="宋体"/>
          <w:color w:val="auto"/>
          <w:highlight w:val="none"/>
        </w:rPr>
        <w:t>9</w:t>
      </w:r>
      <w:bookmarkEnd w:id="1049"/>
      <w:bookmarkEnd w:id="1050"/>
      <w:bookmarkEnd w:id="1051"/>
      <w:bookmarkStart w:id="1092" w:name="_Toc297216192"/>
      <w:bookmarkStart w:id="1093" w:name="_Toc312677495"/>
      <w:bookmarkStart w:id="1094" w:name="_Toc303539139"/>
      <w:bookmarkStart w:id="1095" w:name="_Toc312678021"/>
      <w:bookmarkStart w:id="1096" w:name="_Toc297123533"/>
      <w:bookmarkStart w:id="1097" w:name="_Toc300934982"/>
      <w:bookmarkStart w:id="1098" w:name="_Toc304295559"/>
      <w:bookmarkStart w:id="1099" w:name="_Toc292559378"/>
      <w:bookmarkStart w:id="1100" w:name="_Toc297048359"/>
      <w:bookmarkStart w:id="1101" w:name="_Toc267251428"/>
      <w:bookmarkStart w:id="1102" w:name="_Toc296891001"/>
      <w:bookmarkStart w:id="1103" w:name="_Toc296346674"/>
      <w:bookmarkStart w:id="1104" w:name="_Toc296891213"/>
      <w:bookmarkStart w:id="1105" w:name="_Toc296503173"/>
      <w:bookmarkStart w:id="1106" w:name="_Toc296944512"/>
      <w:bookmarkStart w:id="1107" w:name="_Toc292559883"/>
      <w:bookmarkStart w:id="1108" w:name="_Toc297120473"/>
      <w:bookmarkStart w:id="1109" w:name="_Toc267251427"/>
      <w:bookmarkStart w:id="1110" w:name="_Toc296347172"/>
      <w:r>
        <w:rPr>
          <w:rFonts w:hint="eastAsia" w:ascii="宋体" w:hAnsi="宋体" w:cs="宋体"/>
          <w:color w:val="auto"/>
          <w:highlight w:val="none"/>
        </w:rPr>
        <w:t>. 试验与检验</w:t>
      </w:r>
      <w:bookmarkEnd w:id="1084"/>
      <w:bookmarkEnd w:id="1085"/>
      <w:bookmarkEnd w:id="1086"/>
      <w:bookmarkEnd w:id="1087"/>
      <w:bookmarkEnd w:id="1088"/>
      <w:bookmarkEnd w:id="1089"/>
      <w:bookmarkEnd w:id="1090"/>
      <w:bookmarkEnd w:id="1091"/>
    </w:p>
    <w:bookmarkEnd w:id="1092"/>
    <w:bookmarkEnd w:id="1093"/>
    <w:bookmarkEnd w:id="1094"/>
    <w:bookmarkEnd w:id="1095"/>
    <w:bookmarkEnd w:id="1096"/>
    <w:bookmarkEnd w:id="1097"/>
    <w:bookmarkEnd w:id="1098"/>
    <w:p w14:paraId="05C03043">
      <w:pPr>
        <w:pStyle w:val="4"/>
        <w:rPr>
          <w:rFonts w:ascii="宋体" w:hAnsi="宋体" w:cs="宋体"/>
          <w:color w:val="auto"/>
          <w:highlight w:val="none"/>
        </w:rPr>
      </w:pPr>
      <w:bookmarkStart w:id="1111" w:name="_Toc373478384"/>
      <w:bookmarkStart w:id="1112" w:name="_Toc373227737"/>
      <w:bookmarkStart w:id="1113" w:name="_Toc407135239"/>
      <w:bookmarkStart w:id="1114" w:name="_Toc78449825"/>
      <w:bookmarkStart w:id="1115" w:name="_Toc389065303"/>
      <w:bookmarkStart w:id="1116" w:name="_Toc530697003"/>
      <w:bookmarkStart w:id="1117" w:name="_Toc1307315193"/>
      <w:r>
        <w:rPr>
          <w:rFonts w:hint="eastAsia" w:ascii="宋体" w:hAnsi="宋体" w:cs="宋体"/>
          <w:color w:val="auto"/>
          <w:highlight w:val="none"/>
        </w:rPr>
        <w:t>9</w:t>
      </w:r>
      <w:bookmarkStart w:id="1118" w:name="_Toc300934983"/>
      <w:bookmarkStart w:id="1119" w:name="_Toc303539140"/>
      <w:bookmarkStart w:id="1120" w:name="_Toc304295560"/>
      <w:bookmarkStart w:id="1121" w:name="_Toc312678022"/>
      <w:bookmarkStart w:id="1122" w:name="_Toc297216193"/>
      <w:bookmarkStart w:id="1123" w:name="_Toc297123534"/>
      <w:bookmarkStart w:id="1124" w:name="_Toc312677496"/>
      <w:r>
        <w:rPr>
          <w:rFonts w:hint="eastAsia" w:ascii="宋体" w:hAnsi="宋体" w:cs="宋体"/>
          <w:color w:val="auto"/>
          <w:highlight w:val="none"/>
        </w:rPr>
        <w:t>.1 试验设备与试验人员</w:t>
      </w:r>
      <w:bookmarkEnd w:id="1111"/>
      <w:bookmarkEnd w:id="1112"/>
      <w:bookmarkEnd w:id="1113"/>
      <w:bookmarkEnd w:id="1114"/>
      <w:bookmarkEnd w:id="1115"/>
      <w:bookmarkEnd w:id="1116"/>
      <w:bookmarkEnd w:id="1117"/>
    </w:p>
    <w:bookmarkEnd w:id="1118"/>
    <w:bookmarkEnd w:id="1119"/>
    <w:bookmarkEnd w:id="1120"/>
    <w:bookmarkEnd w:id="1121"/>
    <w:bookmarkEnd w:id="1122"/>
    <w:bookmarkEnd w:id="1123"/>
    <w:bookmarkEnd w:id="1124"/>
    <w:p w14:paraId="0BAFDBE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w:t>
      </w:r>
      <w:bookmarkStart w:id="1125" w:name="_Toc312678023"/>
      <w:bookmarkStart w:id="1126" w:name="_Toc304295561"/>
      <w:bookmarkStart w:id="1127" w:name="_Toc297216194"/>
      <w:bookmarkStart w:id="1128" w:name="_Toc303539141"/>
      <w:bookmarkStart w:id="1129" w:name="_Toc297123535"/>
      <w:bookmarkStart w:id="1130" w:name="_Toc312677497"/>
      <w:bookmarkStart w:id="1131" w:name="_Toc300934984"/>
      <w:bookmarkStart w:id="1132" w:name="_Toc318581174"/>
      <w:r>
        <w:rPr>
          <w:rFonts w:hint="eastAsia" w:ascii="宋体" w:hAnsi="宋体" w:cs="宋体"/>
          <w:color w:val="auto"/>
          <w:highlight w:val="none"/>
        </w:rPr>
        <w:t>.1.2 试验设备</w:t>
      </w:r>
    </w:p>
    <w:p w14:paraId="2DF4A41C">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施工现场需要配置的试验场所：</w:t>
      </w:r>
      <w:bookmarkEnd w:id="1125"/>
      <w:bookmarkEnd w:id="1126"/>
      <w:bookmarkEnd w:id="1127"/>
      <w:bookmarkEnd w:id="1128"/>
      <w:bookmarkEnd w:id="1129"/>
      <w:bookmarkEnd w:id="1130"/>
      <w:bookmarkEnd w:id="1131"/>
      <w:bookmarkStart w:id="1133" w:name="_Toc304295562"/>
      <w:bookmarkStart w:id="1134" w:name="_Toc300934985"/>
      <w:bookmarkStart w:id="1135" w:name="_Toc303539142"/>
      <w:bookmarkStart w:id="1136" w:name="_Toc297123536"/>
      <w:bookmarkStart w:id="1137" w:name="_Toc312677498"/>
      <w:bookmarkStart w:id="1138" w:name="_Toc297216195"/>
      <w:bookmarkStart w:id="1139" w:name="_Toc312678024"/>
      <w:r>
        <w:rPr>
          <w:rFonts w:hint="eastAsia" w:ascii="宋体" w:hAnsi="宋体" w:cs="宋体"/>
          <w:color w:val="auto"/>
          <w:spacing w:val="-4"/>
          <w:szCs w:val="21"/>
          <w:highlight w:val="none"/>
          <w:u w:val="single"/>
        </w:rPr>
        <w:t>由承包人</w:t>
      </w:r>
      <w:r>
        <w:rPr>
          <w:rFonts w:hint="eastAsia" w:ascii="宋体" w:hAnsi="宋体" w:cs="宋体"/>
          <w:color w:val="auto"/>
          <w:spacing w:val="-5"/>
          <w:szCs w:val="21"/>
          <w:highlight w:val="none"/>
          <w:u w:val="single"/>
        </w:rPr>
        <w:t>根据工程情况自行设置建设</w:t>
      </w:r>
      <w:r>
        <w:rPr>
          <w:rFonts w:hint="eastAsia" w:ascii="宋体" w:hAnsi="宋体" w:cs="宋体"/>
          <w:color w:val="auto"/>
          <w:highlight w:val="none"/>
        </w:rPr>
        <w:t>。</w:t>
      </w:r>
    </w:p>
    <w:p w14:paraId="3CFC0C02">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施工现场需要配备的试验设备：</w:t>
      </w:r>
      <w:r>
        <w:rPr>
          <w:rFonts w:hint="eastAsia" w:ascii="宋体" w:hAnsi="宋体" w:cs="宋体"/>
          <w:color w:val="auto"/>
          <w:spacing w:val="-4"/>
          <w:szCs w:val="21"/>
          <w:highlight w:val="none"/>
          <w:u w:val="single"/>
        </w:rPr>
        <w:t>由承包人自行承担，并包</w:t>
      </w:r>
      <w:r>
        <w:rPr>
          <w:rFonts w:hint="eastAsia" w:ascii="宋体" w:hAnsi="宋体" w:cs="宋体"/>
          <w:color w:val="auto"/>
          <w:spacing w:val="-5"/>
          <w:szCs w:val="21"/>
          <w:highlight w:val="none"/>
          <w:u w:val="single"/>
        </w:rPr>
        <w:t>含在合同总价内</w:t>
      </w:r>
      <w:r>
        <w:rPr>
          <w:rFonts w:hint="eastAsia" w:ascii="宋体" w:hAnsi="宋体" w:cs="宋体"/>
          <w:color w:val="auto"/>
          <w:highlight w:val="none"/>
        </w:rPr>
        <w:t>。</w:t>
      </w:r>
    </w:p>
    <w:p w14:paraId="47D50A04">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施工现场需要具备的其他试验条件：</w:t>
      </w:r>
      <w:r>
        <w:rPr>
          <w:rFonts w:hint="eastAsia" w:ascii="宋体" w:hAnsi="宋体" w:cs="宋体"/>
          <w:color w:val="auto"/>
          <w:spacing w:val="-4"/>
          <w:szCs w:val="21"/>
          <w:highlight w:val="none"/>
          <w:u w:val="single"/>
        </w:rPr>
        <w:t>由承包人自行承担，并包</w:t>
      </w:r>
      <w:r>
        <w:rPr>
          <w:rFonts w:hint="eastAsia" w:ascii="宋体" w:hAnsi="宋体" w:cs="宋体"/>
          <w:color w:val="auto"/>
          <w:spacing w:val="-5"/>
          <w:szCs w:val="21"/>
          <w:highlight w:val="none"/>
          <w:u w:val="single"/>
        </w:rPr>
        <w:t>含在合同总价内</w:t>
      </w:r>
      <w:r>
        <w:rPr>
          <w:rFonts w:hint="eastAsia" w:ascii="宋体" w:hAnsi="宋体" w:cs="宋体"/>
          <w:color w:val="auto"/>
          <w:highlight w:val="none"/>
        </w:rPr>
        <w:t>。</w:t>
      </w:r>
    </w:p>
    <w:p w14:paraId="7174E4E5">
      <w:pPr>
        <w:pStyle w:val="4"/>
        <w:rPr>
          <w:rFonts w:ascii="宋体" w:hAnsi="宋体" w:cs="宋体"/>
          <w:color w:val="auto"/>
          <w:highlight w:val="none"/>
        </w:rPr>
      </w:pPr>
      <w:bookmarkStart w:id="1140" w:name="_Toc78449826"/>
      <w:bookmarkStart w:id="1141" w:name="_Toc2012255079"/>
      <w:bookmarkStart w:id="1142" w:name="_Toc492347879"/>
      <w:bookmarkStart w:id="1143" w:name="_Toc407135240"/>
      <w:bookmarkStart w:id="1144" w:name="_Toc373227738"/>
      <w:bookmarkStart w:id="1145" w:name="_Toc373478385"/>
      <w:bookmarkStart w:id="1146" w:name="_Toc389065304"/>
      <w:r>
        <w:rPr>
          <w:rFonts w:hint="eastAsia" w:ascii="宋体" w:hAnsi="宋体" w:cs="宋体"/>
          <w:color w:val="auto"/>
          <w:highlight w:val="none"/>
        </w:rPr>
        <w:t>9.4 现场工艺试验</w:t>
      </w:r>
      <w:bookmarkEnd w:id="1140"/>
      <w:bookmarkEnd w:id="1141"/>
      <w:bookmarkEnd w:id="1142"/>
      <w:bookmarkEnd w:id="1143"/>
      <w:bookmarkEnd w:id="1144"/>
      <w:bookmarkEnd w:id="1145"/>
      <w:bookmarkEnd w:id="1146"/>
      <w:r>
        <w:rPr>
          <w:rFonts w:hint="eastAsia" w:ascii="宋体" w:hAnsi="宋体" w:cs="宋体"/>
          <w:color w:val="auto"/>
          <w:highlight w:val="none"/>
        </w:rPr>
        <w:t xml:space="preserve"> </w:t>
      </w:r>
    </w:p>
    <w:p w14:paraId="4200E7E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highlight w:val="none"/>
          <w:u w:val="single"/>
        </w:rPr>
        <w:t>按有关规定执行</w:t>
      </w:r>
      <w:r>
        <w:rPr>
          <w:rFonts w:hint="eastAsia" w:ascii="宋体" w:hAnsi="宋体" w:cs="宋体"/>
          <w:color w:val="auto"/>
          <w:highlight w:val="none"/>
        </w:rPr>
        <w:t>。</w:t>
      </w:r>
    </w:p>
    <w:p w14:paraId="06AEE7BA">
      <w:pPr>
        <w:pStyle w:val="4"/>
        <w:rPr>
          <w:rFonts w:ascii="宋体" w:hAnsi="宋体" w:cs="宋体"/>
          <w:color w:val="auto"/>
          <w:highlight w:val="none"/>
        </w:rPr>
      </w:pPr>
      <w:bookmarkStart w:id="1147" w:name="_Toc393419678"/>
      <w:bookmarkStart w:id="1148" w:name="_Toc1539824686"/>
      <w:bookmarkStart w:id="1149" w:name="_Toc407135241"/>
      <w:bookmarkStart w:id="1150" w:name="_Toc78449827"/>
      <w:bookmarkStart w:id="1151" w:name="OLE_LINK1"/>
      <w:r>
        <w:rPr>
          <w:rFonts w:hint="eastAsia" w:ascii="宋体" w:hAnsi="宋体" w:cs="宋体"/>
          <w:color w:val="auto"/>
          <w:highlight w:val="none"/>
        </w:rPr>
        <w:t>9.5 检验费用</w:t>
      </w:r>
      <w:bookmarkEnd w:id="1147"/>
      <w:bookmarkEnd w:id="1148"/>
      <w:bookmarkEnd w:id="1149"/>
      <w:bookmarkEnd w:id="1150"/>
    </w:p>
    <w:p w14:paraId="3F298901">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1132"/>
    <w:bookmarkEnd w:id="1133"/>
    <w:bookmarkEnd w:id="1134"/>
    <w:bookmarkEnd w:id="1135"/>
    <w:bookmarkEnd w:id="1136"/>
    <w:bookmarkEnd w:id="1137"/>
    <w:bookmarkEnd w:id="1138"/>
    <w:bookmarkEnd w:id="1139"/>
    <w:bookmarkEnd w:id="1151"/>
    <w:p w14:paraId="3A4B3730">
      <w:pPr>
        <w:pStyle w:val="3"/>
        <w:rPr>
          <w:rFonts w:ascii="宋体" w:hAnsi="宋体" w:cs="宋体"/>
          <w:color w:val="auto"/>
          <w:highlight w:val="none"/>
        </w:rPr>
      </w:pPr>
      <w:bookmarkStart w:id="1152" w:name="_Toc407135242"/>
      <w:bookmarkStart w:id="1153" w:name="_Toc1278407274"/>
      <w:bookmarkStart w:id="1154" w:name="_Toc373227739"/>
      <w:bookmarkStart w:id="1155" w:name="_Toc389065305"/>
      <w:bookmarkStart w:id="1156" w:name="_Toc351203642"/>
      <w:bookmarkStart w:id="1157" w:name="_Toc373478386"/>
      <w:bookmarkStart w:id="1158" w:name="_Toc78449828"/>
      <w:bookmarkStart w:id="1159" w:name="_Toc603662032"/>
      <w:r>
        <w:rPr>
          <w:rFonts w:hint="eastAsia" w:ascii="宋体" w:hAnsi="宋体" w:cs="宋体"/>
          <w:color w:val="auto"/>
          <w:highlight w:val="none"/>
        </w:rPr>
        <w:t>1</w:t>
      </w:r>
      <w:bookmarkEnd w:id="1099"/>
      <w:bookmarkEnd w:id="1100"/>
      <w:bookmarkEnd w:id="1101"/>
      <w:bookmarkEnd w:id="1102"/>
      <w:bookmarkEnd w:id="1103"/>
      <w:bookmarkEnd w:id="1104"/>
      <w:bookmarkEnd w:id="1105"/>
      <w:bookmarkEnd w:id="1106"/>
      <w:bookmarkEnd w:id="1107"/>
      <w:bookmarkEnd w:id="1108"/>
      <w:bookmarkEnd w:id="1109"/>
      <w:bookmarkEnd w:id="1110"/>
      <w:bookmarkStart w:id="1160" w:name="_Toc304295566"/>
      <w:bookmarkStart w:id="1161" w:name="_Toc296346694"/>
      <w:bookmarkStart w:id="1162" w:name="_Toc296891233"/>
      <w:bookmarkStart w:id="1163" w:name="_Toc297123540"/>
      <w:bookmarkStart w:id="1164" w:name="_Toc296347192"/>
      <w:bookmarkStart w:id="1165" w:name="_Toc296891021"/>
      <w:bookmarkStart w:id="1166" w:name="_Toc296503193"/>
      <w:bookmarkStart w:id="1167" w:name="_Toc300934989"/>
      <w:bookmarkStart w:id="1168" w:name="_Toc292559398"/>
      <w:bookmarkStart w:id="1169" w:name="_Toc303539146"/>
      <w:bookmarkStart w:id="1170" w:name="_Toc297120493"/>
      <w:bookmarkStart w:id="1171" w:name="_Toc297048379"/>
      <w:bookmarkStart w:id="1172" w:name="_Toc292559903"/>
      <w:bookmarkStart w:id="1173" w:name="_Toc296944532"/>
      <w:bookmarkStart w:id="1174" w:name="_Toc297216199"/>
      <w:bookmarkStart w:id="1175" w:name="_Toc312678025"/>
      <w:bookmarkStart w:id="1176" w:name="_Toc312677499"/>
      <w:bookmarkStart w:id="1177" w:name="_Toc267251439"/>
      <w:bookmarkStart w:id="1178" w:name="_Toc267251441"/>
      <w:bookmarkStart w:id="1179" w:name="_Toc267251435"/>
      <w:bookmarkStart w:id="1180" w:name="_Toc267251440"/>
      <w:bookmarkStart w:id="1181" w:name="_Toc267251433"/>
      <w:bookmarkStart w:id="1182" w:name="_Toc267251437"/>
      <w:bookmarkStart w:id="1183" w:name="_Toc267251442"/>
      <w:r>
        <w:rPr>
          <w:rFonts w:hint="eastAsia" w:ascii="宋体" w:hAnsi="宋体" w:cs="宋体"/>
          <w:color w:val="auto"/>
          <w:highlight w:val="none"/>
        </w:rPr>
        <w:t>0. 变更</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bookmarkEnd w:id="1175"/>
    <w:bookmarkEnd w:id="1176"/>
    <w:p w14:paraId="11C405A3">
      <w:pPr>
        <w:pStyle w:val="4"/>
        <w:rPr>
          <w:rFonts w:ascii="宋体" w:hAnsi="宋体" w:cs="宋体"/>
          <w:color w:val="auto"/>
          <w:highlight w:val="none"/>
        </w:rPr>
      </w:pPr>
      <w:bookmarkStart w:id="1184" w:name="_Toc78449829"/>
      <w:bookmarkStart w:id="1185" w:name="_Toc373478387"/>
      <w:bookmarkStart w:id="1186" w:name="_Toc389065306"/>
      <w:bookmarkStart w:id="1187" w:name="_Toc373227740"/>
      <w:bookmarkStart w:id="1188" w:name="_Toc407135243"/>
      <w:bookmarkStart w:id="1189" w:name="_Toc411143415"/>
      <w:bookmarkStart w:id="1190" w:name="_Toc1890371558"/>
      <w:r>
        <w:rPr>
          <w:rFonts w:hint="eastAsia" w:ascii="宋体" w:hAnsi="宋体" w:cs="宋体"/>
          <w:color w:val="auto"/>
          <w:highlight w:val="none"/>
        </w:rPr>
        <w:t>1</w:t>
      </w:r>
      <w:bookmarkStart w:id="1191" w:name="_Toc296346695"/>
      <w:bookmarkStart w:id="1192" w:name="_Toc292559904"/>
      <w:bookmarkStart w:id="1193" w:name="_Toc300934990"/>
      <w:bookmarkStart w:id="1194" w:name="_Toc296944533"/>
      <w:bookmarkStart w:id="1195" w:name="_Toc292559399"/>
      <w:bookmarkStart w:id="1196" w:name="_Toc297120494"/>
      <w:bookmarkStart w:id="1197" w:name="_Toc296503194"/>
      <w:bookmarkStart w:id="1198" w:name="_Toc304295567"/>
      <w:bookmarkStart w:id="1199" w:name="_Toc312678026"/>
      <w:bookmarkStart w:id="1200" w:name="_Toc296891022"/>
      <w:bookmarkStart w:id="1201" w:name="_Toc297048380"/>
      <w:bookmarkStart w:id="1202" w:name="_Toc296891234"/>
      <w:bookmarkStart w:id="1203" w:name="_Toc296347193"/>
      <w:bookmarkStart w:id="1204" w:name="_Toc303539147"/>
      <w:bookmarkStart w:id="1205" w:name="_Toc312677500"/>
      <w:bookmarkStart w:id="1206" w:name="_Toc297123541"/>
      <w:bookmarkStart w:id="1207" w:name="_Toc297216200"/>
      <w:r>
        <w:rPr>
          <w:rFonts w:hint="eastAsia" w:ascii="宋体" w:hAnsi="宋体" w:cs="宋体"/>
          <w:color w:val="auto"/>
          <w:highlight w:val="none"/>
        </w:rPr>
        <w:t>0.1 变更的范围</w:t>
      </w:r>
      <w:bookmarkEnd w:id="1184"/>
      <w:bookmarkEnd w:id="1185"/>
      <w:bookmarkEnd w:id="1186"/>
      <w:bookmarkEnd w:id="1187"/>
      <w:bookmarkEnd w:id="1188"/>
      <w:bookmarkEnd w:id="1189"/>
      <w:bookmarkEnd w:id="1190"/>
    </w:p>
    <w:p w14:paraId="0C007F1D">
      <w:pPr>
        <w:spacing w:line="360" w:lineRule="auto"/>
        <w:ind w:firstLine="426"/>
        <w:jc w:val="left"/>
        <w:rPr>
          <w:rFonts w:ascii="宋体" w:hAnsi="宋体" w:cs="宋体"/>
          <w:color w:val="auto"/>
          <w:highlight w:val="none"/>
        </w:rPr>
      </w:pPr>
      <w:r>
        <w:rPr>
          <w:rFonts w:hint="eastAsia" w:ascii="宋体" w:hAnsi="宋体" w:cs="宋体"/>
          <w:color w:val="auto"/>
          <w:highlight w:val="none"/>
        </w:rPr>
        <w:t>关于变更的范围的约定：</w:t>
      </w:r>
    </w:p>
    <w:p w14:paraId="3C338D1A">
      <w:pPr>
        <w:spacing w:line="360" w:lineRule="auto"/>
        <w:ind w:firstLine="426"/>
        <w:jc w:val="left"/>
        <w:rPr>
          <w:rFonts w:ascii="宋体" w:hAnsi="宋体" w:cs="宋体"/>
          <w:color w:val="auto"/>
          <w:highlight w:val="none"/>
        </w:rPr>
      </w:pPr>
      <w:r>
        <w:rPr>
          <w:rFonts w:hint="eastAsia" w:ascii="宋体" w:hAnsi="宋体" w:cs="宋体"/>
          <w:color w:val="auto"/>
          <w:highlight w:val="none"/>
        </w:rPr>
        <w:t>1.承包人不得随意更改设计，因承包人自身原因导致的工期变更，承包人无权要求追加合同价款。设计变更、签证资料必须及时发包人确认，隐蔽工程变更签证在五日内办理完。</w:t>
      </w:r>
    </w:p>
    <w:p w14:paraId="33991CC0">
      <w:pPr>
        <w:spacing w:line="360" w:lineRule="auto"/>
        <w:ind w:firstLine="426"/>
        <w:jc w:val="left"/>
        <w:rPr>
          <w:rFonts w:ascii="宋体" w:hAnsi="宋体" w:cs="宋体"/>
          <w:color w:val="auto"/>
          <w:highlight w:val="none"/>
        </w:rPr>
      </w:pPr>
      <w:r>
        <w:rPr>
          <w:rFonts w:hint="eastAsia" w:ascii="宋体" w:hAnsi="宋体" w:cs="宋体"/>
          <w:color w:val="auto"/>
          <w:highlight w:val="none"/>
        </w:rPr>
        <w:t>2 .特急变更签证的实施以发包人代表签字为依据，承包人可事先就计价方式或价格与发包方协商一致。但实施后14日内，双方必须办理相关的手续，方可作为结算的依据。</w:t>
      </w:r>
    </w:p>
    <w:p w14:paraId="20785526">
      <w:pPr>
        <w:spacing w:line="360" w:lineRule="auto"/>
        <w:ind w:firstLine="426"/>
        <w:jc w:val="left"/>
        <w:rPr>
          <w:rFonts w:ascii="宋体" w:hAnsi="宋体" w:cs="宋体"/>
          <w:color w:val="auto"/>
          <w:highlight w:val="none"/>
        </w:rPr>
      </w:pPr>
      <w:r>
        <w:rPr>
          <w:rFonts w:hint="eastAsia" w:ascii="宋体" w:hAnsi="宋体" w:cs="宋体"/>
          <w:color w:val="auto"/>
          <w:highlight w:val="none"/>
        </w:rPr>
        <w:t>3 .当变更、签证的工作内容完成以后，承包人要及时督促监理和发包人代表在完工后 14 日内签字确认，否则发包人可以不予支付费用。对于隐蔽工程和事后无法计算工程量的变更和签证，必须在覆盖或拆除前，会同监理、发包人代表、工程部负责人共同完成工程量的确认和费用的谈判，否则发包人可以不计价款。</w:t>
      </w:r>
    </w:p>
    <w:p w14:paraId="1B65F826">
      <w:pPr>
        <w:spacing w:line="360" w:lineRule="auto"/>
        <w:ind w:firstLine="426"/>
        <w:jc w:val="left"/>
        <w:rPr>
          <w:rFonts w:ascii="宋体" w:hAnsi="宋体" w:cs="宋体"/>
          <w:color w:val="auto"/>
          <w:highlight w:val="none"/>
        </w:rPr>
      </w:pPr>
      <w:r>
        <w:rPr>
          <w:rFonts w:hint="eastAsia" w:ascii="宋体" w:hAnsi="宋体" w:cs="宋体"/>
          <w:color w:val="auto"/>
          <w:highlight w:val="none"/>
        </w:rPr>
        <w:t>4.合同履约中，双方填制的变更、签证通知单以及办理相关手续，都应严格按照发包人的内部工作管理制度执行，按顺序进行统一分类编号，并附有相应的真实图片及发生的费用，否则发包人可以不予审核费用。</w:t>
      </w:r>
    </w:p>
    <w:p w14:paraId="067C6C03">
      <w:pPr>
        <w:spacing w:line="360" w:lineRule="auto"/>
        <w:ind w:firstLine="426"/>
        <w:jc w:val="left"/>
        <w:rPr>
          <w:rFonts w:ascii="宋体" w:hAnsi="宋体" w:cs="宋体"/>
          <w:color w:val="auto"/>
          <w:highlight w:val="none"/>
        </w:rPr>
      </w:pPr>
      <w:r>
        <w:rPr>
          <w:rFonts w:hint="eastAsia" w:ascii="宋体" w:hAnsi="宋体" w:cs="宋体"/>
          <w:color w:val="auto"/>
          <w:highlight w:val="none"/>
        </w:rPr>
        <w:t>5.承包人作为有经验的承包商，对工程技术及施工图纸中的问题应提前发现，并在图纸会审时或按照技术核定单的形式及时的提出；如果承包人由于各种原因不提出或未及时提出、或提出后发包人明确否定更改方案而承包人继续施工的， 以上导致工程产生的质量、进度、安全、成本等问题及后果， 承包人承担一切的责任。</w:t>
      </w:r>
    </w:p>
    <w:p w14:paraId="02C65ED9">
      <w:pPr>
        <w:spacing w:line="360" w:lineRule="auto"/>
        <w:ind w:firstLine="426"/>
        <w:jc w:val="left"/>
        <w:rPr>
          <w:rFonts w:ascii="宋体" w:hAnsi="宋体" w:cs="宋体"/>
          <w:color w:val="auto"/>
          <w:highlight w:val="none"/>
        </w:rPr>
      </w:pPr>
      <w:r>
        <w:rPr>
          <w:rFonts w:hint="eastAsia" w:ascii="宋体" w:hAnsi="宋体" w:cs="宋体"/>
          <w:color w:val="auto"/>
          <w:highlight w:val="none"/>
        </w:rPr>
        <w:t xml:space="preserve">6．承包人作为有经验的承包商，对工程量清单与图纸不相符的问题应提前发现，并按照技术核定单的形式及时的提出；如果承包人由于各种原因不提出或未及时提出、或提出后发包人明确否定更改方案而承包人继续施工的，以上导致工程产生的成本增加等问题及后果，承包人承担一切的责任，结算时按工程量清单进行，而不是按图纸进行结算。 </w:t>
      </w:r>
    </w:p>
    <w:p w14:paraId="555650AC">
      <w:pPr>
        <w:spacing w:line="360" w:lineRule="auto"/>
        <w:ind w:firstLine="426"/>
        <w:jc w:val="left"/>
        <w:rPr>
          <w:rFonts w:ascii="宋体" w:hAnsi="宋体" w:cs="宋体"/>
          <w:color w:val="auto"/>
          <w:highlight w:val="none"/>
        </w:rPr>
      </w:pPr>
      <w:r>
        <w:rPr>
          <w:rFonts w:hint="eastAsia" w:ascii="宋体" w:hAnsi="宋体" w:cs="宋体"/>
          <w:color w:val="auto"/>
          <w:highlight w:val="none"/>
        </w:rPr>
        <w:t>特别说明：凡是学校擅自提出增加施工内容且不经发包人批准同意施工的，承包人承担一切的责任。</w:t>
      </w:r>
    </w:p>
    <w:p w14:paraId="27F78B6E">
      <w:pPr>
        <w:spacing w:line="360" w:lineRule="auto"/>
        <w:ind w:firstLine="426"/>
        <w:jc w:val="left"/>
        <w:rPr>
          <w:rFonts w:ascii="宋体" w:hAnsi="宋体" w:cs="宋体"/>
          <w:color w:val="auto"/>
          <w:highlight w:val="none"/>
        </w:rPr>
      </w:pPr>
      <w:r>
        <w:rPr>
          <w:rFonts w:hint="eastAsia" w:ascii="宋体" w:hAnsi="宋体" w:cs="宋体"/>
          <w:color w:val="auto"/>
          <w:highlight w:val="none"/>
        </w:rPr>
        <w:t>7.工程结算时，承包人需将完整的变更签证资料装订成册作为结算书一部分，变更签证资料应包括 ：</w:t>
      </w:r>
    </w:p>
    <w:p w14:paraId="33D74F02">
      <w:pPr>
        <w:spacing w:line="360" w:lineRule="auto"/>
        <w:ind w:firstLine="426"/>
        <w:jc w:val="left"/>
        <w:rPr>
          <w:rFonts w:ascii="宋体" w:hAnsi="宋体" w:cs="宋体"/>
          <w:color w:val="auto"/>
          <w:highlight w:val="none"/>
        </w:rPr>
      </w:pPr>
      <w:r>
        <w:rPr>
          <w:rFonts w:hint="eastAsia" w:ascii="宋体" w:hAnsi="宋体" w:cs="宋体"/>
          <w:color w:val="auto"/>
          <w:highlight w:val="none"/>
        </w:rPr>
        <w:t>（1）双方确认的联系单/联系函；（2）变更签证单；（3）申报的变更签证预算书（4）变更签证单所有相关的往来函件、其他需要说明的与造价有关的问题；（5）相应的真实图片。</w:t>
      </w:r>
    </w:p>
    <w:p w14:paraId="2B0DDAD3">
      <w:pPr>
        <w:pStyle w:val="4"/>
        <w:rPr>
          <w:rFonts w:ascii="宋体" w:hAnsi="宋体" w:cs="宋体"/>
          <w:color w:val="auto"/>
          <w:highlight w:val="none"/>
        </w:rPr>
      </w:pPr>
      <w:bookmarkStart w:id="1208" w:name="_Toc373227741"/>
      <w:bookmarkStart w:id="1209" w:name="_Toc450749207"/>
      <w:bookmarkStart w:id="1210" w:name="_Toc1641633295"/>
      <w:bookmarkStart w:id="1211" w:name="_Toc407135244"/>
      <w:bookmarkStart w:id="1212" w:name="_Toc78449830"/>
      <w:bookmarkStart w:id="1213" w:name="_Toc389065307"/>
      <w:bookmarkStart w:id="1214" w:name="_Toc373478388"/>
      <w:r>
        <w:rPr>
          <w:rFonts w:hint="eastAsia" w:ascii="宋体" w:hAnsi="宋体" w:cs="宋体"/>
          <w:color w:val="auto"/>
          <w:highlight w:val="none"/>
        </w:rPr>
        <w:t>10.3 变更程序</w:t>
      </w:r>
      <w:bookmarkEnd w:id="1208"/>
      <w:bookmarkEnd w:id="1209"/>
      <w:bookmarkEnd w:id="1210"/>
      <w:bookmarkEnd w:id="1211"/>
      <w:bookmarkEnd w:id="1212"/>
      <w:bookmarkEnd w:id="1213"/>
      <w:bookmarkEnd w:id="1214"/>
    </w:p>
    <w:p w14:paraId="7D731370">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⑴设计变更和工程签证，按《关于加强南宁市政府投资项目初步设计、施工图设计管理的 通知》（南建项目 [2004]3 号）及《关于改进政府投资项目财政监管的通知》（南财投审 [2007]66 号）办理。属不可抗力（自然灾害、突发事件等） 造成变更的，按特事特办原则予以办理。</w:t>
      </w:r>
    </w:p>
    <w:p w14:paraId="209AEB7A">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⑵工程设计变更和签证工程发生后 20 个工作日内，由承包人将有关变更文件、签证单审 批件、工程联系单、预算书等工程资料做好备案，并作为进度款支付、事后抽 查和工程结算的主要依据。</w:t>
      </w:r>
    </w:p>
    <w:p w14:paraId="4D6F7A14">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⑶承包人在实施项目过程中，若发生隐蔽工程或工程量发生增减变动， 必须经建设单位、 施工、监理等有关单位现场签字确认后，方可作为工程结算依据。若现场验收没有以上相关人员参加核实，过后不能以提供相片或视频形式作为签证的理由， 承包人承担一切的责任若人为挖超深，发包人不予签证，承包人将承担。</w:t>
      </w:r>
    </w:p>
    <w:p w14:paraId="086121C3">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⑷承包人在工程设计变更和工程签证过程中必须认真负责、实事求是，不得弄虚作假，凡因上述问题所造成的损失，相应等额扣除承包人项目管理费或其他财政拨款。</w:t>
      </w:r>
    </w:p>
    <w:p w14:paraId="0FFB01E7">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⑸承包人应当在合同规定的调整情况发生后 14 天内，将调整原因，金额以书面形式通知 发包人，发包人按第⑴、⑵、⑶、⑷、⑸条款的要求初步确认调整金额后将其作为追加合同价款， 按不高于60% 的比例与工程进度款同期支付，调整金额待工程单项结算或结算时，由发包方审计部门最终审定。</w:t>
      </w:r>
    </w:p>
    <w:p w14:paraId="1BED8A50">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⑹当合同规定的调整合同价款的调整情况发生后，承包人未在规定时间内通知发包人，或 者未在规定时间内提出调整报告，发包人可以根据有关资料，决定是否调整和调整。</w:t>
      </w:r>
    </w:p>
    <w:p w14:paraId="2FF4A9A2">
      <w:pPr>
        <w:pStyle w:val="4"/>
        <w:rPr>
          <w:rFonts w:ascii="宋体" w:hAnsi="宋体" w:cs="宋体"/>
          <w:color w:val="auto"/>
          <w:highlight w:val="none"/>
        </w:rPr>
      </w:pPr>
      <w:bookmarkStart w:id="1215" w:name="_Toc373227742"/>
      <w:bookmarkStart w:id="1216" w:name="_Toc780640360"/>
      <w:bookmarkStart w:id="1217" w:name="_Toc1645711468"/>
      <w:bookmarkStart w:id="1218" w:name="_Toc373478389"/>
      <w:bookmarkStart w:id="1219" w:name="_Toc407135245"/>
      <w:bookmarkStart w:id="1220" w:name="_Toc389065308"/>
      <w:bookmarkStart w:id="1221" w:name="_Toc78449831"/>
      <w:r>
        <w:rPr>
          <w:rFonts w:hint="eastAsia" w:ascii="宋体" w:hAnsi="宋体" w:cs="宋体"/>
          <w:color w:val="auto"/>
          <w:highlight w:val="none"/>
        </w:rPr>
        <w:t>10.4 变更估价</w:t>
      </w:r>
      <w:bookmarkEnd w:id="1215"/>
      <w:bookmarkEnd w:id="1216"/>
      <w:bookmarkEnd w:id="1217"/>
      <w:bookmarkEnd w:id="1218"/>
      <w:bookmarkEnd w:id="1219"/>
      <w:bookmarkEnd w:id="1220"/>
      <w:bookmarkEnd w:id="1221"/>
    </w:p>
    <w:p w14:paraId="57F6259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10.4.1 变更估价原则</w:t>
      </w:r>
    </w:p>
    <w:p w14:paraId="2AB20ED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 xml:space="preserve">关于变更估价的约定: </w:t>
      </w:r>
      <w:r>
        <w:rPr>
          <w:rFonts w:hint="eastAsia" w:ascii="宋体" w:hAnsi="宋体" w:cs="宋体"/>
          <w:color w:val="auto"/>
          <w:highlight w:val="none"/>
          <w:u w:val="single"/>
        </w:rPr>
        <w:t>因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计算，其中材料价格按施工期间的《南宁建设工程造价信息》相应价格信息进行计算；《南宁建设工程造价信息》没有相应价格信息的按市场价计算；无定额可套的，根据市场价格协商确定综合价格；新增项目的单价必须经市财政局投评中心或者有资质的审核单位审定。</w:t>
      </w:r>
    </w:p>
    <w:p w14:paraId="4EA12EBB">
      <w:pPr>
        <w:pStyle w:val="4"/>
        <w:rPr>
          <w:rFonts w:ascii="宋体" w:hAnsi="宋体" w:cs="宋体"/>
          <w:color w:val="auto"/>
          <w:highlight w:val="none"/>
        </w:rPr>
      </w:pPr>
      <w:bookmarkStart w:id="1222" w:name="_Toc1342657745"/>
      <w:bookmarkStart w:id="1223" w:name="_Toc650800266"/>
      <w:bookmarkStart w:id="1224" w:name="_Toc373227743"/>
      <w:bookmarkStart w:id="1225" w:name="_Toc373478390"/>
      <w:bookmarkStart w:id="1226" w:name="_Toc407135246"/>
      <w:bookmarkStart w:id="1227" w:name="_Toc389065309"/>
      <w:bookmarkStart w:id="1228" w:name="_Toc78449832"/>
      <w:r>
        <w:rPr>
          <w:rFonts w:hint="eastAsia" w:ascii="宋体" w:hAnsi="宋体" w:cs="宋体"/>
          <w:color w:val="auto"/>
          <w:highlight w:val="none"/>
        </w:rPr>
        <w:t>1</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Start w:id="1229" w:name="_Toc297048383"/>
      <w:bookmarkStart w:id="1230" w:name="_Toc296346698"/>
      <w:bookmarkStart w:id="1231" w:name="_Toc297123544"/>
      <w:bookmarkStart w:id="1232" w:name="_Toc296503197"/>
      <w:bookmarkStart w:id="1233" w:name="_Toc296347196"/>
      <w:bookmarkStart w:id="1234" w:name="_Toc297120497"/>
      <w:bookmarkStart w:id="1235" w:name="_Toc303539150"/>
      <w:bookmarkStart w:id="1236" w:name="_Toc292559907"/>
      <w:bookmarkStart w:id="1237" w:name="_Toc300934993"/>
      <w:bookmarkStart w:id="1238" w:name="_Toc297216203"/>
      <w:bookmarkStart w:id="1239" w:name="_Toc296891025"/>
      <w:bookmarkStart w:id="1240" w:name="_Toc292559402"/>
      <w:bookmarkStart w:id="1241" w:name="_Toc296891237"/>
      <w:bookmarkStart w:id="1242" w:name="_Toc296944536"/>
      <w:bookmarkStart w:id="1243" w:name="_Toc312677503"/>
      <w:bookmarkStart w:id="1244" w:name="_Toc312678029"/>
      <w:bookmarkStart w:id="1245" w:name="_Toc304295570"/>
      <w:r>
        <w:rPr>
          <w:rFonts w:hint="eastAsia" w:ascii="宋体" w:hAnsi="宋体" w:cs="宋体"/>
          <w:color w:val="auto"/>
          <w:highlight w:val="none"/>
        </w:rPr>
        <w:t>0.5 承</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Start w:id="1246" w:name="_Toc303539151"/>
      <w:bookmarkStart w:id="1247" w:name="_Toc296346704"/>
      <w:bookmarkStart w:id="1248" w:name="_Toc296891031"/>
      <w:bookmarkStart w:id="1249" w:name="_Toc297216204"/>
      <w:bookmarkStart w:id="1250" w:name="_Toc296891243"/>
      <w:bookmarkStart w:id="1251" w:name="_Toc297120503"/>
      <w:bookmarkStart w:id="1252" w:name="_Toc292559913"/>
      <w:bookmarkStart w:id="1253" w:name="_Toc292559408"/>
      <w:bookmarkStart w:id="1254" w:name="_Toc296503203"/>
      <w:bookmarkStart w:id="1255" w:name="_Toc297123545"/>
      <w:bookmarkStart w:id="1256" w:name="_Toc297048389"/>
      <w:bookmarkStart w:id="1257" w:name="_Toc296944542"/>
      <w:bookmarkStart w:id="1258" w:name="_Toc296347202"/>
      <w:bookmarkStart w:id="1259" w:name="_Toc300934994"/>
      <w:r>
        <w:rPr>
          <w:rFonts w:hint="eastAsia" w:ascii="宋体" w:hAnsi="宋体" w:cs="宋体"/>
          <w:color w:val="auto"/>
          <w:highlight w:val="none"/>
        </w:rPr>
        <w:t>包人的合理化建议</w:t>
      </w:r>
      <w:bookmarkEnd w:id="1222"/>
      <w:bookmarkEnd w:id="1223"/>
      <w:bookmarkEnd w:id="1224"/>
      <w:bookmarkEnd w:id="1225"/>
      <w:bookmarkEnd w:id="1226"/>
      <w:bookmarkEnd w:id="1227"/>
      <w:bookmarkEnd w:id="1228"/>
    </w:p>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14:paraId="44E7CAD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收到后7天内</w:t>
      </w:r>
      <w:r>
        <w:rPr>
          <w:rFonts w:hint="eastAsia" w:ascii="宋体" w:hAnsi="宋体" w:cs="宋体"/>
          <w:color w:val="auto"/>
          <w:highlight w:val="none"/>
        </w:rPr>
        <w:t>。</w:t>
      </w:r>
    </w:p>
    <w:p w14:paraId="13EDFF4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收到后10天内</w:t>
      </w:r>
      <w:r>
        <w:rPr>
          <w:rFonts w:hint="eastAsia" w:ascii="宋体" w:hAnsi="宋体" w:cs="宋体"/>
          <w:color w:val="auto"/>
          <w:highlight w:val="none"/>
        </w:rPr>
        <w:t>。</w:t>
      </w:r>
    </w:p>
    <w:p w14:paraId="3F889137">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承</w:t>
      </w:r>
      <w:bookmarkStart w:id="1260" w:name="_Toc296891032"/>
      <w:bookmarkStart w:id="1261" w:name="_Toc296503204"/>
      <w:bookmarkStart w:id="1262" w:name="_Toc296346705"/>
      <w:bookmarkStart w:id="1263" w:name="_Toc312678030"/>
      <w:bookmarkStart w:id="1264" w:name="_Toc296891244"/>
      <w:bookmarkStart w:id="1265" w:name="_Toc292559409"/>
      <w:bookmarkStart w:id="1266" w:name="_Toc297123546"/>
      <w:bookmarkStart w:id="1267" w:name="_Toc303539152"/>
      <w:bookmarkStart w:id="1268" w:name="_Toc296347203"/>
      <w:bookmarkStart w:id="1269" w:name="_Toc304295571"/>
      <w:bookmarkStart w:id="1270" w:name="_Toc296944543"/>
      <w:bookmarkStart w:id="1271" w:name="_Toc292559914"/>
      <w:bookmarkStart w:id="1272" w:name="_Toc297216205"/>
      <w:bookmarkStart w:id="1273" w:name="_Toc318581175"/>
      <w:bookmarkStart w:id="1274" w:name="_Toc297048390"/>
      <w:bookmarkStart w:id="1275" w:name="_Toc297120504"/>
      <w:bookmarkStart w:id="1276" w:name="_Toc300934995"/>
      <w:bookmarkStart w:id="1277" w:name="_Toc312677504"/>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另行协商</w:t>
      </w:r>
      <w:r>
        <w:rPr>
          <w:rFonts w:hint="eastAsia" w:ascii="宋体" w:hAnsi="宋体" w:cs="宋体"/>
          <w:color w:val="auto"/>
          <w:highlight w:val="none"/>
        </w:rPr>
        <w:t>。</w:t>
      </w:r>
    </w:p>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14:paraId="5F748A5D">
      <w:pPr>
        <w:pStyle w:val="4"/>
        <w:rPr>
          <w:rFonts w:ascii="宋体" w:hAnsi="宋体" w:cs="宋体"/>
          <w:color w:val="auto"/>
          <w:highlight w:val="none"/>
        </w:rPr>
      </w:pPr>
      <w:bookmarkStart w:id="1278" w:name="_Toc373227744"/>
      <w:bookmarkStart w:id="1279" w:name="_Toc78449833"/>
      <w:bookmarkStart w:id="1280" w:name="_Toc407135247"/>
      <w:bookmarkStart w:id="1281" w:name="_Toc2045792355"/>
      <w:bookmarkStart w:id="1282" w:name="_Toc389065310"/>
      <w:bookmarkStart w:id="1283" w:name="_Toc502454636"/>
      <w:bookmarkStart w:id="1284" w:name="_Toc373478391"/>
      <w:r>
        <w:rPr>
          <w:rFonts w:hint="eastAsia" w:ascii="宋体" w:hAnsi="宋体" w:cs="宋体"/>
          <w:color w:val="auto"/>
          <w:highlight w:val="none"/>
        </w:rPr>
        <w:t>1</w:t>
      </w:r>
      <w:bookmarkStart w:id="1285" w:name="_Toc297123548"/>
      <w:bookmarkStart w:id="1286" w:name="_Toc303539154"/>
      <w:bookmarkStart w:id="1287" w:name="_Toc297216207"/>
      <w:bookmarkStart w:id="1288" w:name="_Toc292559909"/>
      <w:bookmarkStart w:id="1289" w:name="_Toc297120499"/>
      <w:bookmarkStart w:id="1290" w:name="_Toc296891239"/>
      <w:bookmarkStart w:id="1291" w:name="_Toc296346700"/>
      <w:bookmarkStart w:id="1292" w:name="_Toc304295574"/>
      <w:bookmarkStart w:id="1293" w:name="_Toc296891027"/>
      <w:bookmarkStart w:id="1294" w:name="_Toc300934997"/>
      <w:bookmarkStart w:id="1295" w:name="_Toc312678033"/>
      <w:bookmarkStart w:id="1296" w:name="_Toc296503199"/>
      <w:bookmarkStart w:id="1297" w:name="_Toc296944538"/>
      <w:bookmarkStart w:id="1298" w:name="_Toc296347198"/>
      <w:bookmarkStart w:id="1299" w:name="_Toc297048385"/>
      <w:bookmarkStart w:id="1300" w:name="_Toc312677507"/>
      <w:bookmarkStart w:id="1301" w:name="_Toc292559404"/>
      <w:r>
        <w:rPr>
          <w:rFonts w:hint="eastAsia" w:ascii="宋体" w:hAnsi="宋体" w:cs="宋体"/>
          <w:color w:val="auto"/>
          <w:highlight w:val="none"/>
        </w:rPr>
        <w:t>0.7 暂估价</w:t>
      </w:r>
      <w:bookmarkEnd w:id="1278"/>
      <w:bookmarkEnd w:id="1279"/>
      <w:bookmarkEnd w:id="1280"/>
      <w:bookmarkEnd w:id="1281"/>
      <w:bookmarkEnd w:id="1282"/>
      <w:bookmarkEnd w:id="1283"/>
      <w:bookmarkEnd w:id="1284"/>
    </w:p>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14:paraId="1563DA2F">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暂</w:t>
      </w:r>
      <w:bookmarkStart w:id="1302" w:name="_Toc312677508"/>
      <w:bookmarkStart w:id="1303" w:name="_Toc312678034"/>
      <w:bookmarkStart w:id="1304" w:name="_Toc318581176"/>
      <w:r>
        <w:rPr>
          <w:rFonts w:hint="eastAsia" w:ascii="宋体" w:hAnsi="宋体" w:cs="宋体"/>
          <w:color w:val="auto"/>
          <w:kern w:val="0"/>
          <w:highlight w:val="none"/>
        </w:rPr>
        <w:t>估价材料和工程设备的明细详见已标价工程量清单《</w:t>
      </w:r>
      <w:r>
        <w:rPr>
          <w:rFonts w:hint="eastAsia" w:ascii="宋体" w:hAnsi="宋体" w:cs="宋体"/>
          <w:color w:val="auto"/>
          <w:highlight w:val="none"/>
        </w:rPr>
        <w:t>材料（工程设备）暂估价格及调整表》</w:t>
      </w:r>
      <w:r>
        <w:rPr>
          <w:rFonts w:hint="eastAsia" w:ascii="宋体" w:hAnsi="宋体" w:cs="宋体"/>
          <w:color w:val="auto"/>
          <w:kern w:val="0"/>
          <w:highlight w:val="none"/>
        </w:rPr>
        <w:t>（表12-2）和《</w:t>
      </w:r>
      <w:r>
        <w:rPr>
          <w:rFonts w:hint="eastAsia" w:ascii="宋体" w:hAnsi="宋体" w:cs="宋体"/>
          <w:color w:val="auto"/>
          <w:highlight w:val="none"/>
        </w:rPr>
        <w:t>专业工程暂估价表》（</w:t>
      </w:r>
      <w:r>
        <w:rPr>
          <w:rFonts w:hint="eastAsia" w:ascii="宋体" w:hAnsi="宋体" w:cs="宋体"/>
          <w:color w:val="auto"/>
          <w:kern w:val="0"/>
          <w:highlight w:val="none"/>
        </w:rPr>
        <w:t>表12-3）。</w:t>
      </w:r>
    </w:p>
    <w:bookmarkEnd w:id="1302"/>
    <w:bookmarkEnd w:id="1303"/>
    <w:bookmarkEnd w:id="1304"/>
    <w:p w14:paraId="3A181D5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Start w:id="1305" w:name="_Toc312677509"/>
      <w:bookmarkStart w:id="1306" w:name="_Toc318581177"/>
      <w:bookmarkStart w:id="1307" w:name="_Toc312678035"/>
      <w:r>
        <w:rPr>
          <w:rFonts w:hint="eastAsia" w:ascii="宋体" w:hAnsi="宋体" w:cs="宋体"/>
          <w:color w:val="auto"/>
          <w:highlight w:val="none"/>
        </w:rPr>
        <w:t>0.7.1 依法必须招标的暂估价项目</w:t>
      </w:r>
    </w:p>
    <w:bookmarkEnd w:id="1305"/>
    <w:bookmarkEnd w:id="1306"/>
    <w:bookmarkEnd w:id="1307"/>
    <w:p w14:paraId="4DD8719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0F1698E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第 1 种方式：对于依法必须招标的暂估价项目，由承包人招标，对该暂估价项目的确认和批准。 </w:t>
      </w:r>
    </w:p>
    <w:p w14:paraId="13D3897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按照以下约定执行： </w:t>
      </w:r>
    </w:p>
    <w:p w14:paraId="7428D3C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 </w:t>
      </w:r>
    </w:p>
    <w:p w14:paraId="67BAED4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（2）承包人应当根据施工进度计划，提前 14 天将招标文件通过监理人报送发包人审批，发包人应当在收到承包人报送的相关文件后 7 内完成审批或提出修改意见；发包人有权确定招标控制价并按照法律规定参加评标； </w:t>
      </w:r>
    </w:p>
    <w:p w14:paraId="0D1C3EB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（3）承包人与供应商、分包人在签订暂估价合同前，应当提前 7 天将确定的中标候选供应商或中标候选分包人的资料报送发包人，发包人应在收到资料后 3 天内与承包人共同确定中标人；承包人应当在签订合同后 7 天内，将暂估价合同副本报送发包人留存。</w:t>
      </w:r>
    </w:p>
    <w:p w14:paraId="62BED5C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10.7.2 不属于依法必须招标的暂估价项目</w:t>
      </w:r>
    </w:p>
    <w:p w14:paraId="4A4ACFB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3 </w:t>
      </w:r>
      <w:r>
        <w:rPr>
          <w:rFonts w:hint="eastAsia" w:ascii="宋体" w:hAnsi="宋体" w:cs="宋体"/>
          <w:color w:val="auto"/>
          <w:highlight w:val="none"/>
        </w:rPr>
        <w:t xml:space="preserve"> 种方式确定。</w:t>
      </w:r>
    </w:p>
    <w:p w14:paraId="0E08CDF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第 1 种方式：对于不属于依法必须招标的暂估价项目，按本项约定确认和批准： </w:t>
      </w:r>
    </w:p>
    <w:p w14:paraId="0514FE8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（1）承包人应根据施工进度计划，在签订暂估价项目的采购合同、分包合同前28 天向监理人提出书面申请。监理人应当在收到申请后 3 天内报送发包人，发包人应当在收到申请后 14 天内给予批准或提出修改意见，发包人逾期未予批准或提出修改意见的，视为该书面申请已获得同意； </w:t>
      </w:r>
    </w:p>
    <w:p w14:paraId="4F81541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（2）发包人认为承包人确定的供应商、分包人无法满足工程质量或合同要求的，发包人可以要求承包人重新确定暂估价项目的供应商、分包人； </w:t>
      </w:r>
    </w:p>
    <w:p w14:paraId="2ED2364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（3）承包人应当在签订暂估价合同后 7 天内，将暂估价合同副本报送发包人留存。 </w:t>
      </w:r>
    </w:p>
    <w:p w14:paraId="20B71C5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 2 种方式：承包人按照第 10.7.1 项〔依法必须招标的暂估价项目〕约定的第 1 种方式确定暂估价项目。</w:t>
      </w:r>
    </w:p>
    <w:p w14:paraId="0922E8D4">
      <w:pPr>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55E6858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如有，则以发包人要求为准；详见工程量清单</w:t>
      </w:r>
      <w:r>
        <w:rPr>
          <w:rFonts w:hint="eastAsia" w:ascii="宋体" w:hAnsi="宋体" w:cs="宋体"/>
          <w:color w:val="auto"/>
          <w:highlight w:val="none"/>
        </w:rPr>
        <w:t>。</w:t>
      </w:r>
    </w:p>
    <w:p w14:paraId="7B054DF1">
      <w:pPr>
        <w:pStyle w:val="4"/>
        <w:rPr>
          <w:rFonts w:ascii="宋体" w:hAnsi="宋体" w:cs="宋体"/>
          <w:color w:val="auto"/>
          <w:highlight w:val="none"/>
        </w:rPr>
      </w:pPr>
      <w:bookmarkStart w:id="1308" w:name="_Toc2131098822"/>
      <w:bookmarkStart w:id="1309" w:name="_Toc78449834"/>
      <w:bookmarkStart w:id="1310" w:name="_Toc389065311"/>
      <w:bookmarkStart w:id="1311" w:name="_Toc373227745"/>
      <w:bookmarkStart w:id="1312" w:name="_Toc373478392"/>
      <w:bookmarkStart w:id="1313" w:name="_Toc2032108729"/>
      <w:bookmarkStart w:id="1314" w:name="_Toc407135248"/>
      <w:r>
        <w:rPr>
          <w:rFonts w:hint="eastAsia" w:ascii="宋体" w:hAnsi="宋体" w:cs="宋体"/>
          <w:color w:val="auto"/>
          <w:highlight w:val="none"/>
        </w:rPr>
        <w:t>10.8 暂列金额</w:t>
      </w:r>
      <w:bookmarkEnd w:id="1308"/>
      <w:bookmarkEnd w:id="1309"/>
      <w:bookmarkEnd w:id="1310"/>
      <w:bookmarkEnd w:id="1311"/>
      <w:bookmarkEnd w:id="1312"/>
      <w:bookmarkEnd w:id="1313"/>
      <w:bookmarkEnd w:id="1314"/>
    </w:p>
    <w:p w14:paraId="2C44694C">
      <w:pPr>
        <w:autoSpaceDE w:val="0"/>
        <w:autoSpaceDN w:val="0"/>
        <w:adjustRightIn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合同当事人关于暂列金额使用的约定：</w:t>
      </w:r>
      <w:r>
        <w:rPr>
          <w:rFonts w:hint="eastAsia" w:ascii="宋体" w:hAnsi="宋体" w:cs="宋体"/>
          <w:color w:val="auto"/>
          <w:highlight w:val="none"/>
          <w:u w:val="single"/>
        </w:rPr>
        <w:t>如有，则以发包人要求为准；详见工程量清单</w:t>
      </w:r>
      <w:r>
        <w:rPr>
          <w:rFonts w:hint="eastAsia" w:ascii="宋体" w:hAnsi="宋体" w:cs="宋体"/>
          <w:color w:val="auto"/>
          <w:kern w:val="0"/>
          <w:highlight w:val="none"/>
        </w:rPr>
        <w:t>。</w:t>
      </w:r>
    </w:p>
    <w:p w14:paraId="34CD887F">
      <w:pPr>
        <w:pStyle w:val="3"/>
        <w:numPr>
          <w:ilvl w:val="0"/>
          <w:numId w:val="5"/>
        </w:numPr>
        <w:rPr>
          <w:rFonts w:ascii="宋体" w:hAnsi="宋体" w:cs="宋体"/>
          <w:color w:val="auto"/>
          <w:highlight w:val="none"/>
        </w:rPr>
      </w:pPr>
      <w:bookmarkStart w:id="1315" w:name="_Toc351203643"/>
      <w:bookmarkStart w:id="1316" w:name="_Toc78449835"/>
      <w:bookmarkStart w:id="1317" w:name="_Toc136736539"/>
      <w:bookmarkStart w:id="1318" w:name="_Toc407135249"/>
      <w:bookmarkStart w:id="1319" w:name="_Toc373227746"/>
      <w:bookmarkStart w:id="1320" w:name="_Toc373478393"/>
      <w:bookmarkStart w:id="1321" w:name="_Toc389065312"/>
      <w:bookmarkStart w:id="1322" w:name="_Toc1190723452"/>
      <w:r>
        <w:rPr>
          <w:rFonts w:hint="eastAsia" w:ascii="宋体" w:hAnsi="宋体" w:cs="宋体"/>
          <w:color w:val="auto"/>
          <w:highlight w:val="none"/>
        </w:rPr>
        <w:t>价格调整</w:t>
      </w:r>
      <w:bookmarkEnd w:id="1315"/>
      <w:bookmarkEnd w:id="1316"/>
      <w:bookmarkEnd w:id="1317"/>
      <w:bookmarkEnd w:id="1318"/>
      <w:bookmarkEnd w:id="1319"/>
      <w:bookmarkEnd w:id="1320"/>
      <w:bookmarkEnd w:id="1321"/>
      <w:bookmarkEnd w:id="1322"/>
    </w:p>
    <w:p w14:paraId="3B0CAB41">
      <w:pPr>
        <w:pStyle w:val="4"/>
        <w:rPr>
          <w:rFonts w:ascii="宋体" w:hAnsi="宋体" w:cs="宋体"/>
          <w:color w:val="auto"/>
          <w:highlight w:val="none"/>
        </w:rPr>
      </w:pPr>
      <w:bookmarkStart w:id="1323" w:name="_Toc42268484"/>
      <w:bookmarkStart w:id="1324" w:name="_Toc389065313"/>
      <w:bookmarkStart w:id="1325" w:name="_Toc407135250"/>
      <w:bookmarkStart w:id="1326" w:name="_Toc1501386015"/>
      <w:bookmarkStart w:id="1327" w:name="_Toc373478394"/>
      <w:bookmarkStart w:id="1328" w:name="_Toc78449836"/>
      <w:bookmarkStart w:id="1329" w:name="_Toc373227747"/>
      <w:bookmarkStart w:id="1330" w:name="_Toc304295577"/>
      <w:bookmarkStart w:id="1331" w:name="_Toc292559406"/>
      <w:bookmarkStart w:id="1332" w:name="_Toc297120501"/>
      <w:bookmarkStart w:id="1333" w:name="_Toc296944540"/>
      <w:bookmarkStart w:id="1334" w:name="_Toc296891029"/>
      <w:bookmarkStart w:id="1335" w:name="_Toc312678039"/>
      <w:bookmarkStart w:id="1336" w:name="_Toc300935000"/>
      <w:bookmarkStart w:id="1337" w:name="_Toc296347200"/>
      <w:bookmarkStart w:id="1338" w:name="_Toc297216209"/>
      <w:bookmarkStart w:id="1339" w:name="_Toc297048387"/>
      <w:bookmarkStart w:id="1340" w:name="_Toc296346702"/>
      <w:bookmarkStart w:id="1341" w:name="_Toc303539157"/>
      <w:bookmarkStart w:id="1342" w:name="_Toc296503201"/>
      <w:bookmarkStart w:id="1343" w:name="_Toc292559911"/>
      <w:bookmarkStart w:id="1344" w:name="_Toc296891241"/>
      <w:bookmarkStart w:id="1345" w:name="_Toc297123550"/>
      <w:r>
        <w:rPr>
          <w:rFonts w:hint="eastAsia" w:ascii="宋体" w:hAnsi="宋体" w:cs="宋体"/>
          <w:color w:val="auto"/>
          <w:highlight w:val="none"/>
        </w:rPr>
        <w:t>11.1 市场价格波动引起的调整</w:t>
      </w:r>
      <w:bookmarkEnd w:id="1323"/>
      <w:bookmarkEnd w:id="1324"/>
      <w:bookmarkEnd w:id="1325"/>
      <w:bookmarkEnd w:id="1326"/>
      <w:bookmarkEnd w:id="1327"/>
      <w:bookmarkEnd w:id="1328"/>
      <w:bookmarkEnd w:id="1329"/>
    </w:p>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14:paraId="76B418E1">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color w:val="auto"/>
          <w:highlight w:val="none"/>
          <w:u w:val="single"/>
        </w:rPr>
        <w:t xml:space="preserve">调整 </w:t>
      </w:r>
      <w:r>
        <w:rPr>
          <w:rFonts w:hint="eastAsia" w:ascii="宋体" w:hAnsi="宋体" w:cs="宋体"/>
          <w:color w:val="auto"/>
          <w:highlight w:val="none"/>
        </w:rPr>
        <w:t>。</w:t>
      </w:r>
    </w:p>
    <w:p w14:paraId="0CF7C36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3  </w:t>
      </w:r>
      <w:r>
        <w:rPr>
          <w:rFonts w:hint="eastAsia" w:ascii="宋体" w:hAnsi="宋体" w:cs="宋体"/>
          <w:color w:val="auto"/>
          <w:highlight w:val="none"/>
        </w:rPr>
        <w:t>种方式对合同价格进行调整：</w:t>
      </w:r>
    </w:p>
    <w:p w14:paraId="5AC62A6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第1种方式：采用价格指数进行价格调整。</w:t>
      </w:r>
    </w:p>
    <w:p w14:paraId="2C5CB5AF">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w:t>
      </w:r>
      <w:r>
        <w:rPr>
          <w:rFonts w:hint="eastAsia" w:ascii="宋体" w:hAnsi="宋体" w:cs="宋体"/>
          <w:color w:val="auto"/>
          <w:highlight w:val="none"/>
        </w:rPr>
        <w:t xml:space="preserve">；  </w:t>
      </w:r>
    </w:p>
    <w:p w14:paraId="3AF571B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第2种方式：采用造价信息进行价格调整。</w:t>
      </w:r>
    </w:p>
    <w:p w14:paraId="0D61F40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（1）允许调整主要材料和</w:t>
      </w:r>
      <w:r>
        <w:rPr>
          <w:rFonts w:hint="eastAsia" w:ascii="宋体" w:hAnsi="宋体" w:cs="宋体"/>
          <w:color w:val="auto"/>
          <w:highlight w:val="none"/>
          <w:lang w:val="en"/>
        </w:rPr>
        <w:t>工程</w:t>
      </w:r>
      <w:r>
        <w:rPr>
          <w:rFonts w:hint="eastAsia" w:ascii="宋体" w:hAnsi="宋体" w:cs="宋体"/>
          <w:color w:val="auto"/>
          <w:highlight w:val="none"/>
        </w:rPr>
        <w:t>设备、基期价格、风险系数、投标报价详见《</w:t>
      </w:r>
      <w:r>
        <w:rPr>
          <w:rFonts w:hint="eastAsia" w:ascii="宋体" w:hAnsi="宋体" w:cs="宋体"/>
          <w:color w:val="auto"/>
          <w:highlight w:val="none"/>
          <w:lang w:val="en"/>
        </w:rPr>
        <w:t>允许调整</w:t>
      </w:r>
      <w:r>
        <w:rPr>
          <w:rFonts w:hint="eastAsia" w:ascii="宋体" w:hAnsi="宋体" w:cs="宋体"/>
          <w:color w:val="auto"/>
          <w:highlight w:val="none"/>
        </w:rPr>
        <w:t>主要材料和</w:t>
      </w:r>
      <w:r>
        <w:rPr>
          <w:rFonts w:hint="eastAsia" w:ascii="宋体" w:hAnsi="宋体" w:cs="宋体"/>
          <w:color w:val="auto"/>
          <w:highlight w:val="none"/>
          <w:lang w:val="en"/>
        </w:rPr>
        <w:t>工程</w:t>
      </w:r>
      <w:r>
        <w:rPr>
          <w:rFonts w:hint="eastAsia" w:ascii="宋体" w:hAnsi="宋体" w:cs="宋体"/>
          <w:color w:val="auto"/>
          <w:highlight w:val="none"/>
        </w:rPr>
        <w:t>设备一览表》</w:t>
      </w:r>
      <w:r>
        <w:rPr>
          <w:rFonts w:hint="eastAsia" w:ascii="宋体" w:hAnsi="宋体" w:cs="宋体"/>
          <w:color w:val="auto"/>
          <w:kern w:val="0"/>
          <w:sz w:val="20"/>
          <w:highlight w:val="none"/>
        </w:rPr>
        <w:t>（表-22）</w:t>
      </w:r>
      <w:r>
        <w:rPr>
          <w:rFonts w:hint="eastAsia" w:ascii="宋体" w:hAnsi="宋体" w:cs="宋体"/>
          <w:color w:val="auto"/>
          <w:highlight w:val="none"/>
        </w:rPr>
        <w:t>,价差调整部分仅计算税金，除此表列明的材料、设备外，其余材料设备价差原则上不予调整。</w:t>
      </w:r>
    </w:p>
    <w:p w14:paraId="781536C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（2）主要材料和</w:t>
      </w:r>
      <w:r>
        <w:rPr>
          <w:rFonts w:hint="eastAsia" w:ascii="宋体" w:hAnsi="宋体" w:cs="宋体"/>
          <w:color w:val="auto"/>
          <w:highlight w:val="none"/>
          <w:lang w:val="en"/>
        </w:rPr>
        <w:t>工程</w:t>
      </w:r>
      <w:r>
        <w:rPr>
          <w:rFonts w:hint="eastAsia" w:ascii="宋体" w:hAnsi="宋体" w:cs="宋体"/>
          <w:color w:val="auto"/>
          <w:highlight w:val="none"/>
        </w:rPr>
        <w:t>设备确认价：</w:t>
      </w:r>
    </w:p>
    <w:p w14:paraId="3571F57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按施工期间《</w:t>
      </w:r>
      <w:r>
        <w:rPr>
          <w:rFonts w:hint="eastAsia" w:ascii="宋体" w:hAnsi="宋体" w:cs="宋体"/>
          <w:color w:val="auto"/>
          <w:highlight w:val="none"/>
          <w:u w:val="single"/>
        </w:rPr>
        <w:t>南宁</w:t>
      </w:r>
      <w:r>
        <w:rPr>
          <w:rFonts w:hint="eastAsia" w:ascii="宋体" w:hAnsi="宋体" w:cs="宋体"/>
          <w:color w:val="auto"/>
          <w:highlight w:val="none"/>
        </w:rPr>
        <w:t>市建设工程造价信息》材料信息价的加权平均价计算，信息价没有的按通用条款规定确定。</w:t>
      </w:r>
    </w:p>
    <w:p w14:paraId="531486F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（3）价差计算方法：</w:t>
      </w:r>
    </w:p>
    <w:p w14:paraId="0E521F5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①《</w:t>
      </w:r>
      <w:r>
        <w:rPr>
          <w:rFonts w:hint="eastAsia" w:ascii="宋体" w:hAnsi="宋体" w:cs="宋体"/>
          <w:color w:val="auto"/>
          <w:highlight w:val="none"/>
          <w:lang w:val="en"/>
        </w:rPr>
        <w:t>允许调整</w:t>
      </w:r>
      <w:r>
        <w:rPr>
          <w:rFonts w:hint="eastAsia" w:ascii="宋体" w:hAnsi="宋体" w:cs="宋体"/>
          <w:color w:val="auto"/>
          <w:highlight w:val="none"/>
        </w:rPr>
        <w:t>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438A905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②承包人在《</w:t>
      </w:r>
      <w:r>
        <w:rPr>
          <w:rFonts w:hint="eastAsia" w:ascii="宋体" w:hAnsi="宋体" w:cs="宋体"/>
          <w:color w:val="auto"/>
          <w:highlight w:val="none"/>
          <w:lang w:val="en"/>
        </w:rPr>
        <w:t>允许调整</w:t>
      </w:r>
      <w:r>
        <w:rPr>
          <w:rFonts w:hint="eastAsia" w:ascii="宋体" w:hAnsi="宋体" w:cs="宋体"/>
          <w:color w:val="auto"/>
          <w:highlight w:val="none"/>
        </w:rPr>
        <w:t>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55FA779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③承包人在《</w:t>
      </w:r>
      <w:r>
        <w:rPr>
          <w:rFonts w:hint="eastAsia" w:ascii="宋体" w:hAnsi="宋体" w:cs="宋体"/>
          <w:color w:val="auto"/>
          <w:highlight w:val="none"/>
          <w:lang w:val="en"/>
        </w:rPr>
        <w:t>允许调整</w:t>
      </w:r>
      <w:r>
        <w:rPr>
          <w:rFonts w:hint="eastAsia" w:ascii="宋体" w:hAnsi="宋体" w:cs="宋体"/>
          <w:color w:val="auto"/>
          <w:highlight w:val="none"/>
        </w:rPr>
        <w:t>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65DA3EDA">
      <w:pPr>
        <w:spacing w:line="360" w:lineRule="auto"/>
        <w:ind w:firstLine="645"/>
        <w:jc w:val="left"/>
        <w:rPr>
          <w:rFonts w:ascii="宋体" w:hAnsi="宋体" w:cs="宋体"/>
          <w:color w:val="auto"/>
          <w:highlight w:val="none"/>
        </w:rPr>
      </w:pPr>
      <w:r>
        <w:rPr>
          <w:rFonts w:hint="eastAsia" w:ascii="宋体" w:hAnsi="宋体" w:cs="宋体"/>
          <w:color w:val="auto"/>
          <w:highlight w:val="none"/>
        </w:rPr>
        <w:t xml:space="preserve">第3种方式： </w:t>
      </w:r>
      <w:r>
        <w:rPr>
          <w:rFonts w:hint="eastAsia" w:ascii="宋体" w:hAnsi="宋体" w:cs="宋体"/>
          <w:color w:val="auto"/>
          <w:highlight w:val="none"/>
          <w:u w:val="single"/>
        </w:rPr>
        <w:t>除合同约定可以调整的主要材料外，其他材料单价在合同实施期间不因市场价格变化因素而变动，主要材料涨跌的调整幅度按《南宁市建设工程造价信息》发布的主要建筑材料的平均价较</w:t>
      </w:r>
      <w:r>
        <w:rPr>
          <w:rFonts w:hint="eastAsia" w:ascii="宋体" w:hAnsi="宋体" w:cs="宋体"/>
          <w:color w:val="auto"/>
          <w:szCs w:val="21"/>
          <w:highlight w:val="none"/>
          <w:u w:val="single"/>
        </w:rPr>
        <w:t>发包时招标控制价工程量清单对应材料的单价</w:t>
      </w:r>
      <w:r>
        <w:rPr>
          <w:rFonts w:hint="eastAsia" w:ascii="宋体" w:hAnsi="宋体" w:cs="宋体"/>
          <w:color w:val="auto"/>
          <w:highlight w:val="none"/>
          <w:u w:val="single"/>
        </w:rPr>
        <w:t>发生变动时，变动幅度在±10%以上的部分，承包人可以提出申请调整主要材料价格。调整日期范围是指合同规定的施工工期或允许调整的合理工期，若超过合同规定的施工日期或允许调整的合理工期，发包人将不予调整。若不按时间要求及时提出或承包人送审结算资料时才提出，发包人将不予调整</w:t>
      </w:r>
      <w:r>
        <w:rPr>
          <w:rFonts w:hint="eastAsia" w:ascii="宋体" w:hAnsi="宋体" w:cs="宋体"/>
          <w:color w:val="auto"/>
          <w:highlight w:val="none"/>
        </w:rPr>
        <w:t>。</w:t>
      </w:r>
    </w:p>
    <w:bookmarkEnd w:id="1177"/>
    <w:bookmarkEnd w:id="1178"/>
    <w:bookmarkEnd w:id="1179"/>
    <w:bookmarkEnd w:id="1180"/>
    <w:bookmarkEnd w:id="1181"/>
    <w:bookmarkEnd w:id="1182"/>
    <w:p w14:paraId="439554A1">
      <w:pPr>
        <w:pStyle w:val="3"/>
        <w:rPr>
          <w:rFonts w:ascii="宋体" w:hAnsi="宋体" w:cs="宋体"/>
          <w:color w:val="auto"/>
          <w:highlight w:val="none"/>
        </w:rPr>
      </w:pPr>
      <w:bookmarkStart w:id="1346" w:name="_Toc296891245"/>
      <w:bookmarkStart w:id="1347" w:name="_Toc297120505"/>
      <w:bookmarkStart w:id="1348" w:name="_Toc296944544"/>
      <w:bookmarkStart w:id="1349" w:name="_Toc296346706"/>
      <w:bookmarkStart w:id="1350" w:name="_Toc296503205"/>
      <w:bookmarkStart w:id="1351" w:name="_Toc292559915"/>
      <w:bookmarkStart w:id="1352" w:name="_Toc297048391"/>
      <w:bookmarkStart w:id="1353" w:name="_Toc292559410"/>
      <w:bookmarkStart w:id="1354" w:name="_Toc296347204"/>
      <w:bookmarkStart w:id="1355" w:name="_Toc296891033"/>
      <w:bookmarkStart w:id="1356" w:name="_Toc373478395"/>
      <w:bookmarkStart w:id="1357" w:name="_Toc1935657796"/>
      <w:bookmarkStart w:id="1358" w:name="_Toc373227748"/>
      <w:bookmarkStart w:id="1359" w:name="_Toc78449837"/>
      <w:bookmarkStart w:id="1360" w:name="_Toc1720046426"/>
      <w:bookmarkStart w:id="1361" w:name="_Toc407135251"/>
      <w:bookmarkStart w:id="1362" w:name="_Toc351203644"/>
      <w:bookmarkStart w:id="1363" w:name="_Toc297123552"/>
      <w:bookmarkStart w:id="1364" w:name="_Toc304295579"/>
      <w:bookmarkStart w:id="1365" w:name="_Toc297216211"/>
      <w:bookmarkStart w:id="1366" w:name="_Toc300935002"/>
      <w:bookmarkStart w:id="1367" w:name="_Toc312678040"/>
      <w:bookmarkStart w:id="1368" w:name="_Toc303539159"/>
      <w:r>
        <w:rPr>
          <w:rFonts w:hint="eastAsia" w:ascii="宋体" w:hAnsi="宋体" w:cs="宋体"/>
          <w:color w:val="auto"/>
          <w:highlight w:val="none"/>
        </w:rPr>
        <w:t xml:space="preserve">12. </w:t>
      </w:r>
      <w:bookmarkEnd w:id="1346"/>
      <w:bookmarkEnd w:id="1347"/>
      <w:bookmarkEnd w:id="1348"/>
      <w:bookmarkEnd w:id="1349"/>
      <w:bookmarkEnd w:id="1350"/>
      <w:bookmarkEnd w:id="1351"/>
      <w:bookmarkEnd w:id="1352"/>
      <w:bookmarkEnd w:id="1353"/>
      <w:bookmarkEnd w:id="1354"/>
      <w:bookmarkEnd w:id="1355"/>
      <w:r>
        <w:rPr>
          <w:rFonts w:hint="eastAsia" w:ascii="宋体" w:hAnsi="宋体" w:cs="宋体"/>
          <w:color w:val="auto"/>
          <w:highlight w:val="none"/>
        </w:rPr>
        <w:t>合同价格、计量与支付</w:t>
      </w:r>
      <w:bookmarkEnd w:id="1356"/>
      <w:bookmarkEnd w:id="1357"/>
      <w:bookmarkEnd w:id="1358"/>
      <w:bookmarkEnd w:id="1359"/>
      <w:bookmarkEnd w:id="1360"/>
      <w:bookmarkEnd w:id="1361"/>
      <w:bookmarkEnd w:id="1362"/>
    </w:p>
    <w:bookmarkEnd w:id="1363"/>
    <w:bookmarkEnd w:id="1364"/>
    <w:bookmarkEnd w:id="1365"/>
    <w:bookmarkEnd w:id="1366"/>
    <w:bookmarkEnd w:id="1367"/>
    <w:bookmarkEnd w:id="1368"/>
    <w:p w14:paraId="1DD46DD0">
      <w:pPr>
        <w:pStyle w:val="4"/>
        <w:rPr>
          <w:rFonts w:ascii="宋体" w:hAnsi="宋体" w:cs="宋体"/>
          <w:color w:val="auto"/>
          <w:highlight w:val="none"/>
        </w:rPr>
      </w:pPr>
      <w:bookmarkStart w:id="1369" w:name="_Toc267251461"/>
      <w:bookmarkStart w:id="1370" w:name="_Toc292559411"/>
      <w:bookmarkStart w:id="1371" w:name="_Toc292559916"/>
      <w:bookmarkStart w:id="1372" w:name="_Toc296891246"/>
      <w:bookmarkStart w:id="1373" w:name="_Toc297048392"/>
      <w:bookmarkStart w:id="1374" w:name="_Toc297120506"/>
      <w:bookmarkStart w:id="1375" w:name="_Toc296944545"/>
      <w:bookmarkStart w:id="1376" w:name="_Toc296503206"/>
      <w:bookmarkStart w:id="1377" w:name="_Toc296891034"/>
      <w:bookmarkStart w:id="1378" w:name="_Toc296347205"/>
      <w:bookmarkStart w:id="1379" w:name="_Toc296346707"/>
      <w:bookmarkStart w:id="1380" w:name="_Toc78449838"/>
      <w:bookmarkStart w:id="1381" w:name="_Toc1894565429"/>
      <w:bookmarkStart w:id="1382" w:name="_Toc389065314"/>
      <w:bookmarkStart w:id="1383" w:name="_Toc373478396"/>
      <w:bookmarkStart w:id="1384" w:name="_Toc407135252"/>
      <w:bookmarkStart w:id="1385" w:name="_Toc373227749"/>
      <w:bookmarkStart w:id="1386" w:name="_Toc1395756356"/>
      <w:bookmarkStart w:id="1387" w:name="_Toc300935003"/>
      <w:bookmarkStart w:id="1388" w:name="_Toc303539160"/>
      <w:bookmarkStart w:id="1389" w:name="_Toc297123553"/>
      <w:bookmarkStart w:id="1390" w:name="_Toc312678041"/>
      <w:bookmarkStart w:id="1391" w:name="_Toc297216212"/>
      <w:bookmarkStart w:id="1392" w:name="_Toc304295580"/>
      <w:r>
        <w:rPr>
          <w:rFonts w:hint="eastAsia" w:ascii="宋体" w:hAnsi="宋体" w:cs="宋体"/>
          <w:color w:val="auto"/>
          <w:highlight w:val="none"/>
        </w:rPr>
        <w:t>12.1 合</w:t>
      </w:r>
      <w:bookmarkEnd w:id="1369"/>
      <w:bookmarkEnd w:id="1370"/>
      <w:bookmarkEnd w:id="1371"/>
      <w:r>
        <w:rPr>
          <w:rFonts w:hint="eastAsia" w:ascii="宋体" w:hAnsi="宋体" w:cs="宋体"/>
          <w:color w:val="auto"/>
          <w:highlight w:val="none"/>
        </w:rPr>
        <w:t>同价</w:t>
      </w:r>
      <w:bookmarkEnd w:id="1372"/>
      <w:bookmarkEnd w:id="1373"/>
      <w:bookmarkEnd w:id="1374"/>
      <w:bookmarkEnd w:id="1375"/>
      <w:bookmarkEnd w:id="1376"/>
      <w:bookmarkEnd w:id="1377"/>
      <w:bookmarkEnd w:id="1378"/>
      <w:bookmarkEnd w:id="1379"/>
      <w:r>
        <w:rPr>
          <w:rFonts w:hint="eastAsia" w:ascii="宋体" w:hAnsi="宋体" w:cs="宋体"/>
          <w:color w:val="auto"/>
          <w:highlight w:val="none"/>
        </w:rPr>
        <w:t>格形式</w:t>
      </w:r>
      <w:bookmarkEnd w:id="1380"/>
      <w:bookmarkEnd w:id="1381"/>
      <w:bookmarkEnd w:id="1382"/>
      <w:bookmarkEnd w:id="1383"/>
      <w:bookmarkEnd w:id="1384"/>
      <w:bookmarkEnd w:id="1385"/>
      <w:bookmarkEnd w:id="1386"/>
    </w:p>
    <w:bookmarkEnd w:id="1387"/>
    <w:bookmarkEnd w:id="1388"/>
    <w:bookmarkEnd w:id="1389"/>
    <w:bookmarkEnd w:id="1390"/>
    <w:bookmarkEnd w:id="1391"/>
    <w:bookmarkEnd w:id="1392"/>
    <w:p w14:paraId="6B66A175">
      <w:pPr>
        <w:spacing w:line="360" w:lineRule="auto"/>
        <w:ind w:firstLine="420" w:firstLineChars="200"/>
        <w:jc w:val="left"/>
        <w:rPr>
          <w:rFonts w:ascii="宋体" w:hAnsi="宋体" w:cs="宋体"/>
          <w:color w:val="auto"/>
          <w:highlight w:val="none"/>
        </w:rPr>
      </w:pPr>
      <w:bookmarkStart w:id="1393" w:name="_Toc373478397"/>
      <w:bookmarkStart w:id="1394" w:name="_Toc389065315"/>
      <w:bookmarkStart w:id="1395" w:name="_Toc373227750"/>
      <w:bookmarkStart w:id="1396" w:name="_Toc297048393"/>
      <w:bookmarkStart w:id="1397" w:name="_Toc296346708"/>
      <w:bookmarkStart w:id="1398" w:name="_Toc300935004"/>
      <w:bookmarkStart w:id="1399" w:name="_Toc292559917"/>
      <w:bookmarkStart w:id="1400" w:name="_Toc297123554"/>
      <w:bookmarkStart w:id="1401" w:name="_Toc312678042"/>
      <w:bookmarkStart w:id="1402" w:name="_Toc303539161"/>
      <w:bookmarkStart w:id="1403" w:name="_Toc297216213"/>
      <w:bookmarkStart w:id="1404" w:name="_Toc292559412"/>
      <w:bookmarkStart w:id="1405" w:name="_Toc296347206"/>
      <w:bookmarkStart w:id="1406" w:name="_Toc296944546"/>
      <w:bookmarkStart w:id="1407" w:name="_Toc304295581"/>
      <w:bookmarkStart w:id="1408" w:name="_Toc296503207"/>
      <w:bookmarkStart w:id="1409" w:name="_Toc297120507"/>
      <w:bookmarkStart w:id="1410" w:name="_Toc296891035"/>
      <w:bookmarkStart w:id="1411" w:name="_Toc296891247"/>
      <w:r>
        <w:rPr>
          <w:rFonts w:hint="eastAsia" w:ascii="宋体" w:hAnsi="宋体" w:cs="宋体"/>
          <w:color w:val="auto"/>
          <w:highlight w:val="none"/>
        </w:rPr>
        <w:t>本工程采用</w:t>
      </w:r>
      <w:r>
        <w:rPr>
          <w:rFonts w:hint="eastAsia" w:ascii="宋体" w:hAnsi="宋体" w:cs="宋体"/>
          <w:color w:val="auto"/>
          <w:highlight w:val="none"/>
          <w:u w:val="single"/>
        </w:rPr>
        <w:t xml:space="preserve">   （1）    </w:t>
      </w:r>
      <w:r>
        <w:rPr>
          <w:rFonts w:hint="eastAsia" w:ascii="宋体" w:hAnsi="宋体" w:cs="宋体"/>
          <w:color w:val="auto"/>
          <w:highlight w:val="none"/>
        </w:rPr>
        <w:t>合同价格形式，合同价格包含增值税，本工程计价时采用的增值税计税方法为：</w:t>
      </w:r>
      <w:r>
        <w:rPr>
          <w:rFonts w:hint="eastAsia" w:ascii="宋体" w:hAnsi="宋体" w:cs="宋体"/>
          <w:color w:val="auto"/>
          <w:highlight w:val="none"/>
        </w:rPr>
        <w:sym w:font="Wingdings 2" w:char="0052"/>
      </w:r>
      <w:r>
        <w:rPr>
          <w:rFonts w:hint="eastAsia" w:ascii="宋体" w:hAnsi="宋体" w:cs="宋体"/>
          <w:color w:val="auto"/>
          <w:highlight w:val="none"/>
        </w:rPr>
        <w:t>一般计税法   □简易计税法。</w:t>
      </w:r>
    </w:p>
    <w:p w14:paraId="058501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（1）单价合同。</w:t>
      </w:r>
    </w:p>
    <w:p w14:paraId="198858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采用综合单价合同方式时，工程量按建设单位、监理单位、施工单位三方确认的竣工图结算。</w:t>
      </w:r>
    </w:p>
    <w:p w14:paraId="7F2790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除工程变更、项目特征不符、工程量清单缺项、工程量偏差、政策性调整、市场价格波动。</w:t>
      </w:r>
    </w:p>
    <w:p w14:paraId="55A0330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风险范围以外合同价格的调整方法：</w:t>
      </w:r>
    </w:p>
    <w:p w14:paraId="34D8B98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因分部分项工程量清单漏项、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计算，其中材料价格按施工期间的《南宁建设工程造价信息》相应价格信息进行计算；《南宁建设工程造价信息》没有相应价格信息的按市场价计算；无定额可套的，根据市场价格协商确定综合价格；新增项目的单价必须经财政投评中心或者有资质的审核单位审定。</w:t>
      </w:r>
    </w:p>
    <w:p w14:paraId="29ACE9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（三）本工程可以调整的主要材料：</w:t>
      </w:r>
      <w:r>
        <w:rPr>
          <w:rFonts w:hint="eastAsia" w:ascii="宋体" w:hAnsi="宋体" w:cs="宋体"/>
          <w:b/>
          <w:bCs/>
          <w:color w:val="auto"/>
          <w:highlight w:val="none"/>
        </w:rPr>
        <w:t>钢筋、水泥、砌（砖）块、砂、碎石、混凝土。本工程最终结算价以财政部门或者业主委托有资质的审核单位审定为准。</w:t>
      </w:r>
    </w:p>
    <w:p w14:paraId="5F1D50F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（2）总价合同。</w:t>
      </w:r>
    </w:p>
    <w:p w14:paraId="1D71029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总价包含的风险范围：包含除工程变更、政策性调整、</w:t>
      </w:r>
      <w:r>
        <w:rPr>
          <w:rFonts w:hint="eastAsia" w:ascii="宋体" w:hAnsi="宋体" w:cs="宋体"/>
          <w:color w:val="auto"/>
          <w:highlight w:val="none"/>
          <w:u w:val="single"/>
        </w:rPr>
        <w:t xml:space="preserve">市场价格波动。除工程变更外，结算时不再对施工图对应的工程量重新计量 </w:t>
      </w:r>
      <w:r>
        <w:rPr>
          <w:rFonts w:hint="eastAsia" w:ascii="宋体" w:hAnsi="宋体" w:cs="宋体"/>
          <w:color w:val="auto"/>
          <w:highlight w:val="none"/>
        </w:rPr>
        <w:t>。</w:t>
      </w:r>
    </w:p>
    <w:p w14:paraId="7A2BE33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1106DBF7">
      <w:pPr>
        <w:spacing w:line="360" w:lineRule="auto"/>
        <w:ind w:firstLine="412" w:firstLineChars="200"/>
        <w:jc w:val="left"/>
        <w:rPr>
          <w:rFonts w:ascii="宋体" w:hAnsi="宋体" w:cs="宋体"/>
          <w:color w:val="auto"/>
          <w:highlight w:val="none"/>
        </w:rPr>
      </w:pPr>
      <w:r>
        <w:rPr>
          <w:rFonts w:hint="eastAsia" w:ascii="宋体" w:hAnsi="宋体" w:cs="宋体"/>
          <w:color w:val="auto"/>
          <w:spacing w:val="-2"/>
          <w:highlight w:val="none"/>
        </w:rPr>
        <w:t>①</w:t>
      </w:r>
      <w:r>
        <w:rPr>
          <w:rFonts w:hint="eastAsia" w:ascii="宋体" w:hAnsi="宋体" w:cs="宋体"/>
          <w:color w:val="auto"/>
          <w:highlight w:val="none"/>
        </w:rPr>
        <w:t>工程变更：按10.4.1变更估价原则的约定调整。</w:t>
      </w:r>
    </w:p>
    <w:p w14:paraId="2DFA8A4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②政策性调整：按国家、自治区住房城乡建设厅或工程所在地市级住房城乡建设主管部门颁布的文件执行。</w:t>
      </w:r>
    </w:p>
    <w:p w14:paraId="6D355DB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③市场波动引起的调整：按11.1的约定调整。</w:t>
      </w:r>
    </w:p>
    <w:p w14:paraId="55BC803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4 \* GB3 </w:instrText>
      </w:r>
      <w:r>
        <w:rPr>
          <w:rFonts w:hint="eastAsia" w:ascii="宋体" w:hAnsi="宋体" w:cs="宋体"/>
          <w:color w:val="auto"/>
          <w:highlight w:val="none"/>
        </w:rPr>
        <w:fldChar w:fldCharType="separate"/>
      </w:r>
      <w:r>
        <w:rPr>
          <w:rFonts w:hint="eastAsia" w:ascii="宋体" w:hAnsi="宋体" w:cs="宋体"/>
          <w:color w:val="auto"/>
          <w:highlight w:val="none"/>
        </w:rPr>
        <w:t>④</w:t>
      </w:r>
      <w:r>
        <w:rPr>
          <w:rFonts w:hint="eastAsia" w:ascii="宋体" w:hAnsi="宋体" w:cs="宋体"/>
          <w:color w:val="auto"/>
          <w:highlight w:val="none"/>
        </w:rPr>
        <w:fldChar w:fldCharType="end"/>
      </w:r>
      <w:r>
        <w:rPr>
          <w:rFonts w:hint="eastAsia" w:ascii="宋体" w:hAnsi="宋体" w:cs="宋体"/>
          <w:color w:val="auto"/>
          <w:highlight w:val="none"/>
        </w:rPr>
        <w:t>其它：</w:t>
      </w:r>
      <w:r>
        <w:rPr>
          <w:rFonts w:hint="eastAsia" w:ascii="宋体" w:hAnsi="宋体" w:cs="宋体"/>
          <w:color w:val="auto"/>
          <w:highlight w:val="none"/>
          <w:u w:val="single"/>
        </w:rPr>
        <w:t>/</w:t>
      </w:r>
      <w:r>
        <w:rPr>
          <w:rFonts w:hint="eastAsia" w:ascii="宋体" w:hAnsi="宋体" w:cs="宋体"/>
          <w:color w:val="auto"/>
          <w:highlight w:val="none"/>
        </w:rPr>
        <w:t>。</w:t>
      </w:r>
    </w:p>
    <w:p w14:paraId="5999EF4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（3）其他价格方式：</w:t>
      </w:r>
      <w:r>
        <w:rPr>
          <w:rFonts w:hint="eastAsia" w:ascii="宋体" w:hAnsi="宋体" w:cs="宋体"/>
          <w:color w:val="auto"/>
          <w:highlight w:val="none"/>
          <w:u w:val="single"/>
        </w:rPr>
        <w:t>/</w:t>
      </w:r>
      <w:r>
        <w:rPr>
          <w:rFonts w:hint="eastAsia" w:ascii="宋体" w:hAnsi="宋体" w:cs="宋体"/>
          <w:color w:val="auto"/>
          <w:highlight w:val="none"/>
        </w:rPr>
        <w:t>。</w:t>
      </w:r>
    </w:p>
    <w:p w14:paraId="60C82189">
      <w:pPr>
        <w:pStyle w:val="4"/>
        <w:rPr>
          <w:rFonts w:ascii="宋体" w:hAnsi="宋体" w:cs="宋体"/>
          <w:color w:val="auto"/>
          <w:highlight w:val="none"/>
        </w:rPr>
      </w:pPr>
      <w:bookmarkStart w:id="1412" w:name="_Toc407135253"/>
      <w:bookmarkStart w:id="1413" w:name="_Toc1338560546"/>
      <w:bookmarkStart w:id="1414" w:name="_Toc78449839"/>
      <w:bookmarkStart w:id="1415" w:name="_Toc1681900246"/>
      <w:r>
        <w:rPr>
          <w:rFonts w:hint="eastAsia" w:ascii="宋体" w:hAnsi="宋体" w:cs="宋体"/>
          <w:color w:val="auto"/>
          <w:highlight w:val="none"/>
        </w:rPr>
        <w:t>12.2 预付款</w:t>
      </w:r>
      <w:bookmarkEnd w:id="1393"/>
      <w:bookmarkEnd w:id="1394"/>
      <w:bookmarkEnd w:id="1395"/>
      <w:bookmarkEnd w:id="1412"/>
      <w:bookmarkEnd w:id="1413"/>
      <w:bookmarkEnd w:id="1414"/>
      <w:bookmarkEnd w:id="1415"/>
    </w:p>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14:paraId="47DBC57F">
      <w:pPr>
        <w:spacing w:line="360" w:lineRule="auto"/>
        <w:ind w:firstLine="420" w:firstLineChars="200"/>
        <w:jc w:val="left"/>
        <w:rPr>
          <w:rFonts w:ascii="宋体" w:hAnsi="宋体" w:cs="宋体"/>
          <w:color w:val="auto"/>
          <w:highlight w:val="none"/>
        </w:rPr>
      </w:pPr>
      <w:bookmarkStart w:id="1416" w:name="_Toc407135254"/>
      <w:bookmarkStart w:id="1417" w:name="_Toc1494831447"/>
      <w:bookmarkStart w:id="1418" w:name="_Toc78449840"/>
      <w:bookmarkStart w:id="1419" w:name="_Toc1307224940"/>
      <w:bookmarkStart w:id="1420" w:name="_Toc373227751"/>
      <w:bookmarkStart w:id="1421" w:name="_Toc373478398"/>
      <w:bookmarkStart w:id="1422" w:name="_Toc389065316"/>
      <w:r>
        <w:rPr>
          <w:rFonts w:hint="eastAsia" w:ascii="宋体" w:hAnsi="宋体" w:cs="宋体"/>
          <w:color w:val="auto"/>
          <w:highlight w:val="none"/>
        </w:rPr>
        <w:t>12.2.1 预付款的支付</w:t>
      </w:r>
    </w:p>
    <w:p w14:paraId="203B0C8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预付款支付比例或金额：</w:t>
      </w:r>
      <w:r>
        <w:rPr>
          <w:rFonts w:hint="eastAsia" w:hAnsi="宋体" w:cs="宋体"/>
          <w:color w:val="auto"/>
          <w:highlight w:val="none"/>
          <w:u w:val="single"/>
        </w:rPr>
        <w:t xml:space="preserve">合同价款扣除暂列金额后的 10% </w:t>
      </w:r>
      <w:r>
        <w:rPr>
          <w:rFonts w:hint="eastAsia" w:ascii="宋体" w:hAnsi="宋体" w:cs="宋体"/>
          <w:color w:val="auto"/>
          <w:highlight w:val="none"/>
          <w:u w:val="single"/>
        </w:rPr>
        <w:t xml:space="preserve"> 【备注：政府投资项目应严格执行工程预付款制度，工程预付款应不低于合同总价（扣除暂列金额）的10%（最高不超过30%，并与工程进度款分期按约定比例抵扣）】</w:t>
      </w:r>
      <w:r>
        <w:rPr>
          <w:rFonts w:hint="eastAsia" w:ascii="宋体" w:hAnsi="宋体" w:cs="宋体"/>
          <w:color w:val="auto"/>
          <w:highlight w:val="none"/>
        </w:rPr>
        <w:t>。</w:t>
      </w:r>
    </w:p>
    <w:p w14:paraId="29ED706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color w:val="auto"/>
          <w:highlight w:val="none"/>
          <w:u w:val="single"/>
        </w:rPr>
        <w:t xml:space="preserve">  合同签订后 30 天之内，由承包人向发包人提出支付申请 </w:t>
      </w:r>
      <w:r>
        <w:rPr>
          <w:rFonts w:hint="eastAsia" w:ascii="宋体" w:hAnsi="宋体" w:cs="宋体"/>
          <w:color w:val="auto"/>
          <w:highlight w:val="none"/>
        </w:rPr>
        <w:t>。</w:t>
      </w:r>
    </w:p>
    <w:p w14:paraId="62D5022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从申请第一期工程进度款时直接扣除预付款，即第一期工程进度款=按合同约定当期进度已完成投资额对应发包人应支付的金额减去已付预付款金额</w:t>
      </w:r>
      <w:r>
        <w:rPr>
          <w:rFonts w:hint="eastAsia" w:ascii="宋体" w:hAnsi="宋体" w:cs="宋体"/>
          <w:color w:val="auto"/>
          <w:highlight w:val="none"/>
        </w:rPr>
        <w:t>。</w:t>
      </w:r>
    </w:p>
    <w:p w14:paraId="0AD7B4F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12.2.2 预付款担保</w:t>
      </w:r>
    </w:p>
    <w:p w14:paraId="1C36ECC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 xml:space="preserve">       合同签订30天内   </w:t>
      </w:r>
      <w:r>
        <w:rPr>
          <w:rFonts w:hint="eastAsia" w:ascii="宋体" w:hAnsi="宋体" w:cs="宋体"/>
          <w:color w:val="auto"/>
          <w:highlight w:val="none"/>
        </w:rPr>
        <w:t>。</w:t>
      </w:r>
    </w:p>
    <w:p w14:paraId="248687B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担保的形式为：可以是银行转账、电汇或网上支付、保函（银行保函、电子保函、保证保险保函、工程担保保函）等形式。工程担保保证人应将出具的保函相关信息录入“广西建筑市场监管云”平台（http://gxjzsc.caihcloud.com），以实现保函查询及验真功能。</w:t>
      </w:r>
    </w:p>
    <w:p w14:paraId="7025B36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预付款担保格式见合同附件8。预付款支付申请（核准）表见合同附件10。</w:t>
      </w:r>
    </w:p>
    <w:p w14:paraId="465B2335">
      <w:pPr>
        <w:pStyle w:val="4"/>
        <w:rPr>
          <w:rFonts w:ascii="宋体" w:hAnsi="宋体" w:cs="宋体"/>
          <w:color w:val="auto"/>
          <w:highlight w:val="none"/>
        </w:rPr>
      </w:pPr>
      <w:r>
        <w:rPr>
          <w:rFonts w:hint="eastAsia" w:ascii="宋体" w:hAnsi="宋体" w:cs="宋体"/>
          <w:color w:val="auto"/>
          <w:highlight w:val="none"/>
        </w:rPr>
        <w:t>12.3 计量</w:t>
      </w:r>
      <w:bookmarkEnd w:id="1416"/>
      <w:bookmarkEnd w:id="1417"/>
      <w:bookmarkEnd w:id="1418"/>
      <w:bookmarkEnd w:id="1419"/>
      <w:bookmarkEnd w:id="1420"/>
      <w:bookmarkEnd w:id="1421"/>
      <w:bookmarkEnd w:id="1422"/>
    </w:p>
    <w:p w14:paraId="03B46FD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12.3.1 计量原则</w:t>
      </w:r>
    </w:p>
    <w:p w14:paraId="651E9CE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工程量计算规则：</w:t>
      </w:r>
      <w:r>
        <w:rPr>
          <w:rFonts w:hint="eastAsia" w:ascii="宋体" w:hAnsi="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552F625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12.3.2 计量周期</w:t>
      </w:r>
    </w:p>
    <w:p w14:paraId="690B8CB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每月25日前</w:t>
      </w:r>
      <w:r>
        <w:rPr>
          <w:rFonts w:hint="eastAsia" w:ascii="宋体" w:hAnsi="宋体" w:cs="宋体"/>
          <w:color w:val="auto"/>
          <w:highlight w:val="none"/>
        </w:rPr>
        <w:t>。</w:t>
      </w:r>
    </w:p>
    <w:p w14:paraId="127E83C1">
      <w:pPr>
        <w:spacing w:line="360" w:lineRule="auto"/>
        <w:ind w:firstLine="420" w:firstLineChars="200"/>
        <w:jc w:val="left"/>
        <w:outlineLvl w:val="0"/>
        <w:rPr>
          <w:rFonts w:ascii="宋体" w:hAnsi="宋体" w:cs="宋体"/>
          <w:color w:val="auto"/>
          <w:highlight w:val="none"/>
        </w:rPr>
      </w:pPr>
      <w:r>
        <w:rPr>
          <w:rFonts w:hint="eastAsia" w:ascii="宋体" w:hAnsi="宋体" w:cs="宋体"/>
          <w:color w:val="auto"/>
          <w:highlight w:val="none"/>
        </w:rPr>
        <w:t>12.3.3 单价合同的计量</w:t>
      </w:r>
    </w:p>
    <w:p w14:paraId="6148CD9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关于单价合同计量的约定：</w:t>
      </w:r>
    </w:p>
    <w:p w14:paraId="1C8B077D">
      <w:pPr>
        <w:spacing w:line="360" w:lineRule="auto"/>
        <w:ind w:firstLine="441" w:firstLineChars="210"/>
        <w:rPr>
          <w:rFonts w:ascii="宋体" w:hAnsi="宋体" w:cs="宋体"/>
          <w:color w:val="auto"/>
          <w:highlight w:val="none"/>
        </w:rPr>
      </w:pPr>
      <w:r>
        <w:rPr>
          <w:rFonts w:hint="eastAsia" w:ascii="宋体" w:hAnsi="宋体" w:cs="宋体"/>
          <w:color w:val="auto"/>
          <w:highlight w:val="none"/>
        </w:rPr>
        <w:t>(1) 工程量清单所列的工程量，不能作为承包人按合同履行其责任依据，实际施工中发生的工程量增加或减少并不影响承包人履行合同的责任，工程结算以完成的实际工程量为准。</w:t>
      </w:r>
    </w:p>
    <w:p w14:paraId="1A982397">
      <w:pPr>
        <w:spacing w:line="360" w:lineRule="auto"/>
        <w:ind w:firstLine="441" w:firstLineChars="210"/>
        <w:rPr>
          <w:rFonts w:ascii="宋体" w:hAnsi="宋体" w:cs="宋体"/>
          <w:color w:val="auto"/>
          <w:highlight w:val="none"/>
        </w:rPr>
      </w:pPr>
      <w:r>
        <w:rPr>
          <w:rFonts w:hint="eastAsia" w:ascii="宋体" w:hAnsi="宋体" w:cs="宋体"/>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740BDAD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12.3.4 总价合同的计量</w:t>
      </w:r>
    </w:p>
    <w:p w14:paraId="77B6020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（1）总价合同计量约定：进度款按支付分解表支付</w:t>
      </w:r>
      <w:r>
        <w:rPr>
          <w:rFonts w:hint="eastAsia" w:ascii="宋体" w:hAnsi="宋体" w:cs="宋体"/>
          <w:color w:val="auto"/>
          <w:kern w:val="0"/>
          <w:highlight w:val="none"/>
        </w:rPr>
        <w:t>，</w:t>
      </w:r>
      <w:r>
        <w:rPr>
          <w:rFonts w:hint="eastAsia" w:ascii="宋体" w:hAnsi="宋体" w:cs="宋体"/>
          <w:color w:val="auto"/>
          <w:highlight w:val="none"/>
        </w:rPr>
        <w:t>支付分解表在招标完成后签合同之前制定，具体详见本专用合同条款12.4.6。</w:t>
      </w:r>
    </w:p>
    <w:p w14:paraId="06C8E93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12.3.6 其他价格形式合同的计量</w:t>
      </w:r>
    </w:p>
    <w:p w14:paraId="36E8E296">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其他价格形式的计量方式和程序：</w:t>
      </w:r>
      <w:r>
        <w:rPr>
          <w:rFonts w:hint="eastAsia" w:ascii="宋体" w:hAnsi="宋体" w:cs="宋体"/>
          <w:color w:val="auto"/>
          <w:highlight w:val="none"/>
          <w:u w:val="single"/>
        </w:rPr>
        <w:t>无</w:t>
      </w:r>
      <w:r>
        <w:rPr>
          <w:rFonts w:hint="eastAsia" w:ascii="宋体" w:hAnsi="宋体" w:cs="宋体"/>
          <w:color w:val="auto"/>
          <w:highlight w:val="none"/>
        </w:rPr>
        <w:t>。</w:t>
      </w:r>
    </w:p>
    <w:p w14:paraId="5C74283E">
      <w:pPr>
        <w:pStyle w:val="4"/>
        <w:rPr>
          <w:rFonts w:ascii="宋体" w:hAnsi="宋体" w:cs="宋体"/>
          <w:color w:val="auto"/>
          <w:highlight w:val="none"/>
        </w:rPr>
      </w:pPr>
      <w:bookmarkStart w:id="1423" w:name="_Toc389065317"/>
      <w:bookmarkStart w:id="1424" w:name="_Toc78449841"/>
      <w:bookmarkStart w:id="1425" w:name="_Toc1711431123"/>
      <w:bookmarkStart w:id="1426" w:name="_Toc373227752"/>
      <w:bookmarkStart w:id="1427" w:name="_Toc407135255"/>
      <w:bookmarkStart w:id="1428" w:name="_Toc373478399"/>
      <w:bookmarkStart w:id="1429" w:name="_Toc1155368667"/>
      <w:r>
        <w:rPr>
          <w:rFonts w:hint="eastAsia" w:ascii="宋体" w:hAnsi="宋体" w:cs="宋体"/>
          <w:color w:val="auto"/>
          <w:highlight w:val="none"/>
        </w:rPr>
        <w:t>12.4 工程进度款支付</w:t>
      </w:r>
      <w:bookmarkEnd w:id="1423"/>
      <w:bookmarkEnd w:id="1424"/>
      <w:bookmarkEnd w:id="1425"/>
      <w:bookmarkEnd w:id="1426"/>
      <w:bookmarkEnd w:id="1427"/>
      <w:bookmarkEnd w:id="1428"/>
      <w:bookmarkEnd w:id="1429"/>
    </w:p>
    <w:p w14:paraId="4EA1E3FD">
      <w:pPr>
        <w:spacing w:line="400" w:lineRule="exact"/>
        <w:ind w:firstLine="440" w:firstLineChars="200"/>
        <w:jc w:val="left"/>
        <w:rPr>
          <w:rFonts w:ascii="宋体" w:hAnsi="宋体" w:cs="宋体"/>
          <w:color w:val="auto"/>
          <w:highlight w:val="none"/>
        </w:rPr>
      </w:pPr>
      <w:bookmarkStart w:id="1430" w:name="_Toc296944550"/>
      <w:bookmarkStart w:id="1431" w:name="_Toc296891039"/>
      <w:bookmarkStart w:id="1432" w:name="_Toc296503211"/>
      <w:bookmarkStart w:id="1433" w:name="_Toc297123556"/>
      <w:bookmarkStart w:id="1434" w:name="_Toc296346712"/>
      <w:bookmarkStart w:id="1435" w:name="_Toc300935006"/>
      <w:bookmarkStart w:id="1436" w:name="_Toc292559921"/>
      <w:bookmarkStart w:id="1437" w:name="_Toc296347210"/>
      <w:bookmarkStart w:id="1438" w:name="_Toc297216215"/>
      <w:bookmarkStart w:id="1439" w:name="_Toc297048397"/>
      <w:bookmarkStart w:id="1440" w:name="_Toc303539163"/>
      <w:bookmarkStart w:id="1441" w:name="_Toc296891251"/>
      <w:bookmarkStart w:id="1442" w:name="_Toc292559416"/>
      <w:bookmarkStart w:id="1443" w:name="_Toc297120511"/>
      <w:r>
        <w:rPr>
          <w:rFonts w:hint="eastAsia" w:ascii="宋体" w:hAnsi="宋体" w:cs="宋体"/>
          <w:color w:val="auto"/>
          <w:kern w:val="0"/>
          <w:sz w:val="22"/>
          <w:szCs w:val="22"/>
          <w:highlight w:val="none"/>
          <w:lang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p>
    <w:p w14:paraId="62BAEEE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12.4.1 付款周期</w:t>
      </w:r>
    </w:p>
    <w:p w14:paraId="312DDA4B">
      <w:pPr>
        <w:spacing w:line="360" w:lineRule="auto"/>
        <w:ind w:firstLine="420" w:firstLineChars="200"/>
        <w:jc w:val="left"/>
        <w:rPr>
          <w:rFonts w:ascii="宋体" w:hAnsi="宋体" w:cs="宋体"/>
          <w:b/>
          <w:color w:val="auto"/>
          <w:szCs w:val="21"/>
          <w:highlight w:val="none"/>
          <w:u w:val="single"/>
        </w:rPr>
      </w:pPr>
      <w:r>
        <w:rPr>
          <w:rFonts w:hint="eastAsia" w:ascii="宋体" w:hAnsi="宋体" w:cs="宋体"/>
          <w:color w:val="auto"/>
          <w:highlight w:val="none"/>
        </w:rPr>
        <w:t>关于付款周期的约定：</w:t>
      </w:r>
      <w:r>
        <w:rPr>
          <w:rFonts w:hint="eastAsia" w:ascii="宋体" w:hAnsi="宋体" w:cs="宋体"/>
          <w:b/>
          <w:bCs/>
          <w:color w:val="auto"/>
          <w:highlight w:val="none"/>
        </w:rPr>
        <w:t>1、</w:t>
      </w:r>
      <w:r>
        <w:rPr>
          <w:rFonts w:hint="eastAsia" w:ascii="宋体" w:hAnsi="宋体" w:cs="宋体"/>
          <w:b/>
          <w:bCs/>
          <w:color w:val="auto"/>
          <w:szCs w:val="21"/>
          <w:highlight w:val="none"/>
          <w:u w:val="single"/>
        </w:rPr>
        <w:t>工程款按进度支付，合同内进度款支付限额为已完成工程价款的80%，工程变更部分进度款支付限额为已完成工程价款的60%；</w:t>
      </w:r>
      <w:r>
        <w:rPr>
          <w:rFonts w:hint="eastAsia" w:ascii="宋体" w:hAnsi="宋体" w:cs="宋体"/>
          <w:b/>
          <w:color w:val="auto"/>
          <w:szCs w:val="21"/>
          <w:highlight w:val="none"/>
          <w:u w:val="single"/>
        </w:rPr>
        <w:t>工程完工验收达到质量要求，结算经审计后并向发包人提交完整的竣工资料，工程款支付至结算总价的97%（含已支付的）；发包人按工程价款结算总额的3%预留工程质量保修金，待工程质量保修期满后返还，工程保修期满后退还给承包人（无息）。</w:t>
      </w:r>
    </w:p>
    <w:p w14:paraId="1CD321A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12.4.2 进度付款申请单的编制</w:t>
      </w:r>
    </w:p>
    <w:p w14:paraId="196C056F">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关于进度付款申请单编制的约定：</w:t>
      </w:r>
      <w:r>
        <w:rPr>
          <w:rFonts w:hint="eastAsia" w:ascii="宋体" w:hAnsi="宋体" w:cs="宋体"/>
          <w:color w:val="auto"/>
          <w:highlight w:val="none"/>
          <w:u w:val="single"/>
        </w:rPr>
        <w:t>按发包人要求</w:t>
      </w:r>
      <w:r>
        <w:rPr>
          <w:rFonts w:hint="eastAsia" w:ascii="宋体" w:hAnsi="宋体" w:cs="宋体"/>
          <w:color w:val="auto"/>
          <w:highlight w:val="none"/>
        </w:rPr>
        <w:t>。</w:t>
      </w:r>
    </w:p>
    <w:p w14:paraId="0462738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Pr>
          <w:rFonts w:hint="eastAsia" w:ascii="宋体" w:hAnsi="宋体" w:cs="宋体"/>
          <w:color w:val="auto"/>
          <w:highlight w:val="none"/>
        </w:rPr>
        <w:t>2.4.3 进度付款申请单的提交</w:t>
      </w:r>
    </w:p>
    <w:p w14:paraId="6D4CF09B">
      <w:pPr>
        <w:spacing w:line="360" w:lineRule="auto"/>
        <w:jc w:val="left"/>
        <w:rPr>
          <w:rFonts w:ascii="宋体" w:hAnsi="宋体" w:cs="宋体"/>
          <w:color w:val="auto"/>
          <w:highlight w:val="none"/>
        </w:rPr>
      </w:pPr>
      <w:r>
        <w:rPr>
          <w:rFonts w:hint="eastAsia" w:ascii="宋体" w:hAnsi="宋体" w:cs="宋体"/>
          <w:color w:val="auto"/>
          <w:highlight w:val="none"/>
        </w:rPr>
        <w:t>（1）单价合同进度付款申请单提交的约定：</w:t>
      </w:r>
      <w:r>
        <w:rPr>
          <w:rFonts w:hint="eastAsia" w:ascii="宋体" w:hAnsi="宋体" w:cs="宋体"/>
          <w:b/>
          <w:bCs/>
          <w:color w:val="auto"/>
          <w:szCs w:val="21"/>
          <w:highlight w:val="none"/>
          <w:u w:val="single"/>
        </w:rPr>
        <w:t>承包人向发包人申请支付工程进度款时，承包人应向发包人提供以下资料：①请款函、②项目进度表、③用款申请表、④中标通知书、⑤施工合同、⑥《工程用款支付证书》、⑦工程量计量报表（格式按横州市财政局具体要求）；⑧项目形象进度照片、⑨农民工专户信息、⑩营业执照、开户许可证；其他需要补充说明的材料。（请款前与发包人确认具体的请款清单）</w:t>
      </w:r>
      <w:r>
        <w:rPr>
          <w:rFonts w:hint="eastAsia" w:ascii="宋体" w:hAnsi="宋体" w:cs="宋体"/>
          <w:color w:val="auto"/>
          <w:szCs w:val="21"/>
          <w:highlight w:val="none"/>
        </w:rPr>
        <w:t>。</w:t>
      </w:r>
    </w:p>
    <w:p w14:paraId="0851B37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无</w:t>
      </w:r>
      <w:r>
        <w:rPr>
          <w:rFonts w:hint="eastAsia" w:ascii="宋体" w:hAnsi="宋体" w:cs="宋体"/>
          <w:color w:val="auto"/>
          <w:highlight w:val="none"/>
        </w:rPr>
        <w:t>。</w:t>
      </w:r>
    </w:p>
    <w:p w14:paraId="7CA213FB">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无</w:t>
      </w:r>
      <w:r>
        <w:rPr>
          <w:rFonts w:hint="eastAsia" w:ascii="宋体" w:hAnsi="宋体" w:cs="宋体"/>
          <w:color w:val="auto"/>
          <w:highlight w:val="none"/>
        </w:rPr>
        <w:t>。</w:t>
      </w:r>
    </w:p>
    <w:p w14:paraId="0E4B31F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12.4.4 进度款审核和支付</w:t>
      </w:r>
    </w:p>
    <w:p w14:paraId="615E178B">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7个工作日内</w:t>
      </w:r>
      <w:r>
        <w:rPr>
          <w:rFonts w:hint="eastAsia" w:ascii="宋体" w:hAnsi="宋体" w:cs="宋体"/>
          <w:color w:val="auto"/>
          <w:highlight w:val="none"/>
        </w:rPr>
        <w:t>。</w:t>
      </w:r>
    </w:p>
    <w:p w14:paraId="0D2036C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发包人完成审批并签发进度款支付申请的期限：</w:t>
      </w:r>
      <w:r>
        <w:rPr>
          <w:rFonts w:hint="eastAsia" w:ascii="宋体" w:hAnsi="宋体" w:cs="宋体"/>
          <w:color w:val="auto"/>
          <w:highlight w:val="none"/>
          <w:u w:val="single"/>
        </w:rPr>
        <w:t>收到完整的材料后7个工作日内完成审批并签发进度款用款申请表</w:t>
      </w:r>
      <w:r>
        <w:rPr>
          <w:rFonts w:hint="eastAsia" w:ascii="宋体" w:hAnsi="宋体" w:cs="宋体"/>
          <w:color w:val="auto"/>
          <w:highlight w:val="none"/>
        </w:rPr>
        <w:t>。</w:t>
      </w:r>
    </w:p>
    <w:p w14:paraId="2765571C">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为保证工程顺利进行，发包人严禁承包人将付给的工程进度款使用在与发包人发包的工程 以外的其他项目，工程进度款必须专款专用，如本工程有农民工因工资未及时支付造成停工或向相关部门维权，一经核实承包人有挪用发包人支付的工程进度款，发包人处承包人20000元/次的违约金在结算总价中扣除。承包人雇佣的劳务工人工资及一切支出由承包人自行解决，承 包人不得以任何理由和事项为借口拖欠劳务工人工资，发包人对承包人拖欠任何应付款不承担责任。</w:t>
      </w:r>
    </w:p>
    <w:p w14:paraId="3CEF958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（2）发包人支付进度款的期限：</w:t>
      </w:r>
      <w:r>
        <w:rPr>
          <w:rFonts w:hint="eastAsia" w:hAnsi="宋体" w:cs="宋体"/>
          <w:color w:val="auto"/>
          <w:highlight w:val="none"/>
          <w:u w:val="single"/>
        </w:rPr>
        <w:t>以财政实际拨付到位时间为准</w:t>
      </w:r>
      <w:r>
        <w:rPr>
          <w:rFonts w:hint="eastAsia" w:ascii="宋体" w:hAnsi="宋体" w:cs="宋体"/>
          <w:color w:val="auto"/>
          <w:highlight w:val="none"/>
        </w:rPr>
        <w:t>。</w:t>
      </w:r>
    </w:p>
    <w:p w14:paraId="5EA720E7">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rPr>
        <w:t>无</w:t>
      </w:r>
      <w:r>
        <w:rPr>
          <w:rFonts w:hint="eastAsia" w:ascii="宋体" w:hAnsi="宋体" w:cs="宋体"/>
          <w:color w:val="auto"/>
          <w:highlight w:val="none"/>
        </w:rPr>
        <w:t>。</w:t>
      </w:r>
    </w:p>
    <w:p w14:paraId="1579B284">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进度款支付方式：</w:t>
      </w:r>
      <w:r>
        <w:rPr>
          <w:rFonts w:hint="eastAsia" w:ascii="宋体" w:hAnsi="宋体" w:cs="宋体"/>
          <w:color w:val="auto"/>
          <w:highlight w:val="none"/>
          <w:u w:val="single"/>
        </w:rPr>
        <w:t>银行转账</w:t>
      </w:r>
      <w:r>
        <w:rPr>
          <w:rFonts w:hint="eastAsia" w:ascii="宋体" w:hAnsi="宋体" w:cs="宋体"/>
          <w:color w:val="auto"/>
          <w:highlight w:val="none"/>
        </w:rPr>
        <w:t>。</w:t>
      </w:r>
    </w:p>
    <w:p w14:paraId="136DD2BA">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（3） 农民工工资支付</w:t>
      </w:r>
    </w:p>
    <w:p w14:paraId="1BEAC46F">
      <w:pPr>
        <w:spacing w:line="360" w:lineRule="auto"/>
        <w:ind w:firstLine="525" w:firstLineChars="250"/>
        <w:jc w:val="left"/>
        <w:rPr>
          <w:rFonts w:ascii="宋体" w:hAnsi="宋体" w:cs="宋体"/>
          <w:color w:val="auto"/>
          <w:kern w:val="0"/>
          <w:highlight w:val="none"/>
        </w:rPr>
      </w:pPr>
      <w:r>
        <w:rPr>
          <w:rFonts w:hint="eastAsia" w:ascii="宋体"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1EFD7438">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2）人工费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3A663FA9">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3）发包人依据工程进度，审核承包人申报的工程进度款，按照与承包人约定的人工费支付比例</w:t>
      </w:r>
      <w:r>
        <w:rPr>
          <w:rFonts w:hint="eastAsia" w:ascii="宋体" w:hAnsi="宋体" w:cs="宋体"/>
          <w:color w:val="auto"/>
          <w:spacing w:val="41"/>
          <w:highlight w:val="none"/>
        </w:rPr>
        <w:t>20</w:t>
      </w:r>
      <w:r>
        <w:rPr>
          <w:rFonts w:hint="eastAsia" w:ascii="宋体" w:hAnsi="宋体" w:cs="宋体"/>
          <w:color w:val="auto"/>
          <w:kern w:val="0"/>
          <w:highlight w:val="none"/>
        </w:rPr>
        <w:t xml:space="preserve"> %（房建项目不少于20%，市政项目不少于15%），将人工费及时足额拨付至承包人的农民工工资专用账户，其余工程进度款项由发包人支付到承包人的单位基本户。</w:t>
      </w:r>
    </w:p>
    <w:p w14:paraId="3A3D3869">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7F530690">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5）凡未向付款单位提供农民工工资专用账户的，或者请款单位在申请工程进度款时未将人工费单列的，付款单位有权拒绝支付工程进度款。</w:t>
      </w:r>
    </w:p>
    <w:p w14:paraId="3A8F9171">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6）人工费使用要求：专款专用，除发放农民工工资外，不得用于其他用途。</w:t>
      </w:r>
    </w:p>
    <w:p w14:paraId="77B9D2B7">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7）承包人将人工费支付情况定期报告发包人和监理单位，并提供相应的材料接受建设行政主管部门和劳动保障行政主管部门对此事项监管。</w:t>
      </w:r>
    </w:p>
    <w:p w14:paraId="47F75BF6">
      <w:pPr>
        <w:autoSpaceDE w:val="0"/>
        <w:autoSpaceDN w:val="0"/>
        <w:adjustRightIn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8）人工费支付专用账户：</w:t>
      </w:r>
    </w:p>
    <w:p w14:paraId="05205305">
      <w:pPr>
        <w:autoSpaceDE w:val="0"/>
        <w:autoSpaceDN w:val="0"/>
        <w:adjustRightIn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户  名：</w:t>
      </w:r>
      <w:r>
        <w:rPr>
          <w:rFonts w:hint="eastAsia" w:ascii="宋体" w:hAnsi="宋体" w:cs="宋体"/>
          <w:color w:val="auto"/>
          <w:kern w:val="0"/>
          <w:highlight w:val="none"/>
          <w:u w:val="single"/>
        </w:rPr>
        <w:t>广西xxx有限公司农民工工资支付专户</w:t>
      </w:r>
      <w:r>
        <w:rPr>
          <w:rFonts w:hint="eastAsia" w:ascii="宋体" w:hAnsi="宋体" w:cs="宋体"/>
          <w:color w:val="auto"/>
          <w:kern w:val="0"/>
          <w:highlight w:val="none"/>
        </w:rPr>
        <w:t>；</w:t>
      </w:r>
    </w:p>
    <w:p w14:paraId="4CCBE0B1">
      <w:pPr>
        <w:autoSpaceDE w:val="0"/>
        <w:autoSpaceDN w:val="0"/>
        <w:adjustRightIn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开户行：</w:t>
      </w:r>
      <w:r>
        <w:rPr>
          <w:rFonts w:hint="eastAsia" w:ascii="宋体" w:hAnsi="宋体" w:cs="宋体"/>
          <w:color w:val="auto"/>
          <w:kern w:val="0"/>
          <w:highlight w:val="none"/>
          <w:u w:val="single"/>
        </w:rPr>
        <w:t>中国建设银行xxxx支行</w:t>
      </w:r>
      <w:r>
        <w:rPr>
          <w:rFonts w:hint="eastAsia" w:ascii="宋体" w:hAnsi="宋体" w:cs="宋体"/>
          <w:color w:val="auto"/>
          <w:kern w:val="0"/>
          <w:highlight w:val="none"/>
        </w:rPr>
        <w:t>；</w:t>
      </w:r>
    </w:p>
    <w:p w14:paraId="733FE132">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账号：</w:t>
      </w:r>
      <w:r>
        <w:rPr>
          <w:rFonts w:hint="eastAsia" w:ascii="宋体" w:hAnsi="宋体" w:cs="宋体"/>
          <w:color w:val="auto"/>
          <w:kern w:val="0"/>
          <w:highlight w:val="none"/>
          <w:u w:val="single"/>
        </w:rPr>
        <w:t>4505xxxxxx402</w:t>
      </w:r>
      <w:r>
        <w:rPr>
          <w:rFonts w:hint="eastAsia" w:ascii="宋体" w:hAnsi="宋体" w:cs="宋体"/>
          <w:color w:val="auto"/>
          <w:kern w:val="0"/>
          <w:highlight w:val="none"/>
        </w:rPr>
        <w:t>。</w:t>
      </w:r>
    </w:p>
    <w:p w14:paraId="301AAEF7">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12.4.6 支付分解表的编制</w:t>
      </w:r>
    </w:p>
    <w:p w14:paraId="053B1702">
      <w:pPr>
        <w:spacing w:line="360" w:lineRule="auto"/>
        <w:ind w:firstLine="525" w:firstLineChars="250"/>
        <w:rPr>
          <w:rFonts w:ascii="宋体" w:hAnsi="宋体" w:cs="宋体"/>
          <w:color w:val="auto"/>
          <w:highlight w:val="none"/>
          <w:u w:val="single"/>
        </w:rPr>
      </w:pPr>
      <w:r>
        <w:rPr>
          <w:rFonts w:hint="eastAsia" w:ascii="宋体" w:hAnsi="宋体" w:cs="宋体"/>
          <w:color w:val="auto"/>
          <w:highlight w:val="none"/>
        </w:rPr>
        <w:t>（1） 总价合同支付分解表的编制与审批：</w:t>
      </w:r>
      <w:r>
        <w:rPr>
          <w:rFonts w:hint="eastAsia" w:ascii="宋体" w:hAnsi="宋体" w:cs="宋体"/>
          <w:color w:val="auto"/>
          <w:highlight w:val="none"/>
          <w:u w:val="single"/>
        </w:rPr>
        <w:t xml:space="preserve">  总价合同支付分解表在招标完成后由发包人和承包人共同编制，发包人审批，并作为本合同内容。</w:t>
      </w:r>
    </w:p>
    <w:p w14:paraId="7AC4C6E1">
      <w:pPr>
        <w:spacing w:line="360" w:lineRule="auto"/>
        <w:ind w:firstLine="525" w:firstLineChars="250"/>
        <w:rPr>
          <w:rFonts w:ascii="宋体" w:hAnsi="宋体" w:cs="宋体"/>
          <w:color w:val="auto"/>
          <w:highlight w:val="none"/>
          <w:u w:val="single"/>
        </w:rPr>
      </w:pPr>
      <w:r>
        <w:rPr>
          <w:rFonts w:hint="eastAsia" w:ascii="宋体" w:hAnsi="宋体" w:cs="宋体"/>
          <w:color w:val="auto"/>
          <w:highlight w:val="none"/>
        </w:rPr>
        <w:t>（2）单价合同的总价项目支付分解表的编制与审批：</w:t>
      </w:r>
      <w:r>
        <w:rPr>
          <w:rFonts w:hint="eastAsia" w:ascii="宋体" w:hAnsi="宋体" w:cs="宋体"/>
          <w:color w:val="auto"/>
          <w:highlight w:val="none"/>
          <w:u w:val="single"/>
        </w:rPr>
        <w:t>总价项目不采用支付分解表的方式计算，而按《建设工程工程量清单计价规范（GB50500-2013）广西壮族自治区实施细则》的规定执行</w:t>
      </w:r>
      <w:r>
        <w:rPr>
          <w:rFonts w:hint="eastAsia" w:ascii="宋体" w:hAnsi="宋体" w:cs="宋体"/>
          <w:color w:val="auto"/>
          <w:highlight w:val="none"/>
        </w:rPr>
        <w:t>。</w:t>
      </w:r>
    </w:p>
    <w:bookmarkEnd w:id="1183"/>
    <w:p w14:paraId="2E63A8E0">
      <w:pPr>
        <w:pStyle w:val="3"/>
        <w:rPr>
          <w:rFonts w:ascii="宋体" w:hAnsi="宋体" w:cs="宋体"/>
          <w:color w:val="auto"/>
          <w:highlight w:val="none"/>
        </w:rPr>
      </w:pPr>
      <w:bookmarkStart w:id="1444" w:name="_Toc373478400"/>
      <w:bookmarkStart w:id="1445" w:name="_Toc373227753"/>
      <w:bookmarkStart w:id="1446" w:name="_Toc78449842"/>
      <w:bookmarkStart w:id="1447" w:name="_Toc728899116"/>
      <w:bookmarkStart w:id="1448" w:name="_Toc407135256"/>
      <w:bookmarkStart w:id="1449" w:name="_Toc389065318"/>
      <w:bookmarkStart w:id="1450" w:name="_Toc2003466256"/>
      <w:bookmarkStart w:id="1451" w:name="_Toc351203645"/>
      <w:bookmarkStart w:id="1452" w:name="_Toc297120519"/>
      <w:bookmarkStart w:id="1453" w:name="_Toc296347218"/>
      <w:bookmarkStart w:id="1454" w:name="_Toc297123564"/>
      <w:bookmarkStart w:id="1455" w:name="_Toc296503219"/>
      <w:bookmarkStart w:id="1456" w:name="_Toc292559929"/>
      <w:bookmarkStart w:id="1457" w:name="_Toc296944558"/>
      <w:bookmarkStart w:id="1458" w:name="_Toc296891047"/>
      <w:bookmarkStart w:id="1459" w:name="_Toc303539172"/>
      <w:bookmarkStart w:id="1460" w:name="_Toc297048405"/>
      <w:bookmarkStart w:id="1461" w:name="_Toc297216223"/>
      <w:bookmarkStart w:id="1462" w:name="_Toc300935015"/>
      <w:bookmarkStart w:id="1463" w:name="_Toc296346720"/>
      <w:bookmarkStart w:id="1464" w:name="_Toc292559424"/>
      <w:bookmarkStart w:id="1465" w:name="_Toc312678053"/>
      <w:bookmarkStart w:id="1466" w:name="_Toc304295593"/>
      <w:bookmarkStart w:id="1467" w:name="_Toc296891259"/>
      <w:r>
        <w:rPr>
          <w:rFonts w:hint="eastAsia" w:ascii="宋体" w:hAnsi="宋体" w:cs="宋体"/>
          <w:color w:val="auto"/>
          <w:highlight w:val="none"/>
        </w:rPr>
        <w:t>13. 验收和工程试车</w:t>
      </w:r>
      <w:bookmarkEnd w:id="1444"/>
      <w:bookmarkEnd w:id="1445"/>
      <w:bookmarkEnd w:id="1446"/>
      <w:bookmarkEnd w:id="1447"/>
      <w:bookmarkEnd w:id="1448"/>
      <w:bookmarkEnd w:id="1449"/>
      <w:bookmarkEnd w:id="1450"/>
      <w:bookmarkEnd w:id="1451"/>
    </w:p>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14:paraId="3474CE3A">
      <w:pPr>
        <w:pStyle w:val="4"/>
        <w:rPr>
          <w:rFonts w:ascii="宋体" w:hAnsi="宋体" w:cs="宋体"/>
          <w:color w:val="auto"/>
          <w:highlight w:val="none"/>
        </w:rPr>
      </w:pPr>
      <w:bookmarkStart w:id="1468" w:name="_Toc373227754"/>
      <w:bookmarkStart w:id="1469" w:name="_Toc740353520"/>
      <w:bookmarkStart w:id="1470" w:name="_Toc407135257"/>
      <w:bookmarkStart w:id="1471" w:name="_Toc834489126"/>
      <w:bookmarkStart w:id="1472" w:name="_Toc389065319"/>
      <w:bookmarkStart w:id="1473" w:name="_Toc373478401"/>
      <w:bookmarkStart w:id="1474" w:name="_Toc78449843"/>
      <w:r>
        <w:rPr>
          <w:rFonts w:hint="eastAsia" w:ascii="宋体" w:hAnsi="宋体" w:cs="宋体"/>
          <w:color w:val="auto"/>
          <w:highlight w:val="none"/>
        </w:rPr>
        <w:t>13.1 分部分项工程验收</w:t>
      </w:r>
      <w:bookmarkEnd w:id="1468"/>
      <w:bookmarkEnd w:id="1469"/>
      <w:bookmarkEnd w:id="1470"/>
      <w:bookmarkEnd w:id="1471"/>
      <w:bookmarkEnd w:id="1472"/>
      <w:bookmarkEnd w:id="1473"/>
      <w:bookmarkEnd w:id="1474"/>
    </w:p>
    <w:p w14:paraId="7414CEB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24</w:t>
      </w:r>
      <w:r>
        <w:rPr>
          <w:rFonts w:hint="eastAsia" w:ascii="宋体" w:hAnsi="宋体" w:cs="宋体"/>
          <w:color w:val="auto"/>
          <w:highlight w:val="none"/>
        </w:rPr>
        <w:t>小时提交书面延期要求。</w:t>
      </w:r>
    </w:p>
    <w:p w14:paraId="1DDE70BA">
      <w:pPr>
        <w:spacing w:line="360" w:lineRule="auto"/>
        <w:ind w:firstLine="420" w:firstLineChars="200"/>
        <w:jc w:val="left"/>
        <w:rPr>
          <w:rFonts w:ascii="宋体" w:hAnsi="宋体" w:cs="宋体"/>
          <w:b/>
          <w:bCs/>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48</w:t>
      </w:r>
      <w:r>
        <w:rPr>
          <w:rFonts w:hint="eastAsia" w:ascii="宋体" w:hAnsi="宋体" w:cs="宋体"/>
          <w:color w:val="auto"/>
          <w:highlight w:val="none"/>
        </w:rPr>
        <w:t>小时。</w:t>
      </w:r>
    </w:p>
    <w:p w14:paraId="0B093A5B">
      <w:pPr>
        <w:pStyle w:val="4"/>
        <w:rPr>
          <w:rFonts w:ascii="宋体" w:hAnsi="宋体" w:cs="宋体"/>
          <w:color w:val="auto"/>
          <w:highlight w:val="none"/>
        </w:rPr>
      </w:pPr>
      <w:bookmarkStart w:id="1475" w:name="_Toc373478402"/>
      <w:bookmarkStart w:id="1476" w:name="_Toc1578431234"/>
      <w:bookmarkStart w:id="1477" w:name="_Toc373227755"/>
      <w:bookmarkStart w:id="1478" w:name="_Toc407135258"/>
      <w:bookmarkStart w:id="1479" w:name="_Toc1062221039"/>
      <w:bookmarkStart w:id="1480" w:name="_Toc78449844"/>
      <w:bookmarkStart w:id="1481" w:name="_Toc389065320"/>
      <w:bookmarkStart w:id="1482" w:name="_Toc296891051"/>
      <w:bookmarkStart w:id="1483" w:name="_Toc300935016"/>
      <w:bookmarkStart w:id="1484" w:name="_Toc296944562"/>
      <w:bookmarkStart w:id="1485" w:name="_Toc296891263"/>
      <w:bookmarkStart w:id="1486" w:name="_Toc292559428"/>
      <w:bookmarkStart w:id="1487" w:name="_Toc304295596"/>
      <w:bookmarkStart w:id="1488" w:name="_Toc296347222"/>
      <w:bookmarkStart w:id="1489" w:name="_Toc296346724"/>
      <w:bookmarkStart w:id="1490" w:name="_Toc297123565"/>
      <w:bookmarkStart w:id="1491" w:name="_Toc296503223"/>
      <w:bookmarkStart w:id="1492" w:name="_Toc297048409"/>
      <w:bookmarkStart w:id="1493" w:name="_Toc297216224"/>
      <w:bookmarkStart w:id="1494" w:name="_Toc297120523"/>
      <w:bookmarkStart w:id="1495" w:name="_Toc292559933"/>
      <w:bookmarkStart w:id="1496" w:name="_Toc303539173"/>
      <w:bookmarkStart w:id="1497" w:name="_Toc312678056"/>
      <w:bookmarkStart w:id="1498" w:name="_Toc267251471"/>
      <w:bookmarkStart w:id="1499" w:name="_Toc267251472"/>
      <w:bookmarkStart w:id="1500" w:name="_Toc267251474"/>
      <w:bookmarkStart w:id="1501" w:name="_Toc267251473"/>
      <w:bookmarkStart w:id="1502" w:name="_Toc267251470"/>
      <w:bookmarkStart w:id="1503" w:name="_Toc267251475"/>
      <w:bookmarkStart w:id="1504" w:name="_Toc267251476"/>
      <w:r>
        <w:rPr>
          <w:rFonts w:hint="eastAsia" w:ascii="宋体" w:hAnsi="宋体" w:cs="宋体"/>
          <w:color w:val="auto"/>
          <w:highlight w:val="none"/>
        </w:rPr>
        <w:t>13.2 竣工验收</w:t>
      </w:r>
      <w:bookmarkEnd w:id="1475"/>
      <w:bookmarkEnd w:id="1476"/>
      <w:bookmarkEnd w:id="1477"/>
      <w:bookmarkEnd w:id="1478"/>
      <w:bookmarkEnd w:id="1479"/>
      <w:bookmarkEnd w:id="1480"/>
      <w:bookmarkEnd w:id="1481"/>
    </w:p>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14:paraId="4408202F">
      <w:pPr>
        <w:spacing w:line="360" w:lineRule="auto"/>
        <w:ind w:firstLine="420" w:firstLineChars="200"/>
        <w:jc w:val="left"/>
        <w:rPr>
          <w:rFonts w:ascii="宋体" w:hAnsi="宋体" w:cs="宋体"/>
          <w:color w:val="auto"/>
          <w:highlight w:val="none"/>
        </w:rPr>
      </w:pPr>
      <w:bookmarkStart w:id="1505" w:name="_Toc280868704"/>
      <w:bookmarkStart w:id="1506" w:name="_Toc280868705"/>
      <w:bookmarkStart w:id="1507" w:name="_Toc280868706"/>
      <w:bookmarkStart w:id="1508" w:name="_Toc280868707"/>
      <w:bookmarkStart w:id="1509" w:name="_Toc280868708"/>
      <w:bookmarkStart w:id="1510" w:name="_Toc280868709"/>
      <w:r>
        <w:rPr>
          <w:rFonts w:hint="eastAsia" w:ascii="宋体" w:hAnsi="宋体" w:cs="宋体"/>
          <w:color w:val="auto"/>
          <w:highlight w:val="none"/>
        </w:rPr>
        <w:t>13.2.1竣工验收条件</w:t>
      </w:r>
    </w:p>
    <w:p w14:paraId="4F7E85B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highlight w:val="none"/>
          <w:u w:val="single"/>
        </w:rPr>
        <w:t>施工管理资料、建筑材料及工程质量检测报告、单项验收报告、竣工图等</w:t>
      </w:r>
      <w:r>
        <w:rPr>
          <w:rFonts w:hint="eastAsia" w:ascii="宋体" w:hAnsi="宋体" w:cs="宋体"/>
          <w:color w:val="auto"/>
          <w:highlight w:val="none"/>
        </w:rPr>
        <w:t>。</w:t>
      </w:r>
    </w:p>
    <w:p w14:paraId="2C9F2F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竣工验收资料的份数：</w:t>
      </w:r>
      <w:r>
        <w:rPr>
          <w:rFonts w:hint="eastAsia" w:ascii="宋体" w:hAnsi="宋体" w:cs="宋体"/>
          <w:color w:val="auto"/>
          <w:highlight w:val="none"/>
          <w:u w:val="single"/>
        </w:rPr>
        <w:t>一式贰份</w:t>
      </w:r>
      <w:r>
        <w:rPr>
          <w:rFonts w:hint="eastAsia" w:ascii="宋体" w:hAnsi="宋体" w:cs="宋体"/>
          <w:color w:val="auto"/>
          <w:highlight w:val="none"/>
        </w:rPr>
        <w:t>。</w:t>
      </w:r>
    </w:p>
    <w:p w14:paraId="47AEF2C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承包人提供竣工图的约定：</w:t>
      </w:r>
      <w:r>
        <w:rPr>
          <w:rFonts w:hint="eastAsia" w:ascii="宋体" w:hAnsi="宋体" w:cs="宋体"/>
          <w:color w:val="auto"/>
          <w:highlight w:val="none"/>
          <w:u w:val="single"/>
        </w:rPr>
        <w:t>竣工验收正式通过后 15 天，提供竣工图的数量为 2 套。</w:t>
      </w:r>
    </w:p>
    <w:p w14:paraId="7604B1A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13.2.2竣工验收程序</w:t>
      </w:r>
    </w:p>
    <w:bookmarkEnd w:id="1505"/>
    <w:p w14:paraId="74ABF360">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关于竣工验收程序的约定：</w:t>
      </w:r>
      <w:r>
        <w:rPr>
          <w:rFonts w:hint="eastAsia" w:ascii="宋体" w:hAnsi="宋体" w:cs="宋体"/>
          <w:color w:val="auto"/>
          <w:kern w:val="0"/>
          <w:szCs w:val="21"/>
          <w:highlight w:val="none"/>
          <w:u w:val="single"/>
        </w:rPr>
        <w:t>按国家竣工验收规定及项目所在地建设行政管理部门规定要求执行</w:t>
      </w:r>
      <w:r>
        <w:rPr>
          <w:rFonts w:hint="eastAsia" w:ascii="宋体" w:hAnsi="宋体" w:cs="宋体"/>
          <w:color w:val="auto"/>
          <w:highlight w:val="none"/>
        </w:rPr>
        <w:t>。</w:t>
      </w:r>
    </w:p>
    <w:p w14:paraId="3180FB5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项目完成后，由承包方提前七天发出验收申请，由建设单位组织相关部门验收，如建设单位在收到承包方通知后30天未组织项目验收，并且没有合理的文件回复，则视为项目验收合格通过。</w:t>
      </w:r>
    </w:p>
    <w:p w14:paraId="4105EBCA">
      <w:pPr>
        <w:spacing w:line="360" w:lineRule="auto"/>
        <w:ind w:firstLine="210" w:firstLineChars="100"/>
        <w:jc w:val="left"/>
        <w:rPr>
          <w:rFonts w:ascii="宋体" w:hAnsi="宋体" w:cs="宋体"/>
          <w:color w:val="auto"/>
          <w:highlight w:val="non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color w:val="auto"/>
          <w:highlight w:val="none"/>
          <w:u w:val="single"/>
        </w:rPr>
        <w:t>无</w:t>
      </w:r>
      <w:r>
        <w:rPr>
          <w:rFonts w:hint="eastAsia" w:ascii="宋体" w:hAnsi="宋体" w:cs="宋体"/>
          <w:color w:val="auto"/>
          <w:highlight w:val="none"/>
        </w:rPr>
        <w:t>。</w:t>
      </w:r>
    </w:p>
    <w:bookmarkEnd w:id="1506"/>
    <w:p w14:paraId="22BCA80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13.2.5移交、接收全部与部分工程</w:t>
      </w:r>
    </w:p>
    <w:bookmarkEnd w:id="1507"/>
    <w:p w14:paraId="6AA77EC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承包人向发包人移交工程的期限： </w:t>
      </w:r>
      <w:r>
        <w:rPr>
          <w:rFonts w:hint="eastAsia" w:ascii="宋体" w:hAnsi="宋体" w:cs="宋体"/>
          <w:color w:val="auto"/>
          <w:kern w:val="0"/>
          <w:highlight w:val="none"/>
          <w:u w:val="single"/>
        </w:rPr>
        <w:t>验收合格后7 日内</w:t>
      </w:r>
      <w:r>
        <w:rPr>
          <w:rFonts w:hint="eastAsia" w:ascii="宋体" w:hAnsi="宋体" w:cs="宋体"/>
          <w:color w:val="auto"/>
          <w:highlight w:val="none"/>
        </w:rPr>
        <w:t>。</w:t>
      </w:r>
    </w:p>
    <w:p w14:paraId="002F8D75">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color w:val="auto"/>
          <w:kern w:val="0"/>
          <w:highlight w:val="none"/>
          <w:u w:val="single"/>
        </w:rPr>
        <w:t>无</w:t>
      </w:r>
      <w:r>
        <w:rPr>
          <w:rFonts w:hint="eastAsia" w:ascii="宋体" w:hAnsi="宋体" w:cs="宋体"/>
          <w:color w:val="auto"/>
          <w:highlight w:val="none"/>
        </w:rPr>
        <w:t>。</w:t>
      </w:r>
    </w:p>
    <w:bookmarkEnd w:id="1508"/>
    <w:p w14:paraId="16C88FA9">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u w:val="single"/>
        </w:rPr>
        <w:t>承包人在配合发包人完成竣工备案过程中，不得以工程结算、工程款支付等为由拒绝或拖延提供需承包人提供的资料（如工人工资发放完成承诺书、工程款支付证明等）。否则，发包人除处承包人10万元的违约金外，还须承担由此造成竣工备案延误引起发包人的一切损失（包括直接及间接损失等）。同时，发包人有权延缓结算的办理时间，缓付甚至拒付工程款</w:t>
      </w:r>
      <w:r>
        <w:rPr>
          <w:rFonts w:hint="eastAsia" w:ascii="宋体" w:hAnsi="宋体" w:cs="宋体"/>
          <w:color w:val="auto"/>
          <w:highlight w:val="none"/>
        </w:rPr>
        <w:t>。</w:t>
      </w:r>
    </w:p>
    <w:p w14:paraId="45EB6DAB">
      <w:pPr>
        <w:pStyle w:val="4"/>
        <w:rPr>
          <w:rFonts w:ascii="宋体" w:hAnsi="宋体" w:cs="宋体"/>
          <w:color w:val="auto"/>
          <w:highlight w:val="none"/>
        </w:rPr>
      </w:pPr>
      <w:bookmarkStart w:id="1511" w:name="_Toc389065321"/>
      <w:bookmarkStart w:id="1512" w:name="_Toc2090321864"/>
      <w:bookmarkStart w:id="1513" w:name="_Toc373227756"/>
      <w:bookmarkStart w:id="1514" w:name="_Toc78449845"/>
      <w:bookmarkStart w:id="1515" w:name="_Toc407135259"/>
      <w:bookmarkStart w:id="1516" w:name="_Toc1470255881"/>
      <w:bookmarkStart w:id="1517" w:name="_Toc373478403"/>
      <w:r>
        <w:rPr>
          <w:rFonts w:hint="eastAsia" w:ascii="宋体" w:hAnsi="宋体" w:cs="宋体"/>
          <w:color w:val="auto"/>
          <w:highlight w:val="none"/>
        </w:rPr>
        <w:t>13.3 工程试车</w:t>
      </w:r>
      <w:bookmarkEnd w:id="1511"/>
      <w:bookmarkEnd w:id="1512"/>
      <w:bookmarkEnd w:id="1513"/>
      <w:bookmarkEnd w:id="1514"/>
      <w:bookmarkEnd w:id="1515"/>
      <w:bookmarkEnd w:id="1516"/>
      <w:bookmarkEnd w:id="1517"/>
    </w:p>
    <w:bookmarkEnd w:id="1509"/>
    <w:p w14:paraId="198659C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13.3.1 试车程序</w:t>
      </w:r>
    </w:p>
    <w:p w14:paraId="040C150B">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无</w:t>
      </w:r>
      <w:r>
        <w:rPr>
          <w:rFonts w:hint="eastAsia" w:ascii="宋体" w:hAnsi="宋体" w:cs="宋体"/>
          <w:color w:val="auto"/>
          <w:highlight w:val="none"/>
        </w:rPr>
        <w:t>。</w:t>
      </w:r>
    </w:p>
    <w:p w14:paraId="679E601F">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highlight w:val="none"/>
          <w:u w:val="single"/>
        </w:rPr>
        <w:t xml:space="preserve">  /   </w:t>
      </w:r>
      <w:r>
        <w:rPr>
          <w:rFonts w:hint="eastAsia" w:ascii="宋体" w:hAnsi="宋体" w:cs="宋体"/>
          <w:color w:val="auto"/>
          <w:kern w:val="0"/>
          <w:highlight w:val="none"/>
        </w:rPr>
        <w:t>承担；</w:t>
      </w:r>
    </w:p>
    <w:p w14:paraId="28F0643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 xml:space="preserve">   /  </w:t>
      </w:r>
      <w:r>
        <w:rPr>
          <w:rFonts w:hint="eastAsia" w:ascii="宋体" w:hAnsi="宋体" w:cs="宋体"/>
          <w:color w:val="auto"/>
          <w:kern w:val="0"/>
          <w:highlight w:val="none"/>
        </w:rPr>
        <w:t>承担。</w:t>
      </w:r>
    </w:p>
    <w:p w14:paraId="7DCC8C3C">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13.3.3 投料试车</w:t>
      </w:r>
    </w:p>
    <w:p w14:paraId="790D6734">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w:t>
      </w:r>
      <w:r>
        <w:rPr>
          <w:rFonts w:hint="eastAsia" w:ascii="宋体" w:hAnsi="宋体" w:cs="宋体"/>
          <w:color w:val="auto"/>
          <w:highlight w:val="none"/>
        </w:rPr>
        <w:t>。</w:t>
      </w:r>
    </w:p>
    <w:p w14:paraId="7655EA10">
      <w:pPr>
        <w:pStyle w:val="4"/>
        <w:rPr>
          <w:rFonts w:ascii="宋体" w:hAnsi="宋体" w:cs="宋体"/>
          <w:color w:val="auto"/>
          <w:highlight w:val="none"/>
        </w:rPr>
      </w:pPr>
      <w:bookmarkStart w:id="1518" w:name="_Toc550030550"/>
      <w:bookmarkStart w:id="1519" w:name="_Toc389065322"/>
      <w:bookmarkStart w:id="1520" w:name="_Toc10307455"/>
      <w:bookmarkStart w:id="1521" w:name="_Toc78449846"/>
      <w:bookmarkStart w:id="1522" w:name="_Toc373478404"/>
      <w:bookmarkStart w:id="1523" w:name="_Toc373227757"/>
      <w:bookmarkStart w:id="1524" w:name="_Toc407135260"/>
      <w:r>
        <w:rPr>
          <w:rFonts w:hint="eastAsia" w:ascii="宋体" w:hAnsi="宋体" w:cs="宋体"/>
          <w:color w:val="auto"/>
          <w:highlight w:val="none"/>
        </w:rPr>
        <w:t>13.6 竣工退场</w:t>
      </w:r>
      <w:bookmarkEnd w:id="1518"/>
      <w:bookmarkEnd w:id="1519"/>
      <w:bookmarkEnd w:id="1520"/>
      <w:bookmarkEnd w:id="1521"/>
      <w:bookmarkEnd w:id="1522"/>
      <w:bookmarkEnd w:id="1523"/>
      <w:bookmarkEnd w:id="1524"/>
    </w:p>
    <w:p w14:paraId="2438CAC3">
      <w:pPr>
        <w:spacing w:line="360" w:lineRule="auto"/>
        <w:ind w:firstLine="420" w:firstLineChars="200"/>
        <w:jc w:val="left"/>
        <w:outlineLvl w:val="0"/>
        <w:rPr>
          <w:rFonts w:ascii="宋体" w:hAnsi="宋体" w:cs="宋体"/>
          <w:color w:val="auto"/>
          <w:kern w:val="0"/>
          <w:highlight w:val="none"/>
        </w:rPr>
      </w:pPr>
      <w:r>
        <w:rPr>
          <w:rFonts w:hint="eastAsia" w:ascii="宋体" w:hAnsi="宋体" w:cs="宋体"/>
          <w:color w:val="auto"/>
          <w:kern w:val="0"/>
          <w:highlight w:val="none"/>
        </w:rPr>
        <w:t>13.6.1 竣工退场</w:t>
      </w:r>
    </w:p>
    <w:p w14:paraId="68E10397">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color w:val="auto"/>
          <w:kern w:val="0"/>
          <w:highlight w:val="none"/>
          <w:u w:val="single"/>
        </w:rPr>
        <w:t>按发包人要求</w:t>
      </w:r>
      <w:r>
        <w:rPr>
          <w:rFonts w:hint="eastAsia" w:ascii="宋体" w:hAnsi="宋体" w:cs="宋体"/>
          <w:color w:val="auto"/>
          <w:kern w:val="0"/>
          <w:highlight w:val="none"/>
        </w:rPr>
        <w:t>。</w:t>
      </w:r>
    </w:p>
    <w:p w14:paraId="1903F951">
      <w:pPr>
        <w:pStyle w:val="3"/>
        <w:rPr>
          <w:rFonts w:ascii="宋体" w:hAnsi="宋体" w:cs="宋体"/>
          <w:color w:val="auto"/>
          <w:highlight w:val="none"/>
        </w:rPr>
      </w:pPr>
      <w:bookmarkStart w:id="1525" w:name="_Toc1385490858"/>
      <w:bookmarkStart w:id="1526" w:name="_Toc1950258056"/>
      <w:bookmarkStart w:id="1527" w:name="_Toc373478405"/>
      <w:bookmarkStart w:id="1528" w:name="_Toc78449847"/>
      <w:bookmarkStart w:id="1529" w:name="_Toc389065323"/>
      <w:bookmarkStart w:id="1530" w:name="_Toc407135261"/>
      <w:bookmarkStart w:id="1531" w:name="_Toc351203646"/>
      <w:bookmarkStart w:id="1532" w:name="_Toc373227758"/>
      <w:r>
        <w:rPr>
          <w:rFonts w:hint="eastAsia" w:ascii="宋体" w:hAnsi="宋体" w:cs="宋体"/>
          <w:color w:val="auto"/>
          <w:highlight w:val="none"/>
        </w:rPr>
        <w:t>14. 竣工结算</w:t>
      </w:r>
      <w:bookmarkEnd w:id="1525"/>
      <w:bookmarkEnd w:id="1526"/>
      <w:bookmarkEnd w:id="1527"/>
      <w:bookmarkEnd w:id="1528"/>
      <w:bookmarkEnd w:id="1529"/>
      <w:bookmarkEnd w:id="1530"/>
      <w:bookmarkEnd w:id="1531"/>
      <w:bookmarkEnd w:id="1532"/>
    </w:p>
    <w:p w14:paraId="061BE93E">
      <w:pPr>
        <w:pStyle w:val="4"/>
        <w:rPr>
          <w:rFonts w:ascii="宋体" w:hAnsi="宋体" w:cs="宋体"/>
          <w:color w:val="auto"/>
          <w:highlight w:val="none"/>
        </w:rPr>
      </w:pPr>
      <w:bookmarkStart w:id="1533" w:name="_Toc389065324"/>
      <w:bookmarkStart w:id="1534" w:name="_Toc373478406"/>
      <w:bookmarkStart w:id="1535" w:name="_Toc1973954660"/>
      <w:bookmarkStart w:id="1536" w:name="_Toc78449848"/>
      <w:bookmarkStart w:id="1537" w:name="_Toc174652718"/>
      <w:bookmarkStart w:id="1538" w:name="_Toc407135262"/>
      <w:bookmarkStart w:id="1539" w:name="_Toc373227759"/>
      <w:r>
        <w:rPr>
          <w:rFonts w:hint="eastAsia" w:ascii="宋体" w:hAnsi="宋体" w:cs="宋体"/>
          <w:color w:val="auto"/>
          <w:highlight w:val="none"/>
        </w:rPr>
        <w:t>14.1 竣工付款申请</w:t>
      </w:r>
      <w:bookmarkEnd w:id="1533"/>
      <w:bookmarkEnd w:id="1534"/>
      <w:bookmarkEnd w:id="1535"/>
      <w:bookmarkEnd w:id="1536"/>
      <w:bookmarkEnd w:id="1537"/>
      <w:bookmarkEnd w:id="1538"/>
      <w:bookmarkEnd w:id="1539"/>
    </w:p>
    <w:p w14:paraId="0ECB1AE7">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自竣工结算完毕之日起 60 天内，由承包人向发包人提出竣工付款申请。</w:t>
      </w:r>
    </w:p>
    <w:p w14:paraId="78B2C11A">
      <w:pPr>
        <w:spacing w:line="360" w:lineRule="auto"/>
        <w:ind w:firstLine="420" w:firstLineChars="200"/>
        <w:rPr>
          <w:rFonts w:ascii="宋体" w:hAnsi="宋体" w:cs="宋体"/>
          <w:color w:val="auto"/>
          <w:highlight w:val="none"/>
          <w:u w:val="single"/>
        </w:rPr>
      </w:pPr>
      <w:r>
        <w:rPr>
          <w:rFonts w:hint="eastAsia" w:hAnsi="宋体" w:cs="宋体"/>
          <w:color w:val="auto"/>
          <w:highlight w:val="none"/>
        </w:rPr>
        <w:t>竣工付款申请</w:t>
      </w:r>
      <w:r>
        <w:rPr>
          <w:rFonts w:hint="eastAsia" w:hAnsi="宋体" w:cs="宋体"/>
          <w:color w:val="auto"/>
          <w:highlight w:val="none"/>
          <w:u w:val="single"/>
        </w:rPr>
        <w:t>材料</w:t>
      </w:r>
      <w:r>
        <w:rPr>
          <w:rFonts w:hint="eastAsia" w:hAnsi="宋体" w:cs="宋体"/>
          <w:color w:val="auto"/>
          <w:highlight w:val="none"/>
        </w:rPr>
        <w:t>应包括的内容：</w:t>
      </w:r>
      <w:r>
        <w:rPr>
          <w:rFonts w:hint="eastAsia" w:hAnsi="宋体" w:cs="宋体"/>
          <w:color w:val="auto"/>
          <w:highlight w:val="none"/>
          <w:u w:val="single"/>
        </w:rPr>
        <w:t>请款函、合同、结算书、竣工验收报告等发包人要求的资料（具体请款时与发包人对接）。</w:t>
      </w:r>
    </w:p>
    <w:p w14:paraId="7F38807E">
      <w:pPr>
        <w:pStyle w:val="4"/>
        <w:rPr>
          <w:rFonts w:ascii="宋体" w:hAnsi="宋体" w:cs="宋体"/>
          <w:color w:val="auto"/>
          <w:highlight w:val="none"/>
        </w:rPr>
      </w:pPr>
      <w:bookmarkStart w:id="1540" w:name="_Toc373478407"/>
      <w:bookmarkStart w:id="1541" w:name="_Toc373227760"/>
      <w:bookmarkStart w:id="1542" w:name="_Toc489920513"/>
      <w:bookmarkStart w:id="1543" w:name="_Toc667492935"/>
      <w:bookmarkStart w:id="1544" w:name="_Toc78449849"/>
      <w:bookmarkStart w:id="1545" w:name="_Toc407135263"/>
      <w:bookmarkStart w:id="1546" w:name="_Toc389065325"/>
      <w:r>
        <w:rPr>
          <w:rFonts w:hint="eastAsia" w:ascii="宋体" w:hAnsi="宋体" w:cs="宋体"/>
          <w:color w:val="auto"/>
          <w:highlight w:val="none"/>
        </w:rPr>
        <w:t>14.2 竣工结算审核</w:t>
      </w:r>
      <w:bookmarkEnd w:id="1540"/>
      <w:bookmarkEnd w:id="1541"/>
      <w:bookmarkEnd w:id="1542"/>
      <w:bookmarkEnd w:id="1543"/>
      <w:bookmarkEnd w:id="1544"/>
      <w:bookmarkEnd w:id="1545"/>
      <w:bookmarkEnd w:id="1546"/>
    </w:p>
    <w:p w14:paraId="1FF6D46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发包人审批竣工结算申请的期限：</w:t>
      </w:r>
    </w:p>
    <w:tbl>
      <w:tblPr>
        <w:tblStyle w:val="2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4B6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0E9B98E">
            <w:pPr>
              <w:spacing w:line="360" w:lineRule="auto"/>
              <w:rPr>
                <w:rFonts w:ascii="宋体" w:hAnsi="宋体" w:cs="宋体"/>
                <w:color w:val="auto"/>
                <w:highlight w:val="none"/>
              </w:rPr>
            </w:pPr>
          </w:p>
        </w:tc>
        <w:tc>
          <w:tcPr>
            <w:tcW w:w="2466" w:type="dxa"/>
            <w:vAlign w:val="center"/>
          </w:tcPr>
          <w:p w14:paraId="33993306">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工程竣工结算报告金额</w:t>
            </w:r>
          </w:p>
        </w:tc>
        <w:tc>
          <w:tcPr>
            <w:tcW w:w="5967" w:type="dxa"/>
            <w:vAlign w:val="center"/>
          </w:tcPr>
          <w:p w14:paraId="6006DEC2">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发包人审查时间</w:t>
            </w:r>
          </w:p>
        </w:tc>
      </w:tr>
      <w:tr w14:paraId="35FA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7463D7A">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2466" w:type="dxa"/>
            <w:vAlign w:val="center"/>
          </w:tcPr>
          <w:p w14:paraId="29961357">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500万元以下</w:t>
            </w:r>
          </w:p>
        </w:tc>
        <w:tc>
          <w:tcPr>
            <w:tcW w:w="5967" w:type="dxa"/>
            <w:vAlign w:val="center"/>
          </w:tcPr>
          <w:p w14:paraId="4DD2B108">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从接到竣工结算报告和完整的竣工结算资料之日起20天</w:t>
            </w:r>
          </w:p>
        </w:tc>
      </w:tr>
      <w:tr w14:paraId="424D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A6D4FA9">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2466" w:type="dxa"/>
            <w:vAlign w:val="center"/>
          </w:tcPr>
          <w:p w14:paraId="754CC84E">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500万元-2000万元</w:t>
            </w:r>
          </w:p>
        </w:tc>
        <w:tc>
          <w:tcPr>
            <w:tcW w:w="5967" w:type="dxa"/>
            <w:vAlign w:val="center"/>
          </w:tcPr>
          <w:p w14:paraId="6792C85A">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从接到竣工结算报告和完整的竣工结算资料之日起30天</w:t>
            </w:r>
          </w:p>
        </w:tc>
      </w:tr>
      <w:tr w14:paraId="4B59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FE031DC">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2466" w:type="dxa"/>
            <w:vAlign w:val="center"/>
          </w:tcPr>
          <w:p w14:paraId="0FFCDB9A">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2000万元-5000万元</w:t>
            </w:r>
          </w:p>
        </w:tc>
        <w:tc>
          <w:tcPr>
            <w:tcW w:w="5967" w:type="dxa"/>
            <w:vAlign w:val="center"/>
          </w:tcPr>
          <w:p w14:paraId="638F18C6">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从接到竣工结算报告和完整的竣工结算资料之日起45天</w:t>
            </w:r>
          </w:p>
        </w:tc>
      </w:tr>
      <w:tr w14:paraId="53D7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E261B50">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2466" w:type="dxa"/>
            <w:vAlign w:val="center"/>
          </w:tcPr>
          <w:p w14:paraId="709BE9DF">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5000万元以上</w:t>
            </w:r>
          </w:p>
        </w:tc>
        <w:tc>
          <w:tcPr>
            <w:tcW w:w="5967" w:type="dxa"/>
            <w:vAlign w:val="center"/>
          </w:tcPr>
          <w:p w14:paraId="2ACB365D">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从接到竣工结算报告和完整的竣工结算资料之日起60天</w:t>
            </w:r>
          </w:p>
        </w:tc>
      </w:tr>
      <w:tr w14:paraId="017E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084434F">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2466" w:type="dxa"/>
            <w:vAlign w:val="center"/>
          </w:tcPr>
          <w:p w14:paraId="29A008B6">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5000万以上每增加0.5亿(不足0.5亿不增加)</w:t>
            </w:r>
          </w:p>
        </w:tc>
        <w:tc>
          <w:tcPr>
            <w:tcW w:w="5967" w:type="dxa"/>
            <w:vAlign w:val="center"/>
          </w:tcPr>
          <w:p w14:paraId="09849326">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增加10天</w:t>
            </w:r>
          </w:p>
        </w:tc>
      </w:tr>
    </w:tbl>
    <w:p w14:paraId="034EBE11">
      <w:pPr>
        <w:spacing w:line="360" w:lineRule="auto"/>
        <w:ind w:firstLine="420" w:firstLineChars="200"/>
        <w:jc w:val="left"/>
        <w:rPr>
          <w:rFonts w:ascii="宋体" w:hAnsi="宋体" w:cs="宋体"/>
          <w:color w:val="auto"/>
          <w:highlight w:val="none"/>
        </w:rPr>
      </w:pPr>
      <w:bookmarkStart w:id="1547" w:name="_Toc389065326"/>
      <w:bookmarkStart w:id="1548" w:name="_Toc540165641"/>
      <w:bookmarkStart w:id="1549" w:name="_Toc373227761"/>
      <w:bookmarkStart w:id="1550" w:name="_Toc78449850"/>
      <w:bookmarkStart w:id="1551" w:name="_Toc1203653078"/>
      <w:bookmarkStart w:id="1552" w:name="_Toc373478408"/>
      <w:bookmarkStart w:id="1553" w:name="_Toc407135264"/>
      <w:r>
        <w:rPr>
          <w:rFonts w:hint="eastAsia" w:ascii="宋体" w:hAnsi="宋体" w:cs="宋体"/>
          <w:color w:val="auto"/>
          <w:highlight w:val="none"/>
        </w:rPr>
        <w:t>因承包人提供的结算资料不完整而需要补充或承包人不按时对账耽误时间时，审查时间应相应顺延。</w:t>
      </w:r>
    </w:p>
    <w:p w14:paraId="5CC4090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竣工结算审核约定：</w:t>
      </w:r>
    </w:p>
    <w:p w14:paraId="7077E352">
      <w:pPr>
        <w:numPr>
          <w:ilvl w:val="0"/>
          <w:numId w:val="6"/>
        </w:numPr>
        <w:spacing w:line="400" w:lineRule="exact"/>
        <w:ind w:firstLine="411" w:firstLineChars="196"/>
        <w:rPr>
          <w:rFonts w:ascii="宋体" w:hAnsi="宋体" w:cs="宋体"/>
          <w:color w:val="auto"/>
          <w:highlight w:val="none"/>
          <w:u w:val="single"/>
        </w:rPr>
      </w:pPr>
      <w:r>
        <w:rPr>
          <w:rFonts w:hint="eastAsia" w:ascii="宋体" w:hAnsi="宋体" w:cs="宋体"/>
          <w:color w:val="auto"/>
          <w:highlight w:val="none"/>
          <w:u w:val="single"/>
        </w:rPr>
        <w:t>工程竣工验收报告经发包人认可后 30 天内，承包人向发包人递交竣工验收合格资料及完整的结算资料和报告，双方按照本工程合同约定的价格形式及价款调整办法进行工程竣工结算。</w:t>
      </w:r>
    </w:p>
    <w:p w14:paraId="2502441B">
      <w:pPr>
        <w:numPr>
          <w:ilvl w:val="0"/>
          <w:numId w:val="6"/>
        </w:numPr>
        <w:spacing w:line="400" w:lineRule="exact"/>
        <w:ind w:firstLine="411" w:firstLineChars="196"/>
        <w:rPr>
          <w:rFonts w:ascii="宋体" w:hAnsi="宋体" w:cs="宋体"/>
          <w:color w:val="auto"/>
          <w:highlight w:val="none"/>
          <w:u w:val="single"/>
        </w:rPr>
      </w:pPr>
      <w:r>
        <w:rPr>
          <w:rFonts w:hint="eastAsia" w:ascii="宋体" w:hAnsi="宋体" w:cs="宋体"/>
          <w:color w:val="auto"/>
          <w:highlight w:val="none"/>
          <w:u w:val="single"/>
        </w:rPr>
        <w:t>发包人收到承包人递交的竣工结算报告及结算资料之日起 30 天内对结算材料的完整性及合理性进行审核，并给予确认或者提出初步审核意见。承包人对发包人审核意见有异议的，应在收到发包人确认的价款或审核意见之日起 7 天内提出异议，必要时合同当事人要当面核对。本工程属于政府投资项目，竣工结算应由市财政局或其委托的第三批评审机构对承包人提交的结算进行评审，最终结算价以市财政局或其委托的第三批评审机构出具的评审报告为准。</w:t>
      </w:r>
    </w:p>
    <w:p w14:paraId="1EE2156D">
      <w:pPr>
        <w:pStyle w:val="4"/>
        <w:rPr>
          <w:rFonts w:ascii="宋体" w:hAnsi="宋体" w:cs="宋体"/>
          <w:color w:val="auto"/>
          <w:highlight w:val="none"/>
        </w:rPr>
      </w:pPr>
      <w:r>
        <w:rPr>
          <w:rFonts w:hint="eastAsia" w:ascii="宋体" w:hAnsi="宋体" w:cs="宋体"/>
          <w:color w:val="auto"/>
          <w:highlight w:val="none"/>
        </w:rPr>
        <w:t>14.4 最终结清</w:t>
      </w:r>
      <w:bookmarkEnd w:id="1547"/>
      <w:bookmarkEnd w:id="1548"/>
      <w:bookmarkEnd w:id="1549"/>
      <w:bookmarkEnd w:id="1550"/>
      <w:bookmarkEnd w:id="1551"/>
      <w:bookmarkEnd w:id="1552"/>
      <w:bookmarkEnd w:id="1553"/>
    </w:p>
    <w:p w14:paraId="3FE662A4">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14.4.1 最终结清申请单</w:t>
      </w:r>
    </w:p>
    <w:p w14:paraId="1C3063F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承包人提交最终结清申请单的份数：</w:t>
      </w:r>
      <w:r>
        <w:rPr>
          <w:rFonts w:hint="eastAsia" w:ascii="宋体" w:hAnsi="宋体" w:cs="宋体"/>
          <w:color w:val="auto"/>
          <w:spacing w:val="-3"/>
          <w:szCs w:val="21"/>
          <w:highlight w:val="none"/>
          <w:u w:val="single"/>
        </w:rPr>
        <w:t>一</w:t>
      </w:r>
      <w:r>
        <w:rPr>
          <w:rFonts w:hint="eastAsia" w:ascii="宋体" w:hAnsi="宋体" w:cs="宋体"/>
          <w:color w:val="auto"/>
          <w:spacing w:val="-4"/>
          <w:szCs w:val="21"/>
          <w:highlight w:val="none"/>
          <w:u w:val="single"/>
        </w:rPr>
        <w:t>式叁份</w:t>
      </w:r>
      <w:r>
        <w:rPr>
          <w:rFonts w:hint="eastAsia" w:ascii="宋体" w:hAnsi="宋体" w:cs="宋体"/>
          <w:color w:val="auto"/>
          <w:highlight w:val="none"/>
        </w:rPr>
        <w:t>。</w:t>
      </w:r>
    </w:p>
    <w:p w14:paraId="22FE8A87">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承包人提交最终结算申请单的期限：</w:t>
      </w:r>
      <w:r>
        <w:rPr>
          <w:rFonts w:hint="eastAsia" w:ascii="宋体" w:hAnsi="宋体" w:cs="宋体"/>
          <w:color w:val="auto"/>
          <w:kern w:val="0"/>
          <w:highlight w:val="none"/>
          <w:u w:val="single"/>
        </w:rPr>
        <w:t>双方确认审计总额后28天</w:t>
      </w:r>
      <w:r>
        <w:rPr>
          <w:rFonts w:hint="eastAsia" w:ascii="宋体" w:hAnsi="宋体" w:cs="宋体"/>
          <w:color w:val="auto"/>
          <w:highlight w:val="none"/>
        </w:rPr>
        <w:t xml:space="preserve">。 </w:t>
      </w:r>
    </w:p>
    <w:p w14:paraId="7954686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14.4.2 最终结清证书和支付</w:t>
      </w:r>
    </w:p>
    <w:p w14:paraId="6E11520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kern w:val="0"/>
          <w:highlight w:val="none"/>
          <w:u w:val="single"/>
        </w:rPr>
        <w:t>双方确认审计总额后28天</w:t>
      </w:r>
      <w:r>
        <w:rPr>
          <w:rFonts w:hint="eastAsia" w:ascii="宋体" w:hAnsi="宋体" w:cs="宋体"/>
          <w:color w:val="auto"/>
          <w:highlight w:val="none"/>
        </w:rPr>
        <w:t>。</w:t>
      </w:r>
    </w:p>
    <w:p w14:paraId="74C8385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kern w:val="0"/>
          <w:highlight w:val="none"/>
          <w:u w:val="single"/>
        </w:rPr>
        <w:t>双方确认审计总额后45天，由承包人提出书面申请，具体时间以市财政拨付到位为准</w:t>
      </w:r>
      <w:r>
        <w:rPr>
          <w:rFonts w:hint="eastAsia" w:ascii="宋体" w:hAnsi="宋体" w:cs="宋体"/>
          <w:color w:val="auto"/>
          <w:highlight w:val="none"/>
        </w:rPr>
        <w:t>。</w:t>
      </w:r>
    </w:p>
    <w:bookmarkEnd w:id="1498"/>
    <w:bookmarkEnd w:id="1499"/>
    <w:bookmarkEnd w:id="1500"/>
    <w:bookmarkEnd w:id="1501"/>
    <w:bookmarkEnd w:id="1502"/>
    <w:bookmarkEnd w:id="1503"/>
    <w:bookmarkEnd w:id="1504"/>
    <w:bookmarkEnd w:id="1510"/>
    <w:p w14:paraId="6A0FD216">
      <w:pPr>
        <w:pStyle w:val="3"/>
        <w:rPr>
          <w:rFonts w:ascii="宋体" w:hAnsi="宋体" w:cs="宋体"/>
          <w:color w:val="auto"/>
          <w:highlight w:val="none"/>
        </w:rPr>
      </w:pPr>
      <w:bookmarkStart w:id="1554" w:name="_Toc1294213766"/>
      <w:bookmarkStart w:id="1555" w:name="_Toc78449851"/>
      <w:bookmarkStart w:id="1556" w:name="_Toc373227762"/>
      <w:bookmarkStart w:id="1557" w:name="_Toc407135265"/>
      <w:bookmarkStart w:id="1558" w:name="_Toc905081407"/>
      <w:bookmarkStart w:id="1559" w:name="_Toc373478409"/>
      <w:bookmarkStart w:id="1560" w:name="_Toc389065327"/>
      <w:bookmarkStart w:id="1561" w:name="_Toc351203647"/>
      <w:bookmarkStart w:id="1562" w:name="_Toc267251483"/>
      <w:bookmarkStart w:id="1563" w:name="_Toc267251482"/>
      <w:bookmarkStart w:id="1564" w:name="_Toc267251484"/>
      <w:bookmarkStart w:id="1565" w:name="_Toc267251485"/>
      <w:bookmarkStart w:id="1566" w:name="_Toc267251489"/>
      <w:bookmarkStart w:id="1567" w:name="_Toc267251488"/>
      <w:bookmarkStart w:id="1568" w:name="_Toc267251486"/>
      <w:bookmarkStart w:id="1569" w:name="_Toc267251490"/>
      <w:bookmarkStart w:id="1570" w:name="_Toc267251496"/>
      <w:bookmarkStart w:id="1571" w:name="_Toc267251499"/>
      <w:bookmarkStart w:id="1572" w:name="_Toc267251501"/>
      <w:bookmarkStart w:id="1573" w:name="_Toc267251492"/>
      <w:bookmarkStart w:id="1574" w:name="_Toc267251495"/>
      <w:bookmarkStart w:id="1575" w:name="_Toc267251502"/>
      <w:bookmarkStart w:id="1576" w:name="_Toc267251503"/>
      <w:bookmarkStart w:id="1577" w:name="_Toc267251491"/>
      <w:bookmarkStart w:id="1578" w:name="_Toc267251494"/>
      <w:bookmarkStart w:id="1579" w:name="_Toc267251497"/>
      <w:bookmarkStart w:id="1580" w:name="_Toc267251493"/>
      <w:bookmarkStart w:id="1581" w:name="_Toc267251498"/>
      <w:bookmarkStart w:id="1582" w:name="_Toc267251506"/>
      <w:bookmarkStart w:id="1583" w:name="_Toc267251504"/>
      <w:bookmarkStart w:id="1584" w:name="_Toc267251507"/>
      <w:bookmarkStart w:id="1585" w:name="_Toc267251508"/>
      <w:bookmarkStart w:id="1586" w:name="_Toc267251513"/>
      <w:bookmarkStart w:id="1587" w:name="_Toc267251510"/>
      <w:bookmarkStart w:id="1588" w:name="_Toc267251514"/>
      <w:bookmarkStart w:id="1589" w:name="_Toc267251511"/>
      <w:bookmarkStart w:id="1590" w:name="_Toc267251509"/>
      <w:bookmarkStart w:id="1591" w:name="_Toc267251515"/>
      <w:r>
        <w:rPr>
          <w:rFonts w:hint="eastAsia" w:ascii="宋体" w:hAnsi="宋体" w:cs="宋体"/>
          <w:color w:val="auto"/>
          <w:highlight w:val="none"/>
        </w:rPr>
        <w:t>15. 缺陷责任期与保修</w:t>
      </w:r>
      <w:bookmarkEnd w:id="1554"/>
      <w:bookmarkEnd w:id="1555"/>
      <w:bookmarkEnd w:id="1556"/>
      <w:bookmarkEnd w:id="1557"/>
      <w:bookmarkEnd w:id="1558"/>
      <w:bookmarkEnd w:id="1559"/>
      <w:bookmarkEnd w:id="1560"/>
      <w:bookmarkEnd w:id="1561"/>
    </w:p>
    <w:p w14:paraId="09A0DAA5">
      <w:pPr>
        <w:pStyle w:val="4"/>
        <w:rPr>
          <w:rFonts w:ascii="宋体" w:hAnsi="宋体" w:cs="宋体"/>
          <w:color w:val="auto"/>
          <w:highlight w:val="none"/>
        </w:rPr>
      </w:pPr>
      <w:bookmarkStart w:id="1592" w:name="_Toc373227763"/>
      <w:bookmarkStart w:id="1593" w:name="_Toc1468458868"/>
      <w:bookmarkStart w:id="1594" w:name="_Toc373478410"/>
      <w:bookmarkStart w:id="1595" w:name="_Toc1845278067"/>
      <w:bookmarkStart w:id="1596" w:name="_Toc389065328"/>
      <w:bookmarkStart w:id="1597" w:name="_Toc78449852"/>
      <w:bookmarkStart w:id="1598" w:name="_Toc407135266"/>
      <w:r>
        <w:rPr>
          <w:rFonts w:hint="eastAsia" w:ascii="宋体" w:hAnsi="宋体" w:cs="宋体"/>
          <w:color w:val="auto"/>
          <w:highlight w:val="none"/>
        </w:rPr>
        <w:t>15.2 缺陷责任期</w:t>
      </w:r>
      <w:bookmarkEnd w:id="1562"/>
      <w:bookmarkEnd w:id="1592"/>
      <w:bookmarkEnd w:id="1593"/>
      <w:bookmarkEnd w:id="1594"/>
      <w:bookmarkEnd w:id="1595"/>
      <w:bookmarkEnd w:id="1596"/>
      <w:bookmarkEnd w:id="1597"/>
      <w:bookmarkEnd w:id="1598"/>
    </w:p>
    <w:p w14:paraId="061ECB5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竣工验收合格之日起24个月</w:t>
      </w:r>
      <w:r>
        <w:rPr>
          <w:rFonts w:hint="eastAsia" w:ascii="宋体" w:hAnsi="宋体" w:cs="宋体"/>
          <w:color w:val="auto"/>
          <w:highlight w:val="none"/>
        </w:rPr>
        <w:t>。</w:t>
      </w:r>
    </w:p>
    <w:p w14:paraId="7B372805">
      <w:pPr>
        <w:pStyle w:val="4"/>
        <w:rPr>
          <w:rFonts w:ascii="宋体" w:hAnsi="宋体" w:cs="宋体"/>
          <w:color w:val="auto"/>
          <w:highlight w:val="none"/>
        </w:rPr>
      </w:pPr>
      <w:bookmarkStart w:id="1599" w:name="_Toc373227764"/>
      <w:bookmarkStart w:id="1600" w:name="_Toc389065329"/>
      <w:bookmarkStart w:id="1601" w:name="_Toc407135267"/>
      <w:bookmarkStart w:id="1602" w:name="_Toc666080472"/>
      <w:bookmarkStart w:id="1603" w:name="_Toc1004692311"/>
      <w:bookmarkStart w:id="1604" w:name="_Toc78449853"/>
      <w:bookmarkStart w:id="1605" w:name="_Toc373478411"/>
      <w:r>
        <w:rPr>
          <w:rFonts w:hint="eastAsia" w:ascii="宋体" w:hAnsi="宋体" w:cs="宋体"/>
          <w:color w:val="auto"/>
          <w:highlight w:val="none"/>
        </w:rPr>
        <w:t>15.3 质量保证金</w:t>
      </w:r>
      <w:bookmarkEnd w:id="1599"/>
      <w:bookmarkEnd w:id="1600"/>
      <w:bookmarkEnd w:id="1601"/>
      <w:bookmarkEnd w:id="1602"/>
      <w:bookmarkEnd w:id="1603"/>
      <w:bookmarkEnd w:id="1604"/>
      <w:bookmarkEnd w:id="1605"/>
    </w:p>
    <w:p w14:paraId="49F8126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szCs w:val="21"/>
          <w:highlight w:val="none"/>
          <w:u w:val="single"/>
        </w:rPr>
        <w:t>扣留质量保证金</w:t>
      </w:r>
      <w:r>
        <w:rPr>
          <w:rFonts w:hint="eastAsia" w:ascii="宋体" w:hAnsi="宋体" w:cs="宋体"/>
          <w:color w:val="auto"/>
          <w:highlight w:val="none"/>
        </w:rPr>
        <w:t>。</w:t>
      </w:r>
    </w:p>
    <w:p w14:paraId="4F2FF64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5CC4D09B">
      <w:pPr>
        <w:spacing w:line="360" w:lineRule="auto"/>
        <w:ind w:firstLine="420" w:firstLineChars="200"/>
        <w:jc w:val="left"/>
        <w:outlineLvl w:val="0"/>
        <w:rPr>
          <w:rFonts w:ascii="宋体" w:hAnsi="宋体" w:cs="宋体"/>
          <w:color w:val="auto"/>
          <w:highlight w:val="none"/>
        </w:rPr>
      </w:pPr>
      <w:r>
        <w:rPr>
          <w:rFonts w:hint="eastAsia" w:ascii="宋体" w:hAnsi="宋体" w:cs="宋体"/>
          <w:color w:val="auto"/>
          <w:highlight w:val="none"/>
        </w:rPr>
        <w:t>15.3.1 承包人提供质量保证金的方式</w:t>
      </w:r>
    </w:p>
    <w:p w14:paraId="046A279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14:paraId="738C8720">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（1）质量保证金保函</w:t>
      </w:r>
      <w:r>
        <w:rPr>
          <w:rFonts w:hint="eastAsia" w:ascii="宋体" w:hAnsi="宋体" w:cs="宋体"/>
          <w:color w:val="auto"/>
          <w:highlight w:val="none"/>
        </w:rPr>
        <w:t>（银行保函、电子保函、保证保险保函、工程担保保函，</w:t>
      </w:r>
      <w:r>
        <w:rPr>
          <w:rFonts w:hint="eastAsia" w:ascii="宋体" w:hAnsi="宋体" w:cs="宋体"/>
          <w:color w:val="auto"/>
          <w:kern w:val="0"/>
          <w:highlight w:val="none"/>
        </w:rPr>
        <w:t>工程担保保证人应将出具的保函相关信息录入“广西建筑市场监管云”平台（http://gxjzsc.caihcloud.com），以实现保函查询及验真功能。</w:t>
      </w:r>
      <w:r>
        <w:rPr>
          <w:rFonts w:hint="eastAsia" w:ascii="宋体" w:hAnsi="宋体" w:cs="宋体"/>
          <w:color w:val="auto"/>
          <w:highlight w:val="none"/>
        </w:rPr>
        <w:t>）</w:t>
      </w:r>
      <w:r>
        <w:rPr>
          <w:rFonts w:hint="eastAsia" w:ascii="宋体" w:hAnsi="宋体" w:cs="宋体"/>
          <w:color w:val="auto"/>
          <w:kern w:val="0"/>
          <w:highlight w:val="none"/>
        </w:rPr>
        <w:t>，保证金额为：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C32A6C3">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rPr>
        <w:t>发包人按工程价款结算总额的</w:t>
      </w:r>
      <w:r>
        <w:rPr>
          <w:rFonts w:hint="eastAsia" w:ascii="宋体" w:hAnsi="宋体" w:cs="宋体"/>
          <w:color w:val="auto"/>
          <w:highlight w:val="none"/>
          <w:u w:val="single"/>
        </w:rPr>
        <w:t xml:space="preserve">3 </w:t>
      </w:r>
      <w:r>
        <w:rPr>
          <w:rFonts w:hint="eastAsia" w:ascii="宋体" w:hAnsi="宋体" w:cs="宋体"/>
          <w:color w:val="auto"/>
          <w:highlight w:val="none"/>
        </w:rPr>
        <w:t>%（不得超过3%）预留工程质量保证金，待缺陷责任期满后返还，是否付息及利息计算方式为：</w:t>
      </w:r>
      <w:r>
        <w:rPr>
          <w:rFonts w:hint="eastAsia" w:ascii="宋体" w:hAnsi="宋体" w:cs="宋体"/>
          <w:color w:val="auto"/>
          <w:highlight w:val="none"/>
          <w:u w:val="single"/>
        </w:rPr>
        <w:t>否</w:t>
      </w:r>
      <w:r>
        <w:rPr>
          <w:rFonts w:hint="eastAsia" w:ascii="宋体" w:hAnsi="宋体" w:cs="宋体"/>
          <w:color w:val="auto"/>
          <w:kern w:val="0"/>
          <w:highlight w:val="none"/>
        </w:rPr>
        <w:t>；</w:t>
      </w:r>
    </w:p>
    <w:p w14:paraId="58141D93">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（3）其他方式：</w:t>
      </w:r>
      <w:r>
        <w:rPr>
          <w:rFonts w:hint="eastAsia" w:ascii="宋体" w:hAnsi="宋体" w:cs="宋体"/>
          <w:color w:val="auto"/>
          <w:highlight w:val="none"/>
        </w:rPr>
        <w:t>银行转账、电汇或网上支付等形式。</w:t>
      </w:r>
    </w:p>
    <w:p w14:paraId="171F6BB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15.3.2 质量保证金的扣留</w:t>
      </w:r>
    </w:p>
    <w:p w14:paraId="598CF21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14:paraId="74D5FC34">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（1）在不缴纳履约保证金情况下，按支付工程进度款时逐次扣留，质量保证金的计算基数不包括预付款的支付、扣回以及价格调整的金额；</w:t>
      </w:r>
    </w:p>
    <w:p w14:paraId="287E30FF">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（2）工程竣工结算时，一次性扣留质量保证金，由承包人以银行保函、保证保险替代预留质量保证金，保函金额不得高于工程价款结算总额的3%；</w:t>
      </w:r>
    </w:p>
    <w:p w14:paraId="0C27AAD0">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（3）其他扣留方式:</w:t>
      </w:r>
      <w:r>
        <w:rPr>
          <w:rFonts w:hint="eastAsia" w:ascii="宋体" w:hAnsi="宋体" w:cs="宋体"/>
          <w:color w:val="auto"/>
          <w:kern w:val="0"/>
          <w:highlight w:val="none"/>
          <w:u w:val="single"/>
        </w:rPr>
        <w:t xml:space="preserve"> </w:t>
      </w:r>
      <w:r>
        <w:rPr>
          <w:rFonts w:hint="eastAsia" w:ascii="宋体" w:hAnsi="宋体" w:cs="宋体"/>
          <w:color w:val="auto"/>
          <w:highlight w:val="none"/>
        </w:rPr>
        <w:t>银行转账、电汇或网上支付、保函（银行保函、电子保函、保证保险保函、工程担保保函）等形式</w:t>
      </w:r>
      <w:r>
        <w:rPr>
          <w:rFonts w:hint="eastAsia" w:ascii="宋体" w:hAnsi="宋体" w:cs="宋体"/>
          <w:color w:val="auto"/>
          <w:kern w:val="0"/>
          <w:highlight w:val="none"/>
        </w:rPr>
        <w:t>。</w:t>
      </w:r>
    </w:p>
    <w:p w14:paraId="2ABF499E">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highlight w:val="none"/>
        </w:rPr>
        <w:t>关于质量保证金的补充约定：</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bookmarkEnd w:id="1563"/>
    <w:bookmarkEnd w:id="1564"/>
    <w:p w14:paraId="3E87E3FB">
      <w:pPr>
        <w:pStyle w:val="4"/>
        <w:rPr>
          <w:rFonts w:ascii="宋体" w:hAnsi="宋体" w:cs="宋体"/>
          <w:color w:val="auto"/>
          <w:highlight w:val="none"/>
        </w:rPr>
      </w:pPr>
      <w:bookmarkStart w:id="1606" w:name="_Toc389065330"/>
      <w:bookmarkStart w:id="1607" w:name="_Toc407135268"/>
      <w:bookmarkStart w:id="1608" w:name="_Toc1902722111"/>
      <w:bookmarkStart w:id="1609" w:name="_Toc373227765"/>
      <w:bookmarkStart w:id="1610" w:name="_Toc373478412"/>
      <w:bookmarkStart w:id="1611" w:name="_Toc78449854"/>
      <w:bookmarkStart w:id="1612" w:name="_Toc196306762"/>
      <w:r>
        <w:rPr>
          <w:rFonts w:hint="eastAsia" w:ascii="宋体" w:hAnsi="宋体" w:cs="宋体"/>
          <w:color w:val="auto"/>
          <w:highlight w:val="none"/>
        </w:rPr>
        <w:t>15.4 保修</w:t>
      </w:r>
      <w:bookmarkEnd w:id="1606"/>
      <w:bookmarkEnd w:id="1607"/>
      <w:bookmarkEnd w:id="1608"/>
      <w:bookmarkEnd w:id="1609"/>
      <w:bookmarkEnd w:id="1610"/>
      <w:bookmarkEnd w:id="1611"/>
      <w:bookmarkEnd w:id="1612"/>
    </w:p>
    <w:bookmarkEnd w:id="1565"/>
    <w:p w14:paraId="35A62DA7">
      <w:pPr>
        <w:spacing w:line="360" w:lineRule="auto"/>
        <w:ind w:firstLine="409" w:firstLineChars="195"/>
        <w:jc w:val="left"/>
        <w:outlineLvl w:val="0"/>
        <w:rPr>
          <w:rFonts w:ascii="宋体" w:hAnsi="宋体" w:cs="宋体"/>
          <w:color w:val="auto"/>
          <w:highlight w:val="none"/>
        </w:rPr>
      </w:pPr>
      <w:r>
        <w:rPr>
          <w:rFonts w:hint="eastAsia" w:ascii="宋体" w:hAnsi="宋体" w:cs="宋体"/>
          <w:color w:val="auto"/>
          <w:highlight w:val="none"/>
        </w:rPr>
        <w:t>15.4.1 保修责任</w:t>
      </w:r>
    </w:p>
    <w:p w14:paraId="1F23C084">
      <w:pPr>
        <w:spacing w:line="360" w:lineRule="auto"/>
        <w:ind w:firstLine="409" w:firstLineChars="195"/>
        <w:jc w:val="left"/>
        <w:rPr>
          <w:rFonts w:ascii="宋体" w:hAnsi="宋体" w:cs="宋体"/>
          <w:color w:val="auto"/>
          <w:kern w:val="0"/>
          <w:highlight w:val="none"/>
        </w:rPr>
      </w:pPr>
      <w:r>
        <w:rPr>
          <w:rFonts w:hint="eastAsia" w:ascii="宋体" w:hAnsi="宋体" w:cs="宋体"/>
          <w:color w:val="auto"/>
          <w:highlight w:val="none"/>
        </w:rPr>
        <w:t>工程保修期为：</w:t>
      </w:r>
      <w:r>
        <w:rPr>
          <w:rFonts w:hint="eastAsia" w:ascii="宋体" w:hAnsi="宋体" w:cs="宋体"/>
          <w:color w:val="auto"/>
          <w:highlight w:val="none"/>
          <w:u w:val="single"/>
        </w:rPr>
        <w:t>地基基础工程和主体结构工程为设计文件规定的该工程的合理使用年限， 本工程为 50 年；屋面防水工程、有防水要求的卫生间、房间和外墙面的防渗漏为 5 年；电气管线、给排水管道、设备安装为2年</w:t>
      </w:r>
      <w:r>
        <w:rPr>
          <w:rFonts w:hint="eastAsia" w:ascii="宋体" w:hAnsi="宋体" w:cs="宋体"/>
          <w:color w:val="auto"/>
          <w:kern w:val="0"/>
          <w:highlight w:val="none"/>
        </w:rPr>
        <w:t>。</w:t>
      </w:r>
    </w:p>
    <w:p w14:paraId="46822730">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highlight w:val="none"/>
        </w:rPr>
        <w:t>工程保修书具体内容见合同附件2。</w:t>
      </w:r>
    </w:p>
    <w:p w14:paraId="2986B48A">
      <w:pPr>
        <w:spacing w:line="360" w:lineRule="auto"/>
        <w:ind w:firstLine="409" w:firstLineChars="195"/>
        <w:jc w:val="left"/>
        <w:rPr>
          <w:rFonts w:ascii="宋体" w:hAnsi="宋体" w:cs="宋体"/>
          <w:color w:val="auto"/>
          <w:highlight w:val="none"/>
        </w:rPr>
      </w:pPr>
      <w:r>
        <w:rPr>
          <w:rFonts w:hint="eastAsia" w:ascii="宋体" w:hAnsi="宋体" w:cs="宋体"/>
          <w:color w:val="auto"/>
          <w:highlight w:val="none"/>
        </w:rPr>
        <w:t>15.4.3 修复通知</w:t>
      </w:r>
    </w:p>
    <w:p w14:paraId="5E0BF4CD">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rPr>
        <w:t>承包人收到保修通知并到达工程现场的合理时间：</w:t>
      </w:r>
      <w:r>
        <w:rPr>
          <w:rFonts w:hint="eastAsia" w:ascii="宋体" w:hAnsi="宋体" w:cs="宋体"/>
          <w:color w:val="auto"/>
          <w:kern w:val="0"/>
          <w:highlight w:val="none"/>
          <w:u w:val="single"/>
        </w:rPr>
        <w:t>收到通知后24小时内</w:t>
      </w:r>
      <w:r>
        <w:rPr>
          <w:rFonts w:hint="eastAsia" w:ascii="宋体" w:hAnsi="宋体" w:cs="宋体"/>
          <w:color w:val="auto"/>
          <w:kern w:val="0"/>
          <w:highlight w:val="none"/>
        </w:rPr>
        <w:t>。</w:t>
      </w:r>
    </w:p>
    <w:bookmarkEnd w:id="1566"/>
    <w:bookmarkEnd w:id="1567"/>
    <w:bookmarkEnd w:id="1568"/>
    <w:bookmarkEnd w:id="1569"/>
    <w:p w14:paraId="697759C3">
      <w:pPr>
        <w:pStyle w:val="3"/>
        <w:rPr>
          <w:rFonts w:ascii="宋体" w:hAnsi="宋体" w:cs="宋体"/>
          <w:color w:val="auto"/>
          <w:highlight w:val="none"/>
        </w:rPr>
      </w:pPr>
      <w:bookmarkStart w:id="1613" w:name="_Toc373227766"/>
      <w:bookmarkStart w:id="1614" w:name="_Toc78449855"/>
      <w:bookmarkStart w:id="1615" w:name="_Toc389065331"/>
      <w:bookmarkStart w:id="1616" w:name="_Toc373478413"/>
      <w:bookmarkStart w:id="1617" w:name="_Toc351203648"/>
      <w:bookmarkStart w:id="1618" w:name="_Toc1725581915"/>
      <w:bookmarkStart w:id="1619" w:name="_Toc1360137061"/>
      <w:bookmarkStart w:id="1620" w:name="_Toc407135269"/>
      <w:bookmarkStart w:id="1621" w:name="_Toc280868717"/>
      <w:bookmarkStart w:id="1622" w:name="_Toc280868718"/>
      <w:r>
        <w:rPr>
          <w:rFonts w:hint="eastAsia" w:ascii="宋体" w:hAnsi="宋体" w:cs="宋体"/>
          <w:color w:val="auto"/>
          <w:highlight w:val="none"/>
        </w:rPr>
        <w:t>16. 违约</w:t>
      </w:r>
      <w:bookmarkEnd w:id="1613"/>
      <w:bookmarkEnd w:id="1614"/>
      <w:bookmarkEnd w:id="1615"/>
      <w:bookmarkEnd w:id="1616"/>
      <w:bookmarkEnd w:id="1617"/>
      <w:bookmarkEnd w:id="1618"/>
      <w:bookmarkEnd w:id="1619"/>
      <w:bookmarkEnd w:id="1620"/>
    </w:p>
    <w:p w14:paraId="474A871C">
      <w:pPr>
        <w:pStyle w:val="4"/>
        <w:rPr>
          <w:rFonts w:ascii="宋体" w:hAnsi="宋体" w:cs="宋体"/>
          <w:color w:val="auto"/>
          <w:highlight w:val="none"/>
        </w:rPr>
      </w:pPr>
      <w:bookmarkStart w:id="1623" w:name="_Toc78449856"/>
      <w:bookmarkStart w:id="1624" w:name="_Toc389065332"/>
      <w:bookmarkStart w:id="1625" w:name="_Toc407135270"/>
      <w:bookmarkStart w:id="1626" w:name="_Toc373478414"/>
      <w:bookmarkStart w:id="1627" w:name="_Toc1535389315"/>
      <w:bookmarkStart w:id="1628" w:name="_Toc1973395665"/>
      <w:bookmarkStart w:id="1629" w:name="_Toc373227767"/>
      <w:r>
        <w:rPr>
          <w:rFonts w:hint="eastAsia" w:ascii="宋体" w:hAnsi="宋体" w:cs="宋体"/>
          <w:color w:val="auto"/>
          <w:highlight w:val="none"/>
        </w:rPr>
        <w:t>16.1 发包人违约</w:t>
      </w:r>
      <w:bookmarkEnd w:id="1623"/>
      <w:bookmarkEnd w:id="1624"/>
      <w:bookmarkEnd w:id="1625"/>
      <w:bookmarkEnd w:id="1626"/>
      <w:bookmarkEnd w:id="1627"/>
      <w:bookmarkEnd w:id="1628"/>
      <w:bookmarkEnd w:id="1629"/>
    </w:p>
    <w:p w14:paraId="30A21A4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16.1.1发包人违约的情形</w:t>
      </w:r>
    </w:p>
    <w:p w14:paraId="5921D008">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发包人违约的其他情形： </w:t>
      </w:r>
      <w:r>
        <w:rPr>
          <w:rFonts w:hint="eastAsia" w:ascii="宋体" w:hAnsi="宋体" w:cs="宋体"/>
          <w:color w:val="auto"/>
          <w:kern w:val="0"/>
          <w:highlight w:val="none"/>
          <w:u w:val="single"/>
        </w:rPr>
        <w:t>按本合同《通用条款》执行</w:t>
      </w:r>
      <w:r>
        <w:rPr>
          <w:rFonts w:hint="eastAsia" w:ascii="宋体" w:hAnsi="宋体" w:cs="宋体"/>
          <w:color w:val="auto"/>
          <w:kern w:val="0"/>
          <w:highlight w:val="none"/>
        </w:rPr>
        <w:t>。</w:t>
      </w:r>
    </w:p>
    <w:p w14:paraId="3D143348">
      <w:pPr>
        <w:spacing w:line="360" w:lineRule="auto"/>
        <w:ind w:firstLine="420" w:firstLineChars="200"/>
        <w:jc w:val="left"/>
        <w:outlineLvl w:val="0"/>
        <w:rPr>
          <w:rFonts w:ascii="宋体" w:hAnsi="宋体" w:cs="宋体"/>
          <w:color w:val="auto"/>
          <w:kern w:val="0"/>
          <w:highlight w:val="none"/>
        </w:rPr>
      </w:pPr>
      <w:r>
        <w:rPr>
          <w:rFonts w:hint="eastAsia" w:ascii="宋体" w:hAnsi="宋体" w:cs="宋体"/>
          <w:color w:val="auto"/>
          <w:kern w:val="0"/>
          <w:highlight w:val="none"/>
        </w:rPr>
        <w:t>16.1.2 发包人违约的责任</w:t>
      </w:r>
    </w:p>
    <w:p w14:paraId="22618D8C">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06E92F67">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kern w:val="0"/>
          <w:highlight w:val="none"/>
          <w:u w:val="single"/>
        </w:rPr>
        <w:t>顺延工期</w:t>
      </w:r>
      <w:r>
        <w:rPr>
          <w:rFonts w:hint="eastAsia" w:ascii="宋体" w:hAnsi="宋体" w:cs="宋体"/>
          <w:color w:val="auto"/>
          <w:kern w:val="0"/>
          <w:highlight w:val="none"/>
        </w:rPr>
        <w:t>。</w:t>
      </w:r>
    </w:p>
    <w:p w14:paraId="5AEDEC03">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kern w:val="0"/>
          <w:highlight w:val="none"/>
          <w:u w:val="single"/>
        </w:rPr>
        <w:t>承包人与发包人签订延期付款协议，延期付款协议须经财政部门及双方认可</w:t>
      </w:r>
      <w:r>
        <w:rPr>
          <w:rFonts w:hint="eastAsia" w:ascii="宋体" w:hAnsi="宋体" w:cs="宋体"/>
          <w:color w:val="auto"/>
          <w:kern w:val="0"/>
          <w:highlight w:val="none"/>
        </w:rPr>
        <w:t>。</w:t>
      </w:r>
    </w:p>
    <w:p w14:paraId="7984B3C3">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（3）发包人违反《专用合同条款》第10.1款〔变更的范围〕第（2）项约定，自行实施被取消的工作或转由他人实施的违约责任：</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14552F1C">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rPr>
        <w:t>无</w:t>
      </w:r>
      <w:r>
        <w:rPr>
          <w:rFonts w:hint="eastAsia" w:ascii="宋体" w:hAnsi="宋体" w:cs="宋体"/>
          <w:color w:val="auto"/>
          <w:kern w:val="0"/>
          <w:highlight w:val="none"/>
        </w:rPr>
        <w:t>。</w:t>
      </w:r>
    </w:p>
    <w:p w14:paraId="093ECB1C">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kern w:val="0"/>
          <w:highlight w:val="none"/>
          <w:u w:val="single"/>
        </w:rPr>
        <w:t>影响关键线路工期的工期相应顺延</w:t>
      </w:r>
      <w:r>
        <w:rPr>
          <w:rFonts w:hint="eastAsia" w:ascii="宋体" w:hAnsi="宋体" w:cs="宋体"/>
          <w:color w:val="auto"/>
          <w:kern w:val="0"/>
          <w:highlight w:val="none"/>
        </w:rPr>
        <w:t>。</w:t>
      </w:r>
    </w:p>
    <w:p w14:paraId="1356ED51">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szCs w:val="21"/>
          <w:highlight w:val="none"/>
          <w:u w:val="single"/>
        </w:rPr>
        <w:t>所耽误的工期相应顺延</w:t>
      </w:r>
      <w:r>
        <w:rPr>
          <w:rFonts w:hint="eastAsia" w:ascii="宋体" w:hAnsi="宋体" w:cs="宋体"/>
          <w:color w:val="auto"/>
          <w:kern w:val="0"/>
          <w:highlight w:val="none"/>
        </w:rPr>
        <w:t>。</w:t>
      </w:r>
    </w:p>
    <w:p w14:paraId="42A6E5D6">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（7）其他：</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5EDEDA2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16.1.3 因发包人违约解除合同</w:t>
      </w:r>
    </w:p>
    <w:p w14:paraId="2220D407">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天后发包人仍不纠正其违约行为并致使合同目的不能实现的，承包人有权解除合同。</w:t>
      </w:r>
    </w:p>
    <w:p w14:paraId="2A5C9B26">
      <w:pPr>
        <w:pStyle w:val="4"/>
        <w:rPr>
          <w:rFonts w:ascii="宋体" w:hAnsi="宋体" w:cs="宋体"/>
          <w:color w:val="auto"/>
          <w:highlight w:val="none"/>
        </w:rPr>
      </w:pPr>
      <w:bookmarkStart w:id="1630" w:name="_Toc407135271"/>
      <w:bookmarkStart w:id="1631" w:name="_Toc247586342"/>
      <w:bookmarkStart w:id="1632" w:name="_Toc61078193"/>
      <w:bookmarkStart w:id="1633" w:name="_Toc373478415"/>
      <w:bookmarkStart w:id="1634" w:name="_Toc78449857"/>
      <w:bookmarkStart w:id="1635" w:name="_Toc389065333"/>
      <w:bookmarkStart w:id="1636" w:name="_Toc373227768"/>
      <w:r>
        <w:rPr>
          <w:rFonts w:hint="eastAsia" w:ascii="宋体" w:hAnsi="宋体" w:cs="宋体"/>
          <w:color w:val="auto"/>
          <w:highlight w:val="none"/>
        </w:rPr>
        <w:t>16.2 承包人违约</w:t>
      </w:r>
      <w:bookmarkEnd w:id="1630"/>
      <w:bookmarkEnd w:id="1631"/>
      <w:bookmarkEnd w:id="1632"/>
      <w:bookmarkEnd w:id="1633"/>
      <w:bookmarkEnd w:id="1634"/>
      <w:bookmarkEnd w:id="1635"/>
      <w:bookmarkEnd w:id="1636"/>
    </w:p>
    <w:p w14:paraId="7C9368C4">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16.2.1 承包人违约的情形</w:t>
      </w:r>
    </w:p>
    <w:p w14:paraId="187814EA">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承包人违约的其他情形：</w:t>
      </w:r>
    </w:p>
    <w:p w14:paraId="1F4BE019">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(1) 承包人在保修期内拒绝按规定进行修复，或经监理人检验认为修复质量不合格而承包人拒绝再进行修补的， 发包人将扣除承包人全部质量保修金；</w:t>
      </w:r>
    </w:p>
    <w:p w14:paraId="4AFBCFB1">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(2）承包人违约有以下情况之一者，发包人有权采取合同规定的以下措施处理并视情节轻重予以罚款：</w:t>
      </w:r>
    </w:p>
    <w:p w14:paraId="0A011FAB">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A、未经监理工程师审查批准，施工期内自行调走主要施工机械，经发现不及时调回的，视为承包人违约，发包人有权收取违约金，金额为合同价的10-50 ％（视情节严重而定）。</w:t>
      </w:r>
    </w:p>
    <w:p w14:paraId="3BD4BE09">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B、违约金金额可在承包人的计量支付款内扣除，也可就违约责任向承包人索赔。</w:t>
      </w:r>
    </w:p>
    <w:p w14:paraId="743930C2">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 xml:space="preserve">C、承包人在合同期内完成合同规定的全部工程且质量合格可于工程竣工验收后 15 天内申请返还全部或部分罚款，返还金额由监理工程师审核， 发包人批准，罚款金额返还时不包括银行利息； </w:t>
      </w:r>
    </w:p>
    <w:p w14:paraId="5B43A66E">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(3）承包人有违反《南宁市建设工程造价管理办法》（南宁市人民政府令2007年第5号） 规定的，按规定给予处罚。</w:t>
      </w:r>
    </w:p>
    <w:p w14:paraId="601EE5C6">
      <w:pPr>
        <w:spacing w:line="360" w:lineRule="auto"/>
        <w:ind w:firstLine="420" w:firstLineChars="200"/>
        <w:jc w:val="left"/>
        <w:outlineLvl w:val="0"/>
        <w:rPr>
          <w:rFonts w:ascii="宋体" w:hAnsi="宋体" w:cs="宋体"/>
          <w:color w:val="auto"/>
          <w:kern w:val="0"/>
          <w:highlight w:val="none"/>
        </w:rPr>
      </w:pPr>
      <w:r>
        <w:rPr>
          <w:rFonts w:hint="eastAsia" w:ascii="宋体" w:hAnsi="宋体" w:cs="宋体"/>
          <w:color w:val="auto"/>
          <w:kern w:val="0"/>
          <w:highlight w:val="none"/>
        </w:rPr>
        <w:t>16.2.2承包人违约的责任</w:t>
      </w:r>
    </w:p>
    <w:p w14:paraId="38546D40">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承包人违约责任的承担方式和计算方法：</w:t>
      </w:r>
    </w:p>
    <w:p w14:paraId="3157980F">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78F280EB">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（2）承包人有本合同通用条款第16.2.1（6）条情形的，或经监理人检验认为修复质量不合格而承包人拒绝再进行修补的，发包人将扣除承包人全部质量保证金。</w:t>
      </w:r>
    </w:p>
    <w:p w14:paraId="38E37AF2">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承包人有本专用合同条款3.2、3.3条违约责任的，发包人有权扣除承包人的违约金。违约金金额均在承包人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5AB2CC2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16.2.3 因承包人违约解除合同</w:t>
      </w:r>
    </w:p>
    <w:p w14:paraId="6D376A0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color w:val="auto"/>
          <w:kern w:val="0"/>
          <w:highlight w:val="none"/>
          <w:u w:val="single"/>
        </w:rPr>
        <w:t>承包人有违反以下情况之一的，发包人有权解除合同，并按规定追究承包人违约责任</w:t>
      </w:r>
      <w:r>
        <w:rPr>
          <w:rFonts w:hint="eastAsia" w:ascii="宋体" w:hAnsi="宋体" w:cs="宋体"/>
          <w:color w:val="auto"/>
          <w:kern w:val="0"/>
          <w:highlight w:val="none"/>
        </w:rPr>
        <w:t>。</w:t>
      </w:r>
    </w:p>
    <w:p w14:paraId="445FDFE6">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(1)承包人无正当理由不按开工通知的要求及时进场组织施工和不按签订协议书时商定的进度计划有效地开展施工准备，造成工期延误的；</w:t>
      </w:r>
    </w:p>
    <w:p w14:paraId="2875E420">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(2)承包人违反本合同通用条款第3.5条规定私自将合同或合同的任何部分或任何权利转让给其他人，或私自将工程或工程的一部分分包出去的；</w:t>
      </w:r>
    </w:p>
    <w:p w14:paraId="6914D62D">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(3)未经监理人批准，承包人私自将已按合同文件承诺进入工地的工程设备、施工设备、临时工程或材料撤离工地的；</w:t>
      </w:r>
    </w:p>
    <w:p w14:paraId="1B31BF17">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(4)由于承包人原因拒绝按合同进度计划及时完成合同规定的工程，而又未采取有效措施赶上进度，造成工期严重延误的；</w:t>
      </w:r>
    </w:p>
    <w:p w14:paraId="36DA26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(5)承包人否认合同有效或拒绝履行合同规定的承包人义务，或由于法律、财务等原因导致承包人无法继续履行或实质上已停止履行合同的义务的；</w:t>
      </w:r>
    </w:p>
    <w:p w14:paraId="578C177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(6)合同签订</w:t>
      </w:r>
      <w:r>
        <w:rPr>
          <w:rFonts w:hint="eastAsia" w:ascii="宋体" w:hAnsi="宋体" w:cs="宋体"/>
          <w:color w:val="auto"/>
          <w:highlight w:val="none"/>
        </w:rPr>
        <w:t>且具备法定开工条件后</w:t>
      </w:r>
      <w:r>
        <w:rPr>
          <w:rFonts w:hint="eastAsia" w:ascii="宋体" w:hAnsi="宋体" w:cs="宋体"/>
          <w:color w:val="auto"/>
          <w:kern w:val="0"/>
          <w:highlight w:val="none"/>
        </w:rPr>
        <w:t>之日起十五日内，承包人无法按合同规定及合同文件的承诺进场经监理工程师认可的该施工阶段应有的全部人员和机械的。</w:t>
      </w:r>
    </w:p>
    <w:p w14:paraId="1A563B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承包人承担</w:t>
      </w:r>
      <w:r>
        <w:rPr>
          <w:rFonts w:hint="eastAsia" w:ascii="宋体" w:hAnsi="宋体" w:cs="宋体"/>
          <w:color w:val="auto"/>
          <w:kern w:val="0"/>
          <w:highlight w:val="none"/>
        </w:rPr>
        <w:t>。</w:t>
      </w:r>
    </w:p>
    <w:p w14:paraId="1EEE2214">
      <w:pPr>
        <w:pStyle w:val="3"/>
        <w:rPr>
          <w:rFonts w:ascii="宋体" w:hAnsi="宋体" w:cs="宋体"/>
          <w:color w:val="auto"/>
          <w:highlight w:val="none"/>
        </w:rPr>
      </w:pPr>
      <w:bookmarkStart w:id="1637" w:name="_Toc407135272"/>
      <w:bookmarkStart w:id="1638" w:name="_Toc389065334"/>
      <w:bookmarkStart w:id="1639" w:name="_Toc373478416"/>
      <w:bookmarkStart w:id="1640" w:name="_Toc78449858"/>
      <w:bookmarkStart w:id="1641" w:name="_Toc373227769"/>
      <w:bookmarkStart w:id="1642" w:name="_Toc351203649"/>
      <w:bookmarkStart w:id="1643" w:name="_Toc1753556740"/>
      <w:bookmarkStart w:id="1644" w:name="_Toc1117922953"/>
      <w:r>
        <w:rPr>
          <w:rFonts w:hint="eastAsia" w:ascii="宋体" w:hAnsi="宋体" w:cs="宋体"/>
          <w:color w:val="auto"/>
          <w:highlight w:val="none"/>
        </w:rPr>
        <w:t>17. 不可抗力</w:t>
      </w:r>
      <w:bookmarkEnd w:id="1637"/>
      <w:bookmarkEnd w:id="1638"/>
      <w:bookmarkEnd w:id="1639"/>
      <w:bookmarkEnd w:id="1640"/>
      <w:bookmarkEnd w:id="1641"/>
      <w:bookmarkEnd w:id="1642"/>
      <w:bookmarkEnd w:id="1643"/>
      <w:bookmarkEnd w:id="1644"/>
      <w:r>
        <w:rPr>
          <w:rFonts w:hint="eastAsia" w:ascii="宋体" w:hAnsi="宋体" w:cs="宋体"/>
          <w:color w:val="auto"/>
          <w:highlight w:val="none"/>
        </w:rPr>
        <w:t xml:space="preserve"> </w:t>
      </w:r>
      <w:bookmarkEnd w:id="1621"/>
    </w:p>
    <w:p w14:paraId="0505DBC5">
      <w:pPr>
        <w:pStyle w:val="4"/>
        <w:rPr>
          <w:rFonts w:ascii="宋体" w:hAnsi="宋体" w:cs="宋体"/>
          <w:color w:val="auto"/>
          <w:highlight w:val="none"/>
        </w:rPr>
      </w:pPr>
      <w:bookmarkStart w:id="1645" w:name="_Toc666312941"/>
      <w:bookmarkStart w:id="1646" w:name="_Toc429574049"/>
      <w:bookmarkStart w:id="1647" w:name="_Toc78449859"/>
      <w:bookmarkStart w:id="1648" w:name="_Toc407135273"/>
      <w:bookmarkStart w:id="1649" w:name="_Toc389065335"/>
      <w:bookmarkStart w:id="1650" w:name="_Toc373227770"/>
      <w:bookmarkStart w:id="1651" w:name="_Toc373478417"/>
      <w:r>
        <w:rPr>
          <w:rFonts w:hint="eastAsia" w:ascii="宋体" w:hAnsi="宋体" w:cs="宋体"/>
          <w:color w:val="auto"/>
          <w:highlight w:val="none"/>
        </w:rPr>
        <w:t>17.1 不可抗力的确认</w:t>
      </w:r>
      <w:bookmarkEnd w:id="1645"/>
      <w:bookmarkEnd w:id="1646"/>
      <w:bookmarkEnd w:id="1647"/>
      <w:bookmarkEnd w:id="1648"/>
      <w:bookmarkEnd w:id="1649"/>
      <w:bookmarkEnd w:id="1650"/>
      <w:bookmarkEnd w:id="1651"/>
    </w:p>
    <w:p w14:paraId="535FCF19">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highlight w:val="none"/>
          <w:u w:val="single"/>
        </w:rPr>
        <w:t>① 6级以上的地震；②10级以上的持续3天的大风；③暴雨级以上的持续3天的大雨；④50年以上未发生过，持续3天的高温天气⑤50年以上未发生过，持续 3 天的严寒天气；⑥50年以上未发生过的洪水；⑦ 战争、战乱、空中巨型物坠落；⑧其他不可预见的不可抗力；⑨由于任何爆炸性核装置或其看 不见的任何核燃料或核燃料燃烧后的核废物、放射性有毒炸药，或其他有害物质所引起的放射性污染</w:t>
      </w:r>
      <w:r>
        <w:rPr>
          <w:rFonts w:hint="eastAsia" w:ascii="宋体" w:hAnsi="宋体" w:cs="宋体"/>
          <w:color w:val="auto"/>
          <w:highlight w:val="none"/>
        </w:rPr>
        <w:t>。</w:t>
      </w:r>
    </w:p>
    <w:p w14:paraId="2BB2251C">
      <w:pPr>
        <w:pStyle w:val="4"/>
        <w:rPr>
          <w:rFonts w:ascii="宋体" w:hAnsi="宋体" w:cs="宋体"/>
          <w:color w:val="auto"/>
          <w:highlight w:val="none"/>
        </w:rPr>
      </w:pPr>
      <w:bookmarkStart w:id="1652" w:name="_Toc407135274"/>
      <w:bookmarkStart w:id="1653" w:name="_Toc389065336"/>
      <w:bookmarkStart w:id="1654" w:name="_Toc373227771"/>
      <w:bookmarkStart w:id="1655" w:name="_Toc658729758"/>
      <w:bookmarkStart w:id="1656" w:name="_Toc78449860"/>
      <w:bookmarkStart w:id="1657" w:name="_Toc373478418"/>
      <w:bookmarkStart w:id="1658" w:name="_Toc1951449751"/>
      <w:r>
        <w:rPr>
          <w:rFonts w:hint="eastAsia" w:ascii="宋体" w:hAnsi="宋体" w:cs="宋体"/>
          <w:color w:val="auto"/>
          <w:highlight w:val="none"/>
        </w:rPr>
        <w:t>17.4 因不可抗力解除合同</w:t>
      </w:r>
      <w:bookmarkEnd w:id="1652"/>
      <w:bookmarkEnd w:id="1653"/>
      <w:bookmarkEnd w:id="1654"/>
      <w:bookmarkEnd w:id="1655"/>
      <w:bookmarkEnd w:id="1656"/>
      <w:bookmarkEnd w:id="1657"/>
      <w:bookmarkEnd w:id="1658"/>
    </w:p>
    <w:p w14:paraId="3A63148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  </w:t>
      </w:r>
      <w:r>
        <w:rPr>
          <w:rFonts w:hint="eastAsia" w:ascii="宋体" w:hAnsi="宋体" w:cs="宋体"/>
          <w:color w:val="auto"/>
          <w:highlight w:val="none"/>
        </w:rPr>
        <w:t>天内完成款项的支付。</w:t>
      </w:r>
    </w:p>
    <w:p w14:paraId="6AF6B37D">
      <w:pPr>
        <w:pStyle w:val="3"/>
        <w:rPr>
          <w:rFonts w:ascii="宋体" w:hAnsi="宋体" w:cs="宋体"/>
          <w:color w:val="auto"/>
          <w:highlight w:val="none"/>
        </w:rPr>
      </w:pPr>
      <w:bookmarkStart w:id="1659" w:name="_Toc351203650"/>
      <w:bookmarkStart w:id="1660" w:name="_Toc389065337"/>
      <w:bookmarkStart w:id="1661" w:name="_Toc78449861"/>
      <w:bookmarkStart w:id="1662" w:name="_Toc407135275"/>
      <w:bookmarkStart w:id="1663" w:name="_Toc612072600"/>
      <w:bookmarkStart w:id="1664" w:name="_Toc373478419"/>
      <w:bookmarkStart w:id="1665" w:name="_Toc56822299"/>
      <w:bookmarkStart w:id="1666" w:name="_Toc373227772"/>
      <w:r>
        <w:rPr>
          <w:rFonts w:hint="eastAsia" w:ascii="宋体" w:hAnsi="宋体" w:cs="宋体"/>
          <w:color w:val="auto"/>
          <w:highlight w:val="none"/>
        </w:rPr>
        <w:t>18. 保险</w:t>
      </w:r>
      <w:bookmarkEnd w:id="1659"/>
      <w:bookmarkEnd w:id="1660"/>
      <w:bookmarkEnd w:id="1661"/>
      <w:bookmarkEnd w:id="1662"/>
      <w:bookmarkEnd w:id="1663"/>
      <w:bookmarkEnd w:id="1664"/>
      <w:bookmarkEnd w:id="1665"/>
      <w:bookmarkEnd w:id="1666"/>
    </w:p>
    <w:bookmarkEnd w:id="1622"/>
    <w:p w14:paraId="7BA15921">
      <w:pPr>
        <w:pStyle w:val="4"/>
        <w:rPr>
          <w:rFonts w:ascii="宋体" w:hAnsi="宋体" w:cs="宋体"/>
          <w:color w:val="auto"/>
          <w:highlight w:val="none"/>
        </w:rPr>
      </w:pPr>
      <w:bookmarkStart w:id="1667" w:name="_Toc1446953302"/>
      <w:bookmarkStart w:id="1668" w:name="_Toc78449862"/>
      <w:bookmarkStart w:id="1669" w:name="_Toc373227773"/>
      <w:bookmarkStart w:id="1670" w:name="_Toc373478420"/>
      <w:bookmarkStart w:id="1671" w:name="_Toc389065338"/>
      <w:bookmarkStart w:id="1672" w:name="_Toc2075285517"/>
      <w:bookmarkStart w:id="1673" w:name="_Toc407135276"/>
      <w:r>
        <w:rPr>
          <w:rFonts w:hint="eastAsia" w:ascii="宋体" w:hAnsi="宋体" w:cs="宋体"/>
          <w:color w:val="auto"/>
          <w:highlight w:val="none"/>
        </w:rPr>
        <w:t>18.1 工程保险</w:t>
      </w:r>
      <w:bookmarkEnd w:id="1667"/>
      <w:bookmarkEnd w:id="1668"/>
      <w:bookmarkEnd w:id="1669"/>
      <w:bookmarkEnd w:id="1670"/>
      <w:bookmarkEnd w:id="1671"/>
      <w:bookmarkEnd w:id="1672"/>
      <w:bookmarkEnd w:id="1673"/>
    </w:p>
    <w:p w14:paraId="346B16D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highlight w:val="none"/>
          <w:u w:val="single"/>
        </w:rPr>
        <w:t>发包人可根据需要投保工程质量保险；对已投保的工程项目，承包人应积极配合保险公司开展相关工作</w:t>
      </w:r>
      <w:r>
        <w:rPr>
          <w:rFonts w:hint="eastAsia" w:ascii="宋体" w:hAnsi="宋体" w:cs="宋体"/>
          <w:color w:val="auto"/>
          <w:kern w:val="0"/>
          <w:highlight w:val="none"/>
        </w:rPr>
        <w:t>。</w:t>
      </w:r>
    </w:p>
    <w:p w14:paraId="57CC4A6C">
      <w:pPr>
        <w:pStyle w:val="4"/>
        <w:rPr>
          <w:rFonts w:ascii="宋体" w:hAnsi="宋体" w:cs="宋体"/>
          <w:color w:val="auto"/>
          <w:highlight w:val="none"/>
        </w:rPr>
      </w:pPr>
      <w:bookmarkStart w:id="1674" w:name="_Toc373227774"/>
      <w:bookmarkStart w:id="1675" w:name="_Toc78449863"/>
      <w:bookmarkStart w:id="1676" w:name="_Toc389065339"/>
      <w:bookmarkStart w:id="1677" w:name="_Toc373478421"/>
      <w:bookmarkStart w:id="1678" w:name="_Toc454766369"/>
      <w:bookmarkStart w:id="1679" w:name="_Toc2001387503"/>
      <w:bookmarkStart w:id="1680" w:name="_Toc407135277"/>
      <w:r>
        <w:rPr>
          <w:rFonts w:hint="eastAsia" w:ascii="宋体" w:hAnsi="宋体" w:cs="宋体"/>
          <w:color w:val="auto"/>
          <w:highlight w:val="none"/>
        </w:rPr>
        <w:t>18.3 其他保险</w:t>
      </w:r>
      <w:bookmarkEnd w:id="1674"/>
      <w:bookmarkEnd w:id="1675"/>
      <w:bookmarkEnd w:id="1676"/>
      <w:bookmarkEnd w:id="1677"/>
      <w:bookmarkEnd w:id="1678"/>
      <w:bookmarkEnd w:id="1679"/>
      <w:bookmarkEnd w:id="1680"/>
    </w:p>
    <w:p w14:paraId="673A35D5">
      <w:pPr>
        <w:spacing w:line="360" w:lineRule="auto"/>
        <w:ind w:firstLine="420" w:firstLineChars="200"/>
        <w:jc w:val="left"/>
        <w:rPr>
          <w:rFonts w:ascii="宋体" w:hAnsi="宋体" w:cs="宋体"/>
          <w:color w:val="auto"/>
          <w:highlight w:val="none"/>
        </w:rPr>
      </w:pPr>
      <w:bookmarkStart w:id="1681" w:name="_Toc2102614655"/>
      <w:bookmarkStart w:id="1682" w:name="_Toc407135278"/>
      <w:bookmarkStart w:id="1683" w:name="_Toc1114527236"/>
      <w:bookmarkStart w:id="1684" w:name="_Toc373478422"/>
      <w:bookmarkStart w:id="1685" w:name="_Toc373227775"/>
      <w:bookmarkStart w:id="1686" w:name="_Toc389065340"/>
      <w:bookmarkStart w:id="1687" w:name="_Toc78449864"/>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依据广西壮族自治区住房和城乡建设厅文件桂建发 (2023) 6 号文件规定，安全生产责任保险费按分部分项工程费及措施项目费（含单价及总价措施项目费）为计算基数乘以 0.2%计入暂估价，工程结算时，由发承包双方根据工程实际情况确认的安全生产责任保险费计入工程造价</w:t>
      </w:r>
      <w:r>
        <w:rPr>
          <w:rFonts w:hint="eastAsia" w:ascii="宋体" w:hAnsi="宋体" w:cs="宋体"/>
          <w:color w:val="auto"/>
          <w:kern w:val="0"/>
          <w:highlight w:val="none"/>
        </w:rPr>
        <w:t>。</w:t>
      </w:r>
    </w:p>
    <w:p w14:paraId="0CD64957">
      <w:pPr>
        <w:pStyle w:val="4"/>
        <w:rPr>
          <w:rFonts w:ascii="宋体" w:hAnsi="宋体" w:cs="宋体"/>
          <w:color w:val="auto"/>
          <w:highlight w:val="none"/>
        </w:rPr>
      </w:pPr>
      <w:r>
        <w:rPr>
          <w:rFonts w:hint="eastAsia" w:ascii="宋体" w:hAnsi="宋体" w:cs="宋体"/>
          <w:color w:val="auto"/>
          <w:highlight w:val="none"/>
        </w:rPr>
        <w:t>18.7 通知义务</w:t>
      </w:r>
      <w:bookmarkEnd w:id="1681"/>
      <w:bookmarkEnd w:id="1682"/>
      <w:bookmarkEnd w:id="1683"/>
      <w:bookmarkEnd w:id="1684"/>
      <w:bookmarkEnd w:id="1685"/>
      <w:bookmarkEnd w:id="1686"/>
      <w:bookmarkEnd w:id="1687"/>
    </w:p>
    <w:p w14:paraId="37DF3CB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关于变更保险合同时的通知义务的约定：</w:t>
      </w:r>
      <w:r>
        <w:rPr>
          <w:rFonts w:hint="eastAsia" w:ascii="宋体" w:hAnsi="宋体" w:cs="宋体"/>
          <w:color w:val="auto"/>
          <w:kern w:val="0"/>
          <w:highlight w:val="none"/>
          <w:u w:val="single"/>
        </w:rPr>
        <w:t>发包人变更除工伤保险之外的保险合同时，应事先征得承包人同意，并通知监理人；承包人变更除工伤保险之外的保险合同时，应事先征得发包人同意，并通知监理人。保险事故发生时，投保人应按照保险合同规定的条件和期限及时向保险人报告。发包人和承包人应当在知道保险事故发生后及时通知对方</w:t>
      </w:r>
      <w:r>
        <w:rPr>
          <w:rFonts w:hint="eastAsia" w:ascii="宋体" w:hAnsi="宋体" w:cs="宋体"/>
          <w:color w:val="auto"/>
          <w:highlight w:val="none"/>
        </w:rPr>
        <w:t>。</w:t>
      </w:r>
    </w:p>
    <w:bookmarkEnd w:id="1570"/>
    <w:bookmarkEnd w:id="1571"/>
    <w:bookmarkEnd w:id="1572"/>
    <w:bookmarkEnd w:id="1573"/>
    <w:bookmarkEnd w:id="1574"/>
    <w:bookmarkEnd w:id="1575"/>
    <w:bookmarkEnd w:id="1576"/>
    <w:bookmarkEnd w:id="1577"/>
    <w:bookmarkEnd w:id="1578"/>
    <w:bookmarkEnd w:id="1579"/>
    <w:bookmarkEnd w:id="1580"/>
    <w:bookmarkEnd w:id="1581"/>
    <w:p w14:paraId="36252C57">
      <w:pPr>
        <w:pStyle w:val="3"/>
        <w:rPr>
          <w:rFonts w:ascii="宋体" w:hAnsi="宋体" w:cs="宋体"/>
          <w:color w:val="auto"/>
          <w:highlight w:val="none"/>
        </w:rPr>
      </w:pPr>
      <w:bookmarkStart w:id="1688" w:name="_Toc373227776"/>
      <w:bookmarkStart w:id="1689" w:name="_Toc389065341"/>
      <w:bookmarkStart w:id="1690" w:name="_Toc1959910599"/>
      <w:bookmarkStart w:id="1691" w:name="_Toc1430568476"/>
      <w:bookmarkStart w:id="1692" w:name="_Toc78449865"/>
      <w:bookmarkStart w:id="1693" w:name="_Toc407135279"/>
      <w:bookmarkStart w:id="1694" w:name="_Toc373478423"/>
      <w:bookmarkStart w:id="1695" w:name="_Toc351203651"/>
      <w:r>
        <w:rPr>
          <w:rFonts w:hint="eastAsia" w:ascii="宋体" w:hAnsi="宋体" w:cs="宋体"/>
          <w:color w:val="auto"/>
          <w:highlight w:val="none"/>
        </w:rPr>
        <w:t>20. 争议解决</w:t>
      </w:r>
      <w:bookmarkEnd w:id="1688"/>
      <w:bookmarkEnd w:id="1689"/>
      <w:bookmarkEnd w:id="1690"/>
      <w:bookmarkEnd w:id="1691"/>
      <w:bookmarkEnd w:id="1692"/>
      <w:bookmarkEnd w:id="1693"/>
      <w:bookmarkEnd w:id="1694"/>
      <w:bookmarkEnd w:id="1695"/>
    </w:p>
    <w:bookmarkEnd w:id="1582"/>
    <w:bookmarkEnd w:id="1583"/>
    <w:p w14:paraId="64ABF99B">
      <w:pPr>
        <w:pStyle w:val="4"/>
        <w:rPr>
          <w:rFonts w:ascii="宋体" w:hAnsi="宋体" w:cs="宋体"/>
          <w:color w:val="auto"/>
          <w:highlight w:val="none"/>
        </w:rPr>
      </w:pPr>
      <w:bookmarkStart w:id="1696" w:name="_Toc78449866"/>
      <w:bookmarkStart w:id="1697" w:name="_Toc2138124043"/>
      <w:bookmarkStart w:id="1698" w:name="_Toc389065342"/>
      <w:bookmarkStart w:id="1699" w:name="_Toc1645489822"/>
      <w:bookmarkStart w:id="1700" w:name="_Toc373478424"/>
      <w:bookmarkStart w:id="1701" w:name="_Toc407135280"/>
      <w:bookmarkStart w:id="1702" w:name="_Toc373227777"/>
      <w:r>
        <w:rPr>
          <w:rFonts w:hint="eastAsia" w:ascii="宋体" w:hAnsi="宋体" w:cs="宋体"/>
          <w:color w:val="auto"/>
          <w:highlight w:val="none"/>
        </w:rPr>
        <w:t>20.3 争</w:t>
      </w:r>
      <w:bookmarkEnd w:id="1584"/>
      <w:r>
        <w:rPr>
          <w:rFonts w:hint="eastAsia" w:ascii="宋体" w:hAnsi="宋体" w:cs="宋体"/>
          <w:color w:val="auto"/>
          <w:highlight w:val="none"/>
        </w:rPr>
        <w:t>议评审</w:t>
      </w:r>
      <w:bookmarkEnd w:id="1696"/>
      <w:bookmarkEnd w:id="1697"/>
      <w:bookmarkEnd w:id="1698"/>
      <w:bookmarkEnd w:id="1699"/>
      <w:bookmarkEnd w:id="1700"/>
      <w:bookmarkEnd w:id="1701"/>
      <w:bookmarkEnd w:id="1702"/>
    </w:p>
    <w:p w14:paraId="43DA47C6">
      <w:pPr>
        <w:spacing w:line="360" w:lineRule="auto"/>
        <w:ind w:left="149" w:leftChars="71" w:firstLine="315" w:firstLineChars="150"/>
        <w:jc w:val="left"/>
        <w:rPr>
          <w:rFonts w:ascii="宋体" w:hAnsi="宋体" w:cs="宋体"/>
          <w:color w:val="auto"/>
          <w:highlight w:val="none"/>
          <w:u w:val="singl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0107FA6">
      <w:pPr>
        <w:spacing w:line="360" w:lineRule="auto"/>
        <w:ind w:firstLine="420" w:firstLineChars="200"/>
        <w:jc w:val="left"/>
        <w:outlineLvl w:val="0"/>
        <w:rPr>
          <w:rFonts w:ascii="宋体" w:hAnsi="宋体" w:cs="宋体"/>
          <w:color w:val="auto"/>
          <w:highlight w:val="none"/>
        </w:rPr>
      </w:pPr>
      <w:r>
        <w:rPr>
          <w:rFonts w:hint="eastAsia" w:ascii="宋体" w:hAnsi="宋体" w:cs="宋体"/>
          <w:color w:val="auto"/>
          <w:highlight w:val="none"/>
        </w:rPr>
        <w:t>20.3.1 争议评审小组的确定</w:t>
      </w:r>
    </w:p>
    <w:p w14:paraId="02A5A34F">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3703C2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8073DD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A29816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864FD4C">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20.3.2 争议评审小组的决定</w:t>
      </w:r>
    </w:p>
    <w:p w14:paraId="508281D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另行商定</w:t>
      </w:r>
      <w:r>
        <w:rPr>
          <w:rFonts w:hint="eastAsia" w:ascii="宋体" w:hAnsi="宋体" w:cs="宋体"/>
          <w:color w:val="auto"/>
          <w:highlight w:val="none"/>
        </w:rPr>
        <w:t>。</w:t>
      </w:r>
    </w:p>
    <w:p w14:paraId="1C54D475">
      <w:pPr>
        <w:pStyle w:val="4"/>
        <w:rPr>
          <w:rFonts w:ascii="宋体" w:hAnsi="宋体" w:cs="宋体"/>
          <w:color w:val="auto"/>
          <w:highlight w:val="none"/>
        </w:rPr>
      </w:pPr>
      <w:bookmarkStart w:id="1703" w:name="_Toc1156795721"/>
      <w:bookmarkStart w:id="1704" w:name="_Toc78449867"/>
      <w:bookmarkStart w:id="1705" w:name="_Toc373478425"/>
      <w:bookmarkStart w:id="1706" w:name="_Toc373227778"/>
      <w:bookmarkStart w:id="1707" w:name="_Toc389065343"/>
      <w:bookmarkStart w:id="1708" w:name="_Toc1456517022"/>
      <w:bookmarkStart w:id="1709" w:name="_Toc407135281"/>
      <w:r>
        <w:rPr>
          <w:rFonts w:hint="eastAsia" w:ascii="宋体" w:hAnsi="宋体" w:cs="宋体"/>
          <w:color w:val="auto"/>
          <w:highlight w:val="none"/>
        </w:rPr>
        <w:t>20.4 仲裁或诉讼</w:t>
      </w:r>
      <w:bookmarkEnd w:id="1585"/>
      <w:bookmarkEnd w:id="1703"/>
      <w:bookmarkEnd w:id="1704"/>
      <w:bookmarkEnd w:id="1705"/>
      <w:bookmarkEnd w:id="1706"/>
      <w:bookmarkEnd w:id="1707"/>
      <w:bookmarkEnd w:id="1708"/>
      <w:bookmarkEnd w:id="1709"/>
    </w:p>
    <w:p w14:paraId="255049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p w14:paraId="7FEC6EA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（1）提请</w:t>
      </w:r>
      <w:r>
        <w:rPr>
          <w:rFonts w:hint="eastAsia" w:ascii="宋体" w:hAnsi="宋体" w:cs="宋体"/>
          <w:color w:val="auto"/>
          <w:highlight w:val="none"/>
          <w:u w:val="single"/>
        </w:rPr>
        <w:t xml:space="preserve">   /  </w:t>
      </w:r>
      <w:r>
        <w:rPr>
          <w:rFonts w:hint="eastAsia" w:ascii="宋体" w:hAnsi="宋体" w:cs="宋体"/>
          <w:color w:val="auto"/>
          <w:highlight w:val="none"/>
        </w:rPr>
        <w:t>仲裁委员会按照该会仲裁规则进行仲裁，仲裁裁决是终局的，对合同双方均有约束力。</w:t>
      </w:r>
    </w:p>
    <w:p w14:paraId="51BFB47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横州市</w:t>
      </w:r>
      <w:r>
        <w:rPr>
          <w:rFonts w:hint="eastAsia" w:ascii="宋体" w:hAnsi="宋体" w:cs="宋体"/>
          <w:color w:val="auto"/>
          <w:highlight w:val="none"/>
        </w:rPr>
        <w:t>人民法院起诉。</w:t>
      </w:r>
      <w:bookmarkEnd w:id="1586"/>
      <w:bookmarkEnd w:id="1587"/>
      <w:bookmarkEnd w:id="1588"/>
      <w:bookmarkEnd w:id="1589"/>
      <w:bookmarkEnd w:id="1590"/>
      <w:bookmarkEnd w:id="1591"/>
    </w:p>
    <w:p w14:paraId="5907089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以上条款的违约金或罚款等，经监理和发包人确认签字后从本期工程款中扣除。</w:t>
      </w:r>
      <w:bookmarkStart w:id="1710" w:name="_Toc351203652"/>
    </w:p>
    <w:p w14:paraId="0A08FA1C">
      <w:pPr>
        <w:spacing w:line="360" w:lineRule="auto"/>
        <w:jc w:val="left"/>
        <w:rPr>
          <w:rFonts w:hint="eastAsia" w:ascii="宋体" w:hAnsi="宋体" w:cs="宋体"/>
          <w:b/>
          <w:bCs/>
          <w:color w:val="auto"/>
          <w:sz w:val="28"/>
          <w:szCs w:val="28"/>
          <w:highlight w:val="none"/>
        </w:rPr>
      </w:pPr>
    </w:p>
    <w:p w14:paraId="41F78310">
      <w:pPr>
        <w:spacing w:line="360" w:lineRule="auto"/>
        <w:jc w:val="left"/>
        <w:rPr>
          <w:rFonts w:hint="eastAsia" w:ascii="宋体" w:hAnsi="宋体" w:cs="宋体"/>
          <w:b/>
          <w:bCs/>
          <w:color w:val="auto"/>
          <w:sz w:val="28"/>
          <w:szCs w:val="28"/>
          <w:highlight w:val="none"/>
        </w:rPr>
      </w:pPr>
    </w:p>
    <w:p w14:paraId="03B8B964">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bookmarkEnd w:id="1710"/>
    </w:p>
    <w:p w14:paraId="3F77F1E7">
      <w:pPr>
        <w:spacing w:line="360" w:lineRule="auto"/>
        <w:jc w:val="left"/>
        <w:rPr>
          <w:rFonts w:ascii="宋体" w:hAnsi="宋体" w:cs="宋体"/>
          <w:color w:val="auto"/>
          <w:highlight w:val="none"/>
        </w:rPr>
      </w:pPr>
      <w:r>
        <w:rPr>
          <w:rFonts w:hint="eastAsia" w:ascii="宋体" w:hAnsi="宋体" w:cs="宋体"/>
          <w:color w:val="auto"/>
          <w:highlight w:val="none"/>
        </w:rPr>
        <w:t>附件1：承包人承揽工程项目一览表</w:t>
      </w:r>
    </w:p>
    <w:p w14:paraId="5D696188">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3EDD39AC">
      <w:pPr>
        <w:spacing w:line="360" w:lineRule="auto"/>
        <w:jc w:val="left"/>
        <w:rPr>
          <w:rFonts w:ascii="宋体" w:hAnsi="宋体" w:cs="宋体"/>
          <w:color w:val="auto"/>
          <w:highlight w:val="none"/>
        </w:rPr>
      </w:pPr>
      <w:r>
        <w:rPr>
          <w:rFonts w:hint="eastAsia" w:ascii="宋体" w:hAnsi="宋体" w:cs="宋体"/>
          <w:color w:val="auto"/>
          <w:highlight w:val="none"/>
        </w:rPr>
        <w:t>附件3：承包人用于本工程施工的机械设备表</w:t>
      </w:r>
    </w:p>
    <w:p w14:paraId="160A6E29">
      <w:pPr>
        <w:spacing w:line="360" w:lineRule="auto"/>
        <w:jc w:val="left"/>
        <w:rPr>
          <w:rFonts w:ascii="宋体" w:hAnsi="宋体" w:cs="宋体"/>
          <w:color w:val="auto"/>
          <w:highlight w:val="none"/>
        </w:rPr>
      </w:pPr>
      <w:r>
        <w:rPr>
          <w:rFonts w:hint="eastAsia" w:ascii="宋体" w:hAnsi="宋体" w:cs="宋体"/>
          <w:color w:val="auto"/>
          <w:highlight w:val="none"/>
        </w:rPr>
        <w:t>附件4：承包人主要施工管理人员表</w:t>
      </w:r>
    </w:p>
    <w:p w14:paraId="332A5C11">
      <w:pPr>
        <w:spacing w:line="360" w:lineRule="auto"/>
        <w:jc w:val="left"/>
        <w:rPr>
          <w:rFonts w:ascii="宋体" w:hAnsi="宋体" w:cs="宋体"/>
          <w:color w:val="auto"/>
          <w:highlight w:val="none"/>
        </w:rPr>
      </w:pPr>
      <w:r>
        <w:rPr>
          <w:rFonts w:hint="eastAsia" w:ascii="宋体" w:hAnsi="宋体" w:cs="宋体"/>
          <w:color w:val="auto"/>
          <w:highlight w:val="none"/>
        </w:rPr>
        <w:t xml:space="preserve">附件5：施工单位资质证书正本及营业执照正本（彩色扫描） </w:t>
      </w:r>
    </w:p>
    <w:p w14:paraId="40574627">
      <w:pPr>
        <w:spacing w:line="360" w:lineRule="auto"/>
        <w:jc w:val="left"/>
        <w:rPr>
          <w:rFonts w:ascii="宋体" w:hAnsi="宋体" w:cs="宋体"/>
          <w:color w:val="auto"/>
          <w:highlight w:val="none"/>
        </w:rPr>
      </w:pPr>
      <w:r>
        <w:rPr>
          <w:rFonts w:hint="eastAsia" w:ascii="宋体" w:hAnsi="宋体" w:cs="宋体"/>
          <w:color w:val="auto"/>
          <w:highlight w:val="none"/>
        </w:rPr>
        <w:t>附件6：中标通知书</w:t>
      </w:r>
    </w:p>
    <w:p w14:paraId="5175ABA6">
      <w:pPr>
        <w:spacing w:before="156" w:beforeLines="50" w:after="156" w:afterLines="50" w:line="440" w:lineRule="exact"/>
        <w:jc w:val="left"/>
        <w:rPr>
          <w:rFonts w:ascii="宋体" w:hAnsi="宋体" w:cs="宋体"/>
          <w:color w:val="auto"/>
          <w:sz w:val="30"/>
          <w:szCs w:val="30"/>
          <w:highlight w:val="none"/>
        </w:rPr>
      </w:pPr>
    </w:p>
    <w:p w14:paraId="3A1B53C0">
      <w:pPr>
        <w:spacing w:before="156" w:beforeLines="50" w:after="156" w:afterLines="50" w:line="440" w:lineRule="exact"/>
        <w:jc w:val="left"/>
        <w:rPr>
          <w:rFonts w:ascii="宋体" w:hAnsi="宋体" w:cs="宋体"/>
          <w:color w:val="auto"/>
          <w:sz w:val="30"/>
          <w:szCs w:val="30"/>
          <w:highlight w:val="none"/>
        </w:rPr>
      </w:pPr>
    </w:p>
    <w:p w14:paraId="38DE24A7">
      <w:pPr>
        <w:spacing w:before="156" w:beforeLines="50" w:after="156" w:afterLines="50" w:line="440" w:lineRule="exact"/>
        <w:jc w:val="left"/>
        <w:rPr>
          <w:rFonts w:ascii="宋体" w:hAnsi="宋体" w:cs="宋体"/>
          <w:color w:val="auto"/>
          <w:sz w:val="30"/>
          <w:szCs w:val="30"/>
          <w:highlight w:val="none"/>
        </w:rPr>
      </w:pPr>
    </w:p>
    <w:p w14:paraId="67EF4C05">
      <w:pPr>
        <w:spacing w:before="156" w:beforeLines="50" w:after="156" w:afterLines="50" w:line="440" w:lineRule="exact"/>
        <w:jc w:val="left"/>
        <w:rPr>
          <w:rFonts w:ascii="宋体" w:hAnsi="宋体" w:cs="宋体"/>
          <w:color w:val="auto"/>
          <w:sz w:val="30"/>
          <w:szCs w:val="30"/>
          <w:highlight w:val="none"/>
        </w:rPr>
      </w:pPr>
    </w:p>
    <w:p w14:paraId="142AB577">
      <w:pPr>
        <w:spacing w:before="156" w:beforeLines="50" w:after="156" w:afterLines="50" w:line="440" w:lineRule="exact"/>
        <w:jc w:val="left"/>
        <w:rPr>
          <w:rFonts w:ascii="宋体" w:hAnsi="宋体" w:cs="宋体"/>
          <w:color w:val="auto"/>
          <w:sz w:val="30"/>
          <w:szCs w:val="30"/>
          <w:highlight w:val="none"/>
        </w:rPr>
      </w:pPr>
    </w:p>
    <w:p w14:paraId="04236B59">
      <w:pPr>
        <w:spacing w:before="156" w:beforeLines="50" w:after="156" w:afterLines="50" w:line="440" w:lineRule="exact"/>
        <w:jc w:val="left"/>
        <w:rPr>
          <w:rFonts w:ascii="宋体" w:hAnsi="宋体" w:cs="宋体"/>
          <w:color w:val="auto"/>
          <w:sz w:val="30"/>
          <w:szCs w:val="30"/>
          <w:highlight w:val="none"/>
        </w:rPr>
      </w:pPr>
    </w:p>
    <w:p w14:paraId="40718343">
      <w:pPr>
        <w:spacing w:before="156" w:beforeLines="50" w:after="156" w:afterLines="50" w:line="440" w:lineRule="exact"/>
        <w:jc w:val="left"/>
        <w:rPr>
          <w:rFonts w:ascii="宋体" w:hAnsi="宋体" w:cs="宋体"/>
          <w:color w:val="auto"/>
          <w:sz w:val="30"/>
          <w:szCs w:val="30"/>
          <w:highlight w:val="none"/>
        </w:rPr>
      </w:pPr>
    </w:p>
    <w:p w14:paraId="4328FAA4">
      <w:pPr>
        <w:spacing w:before="156" w:beforeLines="50" w:after="156" w:afterLines="50" w:line="440" w:lineRule="exact"/>
        <w:jc w:val="left"/>
        <w:rPr>
          <w:rFonts w:ascii="宋体" w:hAnsi="宋体" w:cs="宋体"/>
          <w:color w:val="auto"/>
          <w:sz w:val="30"/>
          <w:szCs w:val="30"/>
          <w:highlight w:val="none"/>
        </w:rPr>
      </w:pPr>
      <w:r>
        <w:rPr>
          <w:rFonts w:hint="eastAsia" w:ascii="宋体" w:hAnsi="宋体" w:cs="宋体"/>
          <w:color w:val="auto"/>
          <w:sz w:val="30"/>
          <w:szCs w:val="30"/>
          <w:highlight w:val="none"/>
        </w:rPr>
        <w:t>附件1：</w:t>
      </w:r>
    </w:p>
    <w:p w14:paraId="14E151AC">
      <w:pPr>
        <w:spacing w:before="156" w:beforeLines="50" w:after="156" w:afterLines="50" w:line="44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承包人承揽工程项目一览表</w:t>
      </w:r>
    </w:p>
    <w:tbl>
      <w:tblPr>
        <w:tblStyle w:val="24"/>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4"/>
        <w:gridCol w:w="977"/>
        <w:gridCol w:w="1455"/>
        <w:gridCol w:w="870"/>
        <w:gridCol w:w="930"/>
        <w:gridCol w:w="847"/>
        <w:gridCol w:w="990"/>
        <w:gridCol w:w="1020"/>
        <w:gridCol w:w="870"/>
        <w:gridCol w:w="795"/>
      </w:tblGrid>
      <w:tr w14:paraId="0E6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34" w:type="dxa"/>
            <w:vAlign w:val="center"/>
          </w:tcPr>
          <w:p w14:paraId="1F037E7D">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单位工程名称</w:t>
            </w:r>
          </w:p>
        </w:tc>
        <w:tc>
          <w:tcPr>
            <w:tcW w:w="977" w:type="dxa"/>
            <w:vAlign w:val="center"/>
          </w:tcPr>
          <w:p w14:paraId="58D125AE">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建设规模</w:t>
            </w:r>
          </w:p>
        </w:tc>
        <w:tc>
          <w:tcPr>
            <w:tcW w:w="1455" w:type="dxa"/>
            <w:vAlign w:val="center"/>
          </w:tcPr>
          <w:p w14:paraId="675A65C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建筑面积(平方米)</w:t>
            </w:r>
          </w:p>
        </w:tc>
        <w:tc>
          <w:tcPr>
            <w:tcW w:w="870" w:type="dxa"/>
            <w:vAlign w:val="center"/>
          </w:tcPr>
          <w:p w14:paraId="0A770B2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结构形式</w:t>
            </w:r>
          </w:p>
        </w:tc>
        <w:tc>
          <w:tcPr>
            <w:tcW w:w="930" w:type="dxa"/>
            <w:vAlign w:val="center"/>
          </w:tcPr>
          <w:p w14:paraId="5DAAC054">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层数</w:t>
            </w:r>
          </w:p>
        </w:tc>
        <w:tc>
          <w:tcPr>
            <w:tcW w:w="847" w:type="dxa"/>
            <w:vAlign w:val="center"/>
          </w:tcPr>
          <w:p w14:paraId="5C5791F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生产能力</w:t>
            </w:r>
          </w:p>
        </w:tc>
        <w:tc>
          <w:tcPr>
            <w:tcW w:w="990" w:type="dxa"/>
            <w:vAlign w:val="center"/>
          </w:tcPr>
          <w:p w14:paraId="52CDAAFC">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设备安装内容</w:t>
            </w:r>
          </w:p>
        </w:tc>
        <w:tc>
          <w:tcPr>
            <w:tcW w:w="1020" w:type="dxa"/>
            <w:vAlign w:val="center"/>
          </w:tcPr>
          <w:p w14:paraId="6F7B76F8">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合同价格（元）</w:t>
            </w:r>
          </w:p>
        </w:tc>
        <w:tc>
          <w:tcPr>
            <w:tcW w:w="870" w:type="dxa"/>
            <w:vAlign w:val="center"/>
          </w:tcPr>
          <w:p w14:paraId="54633A1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开工日期</w:t>
            </w:r>
          </w:p>
        </w:tc>
        <w:tc>
          <w:tcPr>
            <w:tcW w:w="795" w:type="dxa"/>
            <w:vAlign w:val="center"/>
          </w:tcPr>
          <w:p w14:paraId="39E33CBF">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竣工日期</w:t>
            </w:r>
          </w:p>
        </w:tc>
      </w:tr>
      <w:tr w14:paraId="646D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4" w:type="dxa"/>
            <w:vAlign w:val="center"/>
          </w:tcPr>
          <w:p w14:paraId="3AB548F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977" w:type="dxa"/>
            <w:vAlign w:val="center"/>
          </w:tcPr>
          <w:p w14:paraId="0BA1151E">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1455" w:type="dxa"/>
            <w:vAlign w:val="center"/>
          </w:tcPr>
          <w:p w14:paraId="28B89A9F">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870" w:type="dxa"/>
            <w:vAlign w:val="center"/>
          </w:tcPr>
          <w:p w14:paraId="0FA17393">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930" w:type="dxa"/>
            <w:vAlign w:val="center"/>
          </w:tcPr>
          <w:p w14:paraId="1BA8E7C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847" w:type="dxa"/>
            <w:vAlign w:val="center"/>
          </w:tcPr>
          <w:p w14:paraId="6C7885FA">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990" w:type="dxa"/>
            <w:vAlign w:val="center"/>
          </w:tcPr>
          <w:p w14:paraId="3F05AD2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1020" w:type="dxa"/>
            <w:vAlign w:val="center"/>
          </w:tcPr>
          <w:p w14:paraId="2025270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870" w:type="dxa"/>
            <w:vAlign w:val="center"/>
          </w:tcPr>
          <w:p w14:paraId="5CE62871">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795" w:type="dxa"/>
            <w:vAlign w:val="center"/>
          </w:tcPr>
          <w:p w14:paraId="63D7B462">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r>
      <w:tr w14:paraId="7CE7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4" w:type="dxa"/>
            <w:vAlign w:val="center"/>
          </w:tcPr>
          <w:p w14:paraId="547897A7">
            <w:pPr>
              <w:pStyle w:val="11"/>
              <w:keepNext/>
              <w:spacing w:after="0" w:line="440" w:lineRule="exact"/>
              <w:ind w:left="63" w:right="63"/>
              <w:rPr>
                <w:rFonts w:ascii="宋体" w:hAnsi="宋体" w:cs="宋体"/>
                <w:color w:val="auto"/>
                <w:sz w:val="24"/>
                <w:highlight w:val="none"/>
              </w:rPr>
            </w:pPr>
          </w:p>
        </w:tc>
        <w:tc>
          <w:tcPr>
            <w:tcW w:w="977" w:type="dxa"/>
            <w:vAlign w:val="center"/>
          </w:tcPr>
          <w:p w14:paraId="224FBC2A">
            <w:pPr>
              <w:pStyle w:val="11"/>
              <w:keepNext/>
              <w:spacing w:after="0" w:line="440" w:lineRule="exact"/>
              <w:ind w:left="63" w:right="63"/>
              <w:rPr>
                <w:rFonts w:ascii="宋体" w:hAnsi="宋体" w:cs="宋体"/>
                <w:color w:val="auto"/>
                <w:sz w:val="24"/>
                <w:highlight w:val="none"/>
              </w:rPr>
            </w:pPr>
          </w:p>
        </w:tc>
        <w:tc>
          <w:tcPr>
            <w:tcW w:w="1455" w:type="dxa"/>
            <w:vAlign w:val="center"/>
          </w:tcPr>
          <w:p w14:paraId="79DCC78A">
            <w:pPr>
              <w:pStyle w:val="11"/>
              <w:keepNext/>
              <w:spacing w:after="0" w:line="440" w:lineRule="exact"/>
              <w:ind w:left="63" w:right="63"/>
              <w:rPr>
                <w:rFonts w:ascii="宋体" w:hAnsi="宋体" w:cs="宋体"/>
                <w:color w:val="auto"/>
                <w:sz w:val="24"/>
                <w:highlight w:val="none"/>
              </w:rPr>
            </w:pPr>
          </w:p>
        </w:tc>
        <w:tc>
          <w:tcPr>
            <w:tcW w:w="870" w:type="dxa"/>
            <w:vAlign w:val="center"/>
          </w:tcPr>
          <w:p w14:paraId="2DDE270D">
            <w:pPr>
              <w:pStyle w:val="11"/>
              <w:keepNext/>
              <w:spacing w:after="0" w:line="440" w:lineRule="exact"/>
              <w:ind w:left="63" w:right="63"/>
              <w:rPr>
                <w:rFonts w:ascii="宋体" w:hAnsi="宋体" w:cs="宋体"/>
                <w:color w:val="auto"/>
                <w:sz w:val="24"/>
                <w:highlight w:val="none"/>
              </w:rPr>
            </w:pPr>
          </w:p>
        </w:tc>
        <w:tc>
          <w:tcPr>
            <w:tcW w:w="930" w:type="dxa"/>
            <w:vAlign w:val="center"/>
          </w:tcPr>
          <w:p w14:paraId="16563D2C">
            <w:pPr>
              <w:pStyle w:val="11"/>
              <w:keepNext/>
              <w:spacing w:after="0" w:line="440" w:lineRule="exact"/>
              <w:ind w:left="63" w:right="63"/>
              <w:rPr>
                <w:rFonts w:ascii="宋体" w:hAnsi="宋体" w:cs="宋体"/>
                <w:color w:val="auto"/>
                <w:sz w:val="24"/>
                <w:highlight w:val="none"/>
              </w:rPr>
            </w:pPr>
          </w:p>
        </w:tc>
        <w:tc>
          <w:tcPr>
            <w:tcW w:w="847" w:type="dxa"/>
            <w:vAlign w:val="center"/>
          </w:tcPr>
          <w:p w14:paraId="2D593A07">
            <w:pPr>
              <w:pStyle w:val="11"/>
              <w:keepNext/>
              <w:spacing w:after="0" w:line="440" w:lineRule="exact"/>
              <w:ind w:left="63" w:right="63"/>
              <w:rPr>
                <w:rFonts w:ascii="宋体" w:hAnsi="宋体" w:cs="宋体"/>
                <w:color w:val="auto"/>
                <w:sz w:val="24"/>
                <w:highlight w:val="none"/>
              </w:rPr>
            </w:pPr>
          </w:p>
        </w:tc>
        <w:tc>
          <w:tcPr>
            <w:tcW w:w="990" w:type="dxa"/>
            <w:vAlign w:val="center"/>
          </w:tcPr>
          <w:p w14:paraId="4C03DFBF">
            <w:pPr>
              <w:pStyle w:val="11"/>
              <w:keepNext/>
              <w:spacing w:after="0" w:line="440" w:lineRule="exact"/>
              <w:ind w:left="63" w:right="63"/>
              <w:rPr>
                <w:rFonts w:ascii="宋体" w:hAnsi="宋体" w:cs="宋体"/>
                <w:color w:val="auto"/>
                <w:sz w:val="24"/>
                <w:highlight w:val="none"/>
              </w:rPr>
            </w:pPr>
          </w:p>
        </w:tc>
        <w:tc>
          <w:tcPr>
            <w:tcW w:w="1020" w:type="dxa"/>
            <w:vAlign w:val="center"/>
          </w:tcPr>
          <w:p w14:paraId="06E2FA1E">
            <w:pPr>
              <w:pStyle w:val="11"/>
              <w:keepNext/>
              <w:spacing w:after="0" w:line="440" w:lineRule="exact"/>
              <w:ind w:left="63" w:right="63"/>
              <w:rPr>
                <w:rFonts w:ascii="宋体" w:hAnsi="宋体" w:cs="宋体"/>
                <w:color w:val="auto"/>
                <w:sz w:val="24"/>
                <w:highlight w:val="none"/>
              </w:rPr>
            </w:pPr>
          </w:p>
        </w:tc>
        <w:tc>
          <w:tcPr>
            <w:tcW w:w="870" w:type="dxa"/>
            <w:vAlign w:val="center"/>
          </w:tcPr>
          <w:p w14:paraId="26F17A27">
            <w:pPr>
              <w:pStyle w:val="11"/>
              <w:keepNext/>
              <w:spacing w:after="0" w:line="440" w:lineRule="exact"/>
              <w:ind w:left="63" w:right="63"/>
              <w:rPr>
                <w:rFonts w:ascii="宋体" w:hAnsi="宋体" w:cs="宋体"/>
                <w:color w:val="auto"/>
                <w:sz w:val="24"/>
                <w:highlight w:val="none"/>
              </w:rPr>
            </w:pPr>
          </w:p>
        </w:tc>
        <w:tc>
          <w:tcPr>
            <w:tcW w:w="795" w:type="dxa"/>
            <w:vAlign w:val="center"/>
          </w:tcPr>
          <w:p w14:paraId="58AEF70E">
            <w:pPr>
              <w:pStyle w:val="11"/>
              <w:keepNext/>
              <w:spacing w:after="0" w:line="440" w:lineRule="exact"/>
              <w:ind w:left="63" w:right="63"/>
              <w:rPr>
                <w:rFonts w:ascii="宋体" w:hAnsi="宋体" w:cs="宋体"/>
                <w:color w:val="auto"/>
                <w:sz w:val="24"/>
                <w:highlight w:val="none"/>
              </w:rPr>
            </w:pPr>
          </w:p>
        </w:tc>
      </w:tr>
      <w:tr w14:paraId="120B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4" w:type="dxa"/>
            <w:vAlign w:val="center"/>
          </w:tcPr>
          <w:p w14:paraId="2BCE7595">
            <w:pPr>
              <w:pStyle w:val="11"/>
              <w:keepNext/>
              <w:spacing w:after="0" w:line="440" w:lineRule="exact"/>
              <w:ind w:left="63" w:right="63"/>
              <w:rPr>
                <w:rFonts w:ascii="宋体" w:hAnsi="宋体" w:cs="宋体"/>
                <w:color w:val="auto"/>
                <w:sz w:val="24"/>
                <w:highlight w:val="none"/>
              </w:rPr>
            </w:pPr>
          </w:p>
        </w:tc>
        <w:tc>
          <w:tcPr>
            <w:tcW w:w="977" w:type="dxa"/>
            <w:vAlign w:val="center"/>
          </w:tcPr>
          <w:p w14:paraId="4197E8BC">
            <w:pPr>
              <w:pStyle w:val="11"/>
              <w:keepNext/>
              <w:spacing w:after="0" w:line="440" w:lineRule="exact"/>
              <w:ind w:left="63" w:right="63"/>
              <w:rPr>
                <w:rFonts w:ascii="宋体" w:hAnsi="宋体" w:cs="宋体"/>
                <w:color w:val="auto"/>
                <w:sz w:val="24"/>
                <w:highlight w:val="none"/>
              </w:rPr>
            </w:pPr>
          </w:p>
        </w:tc>
        <w:tc>
          <w:tcPr>
            <w:tcW w:w="1455" w:type="dxa"/>
            <w:vAlign w:val="center"/>
          </w:tcPr>
          <w:p w14:paraId="47F3E51D">
            <w:pPr>
              <w:pStyle w:val="11"/>
              <w:keepNext/>
              <w:spacing w:after="0" w:line="440" w:lineRule="exact"/>
              <w:ind w:left="63" w:right="63"/>
              <w:rPr>
                <w:rFonts w:ascii="宋体" w:hAnsi="宋体" w:cs="宋体"/>
                <w:color w:val="auto"/>
                <w:sz w:val="24"/>
                <w:highlight w:val="none"/>
              </w:rPr>
            </w:pPr>
          </w:p>
        </w:tc>
        <w:tc>
          <w:tcPr>
            <w:tcW w:w="870" w:type="dxa"/>
            <w:vAlign w:val="center"/>
          </w:tcPr>
          <w:p w14:paraId="62589F13">
            <w:pPr>
              <w:pStyle w:val="11"/>
              <w:keepNext/>
              <w:spacing w:after="0" w:line="440" w:lineRule="exact"/>
              <w:ind w:left="63" w:right="63"/>
              <w:rPr>
                <w:rFonts w:ascii="宋体" w:hAnsi="宋体" w:cs="宋体"/>
                <w:color w:val="auto"/>
                <w:sz w:val="24"/>
                <w:highlight w:val="none"/>
              </w:rPr>
            </w:pPr>
          </w:p>
        </w:tc>
        <w:tc>
          <w:tcPr>
            <w:tcW w:w="930" w:type="dxa"/>
            <w:vAlign w:val="center"/>
          </w:tcPr>
          <w:p w14:paraId="534D80A9">
            <w:pPr>
              <w:pStyle w:val="11"/>
              <w:keepNext/>
              <w:spacing w:after="0" w:line="440" w:lineRule="exact"/>
              <w:ind w:left="63" w:right="63"/>
              <w:rPr>
                <w:rFonts w:ascii="宋体" w:hAnsi="宋体" w:cs="宋体"/>
                <w:color w:val="auto"/>
                <w:sz w:val="24"/>
                <w:highlight w:val="none"/>
              </w:rPr>
            </w:pPr>
          </w:p>
        </w:tc>
        <w:tc>
          <w:tcPr>
            <w:tcW w:w="847" w:type="dxa"/>
            <w:vAlign w:val="center"/>
          </w:tcPr>
          <w:p w14:paraId="5D75FEEE">
            <w:pPr>
              <w:pStyle w:val="11"/>
              <w:keepNext/>
              <w:spacing w:after="0" w:line="440" w:lineRule="exact"/>
              <w:ind w:left="63" w:right="63"/>
              <w:rPr>
                <w:rFonts w:ascii="宋体" w:hAnsi="宋体" w:cs="宋体"/>
                <w:color w:val="auto"/>
                <w:sz w:val="24"/>
                <w:highlight w:val="none"/>
              </w:rPr>
            </w:pPr>
          </w:p>
        </w:tc>
        <w:tc>
          <w:tcPr>
            <w:tcW w:w="990" w:type="dxa"/>
            <w:vAlign w:val="center"/>
          </w:tcPr>
          <w:p w14:paraId="0C75DF6E">
            <w:pPr>
              <w:pStyle w:val="11"/>
              <w:keepNext/>
              <w:spacing w:after="0" w:line="440" w:lineRule="exact"/>
              <w:ind w:left="63" w:right="63"/>
              <w:rPr>
                <w:rFonts w:ascii="宋体" w:hAnsi="宋体" w:cs="宋体"/>
                <w:color w:val="auto"/>
                <w:sz w:val="24"/>
                <w:highlight w:val="none"/>
              </w:rPr>
            </w:pPr>
          </w:p>
        </w:tc>
        <w:tc>
          <w:tcPr>
            <w:tcW w:w="1020" w:type="dxa"/>
            <w:vAlign w:val="center"/>
          </w:tcPr>
          <w:p w14:paraId="02AD9892">
            <w:pPr>
              <w:pStyle w:val="11"/>
              <w:keepNext/>
              <w:spacing w:after="0" w:line="440" w:lineRule="exact"/>
              <w:ind w:left="63" w:right="63"/>
              <w:rPr>
                <w:rFonts w:ascii="宋体" w:hAnsi="宋体" w:cs="宋体"/>
                <w:color w:val="auto"/>
                <w:sz w:val="24"/>
                <w:highlight w:val="none"/>
              </w:rPr>
            </w:pPr>
          </w:p>
        </w:tc>
        <w:tc>
          <w:tcPr>
            <w:tcW w:w="870" w:type="dxa"/>
            <w:vAlign w:val="center"/>
          </w:tcPr>
          <w:p w14:paraId="1DDFC68C">
            <w:pPr>
              <w:pStyle w:val="11"/>
              <w:keepNext/>
              <w:spacing w:after="0" w:line="440" w:lineRule="exact"/>
              <w:ind w:left="63" w:right="63"/>
              <w:rPr>
                <w:rFonts w:ascii="宋体" w:hAnsi="宋体" w:cs="宋体"/>
                <w:color w:val="auto"/>
                <w:sz w:val="24"/>
                <w:highlight w:val="none"/>
              </w:rPr>
            </w:pPr>
          </w:p>
        </w:tc>
        <w:tc>
          <w:tcPr>
            <w:tcW w:w="795" w:type="dxa"/>
            <w:vAlign w:val="center"/>
          </w:tcPr>
          <w:p w14:paraId="68391628">
            <w:pPr>
              <w:pStyle w:val="11"/>
              <w:keepNext/>
              <w:spacing w:after="0" w:line="440" w:lineRule="exact"/>
              <w:ind w:left="63" w:right="63"/>
              <w:rPr>
                <w:rFonts w:ascii="宋体" w:hAnsi="宋体" w:cs="宋体"/>
                <w:color w:val="auto"/>
                <w:sz w:val="24"/>
                <w:highlight w:val="none"/>
              </w:rPr>
            </w:pPr>
          </w:p>
        </w:tc>
      </w:tr>
    </w:tbl>
    <w:p w14:paraId="009BF17B">
      <w:pPr>
        <w:spacing w:line="360" w:lineRule="auto"/>
        <w:rPr>
          <w:rFonts w:ascii="宋体" w:hAnsi="宋体" w:cs="宋体"/>
          <w:color w:val="auto"/>
          <w:highlight w:val="none"/>
        </w:rPr>
        <w:sectPr>
          <w:footerReference r:id="rId7" w:type="default"/>
          <w:pgSz w:w="11906" w:h="16838"/>
          <w:pgMar w:top="1440" w:right="1080" w:bottom="1440" w:left="1080" w:header="851" w:footer="992" w:gutter="0"/>
          <w:pgNumType w:fmt="decimal"/>
          <w:cols w:space="720" w:num="1"/>
          <w:docGrid w:type="lines" w:linePitch="312" w:charSpace="0"/>
        </w:sectPr>
      </w:pPr>
    </w:p>
    <w:p w14:paraId="729E5A33">
      <w:pPr>
        <w:spacing w:line="360" w:lineRule="auto"/>
        <w:rPr>
          <w:rFonts w:ascii="宋体" w:hAnsi="宋体" w:cs="宋体"/>
          <w:color w:val="auto"/>
          <w:highlight w:val="none"/>
        </w:rPr>
      </w:pPr>
    </w:p>
    <w:p w14:paraId="093DAC90">
      <w:pPr>
        <w:spacing w:line="440" w:lineRule="exact"/>
        <w:rPr>
          <w:rFonts w:ascii="宋体" w:hAnsi="宋体" w:cs="宋体"/>
          <w:color w:val="auto"/>
          <w:sz w:val="30"/>
          <w:szCs w:val="30"/>
          <w:highlight w:val="none"/>
        </w:rPr>
      </w:pPr>
      <w:r>
        <w:rPr>
          <w:rFonts w:hint="eastAsia" w:ascii="宋体" w:hAnsi="宋体" w:cs="宋体"/>
          <w:color w:val="auto"/>
          <w:sz w:val="30"/>
          <w:szCs w:val="30"/>
          <w:highlight w:val="none"/>
        </w:rPr>
        <w:t>附件2：</w:t>
      </w:r>
    </w:p>
    <w:p w14:paraId="32EFB96C">
      <w:pPr>
        <w:spacing w:before="156" w:beforeLines="50" w:after="156" w:afterLines="50" w:line="44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工程质量保修书（房屋建筑工程）</w:t>
      </w:r>
    </w:p>
    <w:p w14:paraId="665215D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发包人（全称）：</w:t>
      </w:r>
      <w:r>
        <w:rPr>
          <w:rFonts w:hint="eastAsia" w:ascii="宋体" w:hAnsi="宋体" w:cs="宋体"/>
          <w:color w:val="auto"/>
          <w:highlight w:val="none"/>
          <w:u w:val="single"/>
        </w:rPr>
        <w:t xml:space="preserve"> </w:t>
      </w:r>
      <w:r>
        <w:rPr>
          <w:rFonts w:hint="eastAsia" w:ascii="宋体" w:hAnsi="宋体" w:cs="宋体"/>
          <w:color w:val="auto"/>
          <w:spacing w:val="-1"/>
          <w:highlight w:val="none"/>
          <w:u w:val="single"/>
        </w:rPr>
        <w:t xml:space="preserve">横州市第二高级中学 </w:t>
      </w:r>
      <w:r>
        <w:rPr>
          <w:rFonts w:hint="eastAsia" w:ascii="宋体" w:hAnsi="宋体" w:cs="宋体"/>
          <w:color w:val="auto"/>
          <w:highlight w:val="none"/>
          <w:u w:val="single"/>
        </w:rPr>
        <w:t xml:space="preserve"> </w:t>
      </w:r>
    </w:p>
    <w:p w14:paraId="078B7C9D">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广西XXXX程有限公司 </w:t>
      </w:r>
      <w:r>
        <w:rPr>
          <w:rFonts w:hint="eastAsia" w:ascii="宋体" w:hAnsi="宋体" w:cs="宋体"/>
          <w:color w:val="auto"/>
          <w:highlight w:val="none"/>
        </w:rPr>
        <w:t xml:space="preserve"> </w:t>
      </w:r>
    </w:p>
    <w:p w14:paraId="2E2D51B5">
      <w:pPr>
        <w:spacing w:line="440" w:lineRule="exact"/>
        <w:rPr>
          <w:rFonts w:ascii="宋体" w:hAnsi="宋体" w:cs="宋体"/>
          <w:color w:val="auto"/>
          <w:highlight w:val="none"/>
        </w:rPr>
      </w:pPr>
    </w:p>
    <w:p w14:paraId="4C7941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hint="eastAsia" w:ascii="宋体" w:hAnsi="宋体" w:cs="宋体"/>
          <w:color w:val="auto"/>
          <w:highlight w:val="none"/>
          <w:u w:val="single"/>
        </w:rPr>
        <w:t xml:space="preserve"> 横州市xxxx项目</w:t>
      </w:r>
      <w:r>
        <w:rPr>
          <w:rFonts w:hint="eastAsia" w:ascii="宋体" w:hAnsi="宋体" w:cs="宋体"/>
          <w:color w:val="auto"/>
          <w:highlight w:val="none"/>
        </w:rPr>
        <w:t>（工程全称）签订工程质量保修书。</w:t>
      </w:r>
    </w:p>
    <w:p w14:paraId="489EEC7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一、工程质量保修范围和内容</w:t>
      </w:r>
    </w:p>
    <w:p w14:paraId="245BEB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0C037228">
      <w:pPr>
        <w:spacing w:line="360" w:lineRule="auto"/>
        <w:ind w:firstLine="420"/>
        <w:rPr>
          <w:rFonts w:ascii="宋体" w:hAnsi="宋体" w:cs="宋体"/>
          <w:color w:val="auto"/>
          <w:highlight w:val="none"/>
        </w:rPr>
      </w:pPr>
      <w:r>
        <w:rPr>
          <w:rFonts w:hint="eastAsia" w:ascii="宋体"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highlight w:val="none"/>
          <w:u w:val="single"/>
        </w:rPr>
        <w:t>无</w:t>
      </w:r>
      <w:r>
        <w:rPr>
          <w:rFonts w:hint="eastAsia" w:ascii="宋体" w:hAnsi="宋体" w:cs="宋体"/>
          <w:color w:val="auto"/>
          <w:highlight w:val="none"/>
        </w:rPr>
        <w:t>。</w:t>
      </w:r>
    </w:p>
    <w:p w14:paraId="14837FB7">
      <w:pPr>
        <w:spacing w:line="360" w:lineRule="auto"/>
        <w:ind w:firstLine="420"/>
        <w:rPr>
          <w:rFonts w:ascii="宋体" w:hAnsi="宋体" w:cs="宋体"/>
          <w:color w:val="auto"/>
          <w:highlight w:val="none"/>
        </w:rPr>
      </w:pPr>
      <w:r>
        <w:rPr>
          <w:rFonts w:hint="eastAsia" w:ascii="宋体" w:hAnsi="宋体" w:cs="宋体"/>
          <w:color w:val="auto"/>
          <w:highlight w:val="none"/>
        </w:rPr>
        <w:t>二、质量保修期</w:t>
      </w:r>
    </w:p>
    <w:p w14:paraId="055209B3">
      <w:pPr>
        <w:spacing w:line="360" w:lineRule="auto"/>
        <w:ind w:firstLine="420"/>
        <w:rPr>
          <w:rFonts w:ascii="宋体" w:hAnsi="宋体" w:cs="宋体"/>
          <w:color w:val="auto"/>
          <w:highlight w:val="none"/>
        </w:rPr>
      </w:pPr>
      <w:r>
        <w:rPr>
          <w:rFonts w:hint="eastAsia" w:ascii="宋体" w:hAnsi="宋体" w:cs="宋体"/>
          <w:color w:val="auto"/>
          <w:highlight w:val="none"/>
        </w:rPr>
        <w:t>根据《建设工程质量管理条例》及有关规定，工程的质量保修期如下：</w:t>
      </w:r>
    </w:p>
    <w:p w14:paraId="0D1E7672">
      <w:pPr>
        <w:spacing w:line="360" w:lineRule="auto"/>
        <w:ind w:firstLine="420"/>
        <w:rPr>
          <w:rFonts w:ascii="宋体" w:hAnsi="宋体" w:cs="宋体"/>
          <w:color w:val="auto"/>
          <w:highlight w:val="none"/>
        </w:rPr>
      </w:pPr>
      <w:r>
        <w:rPr>
          <w:rFonts w:hint="eastAsia" w:ascii="宋体" w:hAnsi="宋体" w:cs="宋体"/>
          <w:color w:val="auto"/>
          <w:highlight w:val="none"/>
        </w:rPr>
        <w:t>1．地基基础工程和主体结构工程为设计文件规定的工程合理使用年限；</w:t>
      </w:r>
    </w:p>
    <w:p w14:paraId="05A7D502">
      <w:pPr>
        <w:spacing w:line="360" w:lineRule="auto"/>
        <w:ind w:firstLine="420"/>
        <w:rPr>
          <w:rFonts w:ascii="宋体" w:hAnsi="宋体" w:cs="宋体"/>
          <w:color w:val="auto"/>
          <w:highlight w:val="none"/>
        </w:rPr>
      </w:pPr>
      <w:r>
        <w:rPr>
          <w:rFonts w:hint="eastAsia" w:ascii="宋体" w:hAnsi="宋体" w:cs="宋体"/>
          <w:color w:val="auto"/>
          <w:highlight w:val="none"/>
        </w:rPr>
        <w:t>2．屋面防水工程、有防水要求的卫生间、房间和外墙面的防渗为</w:t>
      </w:r>
      <w:r>
        <w:rPr>
          <w:rFonts w:hint="eastAsia" w:ascii="宋体" w:hAnsi="宋体" w:cs="宋体"/>
          <w:color w:val="auto"/>
          <w:highlight w:val="none"/>
          <w:u w:val="single"/>
        </w:rPr>
        <w:t xml:space="preserve"> 5 </w:t>
      </w:r>
      <w:r>
        <w:rPr>
          <w:rFonts w:hint="eastAsia" w:ascii="宋体" w:hAnsi="宋体" w:cs="宋体"/>
          <w:color w:val="auto"/>
          <w:highlight w:val="none"/>
        </w:rPr>
        <w:t>年；</w:t>
      </w:r>
    </w:p>
    <w:p w14:paraId="2902CC9F">
      <w:pPr>
        <w:spacing w:line="360" w:lineRule="auto"/>
        <w:ind w:firstLine="420"/>
        <w:rPr>
          <w:rFonts w:ascii="宋体" w:hAnsi="宋体" w:cs="宋体"/>
          <w:color w:val="auto"/>
          <w:highlight w:val="none"/>
        </w:rPr>
      </w:pPr>
      <w:r>
        <w:rPr>
          <w:rFonts w:hint="eastAsia" w:ascii="宋体" w:hAnsi="宋体" w:cs="宋体"/>
          <w:color w:val="auto"/>
          <w:highlight w:val="none"/>
        </w:rPr>
        <w:t>3．装修工程为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116DA47C">
      <w:pPr>
        <w:spacing w:line="360" w:lineRule="auto"/>
        <w:ind w:firstLine="420"/>
        <w:rPr>
          <w:rFonts w:ascii="宋体" w:hAnsi="宋体" w:cs="宋体"/>
          <w:color w:val="auto"/>
          <w:highlight w:val="none"/>
        </w:rPr>
      </w:pPr>
      <w:r>
        <w:rPr>
          <w:rFonts w:hint="eastAsia" w:ascii="宋体" w:hAnsi="宋体" w:cs="宋体"/>
          <w:color w:val="auto"/>
          <w:highlight w:val="none"/>
        </w:rPr>
        <w:t>4．电气管线、给排水管道、设备安装工程为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74698BC5">
      <w:pPr>
        <w:spacing w:line="360" w:lineRule="auto"/>
        <w:ind w:firstLine="420"/>
        <w:rPr>
          <w:rFonts w:ascii="宋体" w:hAnsi="宋体" w:cs="宋体"/>
          <w:color w:val="auto"/>
          <w:highlight w:val="none"/>
        </w:rPr>
      </w:pPr>
      <w:r>
        <w:rPr>
          <w:rFonts w:hint="eastAsia" w:ascii="宋体" w:hAnsi="宋体" w:cs="宋体"/>
          <w:color w:val="auto"/>
          <w:highlight w:val="none"/>
        </w:rPr>
        <w:t>5．供热与供冷系统为</w:t>
      </w:r>
      <w:r>
        <w:rPr>
          <w:rFonts w:hint="eastAsia" w:ascii="宋体" w:hAnsi="宋体" w:cs="宋体"/>
          <w:color w:val="auto"/>
          <w:highlight w:val="none"/>
          <w:u w:val="single"/>
        </w:rPr>
        <w:t xml:space="preserve"> 2 </w:t>
      </w:r>
      <w:r>
        <w:rPr>
          <w:rFonts w:hint="eastAsia" w:ascii="宋体" w:hAnsi="宋体" w:cs="宋体"/>
          <w:color w:val="auto"/>
          <w:highlight w:val="none"/>
        </w:rPr>
        <w:t>个采暖期、供冷期；</w:t>
      </w:r>
    </w:p>
    <w:p w14:paraId="2702118D">
      <w:pPr>
        <w:spacing w:line="360" w:lineRule="auto"/>
        <w:ind w:firstLine="420"/>
        <w:rPr>
          <w:rFonts w:ascii="宋体" w:hAnsi="宋体" w:cs="宋体"/>
          <w:color w:val="auto"/>
          <w:highlight w:val="none"/>
        </w:rPr>
      </w:pPr>
      <w:r>
        <w:rPr>
          <w:rFonts w:hint="eastAsia" w:ascii="宋体" w:hAnsi="宋体" w:cs="宋体"/>
          <w:color w:val="auto"/>
          <w:highlight w:val="none"/>
        </w:rPr>
        <w:t>6．住宅小区内的给排水设施、道路等配套工程为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6F2A8C8C">
      <w:pPr>
        <w:spacing w:line="360" w:lineRule="auto"/>
        <w:ind w:firstLine="420"/>
        <w:rPr>
          <w:rFonts w:ascii="宋体" w:hAnsi="宋体" w:cs="宋体"/>
          <w:color w:val="auto"/>
          <w:highlight w:val="none"/>
        </w:rPr>
      </w:pPr>
      <w:r>
        <w:rPr>
          <w:rFonts w:hint="eastAsia" w:ascii="宋体" w:hAnsi="宋体" w:cs="宋体"/>
          <w:color w:val="auto"/>
          <w:highlight w:val="none"/>
        </w:rPr>
        <w:t>7．其他项目保修期限约定如下：</w:t>
      </w:r>
      <w:r>
        <w:rPr>
          <w:rFonts w:hint="eastAsia" w:ascii="宋体" w:hAnsi="宋体" w:cs="宋体"/>
          <w:color w:val="auto"/>
          <w:highlight w:val="none"/>
          <w:u w:val="single"/>
        </w:rPr>
        <w:t>无</w:t>
      </w:r>
      <w:r>
        <w:rPr>
          <w:rFonts w:hint="eastAsia" w:ascii="宋体" w:hAnsi="宋体" w:cs="宋体"/>
          <w:color w:val="auto"/>
          <w:highlight w:val="none"/>
        </w:rPr>
        <w:t>。</w:t>
      </w:r>
    </w:p>
    <w:p w14:paraId="5FAC68B6">
      <w:pPr>
        <w:spacing w:line="360" w:lineRule="auto"/>
        <w:ind w:firstLine="420"/>
        <w:rPr>
          <w:rFonts w:ascii="宋体" w:hAnsi="宋体" w:cs="宋体"/>
          <w:color w:val="auto"/>
          <w:highlight w:val="none"/>
        </w:rPr>
      </w:pPr>
      <w:r>
        <w:rPr>
          <w:rFonts w:hint="eastAsia" w:ascii="宋体" w:hAnsi="宋体" w:cs="宋体"/>
          <w:color w:val="auto"/>
          <w:highlight w:val="none"/>
        </w:rPr>
        <w:t>质量保修期自工程竣工验收合格之日起计算。</w:t>
      </w:r>
    </w:p>
    <w:p w14:paraId="446245BC">
      <w:pPr>
        <w:spacing w:line="360" w:lineRule="auto"/>
        <w:ind w:firstLine="420"/>
        <w:rPr>
          <w:rFonts w:ascii="宋体" w:hAnsi="宋体" w:cs="宋体"/>
          <w:color w:val="auto"/>
          <w:highlight w:val="none"/>
        </w:rPr>
      </w:pPr>
      <w:r>
        <w:rPr>
          <w:rFonts w:hint="eastAsia" w:ascii="宋体" w:hAnsi="宋体" w:cs="宋体"/>
          <w:color w:val="auto"/>
          <w:highlight w:val="none"/>
        </w:rPr>
        <w:t>三、缺陷责任期</w:t>
      </w:r>
    </w:p>
    <w:p w14:paraId="11961C64">
      <w:pPr>
        <w:spacing w:line="360" w:lineRule="auto"/>
        <w:ind w:firstLine="420"/>
        <w:rPr>
          <w:rFonts w:ascii="宋体" w:hAnsi="宋体" w:cs="宋体"/>
          <w:color w:val="auto"/>
          <w:highlight w:val="none"/>
        </w:rPr>
      </w:pPr>
      <w:r>
        <w:rPr>
          <w:rFonts w:hint="eastAsia" w:ascii="宋体" w:hAnsi="宋体" w:cs="宋体"/>
          <w:color w:val="auto"/>
          <w:highlight w:val="none"/>
        </w:rPr>
        <w:t>工程缺陷责任期为</w:t>
      </w:r>
      <w:r>
        <w:rPr>
          <w:rFonts w:hint="eastAsia" w:ascii="宋体" w:hAnsi="宋体" w:cs="宋体"/>
          <w:color w:val="auto"/>
          <w:highlight w:val="none"/>
          <w:u w:val="single"/>
        </w:rPr>
        <w:t xml:space="preserve"> 24 </w:t>
      </w:r>
      <w:r>
        <w:rPr>
          <w:rFonts w:hint="eastAsia" w:ascii="宋体" w:hAnsi="宋体" w:cs="宋体"/>
          <w:color w:val="auto"/>
          <w:highlight w:val="none"/>
        </w:rPr>
        <w:t>个月（最长不超过24个月），缺陷责任期自工程竣工验收合格之日起计算。单位工程先于全部工程进行验收，单位工程缺陷责任期自单位工程验收合格之日起算。</w:t>
      </w:r>
    </w:p>
    <w:p w14:paraId="41961E14">
      <w:pPr>
        <w:spacing w:line="360" w:lineRule="auto"/>
        <w:ind w:firstLine="420"/>
        <w:rPr>
          <w:rFonts w:ascii="宋体" w:hAnsi="宋体" w:cs="宋体"/>
          <w:color w:val="auto"/>
          <w:highlight w:val="none"/>
        </w:rPr>
      </w:pPr>
      <w:r>
        <w:rPr>
          <w:rFonts w:hint="eastAsia" w:ascii="宋体" w:hAnsi="宋体" w:cs="宋体"/>
          <w:color w:val="auto"/>
          <w:highlight w:val="none"/>
        </w:rPr>
        <w:t>缺陷责任期</w:t>
      </w:r>
      <w:r>
        <w:rPr>
          <w:rFonts w:hint="eastAsia" w:ascii="宋体" w:hAnsi="宋体" w:cs="宋体"/>
          <w:color w:val="auto"/>
          <w:highlight w:val="none"/>
          <w:u w:val="single"/>
        </w:rPr>
        <w:t>满</w:t>
      </w:r>
      <w:r>
        <w:rPr>
          <w:rFonts w:hint="eastAsia" w:ascii="宋体" w:hAnsi="宋体" w:cs="宋体"/>
          <w:color w:val="auto"/>
          <w:highlight w:val="none"/>
        </w:rPr>
        <w:t>之日起</w:t>
      </w:r>
      <w:r>
        <w:rPr>
          <w:rFonts w:hint="eastAsia" w:ascii="宋体" w:hAnsi="宋体" w:cs="宋体"/>
          <w:color w:val="auto"/>
          <w:highlight w:val="none"/>
          <w:u w:val="single"/>
        </w:rPr>
        <w:t xml:space="preserve"> 60 </w:t>
      </w:r>
      <w:r>
        <w:rPr>
          <w:rFonts w:hint="eastAsia" w:ascii="宋体" w:hAnsi="宋体" w:cs="宋体"/>
          <w:color w:val="auto"/>
          <w:highlight w:val="none"/>
        </w:rPr>
        <w:t>天</w:t>
      </w:r>
      <w:r>
        <w:rPr>
          <w:rFonts w:hint="eastAsia" w:ascii="宋体" w:hAnsi="宋体" w:cs="宋体"/>
          <w:color w:val="auto"/>
          <w:highlight w:val="none"/>
          <w:u w:val="single"/>
        </w:rPr>
        <w:t>（按合同约定期限），</w:t>
      </w:r>
      <w:r>
        <w:rPr>
          <w:rFonts w:hint="eastAsia" w:ascii="宋体" w:hAnsi="宋体" w:cs="宋体"/>
          <w:color w:val="auto"/>
          <w:highlight w:val="none"/>
        </w:rPr>
        <w:t>发包人应退还剩余的质量保证金。</w:t>
      </w:r>
    </w:p>
    <w:p w14:paraId="42D8D854">
      <w:pPr>
        <w:spacing w:line="360" w:lineRule="auto"/>
        <w:ind w:firstLine="420"/>
        <w:rPr>
          <w:rFonts w:ascii="宋体" w:hAnsi="宋体" w:cs="宋体"/>
          <w:color w:val="auto"/>
          <w:highlight w:val="none"/>
        </w:rPr>
      </w:pPr>
      <w:r>
        <w:rPr>
          <w:rFonts w:hint="eastAsia" w:ascii="宋体" w:hAnsi="宋体" w:cs="宋体"/>
          <w:color w:val="auto"/>
          <w:highlight w:val="none"/>
        </w:rPr>
        <w:t>四、质量保修责任</w:t>
      </w:r>
    </w:p>
    <w:p w14:paraId="264B677D">
      <w:pPr>
        <w:spacing w:line="360" w:lineRule="auto"/>
        <w:ind w:left="105" w:leftChars="50" w:firstLine="430" w:firstLineChars="205"/>
        <w:rPr>
          <w:rFonts w:ascii="宋体" w:hAnsi="宋体" w:cs="宋体"/>
          <w:color w:val="auto"/>
          <w:highlight w:val="none"/>
        </w:rPr>
      </w:pPr>
      <w:r>
        <w:rPr>
          <w:rFonts w:hint="eastAsia" w:ascii="宋体" w:hAnsi="宋体" w:cs="宋体"/>
          <w:color w:val="auto"/>
          <w:highlight w:val="none"/>
        </w:rPr>
        <w:t>1．属于保修范围、内容的项目，承包人应当在接到保修通知之日起</w:t>
      </w:r>
      <w:r>
        <w:rPr>
          <w:rFonts w:hint="eastAsia" w:ascii="宋体" w:hAnsi="宋体" w:cs="宋体"/>
          <w:color w:val="auto"/>
          <w:highlight w:val="none"/>
          <w:u w:val="single"/>
        </w:rPr>
        <w:t xml:space="preserve">  3  </w:t>
      </w:r>
      <w:r>
        <w:rPr>
          <w:rFonts w:hint="eastAsia" w:ascii="宋体" w:hAnsi="宋体" w:cs="宋体"/>
          <w:color w:val="auto"/>
          <w:highlight w:val="none"/>
        </w:rPr>
        <w:t>天内派人保修。承包人不在约定期限内派人保修的，发包人可以委托他人修理，修理费用从质量保证金内扣除。</w:t>
      </w:r>
    </w:p>
    <w:p w14:paraId="7435106A">
      <w:pPr>
        <w:spacing w:line="360" w:lineRule="auto"/>
        <w:ind w:firstLine="420"/>
        <w:rPr>
          <w:rFonts w:ascii="宋体" w:hAnsi="宋体" w:cs="宋体"/>
          <w:color w:val="auto"/>
          <w:highlight w:val="none"/>
        </w:rPr>
      </w:pPr>
      <w:r>
        <w:rPr>
          <w:rFonts w:hint="eastAsia" w:ascii="宋体" w:hAnsi="宋体" w:cs="宋体"/>
          <w:color w:val="auto"/>
          <w:highlight w:val="none"/>
        </w:rPr>
        <w:t>2．发生紧急事故需抢修的，承包人在接到事故通知后，应当立即到达事故现场抢修。</w:t>
      </w:r>
    </w:p>
    <w:p w14:paraId="561A69F8">
      <w:pPr>
        <w:spacing w:line="360" w:lineRule="auto"/>
        <w:ind w:firstLine="420"/>
        <w:rPr>
          <w:rFonts w:ascii="宋体" w:hAnsi="宋体" w:cs="宋体"/>
          <w:color w:val="auto"/>
          <w:highlight w:val="none"/>
        </w:rPr>
      </w:pPr>
      <w:r>
        <w:rPr>
          <w:rFonts w:hint="eastAsia" w:ascii="宋体" w:hAnsi="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F32A26">
      <w:pPr>
        <w:spacing w:line="360" w:lineRule="auto"/>
        <w:ind w:firstLine="420"/>
        <w:rPr>
          <w:rFonts w:ascii="宋体" w:hAnsi="宋体" w:cs="宋体"/>
          <w:color w:val="auto"/>
          <w:highlight w:val="none"/>
        </w:rPr>
      </w:pPr>
      <w:r>
        <w:rPr>
          <w:rFonts w:hint="eastAsia" w:ascii="宋体" w:hAnsi="宋体" w:cs="宋体"/>
          <w:color w:val="auto"/>
          <w:highlight w:val="none"/>
        </w:rPr>
        <w:t>4．质量保修完成后，由发包人组织验收。</w:t>
      </w:r>
    </w:p>
    <w:p w14:paraId="4189B94E">
      <w:pPr>
        <w:spacing w:line="360" w:lineRule="auto"/>
        <w:ind w:firstLine="420"/>
        <w:rPr>
          <w:rFonts w:ascii="宋体" w:hAnsi="宋体" w:cs="宋体"/>
          <w:color w:val="auto"/>
          <w:highlight w:val="none"/>
        </w:rPr>
      </w:pPr>
      <w:r>
        <w:rPr>
          <w:rFonts w:hint="eastAsia" w:ascii="宋体" w:hAnsi="宋体" w:cs="宋体"/>
          <w:color w:val="auto"/>
          <w:highlight w:val="none"/>
        </w:rPr>
        <w:t>五、保修费用</w:t>
      </w:r>
    </w:p>
    <w:p w14:paraId="7F74D31F">
      <w:pPr>
        <w:tabs>
          <w:tab w:val="left" w:pos="7380"/>
        </w:tabs>
        <w:spacing w:line="360" w:lineRule="auto"/>
        <w:ind w:firstLine="420"/>
        <w:rPr>
          <w:rFonts w:ascii="宋体" w:hAnsi="宋体" w:cs="宋体"/>
          <w:color w:val="auto"/>
          <w:highlight w:val="none"/>
        </w:rPr>
      </w:pPr>
      <w:r>
        <w:rPr>
          <w:rFonts w:hint="eastAsia" w:ascii="宋体" w:hAnsi="宋体" w:cs="宋体"/>
          <w:color w:val="auto"/>
          <w:highlight w:val="none"/>
        </w:rPr>
        <w:t>保修费用由造成质量缺陷的责任方承担。</w:t>
      </w:r>
    </w:p>
    <w:p w14:paraId="00C2CD1D">
      <w:pPr>
        <w:spacing w:line="360" w:lineRule="auto"/>
        <w:ind w:firstLine="420"/>
        <w:rPr>
          <w:rFonts w:ascii="宋体" w:hAnsi="宋体" w:cs="宋体"/>
          <w:color w:val="auto"/>
          <w:highlight w:val="none"/>
        </w:rPr>
      </w:pPr>
      <w:r>
        <w:rPr>
          <w:rFonts w:hint="eastAsia" w:ascii="宋体" w:hAnsi="宋体" w:cs="宋体"/>
          <w:color w:val="auto"/>
          <w:highlight w:val="none"/>
        </w:rPr>
        <w:t>六、双方约定的其他工程质量保修事项：</w:t>
      </w:r>
      <w:r>
        <w:rPr>
          <w:rFonts w:hint="eastAsia" w:ascii="宋体" w:hAnsi="宋体" w:cs="宋体"/>
          <w:color w:val="auto"/>
          <w:highlight w:val="none"/>
          <w:u w:val="single"/>
        </w:rPr>
        <w:t>无</w:t>
      </w:r>
      <w:r>
        <w:rPr>
          <w:rFonts w:hint="eastAsia" w:ascii="宋体" w:hAnsi="宋体" w:cs="宋体"/>
          <w:color w:val="auto"/>
          <w:highlight w:val="none"/>
        </w:rPr>
        <w:t>。</w:t>
      </w:r>
    </w:p>
    <w:p w14:paraId="60904991">
      <w:pPr>
        <w:spacing w:line="360" w:lineRule="auto"/>
        <w:ind w:firstLine="399" w:firstLineChars="190"/>
        <w:rPr>
          <w:rFonts w:ascii="宋体" w:hAnsi="宋体" w:cs="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417EE318">
      <w:pPr>
        <w:spacing w:line="360" w:lineRule="auto"/>
        <w:ind w:firstLine="420"/>
        <w:rPr>
          <w:rFonts w:ascii="宋体" w:hAnsi="宋体" w:cs="宋体"/>
          <w:color w:val="auto"/>
          <w:highlight w:val="none"/>
        </w:rPr>
      </w:pPr>
    </w:p>
    <w:p w14:paraId="53D98DAD">
      <w:pPr>
        <w:spacing w:line="360" w:lineRule="auto"/>
        <w:rPr>
          <w:rFonts w:ascii="宋体" w:hAnsi="宋体" w:cs="宋体"/>
          <w:color w:val="auto"/>
          <w:highlight w:val="none"/>
        </w:rPr>
      </w:pPr>
      <w:r>
        <w:rPr>
          <w:rFonts w:hint="eastAsia" w:ascii="宋体" w:hAnsi="宋体" w:cs="宋体"/>
          <w:color w:val="auto"/>
          <w:highlight w:val="none"/>
        </w:rPr>
        <w:t>发包人（公章）：</w:t>
      </w:r>
      <w:r>
        <w:rPr>
          <w:rFonts w:hint="eastAsia" w:ascii="宋体" w:hAnsi="宋体" w:cs="宋体"/>
          <w:color w:val="auto"/>
          <w:spacing w:val="-1"/>
          <w:highlight w:val="none"/>
        </w:rPr>
        <w:t>横州市第二高级中学</w:t>
      </w:r>
      <w:r>
        <w:rPr>
          <w:rFonts w:hint="eastAsia" w:ascii="宋体" w:hAnsi="宋体" w:cs="宋体"/>
          <w:color w:val="auto"/>
          <w:highlight w:val="none"/>
        </w:rPr>
        <w:t xml:space="preserve">            承包人（公章）：广西南xxxx有限公司</w:t>
      </w:r>
    </w:p>
    <w:p w14:paraId="1C3CB313">
      <w:pPr>
        <w:spacing w:line="360" w:lineRule="auto"/>
        <w:rPr>
          <w:rFonts w:ascii="宋体" w:hAnsi="宋体" w:cs="宋体"/>
          <w:bCs/>
          <w:color w:val="auto"/>
          <w:highlight w:val="none"/>
        </w:rPr>
      </w:pPr>
      <w:r>
        <w:rPr>
          <w:rFonts w:hint="eastAsia" w:ascii="宋体" w:hAnsi="宋体" w:cs="宋体"/>
          <w:color w:val="auto"/>
          <w:highlight w:val="none"/>
        </w:rPr>
        <w:t>地  址：</w:t>
      </w:r>
      <w:r>
        <w:rPr>
          <w:rFonts w:hint="eastAsia" w:ascii="宋体" w:hAnsi="宋体" w:cs="宋体"/>
          <w:color w:val="auto"/>
          <w:spacing w:val="-7"/>
          <w:highlight w:val="none"/>
        </w:rPr>
        <w:t>横州市横州镇柳福北巷21号</w:t>
      </w:r>
      <w:r>
        <w:rPr>
          <w:rFonts w:hint="eastAsia" w:ascii="宋体" w:hAnsi="宋体" w:cs="宋体"/>
          <w:color w:val="auto"/>
          <w:highlight w:val="none"/>
        </w:rPr>
        <w:t xml:space="preserve">     地  址：            xxxxx</w:t>
      </w:r>
    </w:p>
    <w:p w14:paraId="1D4417B5">
      <w:pPr>
        <w:spacing w:line="360" w:lineRule="auto"/>
        <w:rPr>
          <w:rFonts w:ascii="宋体" w:hAnsi="宋体" w:cs="宋体"/>
          <w:bCs/>
          <w:color w:val="auto"/>
          <w:highlight w:val="none"/>
        </w:rPr>
      </w:pPr>
    </w:p>
    <w:p w14:paraId="7C69CE83">
      <w:pPr>
        <w:spacing w:line="360" w:lineRule="auto"/>
        <w:rPr>
          <w:rFonts w:ascii="宋体" w:hAnsi="宋体" w:cs="宋体"/>
          <w:color w:val="auto"/>
          <w:highlight w:val="none"/>
        </w:rPr>
      </w:pPr>
      <w:r>
        <w:rPr>
          <w:rFonts w:hint="eastAsia" w:ascii="宋体" w:hAnsi="宋体" w:cs="宋体"/>
          <w:color w:val="auto"/>
          <w:highlight w:val="none"/>
        </w:rPr>
        <w:t>法定代表人（签字或盖章）：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法定代表人（签字或盖章）：</w:t>
      </w:r>
      <w:r>
        <w:rPr>
          <w:rFonts w:hint="eastAsia" w:ascii="宋体" w:hAnsi="宋体" w:cs="宋体"/>
          <w:color w:val="auto"/>
          <w:highlight w:val="none"/>
          <w:u w:val="single"/>
        </w:rPr>
        <w:t>                 </w:t>
      </w:r>
    </w:p>
    <w:p w14:paraId="61EC2B58">
      <w:pPr>
        <w:spacing w:line="360" w:lineRule="auto"/>
        <w:rPr>
          <w:rFonts w:ascii="宋体" w:hAnsi="宋体" w:cs="宋体"/>
          <w:color w:val="auto"/>
          <w:highlight w:val="non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委托代理人（签字）：</w:t>
      </w:r>
      <w:r>
        <w:rPr>
          <w:rFonts w:hint="eastAsia" w:ascii="宋体" w:hAnsi="宋体" w:cs="宋体"/>
          <w:color w:val="auto"/>
          <w:highlight w:val="none"/>
          <w:u w:val="single"/>
        </w:rPr>
        <w:t>                       </w:t>
      </w:r>
    </w:p>
    <w:p w14:paraId="3880FA69">
      <w:pPr>
        <w:spacing w:line="360" w:lineRule="auto"/>
        <w:rPr>
          <w:rFonts w:ascii="宋体" w:hAnsi="宋体" w:cs="宋体"/>
          <w:color w:val="auto"/>
          <w:highlight w:val="none"/>
          <w:u w:val="single"/>
        </w:rPr>
      </w:pPr>
      <w:r>
        <w:rPr>
          <w:rFonts w:hint="eastAsia" w:ascii="宋体" w:hAnsi="宋体" w:cs="宋体"/>
          <w:color w:val="auto"/>
          <w:highlight w:val="none"/>
        </w:rPr>
        <w:t>电  话：</w:t>
      </w:r>
      <w:r>
        <w:rPr>
          <w:rFonts w:hint="eastAsia" w:ascii="宋体" w:hAnsi="宋体" w:cs="宋体"/>
          <w:color w:val="auto"/>
          <w:highlight w:val="none"/>
          <w:u w:val="single"/>
          <w:lang w:eastAsia="zh-CN"/>
        </w:rPr>
        <w:t>0771-7261995</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bCs/>
          <w:color w:val="auto"/>
          <w:highlight w:val="none"/>
        </w:rPr>
        <w:t xml:space="preserve"> </w:t>
      </w:r>
      <w:r>
        <w:rPr>
          <w:rFonts w:hint="eastAsia" w:ascii="宋体" w:hAnsi="宋体" w:cs="宋体"/>
          <w:bCs/>
          <w:color w:val="auto"/>
          <w:highlight w:val="none"/>
          <w:u w:val="single"/>
        </w:rPr>
        <w:t xml:space="preserve">       0771-72xxx7                  </w:t>
      </w:r>
    </w:p>
    <w:p w14:paraId="0CEA3253">
      <w:pPr>
        <w:spacing w:line="360" w:lineRule="auto"/>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bCs/>
          <w:color w:val="auto"/>
          <w:highlight w:val="none"/>
        </w:rPr>
        <w:t xml:space="preserve"> </w:t>
      </w:r>
      <w:r>
        <w:rPr>
          <w:rFonts w:hint="eastAsia" w:ascii="宋体" w:hAnsi="宋体" w:cs="宋体"/>
          <w:bCs/>
          <w:color w:val="auto"/>
          <w:highlight w:val="none"/>
          <w:u w:val="single"/>
        </w:rPr>
        <w:t xml:space="preserve">       0771-72xx57                </w:t>
      </w:r>
    </w:p>
    <w:p w14:paraId="56441C70">
      <w:pPr>
        <w:spacing w:line="360" w:lineRule="auto"/>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中国农xxx州市支行</w:t>
      </w:r>
    </w:p>
    <w:p w14:paraId="31B66D7C">
      <w:pPr>
        <w:spacing w:line="360" w:lineRule="auto"/>
        <w:rPr>
          <w:rFonts w:ascii="宋体" w:hAnsi="宋体" w:cs="宋体"/>
          <w:color w:val="auto"/>
          <w:highlight w:val="none"/>
          <w:u w:val="single"/>
        </w:rPr>
      </w:pPr>
      <w:r>
        <w:rPr>
          <w:rFonts w:hint="eastAsia" w:ascii="宋体" w:hAnsi="宋体" w:cs="宋体"/>
          <w:color w:val="auto"/>
          <w:highlight w:val="none"/>
        </w:rPr>
        <w:t>账  号：</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账  号：</w:t>
      </w:r>
      <w:r>
        <w:rPr>
          <w:rFonts w:hint="eastAsia" w:ascii="宋体" w:hAnsi="宋体" w:cs="宋体"/>
          <w:color w:val="auto"/>
          <w:highlight w:val="none"/>
          <w:u w:val="single"/>
        </w:rPr>
        <w:t xml:space="preserve">       2006xxxx04172     </w:t>
      </w:r>
    </w:p>
    <w:p w14:paraId="6D4BCF60">
      <w:pPr>
        <w:spacing w:line="360" w:lineRule="auto"/>
        <w:rPr>
          <w:rFonts w:ascii="宋体" w:hAnsi="宋体" w:cs="宋体"/>
          <w:bCs/>
          <w:color w:val="auto"/>
          <w:highlight w:val="none"/>
        </w:rPr>
        <w:sectPr>
          <w:pgSz w:w="11906" w:h="16838"/>
          <w:pgMar w:top="1440" w:right="1080" w:bottom="1440" w:left="1080" w:header="851" w:footer="992" w:gutter="0"/>
          <w:pgNumType w:fmt="decimal"/>
          <w:cols w:space="720" w:num="1"/>
          <w:docGrid w:type="lines" w:linePitch="312" w:charSpace="0"/>
        </w:sectPr>
      </w:pPr>
      <w:r>
        <w:rPr>
          <w:rFonts w:hint="eastAsia" w:ascii="宋体" w:hAnsi="宋体" w:cs="宋体"/>
          <w:color w:val="auto"/>
          <w:highlight w:val="none"/>
        </w:rPr>
        <w:t>邮政编码：</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r>
        <w:rPr>
          <w:rFonts w:hint="eastAsia" w:ascii="宋体" w:hAnsi="宋体" w:cs="宋体"/>
          <w:bCs/>
          <w:color w:val="auto"/>
          <w:highlight w:val="none"/>
          <w:u w:val="single"/>
        </w:rPr>
        <w:t xml:space="preserve">530200                </w:t>
      </w:r>
    </w:p>
    <w:p w14:paraId="0FF2F1E9">
      <w:pPr>
        <w:spacing w:line="440" w:lineRule="exact"/>
        <w:rPr>
          <w:rFonts w:ascii="宋体" w:hAnsi="宋体" w:cs="宋体"/>
          <w:color w:val="auto"/>
          <w:sz w:val="30"/>
          <w:szCs w:val="30"/>
          <w:highlight w:val="none"/>
        </w:rPr>
      </w:pPr>
      <w:r>
        <w:rPr>
          <w:rFonts w:hint="eastAsia" w:ascii="宋体" w:hAnsi="宋体" w:cs="宋体"/>
          <w:color w:val="auto"/>
          <w:sz w:val="30"/>
          <w:szCs w:val="30"/>
          <w:highlight w:val="none"/>
        </w:rPr>
        <w:t>附件3：</w:t>
      </w:r>
    </w:p>
    <w:p w14:paraId="26AF3505">
      <w:pPr>
        <w:spacing w:before="156" w:beforeLines="50" w:after="156" w:afterLines="50" w:line="44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承包人用于本工程施工的机械设备表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962"/>
        <w:gridCol w:w="979"/>
      </w:tblGrid>
      <w:tr w14:paraId="6B08C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78897CD">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序号</w:t>
            </w:r>
          </w:p>
        </w:tc>
        <w:tc>
          <w:tcPr>
            <w:tcW w:w="1418" w:type="dxa"/>
            <w:tcBorders>
              <w:top w:val="single" w:color="auto" w:sz="12" w:space="0"/>
              <w:bottom w:val="double" w:color="auto" w:sz="6" w:space="0"/>
            </w:tcBorders>
            <w:vAlign w:val="center"/>
          </w:tcPr>
          <w:p w14:paraId="0535DC97">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机械或设备名称</w:t>
            </w:r>
          </w:p>
        </w:tc>
        <w:tc>
          <w:tcPr>
            <w:tcW w:w="850" w:type="dxa"/>
            <w:tcBorders>
              <w:top w:val="single" w:color="auto" w:sz="12" w:space="0"/>
              <w:bottom w:val="double" w:color="auto" w:sz="6" w:space="0"/>
            </w:tcBorders>
            <w:vAlign w:val="center"/>
          </w:tcPr>
          <w:p w14:paraId="021AAF88">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规格型号</w:t>
            </w:r>
          </w:p>
        </w:tc>
        <w:tc>
          <w:tcPr>
            <w:tcW w:w="1058" w:type="dxa"/>
            <w:tcBorders>
              <w:top w:val="single" w:color="auto" w:sz="12" w:space="0"/>
              <w:bottom w:val="double" w:color="auto" w:sz="6" w:space="0"/>
            </w:tcBorders>
            <w:vAlign w:val="center"/>
          </w:tcPr>
          <w:p w14:paraId="77F67298">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数量</w:t>
            </w:r>
          </w:p>
        </w:tc>
        <w:tc>
          <w:tcPr>
            <w:tcW w:w="880" w:type="dxa"/>
            <w:tcBorders>
              <w:top w:val="single" w:color="auto" w:sz="12" w:space="0"/>
              <w:bottom w:val="double" w:color="auto" w:sz="6" w:space="0"/>
            </w:tcBorders>
            <w:vAlign w:val="center"/>
          </w:tcPr>
          <w:p w14:paraId="45DBD769">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产地</w:t>
            </w:r>
          </w:p>
        </w:tc>
        <w:tc>
          <w:tcPr>
            <w:tcW w:w="1020" w:type="dxa"/>
            <w:tcBorders>
              <w:top w:val="single" w:color="auto" w:sz="12" w:space="0"/>
              <w:bottom w:val="double" w:color="auto" w:sz="6" w:space="0"/>
            </w:tcBorders>
            <w:vAlign w:val="center"/>
          </w:tcPr>
          <w:p w14:paraId="263C498D">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制造年份</w:t>
            </w:r>
          </w:p>
        </w:tc>
        <w:tc>
          <w:tcPr>
            <w:tcW w:w="1480" w:type="dxa"/>
            <w:tcBorders>
              <w:top w:val="single" w:color="auto" w:sz="12" w:space="0"/>
              <w:bottom w:val="double" w:color="auto" w:sz="6" w:space="0"/>
            </w:tcBorders>
            <w:vAlign w:val="center"/>
          </w:tcPr>
          <w:p w14:paraId="3AC55710">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额定功率(kW)</w:t>
            </w:r>
          </w:p>
        </w:tc>
        <w:tc>
          <w:tcPr>
            <w:tcW w:w="962" w:type="dxa"/>
            <w:tcBorders>
              <w:top w:val="single" w:color="auto" w:sz="12" w:space="0"/>
              <w:bottom w:val="double" w:color="auto" w:sz="6" w:space="0"/>
            </w:tcBorders>
            <w:vAlign w:val="center"/>
          </w:tcPr>
          <w:p w14:paraId="1DAE707B">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生产能力</w:t>
            </w:r>
          </w:p>
        </w:tc>
        <w:tc>
          <w:tcPr>
            <w:tcW w:w="979" w:type="dxa"/>
            <w:tcBorders>
              <w:top w:val="single" w:color="auto" w:sz="12" w:space="0"/>
              <w:bottom w:val="double" w:color="auto" w:sz="6" w:space="0"/>
            </w:tcBorders>
            <w:vAlign w:val="center"/>
          </w:tcPr>
          <w:p w14:paraId="5F9AB1BE">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备注</w:t>
            </w:r>
          </w:p>
        </w:tc>
      </w:tr>
      <w:tr w14:paraId="56327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2AC47E2">
            <w:pPr>
              <w:pStyle w:val="11"/>
              <w:keepNext/>
              <w:spacing w:after="0" w:line="440" w:lineRule="exact"/>
              <w:ind w:left="63" w:right="63"/>
              <w:rPr>
                <w:rFonts w:ascii="宋体" w:hAnsi="宋体" w:cs="宋体"/>
                <w:color w:val="auto"/>
                <w:sz w:val="30"/>
                <w:szCs w:val="30"/>
                <w:highlight w:val="none"/>
              </w:rPr>
            </w:pPr>
          </w:p>
        </w:tc>
        <w:tc>
          <w:tcPr>
            <w:tcW w:w="1418" w:type="dxa"/>
            <w:tcBorders>
              <w:top w:val="double" w:color="auto" w:sz="6" w:space="0"/>
              <w:bottom w:val="single" w:color="auto" w:sz="6" w:space="0"/>
            </w:tcBorders>
            <w:vAlign w:val="center"/>
          </w:tcPr>
          <w:p w14:paraId="2DB9321F">
            <w:pPr>
              <w:pStyle w:val="11"/>
              <w:keepNext/>
              <w:spacing w:after="0" w:line="440" w:lineRule="exact"/>
              <w:ind w:left="63" w:right="63"/>
              <w:rPr>
                <w:rFonts w:ascii="宋体" w:hAnsi="宋体" w:cs="宋体"/>
                <w:color w:val="auto"/>
                <w:sz w:val="30"/>
                <w:szCs w:val="30"/>
                <w:highlight w:val="none"/>
              </w:rPr>
            </w:pPr>
          </w:p>
        </w:tc>
        <w:tc>
          <w:tcPr>
            <w:tcW w:w="850" w:type="dxa"/>
            <w:tcBorders>
              <w:top w:val="double" w:color="auto" w:sz="6" w:space="0"/>
              <w:bottom w:val="single" w:color="auto" w:sz="6" w:space="0"/>
            </w:tcBorders>
            <w:vAlign w:val="center"/>
          </w:tcPr>
          <w:p w14:paraId="34CD72B1">
            <w:pPr>
              <w:pStyle w:val="11"/>
              <w:keepNext/>
              <w:spacing w:after="0" w:line="440" w:lineRule="exact"/>
              <w:ind w:left="63" w:right="63"/>
              <w:rPr>
                <w:rFonts w:ascii="宋体" w:hAnsi="宋体" w:cs="宋体"/>
                <w:color w:val="auto"/>
                <w:sz w:val="30"/>
                <w:szCs w:val="30"/>
                <w:highlight w:val="none"/>
              </w:rPr>
            </w:pPr>
          </w:p>
        </w:tc>
        <w:tc>
          <w:tcPr>
            <w:tcW w:w="1058" w:type="dxa"/>
            <w:tcBorders>
              <w:top w:val="double" w:color="auto" w:sz="6" w:space="0"/>
              <w:bottom w:val="single" w:color="auto" w:sz="6" w:space="0"/>
            </w:tcBorders>
            <w:vAlign w:val="center"/>
          </w:tcPr>
          <w:p w14:paraId="12F5BB18">
            <w:pPr>
              <w:pStyle w:val="11"/>
              <w:keepNext/>
              <w:spacing w:after="0" w:line="440" w:lineRule="exact"/>
              <w:ind w:left="63" w:right="63"/>
              <w:rPr>
                <w:rFonts w:ascii="宋体" w:hAnsi="宋体" w:cs="宋体"/>
                <w:color w:val="auto"/>
                <w:sz w:val="30"/>
                <w:szCs w:val="30"/>
                <w:highlight w:val="none"/>
              </w:rPr>
            </w:pPr>
          </w:p>
        </w:tc>
        <w:tc>
          <w:tcPr>
            <w:tcW w:w="880" w:type="dxa"/>
            <w:tcBorders>
              <w:top w:val="double" w:color="auto" w:sz="6" w:space="0"/>
              <w:bottom w:val="single" w:color="auto" w:sz="6" w:space="0"/>
            </w:tcBorders>
            <w:vAlign w:val="center"/>
          </w:tcPr>
          <w:p w14:paraId="40E66046">
            <w:pPr>
              <w:pStyle w:val="11"/>
              <w:keepNext/>
              <w:spacing w:after="0" w:line="440" w:lineRule="exact"/>
              <w:ind w:left="63" w:right="63"/>
              <w:rPr>
                <w:rFonts w:ascii="宋体" w:hAnsi="宋体" w:cs="宋体"/>
                <w:color w:val="auto"/>
                <w:sz w:val="30"/>
                <w:szCs w:val="30"/>
                <w:highlight w:val="none"/>
              </w:rPr>
            </w:pPr>
          </w:p>
        </w:tc>
        <w:tc>
          <w:tcPr>
            <w:tcW w:w="1020" w:type="dxa"/>
            <w:tcBorders>
              <w:top w:val="double" w:color="auto" w:sz="6" w:space="0"/>
              <w:bottom w:val="single" w:color="auto" w:sz="6" w:space="0"/>
            </w:tcBorders>
            <w:vAlign w:val="center"/>
          </w:tcPr>
          <w:p w14:paraId="11A9A2C5">
            <w:pPr>
              <w:pStyle w:val="11"/>
              <w:keepNext/>
              <w:spacing w:after="0" w:line="440" w:lineRule="exact"/>
              <w:ind w:left="63" w:right="63"/>
              <w:rPr>
                <w:rFonts w:ascii="宋体" w:hAnsi="宋体" w:cs="宋体"/>
                <w:color w:val="auto"/>
                <w:sz w:val="30"/>
                <w:szCs w:val="30"/>
                <w:highlight w:val="none"/>
              </w:rPr>
            </w:pPr>
          </w:p>
        </w:tc>
        <w:tc>
          <w:tcPr>
            <w:tcW w:w="1480" w:type="dxa"/>
            <w:tcBorders>
              <w:top w:val="double" w:color="auto" w:sz="6" w:space="0"/>
              <w:bottom w:val="single" w:color="auto" w:sz="6" w:space="0"/>
            </w:tcBorders>
            <w:vAlign w:val="center"/>
          </w:tcPr>
          <w:p w14:paraId="609ACBB9">
            <w:pPr>
              <w:pStyle w:val="11"/>
              <w:keepNext/>
              <w:spacing w:after="0" w:line="440" w:lineRule="exact"/>
              <w:ind w:left="63" w:right="63"/>
              <w:rPr>
                <w:rFonts w:ascii="宋体" w:hAnsi="宋体" w:cs="宋体"/>
                <w:color w:val="auto"/>
                <w:sz w:val="30"/>
                <w:szCs w:val="30"/>
                <w:highlight w:val="none"/>
              </w:rPr>
            </w:pPr>
          </w:p>
        </w:tc>
        <w:tc>
          <w:tcPr>
            <w:tcW w:w="962" w:type="dxa"/>
            <w:tcBorders>
              <w:top w:val="double" w:color="auto" w:sz="6" w:space="0"/>
              <w:bottom w:val="single" w:color="auto" w:sz="6" w:space="0"/>
            </w:tcBorders>
            <w:vAlign w:val="center"/>
          </w:tcPr>
          <w:p w14:paraId="128DD482">
            <w:pPr>
              <w:pStyle w:val="11"/>
              <w:keepNext/>
              <w:spacing w:after="0" w:line="440" w:lineRule="exact"/>
              <w:ind w:left="63" w:right="63"/>
              <w:rPr>
                <w:rFonts w:ascii="宋体" w:hAnsi="宋体" w:cs="宋体"/>
                <w:color w:val="auto"/>
                <w:sz w:val="30"/>
                <w:szCs w:val="30"/>
                <w:highlight w:val="none"/>
              </w:rPr>
            </w:pPr>
          </w:p>
        </w:tc>
        <w:tc>
          <w:tcPr>
            <w:tcW w:w="979" w:type="dxa"/>
            <w:tcBorders>
              <w:top w:val="double" w:color="auto" w:sz="6" w:space="0"/>
              <w:bottom w:val="single" w:color="auto" w:sz="6" w:space="0"/>
            </w:tcBorders>
            <w:vAlign w:val="center"/>
          </w:tcPr>
          <w:p w14:paraId="35A8BD56">
            <w:pPr>
              <w:pStyle w:val="11"/>
              <w:keepNext/>
              <w:spacing w:after="0" w:line="440" w:lineRule="exact"/>
              <w:ind w:left="63" w:right="63"/>
              <w:rPr>
                <w:rFonts w:ascii="宋体" w:hAnsi="宋体" w:cs="宋体"/>
                <w:color w:val="auto"/>
                <w:sz w:val="30"/>
                <w:szCs w:val="30"/>
                <w:highlight w:val="none"/>
              </w:rPr>
            </w:pPr>
          </w:p>
        </w:tc>
      </w:tr>
      <w:tr w14:paraId="614A6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FEEC63C">
            <w:pPr>
              <w:pStyle w:val="11"/>
              <w:keepNext/>
              <w:spacing w:after="0" w:line="440" w:lineRule="exact"/>
              <w:ind w:left="63" w:right="63"/>
              <w:rPr>
                <w:rFonts w:ascii="宋体" w:hAnsi="宋体" w:cs="宋体"/>
                <w:color w:val="auto"/>
                <w:sz w:val="30"/>
                <w:szCs w:val="30"/>
                <w:highlight w:val="none"/>
              </w:rPr>
            </w:pPr>
          </w:p>
        </w:tc>
        <w:tc>
          <w:tcPr>
            <w:tcW w:w="1418" w:type="dxa"/>
            <w:tcBorders>
              <w:top w:val="nil"/>
            </w:tcBorders>
            <w:vAlign w:val="center"/>
          </w:tcPr>
          <w:p w14:paraId="0B04D834">
            <w:pPr>
              <w:pStyle w:val="11"/>
              <w:keepNext/>
              <w:spacing w:after="0" w:line="440" w:lineRule="exact"/>
              <w:ind w:left="63" w:right="63"/>
              <w:rPr>
                <w:rFonts w:ascii="宋体" w:hAnsi="宋体" w:cs="宋体"/>
                <w:color w:val="auto"/>
                <w:sz w:val="30"/>
                <w:szCs w:val="30"/>
                <w:highlight w:val="none"/>
              </w:rPr>
            </w:pPr>
          </w:p>
        </w:tc>
        <w:tc>
          <w:tcPr>
            <w:tcW w:w="850" w:type="dxa"/>
            <w:tcBorders>
              <w:top w:val="nil"/>
            </w:tcBorders>
            <w:vAlign w:val="center"/>
          </w:tcPr>
          <w:p w14:paraId="6FF8CCAE">
            <w:pPr>
              <w:pStyle w:val="11"/>
              <w:keepNext/>
              <w:spacing w:after="0" w:line="440" w:lineRule="exact"/>
              <w:ind w:left="63" w:right="63"/>
              <w:rPr>
                <w:rFonts w:ascii="宋体" w:hAnsi="宋体" w:cs="宋体"/>
                <w:color w:val="auto"/>
                <w:sz w:val="30"/>
                <w:szCs w:val="30"/>
                <w:highlight w:val="none"/>
              </w:rPr>
            </w:pPr>
          </w:p>
        </w:tc>
        <w:tc>
          <w:tcPr>
            <w:tcW w:w="1058" w:type="dxa"/>
            <w:tcBorders>
              <w:top w:val="nil"/>
            </w:tcBorders>
            <w:vAlign w:val="center"/>
          </w:tcPr>
          <w:p w14:paraId="7EAEB48F">
            <w:pPr>
              <w:pStyle w:val="11"/>
              <w:keepNext/>
              <w:spacing w:after="0" w:line="440" w:lineRule="exact"/>
              <w:ind w:left="63" w:right="63"/>
              <w:rPr>
                <w:rFonts w:ascii="宋体" w:hAnsi="宋体" w:cs="宋体"/>
                <w:color w:val="auto"/>
                <w:sz w:val="30"/>
                <w:szCs w:val="30"/>
                <w:highlight w:val="none"/>
              </w:rPr>
            </w:pPr>
          </w:p>
        </w:tc>
        <w:tc>
          <w:tcPr>
            <w:tcW w:w="880" w:type="dxa"/>
            <w:tcBorders>
              <w:top w:val="nil"/>
            </w:tcBorders>
            <w:vAlign w:val="center"/>
          </w:tcPr>
          <w:p w14:paraId="7747A2C1">
            <w:pPr>
              <w:pStyle w:val="11"/>
              <w:keepNext/>
              <w:spacing w:after="0" w:line="440" w:lineRule="exact"/>
              <w:ind w:left="63" w:right="63"/>
              <w:rPr>
                <w:rFonts w:ascii="宋体" w:hAnsi="宋体" w:cs="宋体"/>
                <w:color w:val="auto"/>
                <w:sz w:val="30"/>
                <w:szCs w:val="30"/>
                <w:highlight w:val="none"/>
              </w:rPr>
            </w:pPr>
          </w:p>
        </w:tc>
        <w:tc>
          <w:tcPr>
            <w:tcW w:w="1020" w:type="dxa"/>
            <w:tcBorders>
              <w:top w:val="nil"/>
            </w:tcBorders>
            <w:vAlign w:val="center"/>
          </w:tcPr>
          <w:p w14:paraId="267F1BD3">
            <w:pPr>
              <w:pStyle w:val="11"/>
              <w:keepNext/>
              <w:spacing w:after="0" w:line="440" w:lineRule="exact"/>
              <w:ind w:left="63" w:right="63"/>
              <w:rPr>
                <w:rFonts w:ascii="宋体" w:hAnsi="宋体" w:cs="宋体"/>
                <w:color w:val="auto"/>
                <w:sz w:val="30"/>
                <w:szCs w:val="30"/>
                <w:highlight w:val="none"/>
              </w:rPr>
            </w:pPr>
          </w:p>
        </w:tc>
        <w:tc>
          <w:tcPr>
            <w:tcW w:w="1480" w:type="dxa"/>
            <w:tcBorders>
              <w:top w:val="nil"/>
            </w:tcBorders>
            <w:vAlign w:val="center"/>
          </w:tcPr>
          <w:p w14:paraId="5E2D4AA9">
            <w:pPr>
              <w:pStyle w:val="11"/>
              <w:keepNext/>
              <w:spacing w:after="0" w:line="440" w:lineRule="exact"/>
              <w:ind w:left="63" w:right="63"/>
              <w:rPr>
                <w:rFonts w:ascii="宋体" w:hAnsi="宋体" w:cs="宋体"/>
                <w:color w:val="auto"/>
                <w:sz w:val="30"/>
                <w:szCs w:val="30"/>
                <w:highlight w:val="none"/>
              </w:rPr>
            </w:pPr>
          </w:p>
        </w:tc>
        <w:tc>
          <w:tcPr>
            <w:tcW w:w="962" w:type="dxa"/>
            <w:tcBorders>
              <w:top w:val="nil"/>
            </w:tcBorders>
            <w:vAlign w:val="center"/>
          </w:tcPr>
          <w:p w14:paraId="17E72F83">
            <w:pPr>
              <w:pStyle w:val="11"/>
              <w:keepNext/>
              <w:spacing w:after="0" w:line="440" w:lineRule="exact"/>
              <w:ind w:left="63" w:right="63"/>
              <w:rPr>
                <w:rFonts w:ascii="宋体" w:hAnsi="宋体" w:cs="宋体"/>
                <w:color w:val="auto"/>
                <w:sz w:val="30"/>
                <w:szCs w:val="30"/>
                <w:highlight w:val="none"/>
              </w:rPr>
            </w:pPr>
          </w:p>
        </w:tc>
        <w:tc>
          <w:tcPr>
            <w:tcW w:w="979" w:type="dxa"/>
            <w:tcBorders>
              <w:top w:val="nil"/>
            </w:tcBorders>
            <w:vAlign w:val="center"/>
          </w:tcPr>
          <w:p w14:paraId="0316C321">
            <w:pPr>
              <w:pStyle w:val="11"/>
              <w:keepNext/>
              <w:spacing w:after="0" w:line="440" w:lineRule="exact"/>
              <w:ind w:left="63" w:right="63"/>
              <w:rPr>
                <w:rFonts w:ascii="宋体" w:hAnsi="宋体" w:cs="宋体"/>
                <w:color w:val="auto"/>
                <w:sz w:val="30"/>
                <w:szCs w:val="30"/>
                <w:highlight w:val="none"/>
              </w:rPr>
            </w:pPr>
          </w:p>
        </w:tc>
      </w:tr>
      <w:tr w14:paraId="096AE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BBCE334">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598062E8">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36ADD175">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2621CBBC">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2833253B">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71E79401">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4F112DE4">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47C213E8">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0F139CAC">
            <w:pPr>
              <w:pStyle w:val="11"/>
              <w:keepNext/>
              <w:spacing w:after="0" w:line="440" w:lineRule="exact"/>
              <w:ind w:left="63" w:right="63"/>
              <w:rPr>
                <w:rFonts w:ascii="宋体" w:hAnsi="宋体" w:cs="宋体"/>
                <w:color w:val="auto"/>
                <w:sz w:val="30"/>
                <w:szCs w:val="30"/>
                <w:highlight w:val="none"/>
              </w:rPr>
            </w:pPr>
          </w:p>
        </w:tc>
      </w:tr>
      <w:tr w14:paraId="7D27C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B1EE911">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5195DD3E">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0CD45ED7">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67E46637">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2E1BA092">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24E503E6">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6D7B2CF5">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0516756A">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51B2958F">
            <w:pPr>
              <w:pStyle w:val="11"/>
              <w:keepNext/>
              <w:spacing w:after="0" w:line="440" w:lineRule="exact"/>
              <w:ind w:left="63" w:right="63"/>
              <w:rPr>
                <w:rFonts w:ascii="宋体" w:hAnsi="宋体" w:cs="宋体"/>
                <w:color w:val="auto"/>
                <w:sz w:val="30"/>
                <w:szCs w:val="30"/>
                <w:highlight w:val="none"/>
              </w:rPr>
            </w:pPr>
          </w:p>
        </w:tc>
      </w:tr>
      <w:tr w14:paraId="62BAE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7878929">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1D699840">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7EC28119">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6E29EC2E">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38AF1854">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4E5FCE78">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1F7BF6D1">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515689FF">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76408416">
            <w:pPr>
              <w:pStyle w:val="11"/>
              <w:keepNext/>
              <w:spacing w:after="0" w:line="440" w:lineRule="exact"/>
              <w:ind w:left="63" w:right="63"/>
              <w:rPr>
                <w:rFonts w:ascii="宋体" w:hAnsi="宋体" w:cs="宋体"/>
                <w:color w:val="auto"/>
                <w:sz w:val="30"/>
                <w:szCs w:val="30"/>
                <w:highlight w:val="none"/>
              </w:rPr>
            </w:pPr>
          </w:p>
        </w:tc>
      </w:tr>
      <w:tr w14:paraId="211F3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283E624">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7881097B">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1D57244A">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0EA87D12">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38445D3E">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1B9CA0B6">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5F7FEE73">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6310BB34">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18E3100F">
            <w:pPr>
              <w:pStyle w:val="11"/>
              <w:keepNext/>
              <w:spacing w:after="0" w:line="440" w:lineRule="exact"/>
              <w:ind w:left="63" w:right="63"/>
              <w:rPr>
                <w:rFonts w:ascii="宋体" w:hAnsi="宋体" w:cs="宋体"/>
                <w:color w:val="auto"/>
                <w:sz w:val="30"/>
                <w:szCs w:val="30"/>
                <w:highlight w:val="none"/>
              </w:rPr>
            </w:pPr>
          </w:p>
        </w:tc>
      </w:tr>
      <w:tr w14:paraId="4EFD7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C3FEEFE">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44A2F360">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528907CA">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6E874CDF">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3F8AA659">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7E1A7524">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365E8AA5">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704B8025">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3E77E482">
            <w:pPr>
              <w:pStyle w:val="11"/>
              <w:keepNext/>
              <w:spacing w:after="0" w:line="440" w:lineRule="exact"/>
              <w:ind w:left="63" w:right="63"/>
              <w:rPr>
                <w:rFonts w:ascii="宋体" w:hAnsi="宋体" w:cs="宋体"/>
                <w:color w:val="auto"/>
                <w:sz w:val="30"/>
                <w:szCs w:val="30"/>
                <w:highlight w:val="none"/>
              </w:rPr>
            </w:pPr>
          </w:p>
        </w:tc>
      </w:tr>
      <w:tr w14:paraId="10058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9A36196">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4063A6A2">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118677C4">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44BEB92B">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6D45284A">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4530EBE1">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5BE7F5F5">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73D1163B">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76EC199E">
            <w:pPr>
              <w:pStyle w:val="11"/>
              <w:keepNext/>
              <w:spacing w:after="0" w:line="440" w:lineRule="exact"/>
              <w:ind w:left="63" w:right="63"/>
              <w:rPr>
                <w:rFonts w:ascii="宋体" w:hAnsi="宋体" w:cs="宋体"/>
                <w:color w:val="auto"/>
                <w:sz w:val="30"/>
                <w:szCs w:val="30"/>
                <w:highlight w:val="none"/>
              </w:rPr>
            </w:pPr>
          </w:p>
        </w:tc>
      </w:tr>
      <w:tr w14:paraId="277FD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AAEFA8">
            <w:pPr>
              <w:rPr>
                <w:rFonts w:ascii="宋体" w:hAnsi="宋体" w:cs="宋体"/>
                <w:color w:val="auto"/>
                <w:sz w:val="30"/>
                <w:szCs w:val="30"/>
                <w:highlight w:val="none"/>
              </w:rPr>
            </w:pPr>
          </w:p>
        </w:tc>
        <w:tc>
          <w:tcPr>
            <w:tcW w:w="1418" w:type="dxa"/>
          </w:tcPr>
          <w:p w14:paraId="7309E285">
            <w:pPr>
              <w:rPr>
                <w:rFonts w:ascii="宋体" w:hAnsi="宋体" w:cs="宋体"/>
                <w:color w:val="auto"/>
                <w:sz w:val="30"/>
                <w:szCs w:val="30"/>
                <w:highlight w:val="none"/>
              </w:rPr>
            </w:pPr>
          </w:p>
        </w:tc>
        <w:tc>
          <w:tcPr>
            <w:tcW w:w="850" w:type="dxa"/>
          </w:tcPr>
          <w:p w14:paraId="57D0AD63">
            <w:pPr>
              <w:rPr>
                <w:rFonts w:ascii="宋体" w:hAnsi="宋体" w:cs="宋体"/>
                <w:color w:val="auto"/>
                <w:sz w:val="30"/>
                <w:szCs w:val="30"/>
                <w:highlight w:val="none"/>
              </w:rPr>
            </w:pPr>
          </w:p>
        </w:tc>
        <w:tc>
          <w:tcPr>
            <w:tcW w:w="1058" w:type="dxa"/>
          </w:tcPr>
          <w:p w14:paraId="34726D2A">
            <w:pPr>
              <w:rPr>
                <w:rFonts w:ascii="宋体" w:hAnsi="宋体" w:cs="宋体"/>
                <w:color w:val="auto"/>
                <w:sz w:val="30"/>
                <w:szCs w:val="30"/>
                <w:highlight w:val="none"/>
              </w:rPr>
            </w:pPr>
          </w:p>
        </w:tc>
        <w:tc>
          <w:tcPr>
            <w:tcW w:w="880" w:type="dxa"/>
          </w:tcPr>
          <w:p w14:paraId="47009CEF">
            <w:pPr>
              <w:rPr>
                <w:rFonts w:ascii="宋体" w:hAnsi="宋体" w:cs="宋体"/>
                <w:color w:val="auto"/>
                <w:sz w:val="30"/>
                <w:szCs w:val="30"/>
                <w:highlight w:val="none"/>
              </w:rPr>
            </w:pPr>
          </w:p>
        </w:tc>
        <w:tc>
          <w:tcPr>
            <w:tcW w:w="1020" w:type="dxa"/>
          </w:tcPr>
          <w:p w14:paraId="1F369843">
            <w:pPr>
              <w:rPr>
                <w:rFonts w:ascii="宋体" w:hAnsi="宋体" w:cs="宋体"/>
                <w:color w:val="auto"/>
                <w:sz w:val="30"/>
                <w:szCs w:val="30"/>
                <w:highlight w:val="none"/>
              </w:rPr>
            </w:pPr>
          </w:p>
        </w:tc>
        <w:tc>
          <w:tcPr>
            <w:tcW w:w="1480" w:type="dxa"/>
          </w:tcPr>
          <w:p w14:paraId="4239122C">
            <w:pPr>
              <w:rPr>
                <w:rFonts w:ascii="宋体" w:hAnsi="宋体" w:cs="宋体"/>
                <w:color w:val="auto"/>
                <w:sz w:val="30"/>
                <w:szCs w:val="30"/>
                <w:highlight w:val="none"/>
              </w:rPr>
            </w:pPr>
          </w:p>
        </w:tc>
        <w:tc>
          <w:tcPr>
            <w:tcW w:w="962" w:type="dxa"/>
          </w:tcPr>
          <w:p w14:paraId="5EE15856">
            <w:pPr>
              <w:rPr>
                <w:rFonts w:ascii="宋体" w:hAnsi="宋体" w:cs="宋体"/>
                <w:color w:val="auto"/>
                <w:sz w:val="30"/>
                <w:szCs w:val="30"/>
                <w:highlight w:val="none"/>
              </w:rPr>
            </w:pPr>
          </w:p>
        </w:tc>
        <w:tc>
          <w:tcPr>
            <w:tcW w:w="979" w:type="dxa"/>
          </w:tcPr>
          <w:p w14:paraId="23FE7EFA">
            <w:pPr>
              <w:rPr>
                <w:rFonts w:ascii="宋体" w:hAnsi="宋体" w:cs="宋体"/>
                <w:color w:val="auto"/>
                <w:sz w:val="30"/>
                <w:szCs w:val="30"/>
                <w:highlight w:val="none"/>
              </w:rPr>
            </w:pPr>
          </w:p>
        </w:tc>
      </w:tr>
      <w:tr w14:paraId="6A2BE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CCD004E">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170770D3">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6ACA1B57">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0AD7AF73">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5F0B8DF9">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1A47F2C7">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5597220A">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5632C78F">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297A32E4">
            <w:pPr>
              <w:pStyle w:val="11"/>
              <w:keepNext/>
              <w:spacing w:after="0" w:line="440" w:lineRule="exact"/>
              <w:ind w:left="63" w:right="63"/>
              <w:rPr>
                <w:rFonts w:ascii="宋体" w:hAnsi="宋体" w:cs="宋体"/>
                <w:color w:val="auto"/>
                <w:sz w:val="30"/>
                <w:szCs w:val="30"/>
                <w:highlight w:val="none"/>
              </w:rPr>
            </w:pPr>
          </w:p>
        </w:tc>
      </w:tr>
      <w:tr w14:paraId="3B6F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1C60F15">
            <w:pPr>
              <w:rPr>
                <w:rFonts w:ascii="宋体" w:hAnsi="宋体" w:cs="宋体"/>
                <w:color w:val="auto"/>
                <w:sz w:val="30"/>
                <w:szCs w:val="30"/>
                <w:highlight w:val="none"/>
              </w:rPr>
            </w:pPr>
          </w:p>
        </w:tc>
        <w:tc>
          <w:tcPr>
            <w:tcW w:w="1418" w:type="dxa"/>
          </w:tcPr>
          <w:p w14:paraId="1DA7404A">
            <w:pPr>
              <w:rPr>
                <w:rFonts w:ascii="宋体" w:hAnsi="宋体" w:cs="宋体"/>
                <w:color w:val="auto"/>
                <w:sz w:val="30"/>
                <w:szCs w:val="30"/>
                <w:highlight w:val="none"/>
              </w:rPr>
            </w:pPr>
          </w:p>
        </w:tc>
        <w:tc>
          <w:tcPr>
            <w:tcW w:w="850" w:type="dxa"/>
          </w:tcPr>
          <w:p w14:paraId="21BB3B65">
            <w:pPr>
              <w:rPr>
                <w:rFonts w:ascii="宋体" w:hAnsi="宋体" w:cs="宋体"/>
                <w:color w:val="auto"/>
                <w:sz w:val="30"/>
                <w:szCs w:val="30"/>
                <w:highlight w:val="none"/>
              </w:rPr>
            </w:pPr>
          </w:p>
        </w:tc>
        <w:tc>
          <w:tcPr>
            <w:tcW w:w="1058" w:type="dxa"/>
          </w:tcPr>
          <w:p w14:paraId="66AAC82A">
            <w:pPr>
              <w:rPr>
                <w:rFonts w:ascii="宋体" w:hAnsi="宋体" w:cs="宋体"/>
                <w:color w:val="auto"/>
                <w:sz w:val="30"/>
                <w:szCs w:val="30"/>
                <w:highlight w:val="none"/>
              </w:rPr>
            </w:pPr>
          </w:p>
        </w:tc>
        <w:tc>
          <w:tcPr>
            <w:tcW w:w="880" w:type="dxa"/>
          </w:tcPr>
          <w:p w14:paraId="4D02D299">
            <w:pPr>
              <w:rPr>
                <w:rFonts w:ascii="宋体" w:hAnsi="宋体" w:cs="宋体"/>
                <w:color w:val="auto"/>
                <w:sz w:val="30"/>
                <w:szCs w:val="30"/>
                <w:highlight w:val="none"/>
              </w:rPr>
            </w:pPr>
          </w:p>
        </w:tc>
        <w:tc>
          <w:tcPr>
            <w:tcW w:w="1020" w:type="dxa"/>
          </w:tcPr>
          <w:p w14:paraId="4A751774">
            <w:pPr>
              <w:rPr>
                <w:rFonts w:ascii="宋体" w:hAnsi="宋体" w:cs="宋体"/>
                <w:color w:val="auto"/>
                <w:sz w:val="30"/>
                <w:szCs w:val="30"/>
                <w:highlight w:val="none"/>
              </w:rPr>
            </w:pPr>
          </w:p>
        </w:tc>
        <w:tc>
          <w:tcPr>
            <w:tcW w:w="1480" w:type="dxa"/>
          </w:tcPr>
          <w:p w14:paraId="700F1DFD">
            <w:pPr>
              <w:rPr>
                <w:rFonts w:ascii="宋体" w:hAnsi="宋体" w:cs="宋体"/>
                <w:color w:val="auto"/>
                <w:sz w:val="30"/>
                <w:szCs w:val="30"/>
                <w:highlight w:val="none"/>
              </w:rPr>
            </w:pPr>
          </w:p>
        </w:tc>
        <w:tc>
          <w:tcPr>
            <w:tcW w:w="962" w:type="dxa"/>
          </w:tcPr>
          <w:p w14:paraId="1980C578">
            <w:pPr>
              <w:rPr>
                <w:rFonts w:ascii="宋体" w:hAnsi="宋体" w:cs="宋体"/>
                <w:color w:val="auto"/>
                <w:sz w:val="30"/>
                <w:szCs w:val="30"/>
                <w:highlight w:val="none"/>
              </w:rPr>
            </w:pPr>
          </w:p>
        </w:tc>
        <w:tc>
          <w:tcPr>
            <w:tcW w:w="979" w:type="dxa"/>
          </w:tcPr>
          <w:p w14:paraId="2A8F9EB2">
            <w:pPr>
              <w:rPr>
                <w:rFonts w:ascii="宋体" w:hAnsi="宋体" w:cs="宋体"/>
                <w:color w:val="auto"/>
                <w:sz w:val="30"/>
                <w:szCs w:val="30"/>
                <w:highlight w:val="none"/>
              </w:rPr>
            </w:pPr>
          </w:p>
        </w:tc>
      </w:tr>
      <w:tr w14:paraId="16884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C804C9C">
            <w:pPr>
              <w:rPr>
                <w:rFonts w:ascii="宋体" w:hAnsi="宋体" w:cs="宋体"/>
                <w:color w:val="auto"/>
                <w:sz w:val="30"/>
                <w:szCs w:val="30"/>
                <w:highlight w:val="none"/>
              </w:rPr>
            </w:pPr>
          </w:p>
        </w:tc>
        <w:tc>
          <w:tcPr>
            <w:tcW w:w="1418" w:type="dxa"/>
          </w:tcPr>
          <w:p w14:paraId="061044CF">
            <w:pPr>
              <w:rPr>
                <w:rFonts w:ascii="宋体" w:hAnsi="宋体" w:cs="宋体"/>
                <w:color w:val="auto"/>
                <w:sz w:val="30"/>
                <w:szCs w:val="30"/>
                <w:highlight w:val="none"/>
              </w:rPr>
            </w:pPr>
          </w:p>
        </w:tc>
        <w:tc>
          <w:tcPr>
            <w:tcW w:w="850" w:type="dxa"/>
          </w:tcPr>
          <w:p w14:paraId="56A8EA61">
            <w:pPr>
              <w:rPr>
                <w:rFonts w:ascii="宋体" w:hAnsi="宋体" w:cs="宋体"/>
                <w:color w:val="auto"/>
                <w:sz w:val="30"/>
                <w:szCs w:val="30"/>
                <w:highlight w:val="none"/>
              </w:rPr>
            </w:pPr>
          </w:p>
        </w:tc>
        <w:tc>
          <w:tcPr>
            <w:tcW w:w="1058" w:type="dxa"/>
          </w:tcPr>
          <w:p w14:paraId="62D6FA45">
            <w:pPr>
              <w:rPr>
                <w:rFonts w:ascii="宋体" w:hAnsi="宋体" w:cs="宋体"/>
                <w:color w:val="auto"/>
                <w:sz w:val="30"/>
                <w:szCs w:val="30"/>
                <w:highlight w:val="none"/>
              </w:rPr>
            </w:pPr>
          </w:p>
        </w:tc>
        <w:tc>
          <w:tcPr>
            <w:tcW w:w="880" w:type="dxa"/>
          </w:tcPr>
          <w:p w14:paraId="3DD1132C">
            <w:pPr>
              <w:rPr>
                <w:rFonts w:ascii="宋体" w:hAnsi="宋体" w:cs="宋体"/>
                <w:color w:val="auto"/>
                <w:sz w:val="30"/>
                <w:szCs w:val="30"/>
                <w:highlight w:val="none"/>
              </w:rPr>
            </w:pPr>
          </w:p>
        </w:tc>
        <w:tc>
          <w:tcPr>
            <w:tcW w:w="1020" w:type="dxa"/>
          </w:tcPr>
          <w:p w14:paraId="0FF7A5DC">
            <w:pPr>
              <w:rPr>
                <w:rFonts w:ascii="宋体" w:hAnsi="宋体" w:cs="宋体"/>
                <w:color w:val="auto"/>
                <w:sz w:val="30"/>
                <w:szCs w:val="30"/>
                <w:highlight w:val="none"/>
              </w:rPr>
            </w:pPr>
          </w:p>
        </w:tc>
        <w:tc>
          <w:tcPr>
            <w:tcW w:w="1480" w:type="dxa"/>
          </w:tcPr>
          <w:p w14:paraId="7943A27E">
            <w:pPr>
              <w:rPr>
                <w:rFonts w:ascii="宋体" w:hAnsi="宋体" w:cs="宋体"/>
                <w:color w:val="auto"/>
                <w:sz w:val="30"/>
                <w:szCs w:val="30"/>
                <w:highlight w:val="none"/>
              </w:rPr>
            </w:pPr>
          </w:p>
        </w:tc>
        <w:tc>
          <w:tcPr>
            <w:tcW w:w="962" w:type="dxa"/>
          </w:tcPr>
          <w:p w14:paraId="4E53F031">
            <w:pPr>
              <w:rPr>
                <w:rFonts w:ascii="宋体" w:hAnsi="宋体" w:cs="宋体"/>
                <w:color w:val="auto"/>
                <w:sz w:val="30"/>
                <w:szCs w:val="30"/>
                <w:highlight w:val="none"/>
              </w:rPr>
            </w:pPr>
          </w:p>
        </w:tc>
        <w:tc>
          <w:tcPr>
            <w:tcW w:w="979" w:type="dxa"/>
          </w:tcPr>
          <w:p w14:paraId="5026B02A">
            <w:pPr>
              <w:rPr>
                <w:rFonts w:ascii="宋体" w:hAnsi="宋体" w:cs="宋体"/>
                <w:color w:val="auto"/>
                <w:sz w:val="30"/>
                <w:szCs w:val="30"/>
                <w:highlight w:val="none"/>
              </w:rPr>
            </w:pPr>
          </w:p>
        </w:tc>
      </w:tr>
      <w:tr w14:paraId="5E1F6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32FB89D">
            <w:pPr>
              <w:rPr>
                <w:rFonts w:ascii="宋体" w:hAnsi="宋体" w:cs="宋体"/>
                <w:color w:val="auto"/>
                <w:sz w:val="30"/>
                <w:szCs w:val="30"/>
                <w:highlight w:val="none"/>
              </w:rPr>
            </w:pPr>
          </w:p>
        </w:tc>
        <w:tc>
          <w:tcPr>
            <w:tcW w:w="1418" w:type="dxa"/>
          </w:tcPr>
          <w:p w14:paraId="6FC1B621">
            <w:pPr>
              <w:rPr>
                <w:rFonts w:ascii="宋体" w:hAnsi="宋体" w:cs="宋体"/>
                <w:color w:val="auto"/>
                <w:sz w:val="30"/>
                <w:szCs w:val="30"/>
                <w:highlight w:val="none"/>
              </w:rPr>
            </w:pPr>
          </w:p>
        </w:tc>
        <w:tc>
          <w:tcPr>
            <w:tcW w:w="850" w:type="dxa"/>
          </w:tcPr>
          <w:p w14:paraId="128B5F87">
            <w:pPr>
              <w:rPr>
                <w:rFonts w:ascii="宋体" w:hAnsi="宋体" w:cs="宋体"/>
                <w:color w:val="auto"/>
                <w:sz w:val="30"/>
                <w:szCs w:val="30"/>
                <w:highlight w:val="none"/>
              </w:rPr>
            </w:pPr>
          </w:p>
        </w:tc>
        <w:tc>
          <w:tcPr>
            <w:tcW w:w="1058" w:type="dxa"/>
          </w:tcPr>
          <w:p w14:paraId="01895DB1">
            <w:pPr>
              <w:rPr>
                <w:rFonts w:ascii="宋体" w:hAnsi="宋体" w:cs="宋体"/>
                <w:color w:val="auto"/>
                <w:sz w:val="30"/>
                <w:szCs w:val="30"/>
                <w:highlight w:val="none"/>
              </w:rPr>
            </w:pPr>
          </w:p>
        </w:tc>
        <w:tc>
          <w:tcPr>
            <w:tcW w:w="880" w:type="dxa"/>
          </w:tcPr>
          <w:p w14:paraId="16D512A8">
            <w:pPr>
              <w:rPr>
                <w:rFonts w:ascii="宋体" w:hAnsi="宋体" w:cs="宋体"/>
                <w:color w:val="auto"/>
                <w:sz w:val="30"/>
                <w:szCs w:val="30"/>
                <w:highlight w:val="none"/>
              </w:rPr>
            </w:pPr>
          </w:p>
        </w:tc>
        <w:tc>
          <w:tcPr>
            <w:tcW w:w="1020" w:type="dxa"/>
          </w:tcPr>
          <w:p w14:paraId="48604F13">
            <w:pPr>
              <w:rPr>
                <w:rFonts w:ascii="宋体" w:hAnsi="宋体" w:cs="宋体"/>
                <w:color w:val="auto"/>
                <w:sz w:val="30"/>
                <w:szCs w:val="30"/>
                <w:highlight w:val="none"/>
              </w:rPr>
            </w:pPr>
          </w:p>
        </w:tc>
        <w:tc>
          <w:tcPr>
            <w:tcW w:w="1480" w:type="dxa"/>
          </w:tcPr>
          <w:p w14:paraId="2AE3D134">
            <w:pPr>
              <w:rPr>
                <w:rFonts w:ascii="宋体" w:hAnsi="宋体" w:cs="宋体"/>
                <w:color w:val="auto"/>
                <w:sz w:val="30"/>
                <w:szCs w:val="30"/>
                <w:highlight w:val="none"/>
              </w:rPr>
            </w:pPr>
          </w:p>
        </w:tc>
        <w:tc>
          <w:tcPr>
            <w:tcW w:w="962" w:type="dxa"/>
          </w:tcPr>
          <w:p w14:paraId="285A8A45">
            <w:pPr>
              <w:rPr>
                <w:rFonts w:ascii="宋体" w:hAnsi="宋体" w:cs="宋体"/>
                <w:color w:val="auto"/>
                <w:sz w:val="30"/>
                <w:szCs w:val="30"/>
                <w:highlight w:val="none"/>
              </w:rPr>
            </w:pPr>
          </w:p>
        </w:tc>
        <w:tc>
          <w:tcPr>
            <w:tcW w:w="979" w:type="dxa"/>
          </w:tcPr>
          <w:p w14:paraId="40902C2B">
            <w:pPr>
              <w:rPr>
                <w:rFonts w:ascii="宋体" w:hAnsi="宋体" w:cs="宋体"/>
                <w:color w:val="auto"/>
                <w:sz w:val="30"/>
                <w:szCs w:val="30"/>
                <w:highlight w:val="none"/>
              </w:rPr>
            </w:pPr>
          </w:p>
        </w:tc>
      </w:tr>
      <w:tr w14:paraId="62BA3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B27115">
            <w:pPr>
              <w:rPr>
                <w:rFonts w:ascii="宋体" w:hAnsi="宋体" w:cs="宋体"/>
                <w:color w:val="auto"/>
                <w:sz w:val="30"/>
                <w:szCs w:val="30"/>
                <w:highlight w:val="none"/>
              </w:rPr>
            </w:pPr>
          </w:p>
        </w:tc>
        <w:tc>
          <w:tcPr>
            <w:tcW w:w="1418" w:type="dxa"/>
          </w:tcPr>
          <w:p w14:paraId="6562DEE8">
            <w:pPr>
              <w:rPr>
                <w:rFonts w:ascii="宋体" w:hAnsi="宋体" w:cs="宋体"/>
                <w:color w:val="auto"/>
                <w:sz w:val="30"/>
                <w:szCs w:val="30"/>
                <w:highlight w:val="none"/>
              </w:rPr>
            </w:pPr>
          </w:p>
        </w:tc>
        <w:tc>
          <w:tcPr>
            <w:tcW w:w="850" w:type="dxa"/>
          </w:tcPr>
          <w:p w14:paraId="2C128A00">
            <w:pPr>
              <w:rPr>
                <w:rFonts w:ascii="宋体" w:hAnsi="宋体" w:cs="宋体"/>
                <w:color w:val="auto"/>
                <w:sz w:val="30"/>
                <w:szCs w:val="30"/>
                <w:highlight w:val="none"/>
              </w:rPr>
            </w:pPr>
          </w:p>
        </w:tc>
        <w:tc>
          <w:tcPr>
            <w:tcW w:w="1058" w:type="dxa"/>
          </w:tcPr>
          <w:p w14:paraId="0FCCE97E">
            <w:pPr>
              <w:rPr>
                <w:rFonts w:ascii="宋体" w:hAnsi="宋体" w:cs="宋体"/>
                <w:color w:val="auto"/>
                <w:sz w:val="30"/>
                <w:szCs w:val="30"/>
                <w:highlight w:val="none"/>
              </w:rPr>
            </w:pPr>
          </w:p>
        </w:tc>
        <w:tc>
          <w:tcPr>
            <w:tcW w:w="880" w:type="dxa"/>
          </w:tcPr>
          <w:p w14:paraId="4B0B357E">
            <w:pPr>
              <w:rPr>
                <w:rFonts w:ascii="宋体" w:hAnsi="宋体" w:cs="宋体"/>
                <w:color w:val="auto"/>
                <w:sz w:val="30"/>
                <w:szCs w:val="30"/>
                <w:highlight w:val="none"/>
              </w:rPr>
            </w:pPr>
          </w:p>
        </w:tc>
        <w:tc>
          <w:tcPr>
            <w:tcW w:w="1020" w:type="dxa"/>
          </w:tcPr>
          <w:p w14:paraId="0C456A9A">
            <w:pPr>
              <w:rPr>
                <w:rFonts w:ascii="宋体" w:hAnsi="宋体" w:cs="宋体"/>
                <w:color w:val="auto"/>
                <w:sz w:val="30"/>
                <w:szCs w:val="30"/>
                <w:highlight w:val="none"/>
              </w:rPr>
            </w:pPr>
          </w:p>
        </w:tc>
        <w:tc>
          <w:tcPr>
            <w:tcW w:w="1480" w:type="dxa"/>
          </w:tcPr>
          <w:p w14:paraId="58FCCE92">
            <w:pPr>
              <w:rPr>
                <w:rFonts w:ascii="宋体" w:hAnsi="宋体" w:cs="宋体"/>
                <w:color w:val="auto"/>
                <w:sz w:val="30"/>
                <w:szCs w:val="30"/>
                <w:highlight w:val="none"/>
              </w:rPr>
            </w:pPr>
          </w:p>
        </w:tc>
        <w:tc>
          <w:tcPr>
            <w:tcW w:w="962" w:type="dxa"/>
          </w:tcPr>
          <w:p w14:paraId="4187B8A1">
            <w:pPr>
              <w:rPr>
                <w:rFonts w:ascii="宋体" w:hAnsi="宋体" w:cs="宋体"/>
                <w:color w:val="auto"/>
                <w:sz w:val="30"/>
                <w:szCs w:val="30"/>
                <w:highlight w:val="none"/>
              </w:rPr>
            </w:pPr>
          </w:p>
        </w:tc>
        <w:tc>
          <w:tcPr>
            <w:tcW w:w="979" w:type="dxa"/>
          </w:tcPr>
          <w:p w14:paraId="7C692C15">
            <w:pPr>
              <w:rPr>
                <w:rFonts w:ascii="宋体" w:hAnsi="宋体" w:cs="宋体"/>
                <w:color w:val="auto"/>
                <w:sz w:val="30"/>
                <w:szCs w:val="30"/>
                <w:highlight w:val="none"/>
              </w:rPr>
            </w:pPr>
          </w:p>
        </w:tc>
      </w:tr>
      <w:tr w14:paraId="1C043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9EC101C">
            <w:pPr>
              <w:rPr>
                <w:rFonts w:ascii="宋体" w:hAnsi="宋体" w:cs="宋体"/>
                <w:color w:val="auto"/>
                <w:sz w:val="30"/>
                <w:szCs w:val="30"/>
                <w:highlight w:val="none"/>
              </w:rPr>
            </w:pPr>
          </w:p>
        </w:tc>
        <w:tc>
          <w:tcPr>
            <w:tcW w:w="1418" w:type="dxa"/>
          </w:tcPr>
          <w:p w14:paraId="63E29152">
            <w:pPr>
              <w:rPr>
                <w:rFonts w:ascii="宋体" w:hAnsi="宋体" w:cs="宋体"/>
                <w:color w:val="auto"/>
                <w:sz w:val="30"/>
                <w:szCs w:val="30"/>
                <w:highlight w:val="none"/>
              </w:rPr>
            </w:pPr>
          </w:p>
        </w:tc>
        <w:tc>
          <w:tcPr>
            <w:tcW w:w="850" w:type="dxa"/>
          </w:tcPr>
          <w:p w14:paraId="63CD8824">
            <w:pPr>
              <w:rPr>
                <w:rFonts w:ascii="宋体" w:hAnsi="宋体" w:cs="宋体"/>
                <w:color w:val="auto"/>
                <w:sz w:val="30"/>
                <w:szCs w:val="30"/>
                <w:highlight w:val="none"/>
              </w:rPr>
            </w:pPr>
          </w:p>
        </w:tc>
        <w:tc>
          <w:tcPr>
            <w:tcW w:w="1058" w:type="dxa"/>
          </w:tcPr>
          <w:p w14:paraId="41835C7A">
            <w:pPr>
              <w:rPr>
                <w:rFonts w:ascii="宋体" w:hAnsi="宋体" w:cs="宋体"/>
                <w:color w:val="auto"/>
                <w:sz w:val="30"/>
                <w:szCs w:val="30"/>
                <w:highlight w:val="none"/>
              </w:rPr>
            </w:pPr>
          </w:p>
        </w:tc>
        <w:tc>
          <w:tcPr>
            <w:tcW w:w="880" w:type="dxa"/>
          </w:tcPr>
          <w:p w14:paraId="162506A3">
            <w:pPr>
              <w:rPr>
                <w:rFonts w:ascii="宋体" w:hAnsi="宋体" w:cs="宋体"/>
                <w:color w:val="auto"/>
                <w:sz w:val="30"/>
                <w:szCs w:val="30"/>
                <w:highlight w:val="none"/>
              </w:rPr>
            </w:pPr>
          </w:p>
        </w:tc>
        <w:tc>
          <w:tcPr>
            <w:tcW w:w="1020" w:type="dxa"/>
          </w:tcPr>
          <w:p w14:paraId="1479267C">
            <w:pPr>
              <w:rPr>
                <w:rFonts w:ascii="宋体" w:hAnsi="宋体" w:cs="宋体"/>
                <w:color w:val="auto"/>
                <w:sz w:val="30"/>
                <w:szCs w:val="30"/>
                <w:highlight w:val="none"/>
              </w:rPr>
            </w:pPr>
          </w:p>
        </w:tc>
        <w:tc>
          <w:tcPr>
            <w:tcW w:w="1480" w:type="dxa"/>
          </w:tcPr>
          <w:p w14:paraId="2249FED2">
            <w:pPr>
              <w:rPr>
                <w:rFonts w:ascii="宋体" w:hAnsi="宋体" w:cs="宋体"/>
                <w:color w:val="auto"/>
                <w:sz w:val="30"/>
                <w:szCs w:val="30"/>
                <w:highlight w:val="none"/>
              </w:rPr>
            </w:pPr>
          </w:p>
        </w:tc>
        <w:tc>
          <w:tcPr>
            <w:tcW w:w="962" w:type="dxa"/>
          </w:tcPr>
          <w:p w14:paraId="3FF62E40">
            <w:pPr>
              <w:rPr>
                <w:rFonts w:ascii="宋体" w:hAnsi="宋体" w:cs="宋体"/>
                <w:color w:val="auto"/>
                <w:sz w:val="30"/>
                <w:szCs w:val="30"/>
                <w:highlight w:val="none"/>
              </w:rPr>
            </w:pPr>
          </w:p>
        </w:tc>
        <w:tc>
          <w:tcPr>
            <w:tcW w:w="979" w:type="dxa"/>
          </w:tcPr>
          <w:p w14:paraId="7768967C">
            <w:pPr>
              <w:rPr>
                <w:rFonts w:ascii="宋体" w:hAnsi="宋体" w:cs="宋体"/>
                <w:color w:val="auto"/>
                <w:sz w:val="30"/>
                <w:szCs w:val="30"/>
                <w:highlight w:val="none"/>
              </w:rPr>
            </w:pPr>
          </w:p>
        </w:tc>
      </w:tr>
      <w:tr w14:paraId="235EA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E979DD7">
            <w:pPr>
              <w:rPr>
                <w:rFonts w:ascii="宋体" w:hAnsi="宋体" w:cs="宋体"/>
                <w:color w:val="auto"/>
                <w:sz w:val="30"/>
                <w:szCs w:val="30"/>
                <w:highlight w:val="none"/>
              </w:rPr>
            </w:pPr>
          </w:p>
        </w:tc>
        <w:tc>
          <w:tcPr>
            <w:tcW w:w="1418" w:type="dxa"/>
          </w:tcPr>
          <w:p w14:paraId="35518BF6">
            <w:pPr>
              <w:rPr>
                <w:rFonts w:ascii="宋体" w:hAnsi="宋体" w:cs="宋体"/>
                <w:color w:val="auto"/>
                <w:sz w:val="30"/>
                <w:szCs w:val="30"/>
                <w:highlight w:val="none"/>
              </w:rPr>
            </w:pPr>
          </w:p>
        </w:tc>
        <w:tc>
          <w:tcPr>
            <w:tcW w:w="850" w:type="dxa"/>
          </w:tcPr>
          <w:p w14:paraId="7001C68F">
            <w:pPr>
              <w:rPr>
                <w:rFonts w:ascii="宋体" w:hAnsi="宋体" w:cs="宋体"/>
                <w:color w:val="auto"/>
                <w:sz w:val="30"/>
                <w:szCs w:val="30"/>
                <w:highlight w:val="none"/>
              </w:rPr>
            </w:pPr>
          </w:p>
        </w:tc>
        <w:tc>
          <w:tcPr>
            <w:tcW w:w="1058" w:type="dxa"/>
          </w:tcPr>
          <w:p w14:paraId="5BCF50DA">
            <w:pPr>
              <w:rPr>
                <w:rFonts w:ascii="宋体" w:hAnsi="宋体" w:cs="宋体"/>
                <w:color w:val="auto"/>
                <w:sz w:val="30"/>
                <w:szCs w:val="30"/>
                <w:highlight w:val="none"/>
              </w:rPr>
            </w:pPr>
          </w:p>
        </w:tc>
        <w:tc>
          <w:tcPr>
            <w:tcW w:w="880" w:type="dxa"/>
          </w:tcPr>
          <w:p w14:paraId="6FB499CE">
            <w:pPr>
              <w:rPr>
                <w:rFonts w:ascii="宋体" w:hAnsi="宋体" w:cs="宋体"/>
                <w:color w:val="auto"/>
                <w:sz w:val="30"/>
                <w:szCs w:val="30"/>
                <w:highlight w:val="none"/>
              </w:rPr>
            </w:pPr>
          </w:p>
        </w:tc>
        <w:tc>
          <w:tcPr>
            <w:tcW w:w="1020" w:type="dxa"/>
          </w:tcPr>
          <w:p w14:paraId="4AD6CD91">
            <w:pPr>
              <w:rPr>
                <w:rFonts w:ascii="宋体" w:hAnsi="宋体" w:cs="宋体"/>
                <w:color w:val="auto"/>
                <w:sz w:val="30"/>
                <w:szCs w:val="30"/>
                <w:highlight w:val="none"/>
              </w:rPr>
            </w:pPr>
          </w:p>
        </w:tc>
        <w:tc>
          <w:tcPr>
            <w:tcW w:w="1480" w:type="dxa"/>
          </w:tcPr>
          <w:p w14:paraId="3C7159BC">
            <w:pPr>
              <w:rPr>
                <w:rFonts w:ascii="宋体" w:hAnsi="宋体" w:cs="宋体"/>
                <w:color w:val="auto"/>
                <w:sz w:val="30"/>
                <w:szCs w:val="30"/>
                <w:highlight w:val="none"/>
              </w:rPr>
            </w:pPr>
          </w:p>
        </w:tc>
        <w:tc>
          <w:tcPr>
            <w:tcW w:w="962" w:type="dxa"/>
          </w:tcPr>
          <w:p w14:paraId="0D6B259E">
            <w:pPr>
              <w:rPr>
                <w:rFonts w:ascii="宋体" w:hAnsi="宋体" w:cs="宋体"/>
                <w:color w:val="auto"/>
                <w:sz w:val="30"/>
                <w:szCs w:val="30"/>
                <w:highlight w:val="none"/>
              </w:rPr>
            </w:pPr>
          </w:p>
        </w:tc>
        <w:tc>
          <w:tcPr>
            <w:tcW w:w="979" w:type="dxa"/>
          </w:tcPr>
          <w:p w14:paraId="0FBC92BC">
            <w:pPr>
              <w:rPr>
                <w:rFonts w:ascii="宋体" w:hAnsi="宋体" w:cs="宋体"/>
                <w:color w:val="auto"/>
                <w:sz w:val="30"/>
                <w:szCs w:val="30"/>
                <w:highlight w:val="none"/>
              </w:rPr>
            </w:pPr>
          </w:p>
        </w:tc>
      </w:tr>
      <w:tr w14:paraId="1AA00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A6B2D1A">
            <w:pPr>
              <w:rPr>
                <w:rFonts w:ascii="宋体" w:hAnsi="宋体" w:cs="宋体"/>
                <w:color w:val="auto"/>
                <w:sz w:val="30"/>
                <w:szCs w:val="30"/>
                <w:highlight w:val="none"/>
              </w:rPr>
            </w:pPr>
          </w:p>
        </w:tc>
        <w:tc>
          <w:tcPr>
            <w:tcW w:w="1418" w:type="dxa"/>
          </w:tcPr>
          <w:p w14:paraId="68BDC39C">
            <w:pPr>
              <w:rPr>
                <w:rFonts w:ascii="宋体" w:hAnsi="宋体" w:cs="宋体"/>
                <w:color w:val="auto"/>
                <w:sz w:val="30"/>
                <w:szCs w:val="30"/>
                <w:highlight w:val="none"/>
              </w:rPr>
            </w:pPr>
          </w:p>
        </w:tc>
        <w:tc>
          <w:tcPr>
            <w:tcW w:w="850" w:type="dxa"/>
          </w:tcPr>
          <w:p w14:paraId="4C7C7316">
            <w:pPr>
              <w:rPr>
                <w:rFonts w:ascii="宋体" w:hAnsi="宋体" w:cs="宋体"/>
                <w:color w:val="auto"/>
                <w:sz w:val="30"/>
                <w:szCs w:val="30"/>
                <w:highlight w:val="none"/>
              </w:rPr>
            </w:pPr>
          </w:p>
        </w:tc>
        <w:tc>
          <w:tcPr>
            <w:tcW w:w="1058" w:type="dxa"/>
          </w:tcPr>
          <w:p w14:paraId="6BD6D95D">
            <w:pPr>
              <w:rPr>
                <w:rFonts w:ascii="宋体" w:hAnsi="宋体" w:cs="宋体"/>
                <w:color w:val="auto"/>
                <w:sz w:val="30"/>
                <w:szCs w:val="30"/>
                <w:highlight w:val="none"/>
              </w:rPr>
            </w:pPr>
          </w:p>
        </w:tc>
        <w:tc>
          <w:tcPr>
            <w:tcW w:w="880" w:type="dxa"/>
          </w:tcPr>
          <w:p w14:paraId="415AB0CC">
            <w:pPr>
              <w:rPr>
                <w:rFonts w:ascii="宋体" w:hAnsi="宋体" w:cs="宋体"/>
                <w:color w:val="auto"/>
                <w:sz w:val="30"/>
                <w:szCs w:val="30"/>
                <w:highlight w:val="none"/>
              </w:rPr>
            </w:pPr>
          </w:p>
        </w:tc>
        <w:tc>
          <w:tcPr>
            <w:tcW w:w="1020" w:type="dxa"/>
          </w:tcPr>
          <w:p w14:paraId="53EAC2EF">
            <w:pPr>
              <w:rPr>
                <w:rFonts w:ascii="宋体" w:hAnsi="宋体" w:cs="宋体"/>
                <w:color w:val="auto"/>
                <w:sz w:val="30"/>
                <w:szCs w:val="30"/>
                <w:highlight w:val="none"/>
              </w:rPr>
            </w:pPr>
          </w:p>
        </w:tc>
        <w:tc>
          <w:tcPr>
            <w:tcW w:w="1480" w:type="dxa"/>
          </w:tcPr>
          <w:p w14:paraId="44B65676">
            <w:pPr>
              <w:rPr>
                <w:rFonts w:ascii="宋体" w:hAnsi="宋体" w:cs="宋体"/>
                <w:color w:val="auto"/>
                <w:sz w:val="30"/>
                <w:szCs w:val="30"/>
                <w:highlight w:val="none"/>
              </w:rPr>
            </w:pPr>
          </w:p>
        </w:tc>
        <w:tc>
          <w:tcPr>
            <w:tcW w:w="962" w:type="dxa"/>
          </w:tcPr>
          <w:p w14:paraId="65A16A9A">
            <w:pPr>
              <w:rPr>
                <w:rFonts w:ascii="宋体" w:hAnsi="宋体" w:cs="宋体"/>
                <w:color w:val="auto"/>
                <w:sz w:val="30"/>
                <w:szCs w:val="30"/>
                <w:highlight w:val="none"/>
              </w:rPr>
            </w:pPr>
          </w:p>
        </w:tc>
        <w:tc>
          <w:tcPr>
            <w:tcW w:w="979" w:type="dxa"/>
          </w:tcPr>
          <w:p w14:paraId="26296EF9">
            <w:pPr>
              <w:rPr>
                <w:rFonts w:ascii="宋体" w:hAnsi="宋体" w:cs="宋体"/>
                <w:color w:val="auto"/>
                <w:sz w:val="30"/>
                <w:szCs w:val="30"/>
                <w:highlight w:val="none"/>
              </w:rPr>
            </w:pPr>
          </w:p>
        </w:tc>
      </w:tr>
      <w:tr w14:paraId="59EEA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F8B3BD5">
            <w:pPr>
              <w:rPr>
                <w:rFonts w:ascii="宋体" w:hAnsi="宋体" w:cs="宋体"/>
                <w:color w:val="auto"/>
                <w:sz w:val="30"/>
                <w:szCs w:val="30"/>
                <w:highlight w:val="none"/>
              </w:rPr>
            </w:pPr>
          </w:p>
        </w:tc>
        <w:tc>
          <w:tcPr>
            <w:tcW w:w="1418" w:type="dxa"/>
          </w:tcPr>
          <w:p w14:paraId="261EA24E">
            <w:pPr>
              <w:rPr>
                <w:rFonts w:ascii="宋体" w:hAnsi="宋体" w:cs="宋体"/>
                <w:color w:val="auto"/>
                <w:sz w:val="30"/>
                <w:szCs w:val="30"/>
                <w:highlight w:val="none"/>
              </w:rPr>
            </w:pPr>
          </w:p>
        </w:tc>
        <w:tc>
          <w:tcPr>
            <w:tcW w:w="850" w:type="dxa"/>
          </w:tcPr>
          <w:p w14:paraId="0AAD10AB">
            <w:pPr>
              <w:rPr>
                <w:rFonts w:ascii="宋体" w:hAnsi="宋体" w:cs="宋体"/>
                <w:color w:val="auto"/>
                <w:sz w:val="30"/>
                <w:szCs w:val="30"/>
                <w:highlight w:val="none"/>
              </w:rPr>
            </w:pPr>
          </w:p>
        </w:tc>
        <w:tc>
          <w:tcPr>
            <w:tcW w:w="1058" w:type="dxa"/>
          </w:tcPr>
          <w:p w14:paraId="0065E07A">
            <w:pPr>
              <w:rPr>
                <w:rFonts w:ascii="宋体" w:hAnsi="宋体" w:cs="宋体"/>
                <w:color w:val="auto"/>
                <w:sz w:val="30"/>
                <w:szCs w:val="30"/>
                <w:highlight w:val="none"/>
              </w:rPr>
            </w:pPr>
          </w:p>
        </w:tc>
        <w:tc>
          <w:tcPr>
            <w:tcW w:w="880" w:type="dxa"/>
          </w:tcPr>
          <w:p w14:paraId="0D22671A">
            <w:pPr>
              <w:rPr>
                <w:rFonts w:ascii="宋体" w:hAnsi="宋体" w:cs="宋体"/>
                <w:color w:val="auto"/>
                <w:sz w:val="30"/>
                <w:szCs w:val="30"/>
                <w:highlight w:val="none"/>
              </w:rPr>
            </w:pPr>
          </w:p>
        </w:tc>
        <w:tc>
          <w:tcPr>
            <w:tcW w:w="1020" w:type="dxa"/>
          </w:tcPr>
          <w:p w14:paraId="72430E86">
            <w:pPr>
              <w:rPr>
                <w:rFonts w:ascii="宋体" w:hAnsi="宋体" w:cs="宋体"/>
                <w:color w:val="auto"/>
                <w:sz w:val="30"/>
                <w:szCs w:val="30"/>
                <w:highlight w:val="none"/>
              </w:rPr>
            </w:pPr>
          </w:p>
        </w:tc>
        <w:tc>
          <w:tcPr>
            <w:tcW w:w="1480" w:type="dxa"/>
          </w:tcPr>
          <w:p w14:paraId="2AB16B6B">
            <w:pPr>
              <w:rPr>
                <w:rFonts w:ascii="宋体" w:hAnsi="宋体" w:cs="宋体"/>
                <w:color w:val="auto"/>
                <w:sz w:val="30"/>
                <w:szCs w:val="30"/>
                <w:highlight w:val="none"/>
              </w:rPr>
            </w:pPr>
          </w:p>
        </w:tc>
        <w:tc>
          <w:tcPr>
            <w:tcW w:w="962" w:type="dxa"/>
          </w:tcPr>
          <w:p w14:paraId="590E6394">
            <w:pPr>
              <w:rPr>
                <w:rFonts w:ascii="宋体" w:hAnsi="宋体" w:cs="宋体"/>
                <w:color w:val="auto"/>
                <w:sz w:val="30"/>
                <w:szCs w:val="30"/>
                <w:highlight w:val="none"/>
              </w:rPr>
            </w:pPr>
          </w:p>
        </w:tc>
        <w:tc>
          <w:tcPr>
            <w:tcW w:w="979" w:type="dxa"/>
          </w:tcPr>
          <w:p w14:paraId="708F2E8E">
            <w:pPr>
              <w:rPr>
                <w:rFonts w:ascii="宋体" w:hAnsi="宋体" w:cs="宋体"/>
                <w:color w:val="auto"/>
                <w:sz w:val="30"/>
                <w:szCs w:val="30"/>
                <w:highlight w:val="none"/>
              </w:rPr>
            </w:pPr>
          </w:p>
        </w:tc>
      </w:tr>
      <w:tr w14:paraId="1B138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846E59A">
            <w:pPr>
              <w:rPr>
                <w:rFonts w:ascii="宋体" w:hAnsi="宋体" w:cs="宋体"/>
                <w:color w:val="auto"/>
                <w:sz w:val="30"/>
                <w:szCs w:val="30"/>
                <w:highlight w:val="none"/>
              </w:rPr>
            </w:pPr>
          </w:p>
        </w:tc>
        <w:tc>
          <w:tcPr>
            <w:tcW w:w="1418" w:type="dxa"/>
          </w:tcPr>
          <w:p w14:paraId="016D14AA">
            <w:pPr>
              <w:rPr>
                <w:rFonts w:ascii="宋体" w:hAnsi="宋体" w:cs="宋体"/>
                <w:color w:val="auto"/>
                <w:sz w:val="30"/>
                <w:szCs w:val="30"/>
                <w:highlight w:val="none"/>
              </w:rPr>
            </w:pPr>
          </w:p>
        </w:tc>
        <w:tc>
          <w:tcPr>
            <w:tcW w:w="850" w:type="dxa"/>
          </w:tcPr>
          <w:p w14:paraId="2F2885D3">
            <w:pPr>
              <w:rPr>
                <w:rFonts w:ascii="宋体" w:hAnsi="宋体" w:cs="宋体"/>
                <w:color w:val="auto"/>
                <w:sz w:val="30"/>
                <w:szCs w:val="30"/>
                <w:highlight w:val="none"/>
              </w:rPr>
            </w:pPr>
          </w:p>
        </w:tc>
        <w:tc>
          <w:tcPr>
            <w:tcW w:w="1058" w:type="dxa"/>
          </w:tcPr>
          <w:p w14:paraId="37D96959">
            <w:pPr>
              <w:rPr>
                <w:rFonts w:ascii="宋体" w:hAnsi="宋体" w:cs="宋体"/>
                <w:color w:val="auto"/>
                <w:sz w:val="30"/>
                <w:szCs w:val="30"/>
                <w:highlight w:val="none"/>
              </w:rPr>
            </w:pPr>
          </w:p>
        </w:tc>
        <w:tc>
          <w:tcPr>
            <w:tcW w:w="880" w:type="dxa"/>
          </w:tcPr>
          <w:p w14:paraId="256C92C9">
            <w:pPr>
              <w:rPr>
                <w:rFonts w:ascii="宋体" w:hAnsi="宋体" w:cs="宋体"/>
                <w:color w:val="auto"/>
                <w:sz w:val="30"/>
                <w:szCs w:val="30"/>
                <w:highlight w:val="none"/>
              </w:rPr>
            </w:pPr>
          </w:p>
        </w:tc>
        <w:tc>
          <w:tcPr>
            <w:tcW w:w="1020" w:type="dxa"/>
          </w:tcPr>
          <w:p w14:paraId="42003F19">
            <w:pPr>
              <w:rPr>
                <w:rFonts w:ascii="宋体" w:hAnsi="宋体" w:cs="宋体"/>
                <w:color w:val="auto"/>
                <w:sz w:val="30"/>
                <w:szCs w:val="30"/>
                <w:highlight w:val="none"/>
              </w:rPr>
            </w:pPr>
          </w:p>
        </w:tc>
        <w:tc>
          <w:tcPr>
            <w:tcW w:w="1480" w:type="dxa"/>
          </w:tcPr>
          <w:p w14:paraId="76924090">
            <w:pPr>
              <w:rPr>
                <w:rFonts w:ascii="宋体" w:hAnsi="宋体" w:cs="宋体"/>
                <w:color w:val="auto"/>
                <w:sz w:val="30"/>
                <w:szCs w:val="30"/>
                <w:highlight w:val="none"/>
              </w:rPr>
            </w:pPr>
          </w:p>
        </w:tc>
        <w:tc>
          <w:tcPr>
            <w:tcW w:w="962" w:type="dxa"/>
          </w:tcPr>
          <w:p w14:paraId="32E14B65">
            <w:pPr>
              <w:rPr>
                <w:rFonts w:ascii="宋体" w:hAnsi="宋体" w:cs="宋体"/>
                <w:color w:val="auto"/>
                <w:sz w:val="30"/>
                <w:szCs w:val="30"/>
                <w:highlight w:val="none"/>
              </w:rPr>
            </w:pPr>
          </w:p>
        </w:tc>
        <w:tc>
          <w:tcPr>
            <w:tcW w:w="979" w:type="dxa"/>
          </w:tcPr>
          <w:p w14:paraId="49536929">
            <w:pPr>
              <w:rPr>
                <w:rFonts w:ascii="宋体" w:hAnsi="宋体" w:cs="宋体"/>
                <w:color w:val="auto"/>
                <w:sz w:val="30"/>
                <w:szCs w:val="30"/>
                <w:highlight w:val="none"/>
              </w:rPr>
            </w:pPr>
          </w:p>
        </w:tc>
      </w:tr>
    </w:tbl>
    <w:p w14:paraId="72248D4E">
      <w:pPr>
        <w:rPr>
          <w:rFonts w:ascii="宋体" w:hAnsi="宋体" w:cs="宋体"/>
          <w:bCs/>
          <w:color w:val="auto"/>
          <w:highlight w:val="none"/>
        </w:rPr>
        <w:sectPr>
          <w:pgSz w:w="11906" w:h="16838"/>
          <w:pgMar w:top="1440" w:right="1080" w:bottom="1440" w:left="1080" w:header="851" w:footer="992" w:gutter="0"/>
          <w:pgNumType w:fmt="decimal"/>
          <w:cols w:space="720" w:num="1"/>
          <w:docGrid w:type="lines" w:linePitch="312" w:charSpace="0"/>
        </w:sectPr>
      </w:pPr>
    </w:p>
    <w:p w14:paraId="3B6F2AEE">
      <w:pPr>
        <w:spacing w:line="440" w:lineRule="exact"/>
        <w:jc w:val="left"/>
        <w:rPr>
          <w:rFonts w:ascii="宋体" w:hAnsi="宋体" w:cs="宋体"/>
          <w:color w:val="auto"/>
          <w:sz w:val="30"/>
          <w:szCs w:val="30"/>
          <w:highlight w:val="none"/>
        </w:rPr>
      </w:pPr>
      <w:r>
        <w:rPr>
          <w:rFonts w:hint="eastAsia" w:ascii="宋体" w:hAnsi="宋体" w:cs="宋体"/>
          <w:color w:val="auto"/>
          <w:sz w:val="30"/>
          <w:szCs w:val="30"/>
          <w:highlight w:val="none"/>
        </w:rPr>
        <w:t>附</w:t>
      </w:r>
      <w:bookmarkStart w:id="1711" w:name="_Toc296944567"/>
      <w:bookmarkStart w:id="1712" w:name="_Toc267261699"/>
      <w:bookmarkStart w:id="1713" w:name="_Toc296503228"/>
      <w:bookmarkStart w:id="1714" w:name="_Toc296347227"/>
      <w:bookmarkStart w:id="1715" w:name="_Toc296891268"/>
      <w:bookmarkStart w:id="1716" w:name="_Toc296346729"/>
      <w:bookmarkStart w:id="1717" w:name="_Toc296891056"/>
      <w:r>
        <w:rPr>
          <w:rFonts w:hint="eastAsia" w:ascii="宋体" w:hAnsi="宋体" w:cs="宋体"/>
          <w:color w:val="auto"/>
          <w:sz w:val="30"/>
          <w:szCs w:val="30"/>
          <w:highlight w:val="none"/>
        </w:rPr>
        <w:t>件4：</w:t>
      </w:r>
    </w:p>
    <w:bookmarkEnd w:id="1711"/>
    <w:bookmarkEnd w:id="1712"/>
    <w:bookmarkEnd w:id="1713"/>
    <w:bookmarkEnd w:id="1714"/>
    <w:bookmarkEnd w:id="1715"/>
    <w:bookmarkEnd w:id="1716"/>
    <w:bookmarkEnd w:id="1717"/>
    <w:p w14:paraId="2CA8E013">
      <w:pPr>
        <w:spacing w:before="156" w:beforeLines="50" w:after="156" w:afterLines="50" w:line="44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承包人主要施工管理人员表</w:t>
      </w:r>
    </w:p>
    <w:tbl>
      <w:tblPr>
        <w:tblStyle w:val="24"/>
        <w:tblW w:w="97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11"/>
        <w:gridCol w:w="1418"/>
        <w:gridCol w:w="1436"/>
        <w:gridCol w:w="1020"/>
        <w:gridCol w:w="2043"/>
        <w:gridCol w:w="2231"/>
      </w:tblGrid>
      <w:tr w14:paraId="64E10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12" w:space="0"/>
              <w:bottom w:val="double" w:color="auto" w:sz="6" w:space="0"/>
            </w:tcBorders>
            <w:vAlign w:val="center"/>
          </w:tcPr>
          <w:p w14:paraId="39036C0E">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bottom w:val="double" w:color="auto" w:sz="6" w:space="0"/>
            </w:tcBorders>
            <w:vAlign w:val="center"/>
          </w:tcPr>
          <w:p w14:paraId="74D4EC3A">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姓名</w:t>
            </w:r>
          </w:p>
        </w:tc>
        <w:tc>
          <w:tcPr>
            <w:tcW w:w="1436" w:type="dxa"/>
            <w:tcBorders>
              <w:top w:val="single" w:color="auto" w:sz="12" w:space="0"/>
              <w:bottom w:val="double" w:color="auto" w:sz="6" w:space="0"/>
            </w:tcBorders>
            <w:vAlign w:val="center"/>
          </w:tcPr>
          <w:p w14:paraId="7A77279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职务</w:t>
            </w:r>
          </w:p>
        </w:tc>
        <w:tc>
          <w:tcPr>
            <w:tcW w:w="1020" w:type="dxa"/>
            <w:tcBorders>
              <w:top w:val="single" w:color="auto" w:sz="12" w:space="0"/>
              <w:bottom w:val="double" w:color="auto" w:sz="6" w:space="0"/>
            </w:tcBorders>
            <w:vAlign w:val="center"/>
          </w:tcPr>
          <w:p w14:paraId="001C80DA">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职称</w:t>
            </w:r>
          </w:p>
        </w:tc>
        <w:tc>
          <w:tcPr>
            <w:tcW w:w="2043" w:type="dxa"/>
            <w:tcBorders>
              <w:top w:val="single" w:color="auto" w:sz="12" w:space="0"/>
              <w:bottom w:val="double" w:color="auto" w:sz="6" w:space="0"/>
            </w:tcBorders>
            <w:vAlign w:val="center"/>
          </w:tcPr>
          <w:p w14:paraId="2D855FF1">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主要资历、经验及承担过的项目</w:t>
            </w:r>
          </w:p>
        </w:tc>
        <w:tc>
          <w:tcPr>
            <w:tcW w:w="2231" w:type="dxa"/>
            <w:tcBorders>
              <w:top w:val="single" w:color="auto" w:sz="12" w:space="0"/>
              <w:bottom w:val="double" w:color="auto" w:sz="6" w:space="0"/>
            </w:tcBorders>
            <w:vAlign w:val="center"/>
          </w:tcPr>
          <w:p w14:paraId="14B686D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联系电话（手机号码）</w:t>
            </w:r>
          </w:p>
        </w:tc>
      </w:tr>
      <w:tr w14:paraId="71578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28" w:type="dxa"/>
            <w:gridSpan w:val="5"/>
            <w:tcBorders>
              <w:top w:val="double" w:color="auto" w:sz="6" w:space="0"/>
              <w:bottom w:val="single" w:color="auto" w:sz="6" w:space="0"/>
            </w:tcBorders>
            <w:vAlign w:val="center"/>
          </w:tcPr>
          <w:p w14:paraId="4A8B547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一、总部人员</w:t>
            </w:r>
          </w:p>
        </w:tc>
        <w:tc>
          <w:tcPr>
            <w:tcW w:w="2231" w:type="dxa"/>
            <w:tcBorders>
              <w:top w:val="double" w:color="auto" w:sz="6" w:space="0"/>
              <w:bottom w:val="single" w:color="auto" w:sz="6" w:space="0"/>
            </w:tcBorders>
            <w:vAlign w:val="center"/>
          </w:tcPr>
          <w:p w14:paraId="69F567CD">
            <w:pPr>
              <w:pStyle w:val="11"/>
              <w:keepNext/>
              <w:spacing w:after="0" w:line="440" w:lineRule="exact"/>
              <w:ind w:left="63" w:right="63"/>
              <w:rPr>
                <w:rFonts w:ascii="宋体" w:hAnsi="宋体" w:cs="宋体"/>
                <w:color w:val="auto"/>
                <w:sz w:val="24"/>
                <w:highlight w:val="none"/>
              </w:rPr>
            </w:pPr>
          </w:p>
        </w:tc>
      </w:tr>
      <w:tr w14:paraId="0BCC0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nil"/>
              <w:bottom w:val="nil"/>
            </w:tcBorders>
            <w:vAlign w:val="center"/>
          </w:tcPr>
          <w:p w14:paraId="76EEE591">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tcBorders>
            <w:vAlign w:val="center"/>
          </w:tcPr>
          <w:p w14:paraId="4DB72D39">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何剑</w:t>
            </w:r>
          </w:p>
        </w:tc>
        <w:tc>
          <w:tcPr>
            <w:tcW w:w="1436" w:type="dxa"/>
            <w:tcBorders>
              <w:top w:val="nil"/>
            </w:tcBorders>
            <w:vAlign w:val="center"/>
          </w:tcPr>
          <w:p w14:paraId="4640B2C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法定代表人</w:t>
            </w:r>
          </w:p>
        </w:tc>
        <w:tc>
          <w:tcPr>
            <w:tcW w:w="1020" w:type="dxa"/>
            <w:tcBorders>
              <w:top w:val="nil"/>
            </w:tcBorders>
            <w:vAlign w:val="center"/>
          </w:tcPr>
          <w:p w14:paraId="507B240F">
            <w:pPr>
              <w:pStyle w:val="11"/>
              <w:keepNext/>
              <w:spacing w:after="0" w:line="440" w:lineRule="exact"/>
              <w:ind w:left="63" w:right="63"/>
              <w:rPr>
                <w:rFonts w:ascii="宋体" w:hAnsi="宋体" w:cs="宋体"/>
                <w:color w:val="auto"/>
                <w:sz w:val="24"/>
                <w:highlight w:val="none"/>
              </w:rPr>
            </w:pPr>
          </w:p>
        </w:tc>
        <w:tc>
          <w:tcPr>
            <w:tcW w:w="2043" w:type="dxa"/>
            <w:tcBorders>
              <w:top w:val="nil"/>
            </w:tcBorders>
            <w:vAlign w:val="center"/>
          </w:tcPr>
          <w:p w14:paraId="449BF478">
            <w:pPr>
              <w:pStyle w:val="11"/>
              <w:keepNext/>
              <w:spacing w:after="0" w:line="440" w:lineRule="exact"/>
              <w:ind w:left="63" w:right="63"/>
              <w:rPr>
                <w:rFonts w:ascii="宋体" w:hAnsi="宋体" w:cs="宋体"/>
                <w:color w:val="auto"/>
                <w:sz w:val="24"/>
                <w:highlight w:val="none"/>
              </w:rPr>
            </w:pPr>
          </w:p>
        </w:tc>
        <w:tc>
          <w:tcPr>
            <w:tcW w:w="2231" w:type="dxa"/>
            <w:tcBorders>
              <w:top w:val="nil"/>
            </w:tcBorders>
            <w:vAlign w:val="center"/>
          </w:tcPr>
          <w:p w14:paraId="2A80F691">
            <w:pPr>
              <w:pStyle w:val="11"/>
              <w:keepNext/>
              <w:spacing w:after="0" w:line="440" w:lineRule="exact"/>
              <w:ind w:left="63" w:right="63"/>
              <w:rPr>
                <w:rFonts w:ascii="宋体" w:hAnsi="宋体" w:cs="宋体"/>
                <w:color w:val="auto"/>
                <w:sz w:val="24"/>
                <w:highlight w:val="none"/>
              </w:rPr>
            </w:pPr>
          </w:p>
        </w:tc>
      </w:tr>
      <w:tr w14:paraId="07DA8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nil"/>
            </w:tcBorders>
            <w:vAlign w:val="center"/>
          </w:tcPr>
          <w:p w14:paraId="593FED8C">
            <w:pPr>
              <w:pStyle w:val="11"/>
              <w:keepNext/>
              <w:spacing w:after="0" w:line="440" w:lineRule="exact"/>
              <w:ind w:right="63"/>
              <w:rPr>
                <w:rFonts w:ascii="宋体" w:hAnsi="宋体" w:cs="宋体"/>
                <w:color w:val="auto"/>
                <w:sz w:val="24"/>
                <w:highlight w:val="none"/>
              </w:rPr>
            </w:pPr>
          </w:p>
        </w:tc>
        <w:tc>
          <w:tcPr>
            <w:tcW w:w="1418" w:type="dxa"/>
            <w:vAlign w:val="center"/>
          </w:tcPr>
          <w:p w14:paraId="7C43477E">
            <w:pPr>
              <w:pStyle w:val="11"/>
              <w:keepNext/>
              <w:spacing w:after="0" w:line="440" w:lineRule="exact"/>
              <w:ind w:left="63" w:right="63"/>
              <w:rPr>
                <w:rFonts w:ascii="宋体" w:hAnsi="宋体" w:cs="宋体"/>
                <w:color w:val="auto"/>
                <w:sz w:val="24"/>
                <w:highlight w:val="none"/>
              </w:rPr>
            </w:pPr>
          </w:p>
        </w:tc>
        <w:tc>
          <w:tcPr>
            <w:tcW w:w="1436" w:type="dxa"/>
            <w:vAlign w:val="center"/>
          </w:tcPr>
          <w:p w14:paraId="64BD50F2">
            <w:pPr>
              <w:pStyle w:val="11"/>
              <w:keepNext/>
              <w:spacing w:after="0" w:line="440" w:lineRule="exact"/>
              <w:ind w:left="63" w:right="63"/>
              <w:rPr>
                <w:rFonts w:ascii="宋体" w:hAnsi="宋体" w:cs="宋体"/>
                <w:color w:val="auto"/>
                <w:sz w:val="24"/>
                <w:highlight w:val="none"/>
              </w:rPr>
            </w:pPr>
          </w:p>
        </w:tc>
        <w:tc>
          <w:tcPr>
            <w:tcW w:w="1020" w:type="dxa"/>
            <w:vAlign w:val="center"/>
          </w:tcPr>
          <w:p w14:paraId="647DC6C5">
            <w:pPr>
              <w:pStyle w:val="11"/>
              <w:keepNext/>
              <w:spacing w:after="0" w:line="440" w:lineRule="exact"/>
              <w:ind w:left="63" w:right="63"/>
              <w:rPr>
                <w:rFonts w:ascii="宋体" w:hAnsi="宋体" w:cs="宋体"/>
                <w:color w:val="auto"/>
                <w:sz w:val="24"/>
                <w:highlight w:val="none"/>
              </w:rPr>
            </w:pPr>
          </w:p>
        </w:tc>
        <w:tc>
          <w:tcPr>
            <w:tcW w:w="2043" w:type="dxa"/>
            <w:vAlign w:val="center"/>
          </w:tcPr>
          <w:p w14:paraId="5A46F2C7">
            <w:pPr>
              <w:pStyle w:val="11"/>
              <w:keepNext/>
              <w:spacing w:after="0" w:line="440" w:lineRule="exact"/>
              <w:ind w:left="63" w:right="63"/>
              <w:rPr>
                <w:rFonts w:ascii="宋体" w:hAnsi="宋体" w:cs="宋体"/>
                <w:color w:val="auto"/>
                <w:sz w:val="24"/>
                <w:highlight w:val="none"/>
              </w:rPr>
            </w:pPr>
          </w:p>
        </w:tc>
        <w:tc>
          <w:tcPr>
            <w:tcW w:w="2231" w:type="dxa"/>
            <w:vAlign w:val="center"/>
          </w:tcPr>
          <w:p w14:paraId="1DAF689B">
            <w:pPr>
              <w:pStyle w:val="11"/>
              <w:keepNext/>
              <w:spacing w:after="0" w:line="440" w:lineRule="exact"/>
              <w:ind w:left="63" w:right="63"/>
              <w:rPr>
                <w:rFonts w:ascii="宋体" w:hAnsi="宋体" w:cs="宋体"/>
                <w:color w:val="auto"/>
                <w:sz w:val="24"/>
                <w:highlight w:val="none"/>
              </w:rPr>
            </w:pPr>
          </w:p>
        </w:tc>
      </w:tr>
      <w:tr w14:paraId="2A7F1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nil"/>
              <w:bottom w:val="nil"/>
            </w:tcBorders>
            <w:vAlign w:val="center"/>
          </w:tcPr>
          <w:p w14:paraId="68E2F97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vAlign w:val="center"/>
          </w:tcPr>
          <w:p w14:paraId="676D6624">
            <w:pPr>
              <w:pStyle w:val="11"/>
              <w:keepNext/>
              <w:spacing w:after="0" w:line="440" w:lineRule="exact"/>
              <w:ind w:left="63" w:right="63"/>
              <w:rPr>
                <w:rFonts w:ascii="宋体" w:hAnsi="宋体" w:cs="宋体"/>
                <w:color w:val="auto"/>
                <w:sz w:val="24"/>
                <w:highlight w:val="none"/>
              </w:rPr>
            </w:pPr>
          </w:p>
        </w:tc>
        <w:tc>
          <w:tcPr>
            <w:tcW w:w="1436" w:type="dxa"/>
            <w:vAlign w:val="center"/>
          </w:tcPr>
          <w:p w14:paraId="2F557764">
            <w:pPr>
              <w:pStyle w:val="11"/>
              <w:keepNext/>
              <w:spacing w:after="0" w:line="440" w:lineRule="exact"/>
              <w:ind w:left="63" w:right="63"/>
              <w:rPr>
                <w:rFonts w:ascii="宋体" w:hAnsi="宋体" w:cs="宋体"/>
                <w:color w:val="auto"/>
                <w:sz w:val="24"/>
                <w:highlight w:val="none"/>
              </w:rPr>
            </w:pPr>
          </w:p>
        </w:tc>
        <w:tc>
          <w:tcPr>
            <w:tcW w:w="1020" w:type="dxa"/>
            <w:vAlign w:val="center"/>
          </w:tcPr>
          <w:p w14:paraId="7091A269">
            <w:pPr>
              <w:pStyle w:val="11"/>
              <w:keepNext/>
              <w:spacing w:after="0" w:line="440" w:lineRule="exact"/>
              <w:ind w:left="63" w:right="63"/>
              <w:rPr>
                <w:rFonts w:ascii="宋体" w:hAnsi="宋体" w:cs="宋体"/>
                <w:color w:val="auto"/>
                <w:sz w:val="24"/>
                <w:highlight w:val="none"/>
              </w:rPr>
            </w:pPr>
          </w:p>
        </w:tc>
        <w:tc>
          <w:tcPr>
            <w:tcW w:w="2043" w:type="dxa"/>
            <w:vAlign w:val="center"/>
          </w:tcPr>
          <w:p w14:paraId="385FD1ED">
            <w:pPr>
              <w:pStyle w:val="11"/>
              <w:keepNext/>
              <w:spacing w:after="0" w:line="440" w:lineRule="exact"/>
              <w:ind w:left="63" w:right="63"/>
              <w:rPr>
                <w:rFonts w:ascii="宋体" w:hAnsi="宋体" w:cs="宋体"/>
                <w:color w:val="auto"/>
                <w:sz w:val="24"/>
                <w:highlight w:val="none"/>
              </w:rPr>
            </w:pPr>
          </w:p>
        </w:tc>
        <w:tc>
          <w:tcPr>
            <w:tcW w:w="2231" w:type="dxa"/>
            <w:vAlign w:val="center"/>
          </w:tcPr>
          <w:p w14:paraId="2F8A152A">
            <w:pPr>
              <w:pStyle w:val="11"/>
              <w:keepNext/>
              <w:spacing w:after="0" w:line="440" w:lineRule="exact"/>
              <w:ind w:left="63" w:right="63"/>
              <w:rPr>
                <w:rFonts w:ascii="宋体" w:hAnsi="宋体" w:cs="宋体"/>
                <w:color w:val="auto"/>
                <w:sz w:val="24"/>
                <w:highlight w:val="none"/>
              </w:rPr>
            </w:pPr>
          </w:p>
        </w:tc>
      </w:tr>
      <w:tr w14:paraId="7697A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28" w:type="dxa"/>
            <w:gridSpan w:val="5"/>
            <w:tcBorders>
              <w:top w:val="single" w:color="auto" w:sz="6" w:space="0"/>
              <w:bottom w:val="single" w:color="auto" w:sz="6" w:space="0"/>
            </w:tcBorders>
            <w:vAlign w:val="center"/>
          </w:tcPr>
          <w:p w14:paraId="58258101">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二、现场人员</w:t>
            </w:r>
          </w:p>
        </w:tc>
        <w:tc>
          <w:tcPr>
            <w:tcW w:w="2231" w:type="dxa"/>
            <w:tcBorders>
              <w:top w:val="single" w:color="auto" w:sz="6" w:space="0"/>
              <w:bottom w:val="single" w:color="auto" w:sz="6" w:space="0"/>
            </w:tcBorders>
            <w:vAlign w:val="center"/>
          </w:tcPr>
          <w:p w14:paraId="08962358">
            <w:pPr>
              <w:pStyle w:val="11"/>
              <w:keepNext/>
              <w:spacing w:after="0" w:line="440" w:lineRule="exact"/>
              <w:ind w:left="63" w:right="63"/>
              <w:rPr>
                <w:rFonts w:ascii="宋体" w:hAnsi="宋体" w:cs="宋体"/>
                <w:color w:val="auto"/>
                <w:sz w:val="24"/>
                <w:highlight w:val="none"/>
              </w:rPr>
            </w:pPr>
          </w:p>
        </w:tc>
      </w:tr>
      <w:tr w14:paraId="3D796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5EBD1AF0">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项目经理</w:t>
            </w:r>
          </w:p>
        </w:tc>
        <w:tc>
          <w:tcPr>
            <w:tcW w:w="1418" w:type="dxa"/>
            <w:vAlign w:val="center"/>
          </w:tcPr>
          <w:p w14:paraId="3F23F488">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1882F223">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项目经理</w:t>
            </w:r>
          </w:p>
        </w:tc>
        <w:tc>
          <w:tcPr>
            <w:tcW w:w="1020" w:type="dxa"/>
            <w:vAlign w:val="center"/>
          </w:tcPr>
          <w:p w14:paraId="1B3B7953">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工程师</w:t>
            </w:r>
          </w:p>
        </w:tc>
        <w:tc>
          <w:tcPr>
            <w:tcW w:w="2043" w:type="dxa"/>
            <w:vAlign w:val="center"/>
          </w:tcPr>
          <w:p w14:paraId="4A3B7A28">
            <w:pPr>
              <w:pStyle w:val="11"/>
              <w:keepNext/>
              <w:spacing w:after="0" w:line="440" w:lineRule="exact"/>
              <w:ind w:left="63" w:right="63"/>
              <w:rPr>
                <w:rFonts w:ascii="宋体" w:hAnsi="宋体" w:cs="宋体"/>
                <w:color w:val="auto"/>
                <w:sz w:val="24"/>
                <w:highlight w:val="none"/>
              </w:rPr>
            </w:pPr>
          </w:p>
        </w:tc>
        <w:tc>
          <w:tcPr>
            <w:tcW w:w="2231" w:type="dxa"/>
            <w:vAlign w:val="center"/>
          </w:tcPr>
          <w:p w14:paraId="499EEDD0">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59BB9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7A0456CE">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项目副经理</w:t>
            </w:r>
          </w:p>
        </w:tc>
        <w:tc>
          <w:tcPr>
            <w:tcW w:w="1418" w:type="dxa"/>
            <w:vAlign w:val="center"/>
          </w:tcPr>
          <w:p w14:paraId="09E4C141">
            <w:pPr>
              <w:pStyle w:val="11"/>
              <w:keepNext/>
              <w:spacing w:after="0" w:line="440" w:lineRule="exact"/>
              <w:ind w:left="63" w:leftChars="30" w:right="63" w:rightChars="30"/>
              <w:rPr>
                <w:rFonts w:ascii="宋体" w:hAnsi="宋体" w:cs="宋体"/>
                <w:color w:val="auto"/>
                <w:sz w:val="24"/>
                <w:highlight w:val="none"/>
              </w:rPr>
            </w:pPr>
          </w:p>
        </w:tc>
        <w:tc>
          <w:tcPr>
            <w:tcW w:w="1436" w:type="dxa"/>
            <w:vAlign w:val="center"/>
          </w:tcPr>
          <w:p w14:paraId="3F61F3FB">
            <w:pPr>
              <w:pStyle w:val="11"/>
              <w:keepNext/>
              <w:spacing w:after="0" w:line="440" w:lineRule="exact"/>
              <w:ind w:left="63" w:leftChars="30" w:right="63" w:rightChars="30"/>
              <w:rPr>
                <w:rFonts w:ascii="宋体" w:hAnsi="宋体" w:cs="宋体"/>
                <w:color w:val="auto"/>
                <w:sz w:val="24"/>
                <w:highlight w:val="none"/>
              </w:rPr>
            </w:pPr>
          </w:p>
        </w:tc>
        <w:tc>
          <w:tcPr>
            <w:tcW w:w="1020" w:type="dxa"/>
            <w:vAlign w:val="center"/>
          </w:tcPr>
          <w:p w14:paraId="045883BB">
            <w:pPr>
              <w:pStyle w:val="11"/>
              <w:keepNext/>
              <w:spacing w:after="0" w:line="440" w:lineRule="exact"/>
              <w:ind w:left="63" w:right="63"/>
              <w:rPr>
                <w:rFonts w:ascii="宋体" w:hAnsi="宋体" w:cs="宋体"/>
                <w:color w:val="auto"/>
                <w:sz w:val="24"/>
                <w:highlight w:val="none"/>
              </w:rPr>
            </w:pPr>
          </w:p>
        </w:tc>
        <w:tc>
          <w:tcPr>
            <w:tcW w:w="2043" w:type="dxa"/>
            <w:vAlign w:val="center"/>
          </w:tcPr>
          <w:p w14:paraId="5280A164">
            <w:pPr>
              <w:pStyle w:val="11"/>
              <w:keepNext/>
              <w:spacing w:after="0" w:line="440" w:lineRule="exact"/>
              <w:ind w:left="63" w:right="63"/>
              <w:rPr>
                <w:rFonts w:ascii="宋体" w:hAnsi="宋体" w:cs="宋体"/>
                <w:color w:val="auto"/>
                <w:sz w:val="24"/>
                <w:highlight w:val="none"/>
              </w:rPr>
            </w:pPr>
          </w:p>
        </w:tc>
        <w:tc>
          <w:tcPr>
            <w:tcW w:w="2231" w:type="dxa"/>
            <w:vAlign w:val="center"/>
          </w:tcPr>
          <w:p w14:paraId="048713BE">
            <w:pPr>
              <w:pStyle w:val="11"/>
              <w:keepNext/>
              <w:spacing w:after="0" w:line="440" w:lineRule="exact"/>
              <w:ind w:left="63" w:right="63"/>
              <w:rPr>
                <w:rFonts w:ascii="宋体" w:hAnsi="宋体" w:cs="宋体"/>
                <w:color w:val="auto"/>
                <w:sz w:val="24"/>
                <w:highlight w:val="none"/>
              </w:rPr>
            </w:pPr>
          </w:p>
        </w:tc>
      </w:tr>
      <w:tr w14:paraId="5D6C9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47860B7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技术负责人</w:t>
            </w:r>
          </w:p>
        </w:tc>
        <w:tc>
          <w:tcPr>
            <w:tcW w:w="1418" w:type="dxa"/>
            <w:vAlign w:val="center"/>
          </w:tcPr>
          <w:p w14:paraId="59654CC6">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5E0373DF">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技术负责人</w:t>
            </w:r>
          </w:p>
        </w:tc>
        <w:tc>
          <w:tcPr>
            <w:tcW w:w="1020" w:type="dxa"/>
            <w:vAlign w:val="center"/>
          </w:tcPr>
          <w:p w14:paraId="6D16AE4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工程师</w:t>
            </w:r>
          </w:p>
        </w:tc>
        <w:tc>
          <w:tcPr>
            <w:tcW w:w="2043" w:type="dxa"/>
            <w:vAlign w:val="center"/>
          </w:tcPr>
          <w:p w14:paraId="1B1BBC6C">
            <w:pPr>
              <w:pStyle w:val="11"/>
              <w:keepNext/>
              <w:spacing w:after="0" w:line="440" w:lineRule="exact"/>
              <w:ind w:left="63" w:right="63"/>
              <w:rPr>
                <w:rFonts w:ascii="宋体" w:hAnsi="宋体" w:cs="宋体"/>
                <w:color w:val="auto"/>
                <w:sz w:val="24"/>
                <w:highlight w:val="none"/>
              </w:rPr>
            </w:pPr>
          </w:p>
        </w:tc>
        <w:tc>
          <w:tcPr>
            <w:tcW w:w="2231" w:type="dxa"/>
            <w:vAlign w:val="center"/>
          </w:tcPr>
          <w:p w14:paraId="413661B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134E4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0F96451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造价管理</w:t>
            </w:r>
          </w:p>
        </w:tc>
        <w:tc>
          <w:tcPr>
            <w:tcW w:w="1418" w:type="dxa"/>
            <w:vAlign w:val="center"/>
          </w:tcPr>
          <w:p w14:paraId="3142C84F">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546614BC">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造价员</w:t>
            </w:r>
          </w:p>
        </w:tc>
        <w:tc>
          <w:tcPr>
            <w:tcW w:w="1020" w:type="dxa"/>
            <w:vAlign w:val="center"/>
          </w:tcPr>
          <w:p w14:paraId="4B5163DC">
            <w:pPr>
              <w:pStyle w:val="11"/>
              <w:keepNext/>
              <w:spacing w:after="0" w:line="440" w:lineRule="exact"/>
              <w:ind w:left="63" w:right="63"/>
              <w:rPr>
                <w:rFonts w:ascii="宋体" w:hAnsi="宋体" w:cs="宋体"/>
                <w:color w:val="auto"/>
                <w:sz w:val="24"/>
                <w:highlight w:val="none"/>
              </w:rPr>
            </w:pPr>
          </w:p>
        </w:tc>
        <w:tc>
          <w:tcPr>
            <w:tcW w:w="2043" w:type="dxa"/>
            <w:vAlign w:val="center"/>
          </w:tcPr>
          <w:p w14:paraId="244B5CE4">
            <w:pPr>
              <w:pStyle w:val="11"/>
              <w:keepNext/>
              <w:spacing w:after="0" w:line="440" w:lineRule="exact"/>
              <w:ind w:left="63" w:right="63"/>
              <w:rPr>
                <w:rFonts w:ascii="宋体" w:hAnsi="宋体" w:cs="宋体"/>
                <w:color w:val="auto"/>
                <w:sz w:val="24"/>
                <w:highlight w:val="none"/>
              </w:rPr>
            </w:pPr>
          </w:p>
        </w:tc>
        <w:tc>
          <w:tcPr>
            <w:tcW w:w="2231" w:type="dxa"/>
            <w:vAlign w:val="center"/>
          </w:tcPr>
          <w:p w14:paraId="27F65112">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073F1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7EE5A8C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质量管理</w:t>
            </w:r>
          </w:p>
        </w:tc>
        <w:tc>
          <w:tcPr>
            <w:tcW w:w="1418" w:type="dxa"/>
            <w:vAlign w:val="center"/>
          </w:tcPr>
          <w:p w14:paraId="50D0388C">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67E40660">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质检员</w:t>
            </w:r>
          </w:p>
        </w:tc>
        <w:tc>
          <w:tcPr>
            <w:tcW w:w="1020" w:type="dxa"/>
            <w:vAlign w:val="center"/>
          </w:tcPr>
          <w:p w14:paraId="50E49BD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工程师</w:t>
            </w:r>
          </w:p>
        </w:tc>
        <w:tc>
          <w:tcPr>
            <w:tcW w:w="2043" w:type="dxa"/>
            <w:vAlign w:val="center"/>
          </w:tcPr>
          <w:p w14:paraId="777BBA2B">
            <w:pPr>
              <w:pStyle w:val="11"/>
              <w:keepNext/>
              <w:spacing w:after="0" w:line="440" w:lineRule="exact"/>
              <w:ind w:left="63" w:right="63"/>
              <w:rPr>
                <w:rFonts w:ascii="宋体" w:hAnsi="宋体" w:cs="宋体"/>
                <w:color w:val="auto"/>
                <w:sz w:val="24"/>
                <w:highlight w:val="none"/>
              </w:rPr>
            </w:pPr>
          </w:p>
        </w:tc>
        <w:tc>
          <w:tcPr>
            <w:tcW w:w="2231" w:type="dxa"/>
            <w:vAlign w:val="center"/>
          </w:tcPr>
          <w:p w14:paraId="23042EFC">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1D054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6B4B1F44">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材料管理</w:t>
            </w:r>
          </w:p>
        </w:tc>
        <w:tc>
          <w:tcPr>
            <w:tcW w:w="1418" w:type="dxa"/>
            <w:vAlign w:val="center"/>
          </w:tcPr>
          <w:p w14:paraId="61E9E528">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74FC993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材料员</w:t>
            </w:r>
          </w:p>
        </w:tc>
        <w:tc>
          <w:tcPr>
            <w:tcW w:w="1020" w:type="dxa"/>
            <w:vAlign w:val="center"/>
          </w:tcPr>
          <w:p w14:paraId="028CF2D0">
            <w:pPr>
              <w:pStyle w:val="11"/>
              <w:keepNext/>
              <w:spacing w:after="0" w:line="440" w:lineRule="exact"/>
              <w:ind w:left="63" w:right="63"/>
              <w:rPr>
                <w:rFonts w:ascii="宋体" w:hAnsi="宋体" w:cs="宋体"/>
                <w:color w:val="auto"/>
                <w:sz w:val="24"/>
                <w:highlight w:val="none"/>
              </w:rPr>
            </w:pPr>
          </w:p>
        </w:tc>
        <w:tc>
          <w:tcPr>
            <w:tcW w:w="2043" w:type="dxa"/>
            <w:vAlign w:val="center"/>
          </w:tcPr>
          <w:p w14:paraId="7D774B55">
            <w:pPr>
              <w:pStyle w:val="11"/>
              <w:keepNext/>
              <w:spacing w:after="0" w:line="440" w:lineRule="exact"/>
              <w:ind w:left="63" w:right="63"/>
              <w:rPr>
                <w:rFonts w:ascii="宋体" w:hAnsi="宋体" w:cs="宋体"/>
                <w:color w:val="auto"/>
                <w:sz w:val="24"/>
                <w:highlight w:val="none"/>
              </w:rPr>
            </w:pPr>
          </w:p>
        </w:tc>
        <w:tc>
          <w:tcPr>
            <w:tcW w:w="2231" w:type="dxa"/>
            <w:vAlign w:val="center"/>
          </w:tcPr>
          <w:p w14:paraId="5FA2B7A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49AF6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1B4B8FB0">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计划管理</w:t>
            </w:r>
          </w:p>
        </w:tc>
        <w:tc>
          <w:tcPr>
            <w:tcW w:w="1418" w:type="dxa"/>
            <w:vAlign w:val="center"/>
          </w:tcPr>
          <w:p w14:paraId="466C1CF9">
            <w:pPr>
              <w:pStyle w:val="11"/>
              <w:keepNext/>
              <w:spacing w:after="0" w:line="440" w:lineRule="exact"/>
              <w:ind w:left="63" w:right="63"/>
              <w:rPr>
                <w:rFonts w:ascii="宋体" w:hAnsi="宋体" w:cs="宋体"/>
                <w:color w:val="auto"/>
                <w:sz w:val="24"/>
                <w:highlight w:val="none"/>
              </w:rPr>
            </w:pPr>
          </w:p>
        </w:tc>
        <w:tc>
          <w:tcPr>
            <w:tcW w:w="1436" w:type="dxa"/>
            <w:vAlign w:val="center"/>
          </w:tcPr>
          <w:p w14:paraId="00C71AB6">
            <w:pPr>
              <w:pStyle w:val="11"/>
              <w:keepNext/>
              <w:spacing w:after="0" w:line="440" w:lineRule="exact"/>
              <w:ind w:left="63" w:right="63"/>
              <w:rPr>
                <w:rFonts w:ascii="宋体" w:hAnsi="宋体" w:cs="宋体"/>
                <w:color w:val="auto"/>
                <w:sz w:val="24"/>
                <w:highlight w:val="none"/>
              </w:rPr>
            </w:pPr>
          </w:p>
        </w:tc>
        <w:tc>
          <w:tcPr>
            <w:tcW w:w="1020" w:type="dxa"/>
            <w:vAlign w:val="center"/>
          </w:tcPr>
          <w:p w14:paraId="092A3845">
            <w:pPr>
              <w:pStyle w:val="11"/>
              <w:keepNext/>
              <w:spacing w:after="0" w:line="440" w:lineRule="exact"/>
              <w:ind w:left="63" w:right="63"/>
              <w:rPr>
                <w:rFonts w:ascii="宋体" w:hAnsi="宋体" w:cs="宋体"/>
                <w:color w:val="auto"/>
                <w:sz w:val="24"/>
                <w:highlight w:val="none"/>
              </w:rPr>
            </w:pPr>
          </w:p>
        </w:tc>
        <w:tc>
          <w:tcPr>
            <w:tcW w:w="2043" w:type="dxa"/>
            <w:vAlign w:val="center"/>
          </w:tcPr>
          <w:p w14:paraId="2A11C43C">
            <w:pPr>
              <w:pStyle w:val="11"/>
              <w:keepNext/>
              <w:spacing w:after="0" w:line="440" w:lineRule="exact"/>
              <w:ind w:left="63" w:right="63"/>
              <w:rPr>
                <w:rFonts w:ascii="宋体" w:hAnsi="宋体" w:cs="宋体"/>
                <w:color w:val="auto"/>
                <w:sz w:val="24"/>
                <w:highlight w:val="none"/>
              </w:rPr>
            </w:pPr>
          </w:p>
        </w:tc>
        <w:tc>
          <w:tcPr>
            <w:tcW w:w="2231" w:type="dxa"/>
            <w:vAlign w:val="center"/>
          </w:tcPr>
          <w:p w14:paraId="5CA5EDCE">
            <w:pPr>
              <w:pStyle w:val="11"/>
              <w:keepNext/>
              <w:spacing w:after="0" w:line="440" w:lineRule="exact"/>
              <w:ind w:left="63" w:right="63"/>
              <w:rPr>
                <w:rFonts w:ascii="宋体" w:hAnsi="宋体" w:cs="宋体"/>
                <w:color w:val="auto"/>
                <w:sz w:val="24"/>
                <w:highlight w:val="none"/>
              </w:rPr>
            </w:pPr>
          </w:p>
        </w:tc>
      </w:tr>
      <w:tr w14:paraId="5E827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1060570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安全管理</w:t>
            </w:r>
          </w:p>
        </w:tc>
        <w:tc>
          <w:tcPr>
            <w:tcW w:w="1418" w:type="dxa"/>
            <w:vAlign w:val="center"/>
          </w:tcPr>
          <w:p w14:paraId="05B61EB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240387F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安全员</w:t>
            </w:r>
          </w:p>
        </w:tc>
        <w:tc>
          <w:tcPr>
            <w:tcW w:w="1020" w:type="dxa"/>
            <w:vAlign w:val="center"/>
          </w:tcPr>
          <w:p w14:paraId="208E4842">
            <w:pPr>
              <w:pStyle w:val="11"/>
              <w:keepNext/>
              <w:spacing w:after="0" w:line="440" w:lineRule="exact"/>
              <w:ind w:left="63" w:right="63"/>
              <w:rPr>
                <w:rFonts w:ascii="宋体" w:hAnsi="宋体" w:cs="宋体"/>
                <w:color w:val="auto"/>
                <w:sz w:val="24"/>
                <w:highlight w:val="none"/>
              </w:rPr>
            </w:pPr>
          </w:p>
        </w:tc>
        <w:tc>
          <w:tcPr>
            <w:tcW w:w="2043" w:type="dxa"/>
            <w:vAlign w:val="center"/>
          </w:tcPr>
          <w:p w14:paraId="12253ADE">
            <w:pPr>
              <w:pStyle w:val="11"/>
              <w:keepNext/>
              <w:spacing w:after="0" w:line="440" w:lineRule="exact"/>
              <w:ind w:left="63" w:right="63"/>
              <w:rPr>
                <w:rFonts w:ascii="宋体" w:hAnsi="宋体" w:cs="宋体"/>
                <w:color w:val="auto"/>
                <w:sz w:val="24"/>
                <w:highlight w:val="none"/>
              </w:rPr>
            </w:pPr>
          </w:p>
        </w:tc>
        <w:tc>
          <w:tcPr>
            <w:tcW w:w="2231" w:type="dxa"/>
            <w:vAlign w:val="center"/>
          </w:tcPr>
          <w:p w14:paraId="00D11A9D">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0A043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restart"/>
            <w:tcBorders>
              <w:top w:val="single" w:color="auto" w:sz="6" w:space="0"/>
            </w:tcBorders>
            <w:vAlign w:val="center"/>
          </w:tcPr>
          <w:p w14:paraId="3A974B02">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vAlign w:val="center"/>
          </w:tcPr>
          <w:p w14:paraId="429F3888">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3B52D454">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施工员</w:t>
            </w:r>
          </w:p>
        </w:tc>
        <w:tc>
          <w:tcPr>
            <w:tcW w:w="1020" w:type="dxa"/>
            <w:vAlign w:val="center"/>
          </w:tcPr>
          <w:p w14:paraId="06383DD7">
            <w:pPr>
              <w:pStyle w:val="11"/>
              <w:keepNext/>
              <w:spacing w:after="0" w:line="440" w:lineRule="exact"/>
              <w:ind w:left="63" w:right="63"/>
              <w:rPr>
                <w:rFonts w:ascii="宋体" w:hAnsi="宋体" w:cs="宋体"/>
                <w:color w:val="auto"/>
                <w:sz w:val="24"/>
                <w:highlight w:val="none"/>
              </w:rPr>
            </w:pPr>
          </w:p>
        </w:tc>
        <w:tc>
          <w:tcPr>
            <w:tcW w:w="2043" w:type="dxa"/>
            <w:vAlign w:val="center"/>
          </w:tcPr>
          <w:p w14:paraId="5B67C979">
            <w:pPr>
              <w:pStyle w:val="11"/>
              <w:keepNext/>
              <w:spacing w:after="0" w:line="440" w:lineRule="exact"/>
              <w:ind w:left="63" w:right="63"/>
              <w:rPr>
                <w:rFonts w:ascii="宋体" w:hAnsi="宋体" w:cs="宋体"/>
                <w:color w:val="auto"/>
                <w:sz w:val="24"/>
                <w:highlight w:val="none"/>
              </w:rPr>
            </w:pPr>
          </w:p>
        </w:tc>
        <w:tc>
          <w:tcPr>
            <w:tcW w:w="2231" w:type="dxa"/>
            <w:vAlign w:val="center"/>
          </w:tcPr>
          <w:p w14:paraId="7BD6973D">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7001C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vAlign w:val="center"/>
          </w:tcPr>
          <w:p w14:paraId="144DC539">
            <w:pPr>
              <w:pStyle w:val="11"/>
              <w:keepNext/>
              <w:spacing w:after="0" w:line="440" w:lineRule="exact"/>
              <w:ind w:left="63" w:right="63"/>
              <w:rPr>
                <w:rFonts w:ascii="宋体" w:hAnsi="宋体" w:cs="宋体"/>
                <w:color w:val="auto"/>
                <w:sz w:val="24"/>
                <w:highlight w:val="none"/>
              </w:rPr>
            </w:pPr>
          </w:p>
        </w:tc>
        <w:tc>
          <w:tcPr>
            <w:tcW w:w="1418" w:type="dxa"/>
            <w:tcBorders>
              <w:bottom w:val="nil"/>
            </w:tcBorders>
            <w:vAlign w:val="center"/>
          </w:tcPr>
          <w:p w14:paraId="7345690B">
            <w:pPr>
              <w:pStyle w:val="11"/>
              <w:keepNext/>
              <w:spacing w:after="0" w:line="440" w:lineRule="exact"/>
              <w:ind w:left="63" w:right="63"/>
              <w:rPr>
                <w:rFonts w:ascii="宋体" w:hAnsi="宋体" w:cs="宋体"/>
                <w:color w:val="auto"/>
                <w:sz w:val="24"/>
                <w:highlight w:val="none"/>
              </w:rPr>
            </w:pPr>
          </w:p>
        </w:tc>
        <w:tc>
          <w:tcPr>
            <w:tcW w:w="1436" w:type="dxa"/>
            <w:tcBorders>
              <w:bottom w:val="nil"/>
            </w:tcBorders>
            <w:vAlign w:val="center"/>
          </w:tcPr>
          <w:p w14:paraId="0A756911">
            <w:pPr>
              <w:pStyle w:val="11"/>
              <w:keepNext/>
              <w:spacing w:after="0" w:line="440" w:lineRule="exact"/>
              <w:ind w:left="63" w:right="63"/>
              <w:rPr>
                <w:rFonts w:ascii="宋体" w:hAnsi="宋体" w:cs="宋体"/>
                <w:color w:val="auto"/>
                <w:sz w:val="24"/>
                <w:highlight w:val="none"/>
              </w:rPr>
            </w:pPr>
          </w:p>
        </w:tc>
        <w:tc>
          <w:tcPr>
            <w:tcW w:w="1020" w:type="dxa"/>
            <w:tcBorders>
              <w:bottom w:val="nil"/>
            </w:tcBorders>
            <w:vAlign w:val="center"/>
          </w:tcPr>
          <w:p w14:paraId="4CE59265">
            <w:pPr>
              <w:pStyle w:val="11"/>
              <w:keepNext/>
              <w:spacing w:after="0" w:line="440" w:lineRule="exact"/>
              <w:ind w:left="63" w:right="63"/>
              <w:rPr>
                <w:rFonts w:ascii="宋体" w:hAnsi="宋体" w:cs="宋体"/>
                <w:color w:val="auto"/>
                <w:sz w:val="24"/>
                <w:highlight w:val="none"/>
              </w:rPr>
            </w:pPr>
          </w:p>
        </w:tc>
        <w:tc>
          <w:tcPr>
            <w:tcW w:w="2043" w:type="dxa"/>
            <w:tcBorders>
              <w:bottom w:val="nil"/>
            </w:tcBorders>
            <w:vAlign w:val="center"/>
          </w:tcPr>
          <w:p w14:paraId="100F349D">
            <w:pPr>
              <w:pStyle w:val="11"/>
              <w:keepNext/>
              <w:spacing w:after="0" w:line="440" w:lineRule="exact"/>
              <w:ind w:left="63" w:right="63"/>
              <w:rPr>
                <w:rFonts w:ascii="宋体" w:hAnsi="宋体" w:cs="宋体"/>
                <w:color w:val="auto"/>
                <w:sz w:val="24"/>
                <w:highlight w:val="none"/>
              </w:rPr>
            </w:pPr>
          </w:p>
        </w:tc>
        <w:tc>
          <w:tcPr>
            <w:tcW w:w="2231" w:type="dxa"/>
            <w:tcBorders>
              <w:bottom w:val="nil"/>
            </w:tcBorders>
            <w:vAlign w:val="center"/>
          </w:tcPr>
          <w:p w14:paraId="2FB43A6A">
            <w:pPr>
              <w:pStyle w:val="11"/>
              <w:keepNext/>
              <w:spacing w:after="0" w:line="440" w:lineRule="exact"/>
              <w:ind w:left="63" w:right="63"/>
              <w:rPr>
                <w:rFonts w:ascii="宋体" w:hAnsi="宋体" w:cs="宋体"/>
                <w:color w:val="auto"/>
                <w:sz w:val="24"/>
                <w:highlight w:val="none"/>
              </w:rPr>
            </w:pPr>
          </w:p>
        </w:tc>
      </w:tr>
      <w:tr w14:paraId="393C6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vAlign w:val="center"/>
          </w:tcPr>
          <w:p w14:paraId="2EE12545">
            <w:pPr>
              <w:pStyle w:val="11"/>
              <w:keepNext/>
              <w:spacing w:after="0" w:line="440" w:lineRule="exact"/>
              <w:ind w:left="63" w:right="63"/>
              <w:rPr>
                <w:rFonts w:ascii="宋体" w:hAnsi="宋体" w:cs="宋体"/>
                <w:color w:val="auto"/>
                <w:sz w:val="24"/>
                <w:highlight w:val="none"/>
              </w:rPr>
            </w:pPr>
          </w:p>
        </w:tc>
        <w:tc>
          <w:tcPr>
            <w:tcW w:w="1418" w:type="dxa"/>
            <w:vAlign w:val="center"/>
          </w:tcPr>
          <w:p w14:paraId="58873998">
            <w:pPr>
              <w:pStyle w:val="11"/>
              <w:keepNext/>
              <w:spacing w:after="0" w:line="440" w:lineRule="exact"/>
              <w:ind w:left="63" w:right="63"/>
              <w:rPr>
                <w:rFonts w:ascii="宋体" w:hAnsi="宋体" w:cs="宋体"/>
                <w:color w:val="auto"/>
                <w:sz w:val="24"/>
                <w:highlight w:val="none"/>
              </w:rPr>
            </w:pPr>
          </w:p>
        </w:tc>
        <w:tc>
          <w:tcPr>
            <w:tcW w:w="1436" w:type="dxa"/>
            <w:vAlign w:val="center"/>
          </w:tcPr>
          <w:p w14:paraId="0BEAC4A8">
            <w:pPr>
              <w:pStyle w:val="11"/>
              <w:keepNext/>
              <w:spacing w:after="0" w:line="440" w:lineRule="exact"/>
              <w:ind w:left="63" w:right="63"/>
              <w:rPr>
                <w:rFonts w:ascii="宋体" w:hAnsi="宋体" w:cs="宋体"/>
                <w:color w:val="auto"/>
                <w:sz w:val="24"/>
                <w:highlight w:val="none"/>
              </w:rPr>
            </w:pPr>
          </w:p>
        </w:tc>
        <w:tc>
          <w:tcPr>
            <w:tcW w:w="1020" w:type="dxa"/>
            <w:vAlign w:val="center"/>
          </w:tcPr>
          <w:p w14:paraId="05F2A13D">
            <w:pPr>
              <w:pStyle w:val="11"/>
              <w:keepNext/>
              <w:spacing w:after="0" w:line="440" w:lineRule="exact"/>
              <w:ind w:left="63" w:right="63"/>
              <w:rPr>
                <w:rFonts w:ascii="宋体" w:hAnsi="宋体" w:cs="宋体"/>
                <w:color w:val="auto"/>
                <w:sz w:val="24"/>
                <w:highlight w:val="none"/>
              </w:rPr>
            </w:pPr>
          </w:p>
        </w:tc>
        <w:tc>
          <w:tcPr>
            <w:tcW w:w="2043" w:type="dxa"/>
            <w:vAlign w:val="center"/>
          </w:tcPr>
          <w:p w14:paraId="3A09C012">
            <w:pPr>
              <w:pStyle w:val="11"/>
              <w:keepNext/>
              <w:spacing w:after="0" w:line="440" w:lineRule="exact"/>
              <w:ind w:left="63" w:right="63"/>
              <w:rPr>
                <w:rFonts w:ascii="宋体" w:hAnsi="宋体" w:cs="宋体"/>
                <w:color w:val="auto"/>
                <w:sz w:val="24"/>
                <w:highlight w:val="none"/>
              </w:rPr>
            </w:pPr>
          </w:p>
        </w:tc>
        <w:tc>
          <w:tcPr>
            <w:tcW w:w="2231" w:type="dxa"/>
            <w:vAlign w:val="center"/>
          </w:tcPr>
          <w:p w14:paraId="30DB7052">
            <w:pPr>
              <w:pStyle w:val="11"/>
              <w:keepNext/>
              <w:spacing w:after="0" w:line="440" w:lineRule="exact"/>
              <w:ind w:left="63" w:right="63"/>
              <w:rPr>
                <w:rFonts w:ascii="宋体" w:hAnsi="宋体" w:cs="宋体"/>
                <w:color w:val="auto"/>
                <w:sz w:val="24"/>
                <w:highlight w:val="none"/>
              </w:rPr>
            </w:pPr>
          </w:p>
        </w:tc>
      </w:tr>
      <w:tr w14:paraId="699C5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vAlign w:val="center"/>
          </w:tcPr>
          <w:p w14:paraId="50949454">
            <w:pPr>
              <w:pStyle w:val="11"/>
              <w:keepNext/>
              <w:spacing w:after="0" w:line="440" w:lineRule="exact"/>
              <w:ind w:left="63" w:right="63"/>
              <w:rPr>
                <w:rFonts w:ascii="宋体" w:hAnsi="宋体" w:cs="宋体"/>
                <w:color w:val="auto"/>
                <w:sz w:val="24"/>
                <w:highlight w:val="none"/>
              </w:rPr>
            </w:pPr>
          </w:p>
        </w:tc>
        <w:tc>
          <w:tcPr>
            <w:tcW w:w="1418" w:type="dxa"/>
            <w:vAlign w:val="center"/>
          </w:tcPr>
          <w:p w14:paraId="2CC6204E">
            <w:pPr>
              <w:pStyle w:val="11"/>
              <w:keepNext/>
              <w:spacing w:after="0" w:line="440" w:lineRule="exact"/>
              <w:ind w:left="63" w:right="63"/>
              <w:rPr>
                <w:rFonts w:ascii="宋体" w:hAnsi="宋体" w:cs="宋体"/>
                <w:color w:val="auto"/>
                <w:sz w:val="24"/>
                <w:highlight w:val="none"/>
              </w:rPr>
            </w:pPr>
          </w:p>
        </w:tc>
        <w:tc>
          <w:tcPr>
            <w:tcW w:w="1436" w:type="dxa"/>
            <w:vAlign w:val="center"/>
          </w:tcPr>
          <w:p w14:paraId="2506D512">
            <w:pPr>
              <w:pStyle w:val="11"/>
              <w:keepNext/>
              <w:spacing w:after="0" w:line="440" w:lineRule="exact"/>
              <w:ind w:left="63" w:right="63"/>
              <w:rPr>
                <w:rFonts w:ascii="宋体" w:hAnsi="宋体" w:cs="宋体"/>
                <w:color w:val="auto"/>
                <w:sz w:val="24"/>
                <w:highlight w:val="none"/>
              </w:rPr>
            </w:pPr>
          </w:p>
        </w:tc>
        <w:tc>
          <w:tcPr>
            <w:tcW w:w="1020" w:type="dxa"/>
            <w:vAlign w:val="center"/>
          </w:tcPr>
          <w:p w14:paraId="122C0D40">
            <w:pPr>
              <w:pStyle w:val="11"/>
              <w:keepNext/>
              <w:spacing w:after="0" w:line="440" w:lineRule="exact"/>
              <w:ind w:left="63" w:right="63"/>
              <w:rPr>
                <w:rFonts w:ascii="宋体" w:hAnsi="宋体" w:cs="宋体"/>
                <w:color w:val="auto"/>
                <w:sz w:val="24"/>
                <w:highlight w:val="none"/>
              </w:rPr>
            </w:pPr>
          </w:p>
        </w:tc>
        <w:tc>
          <w:tcPr>
            <w:tcW w:w="2043" w:type="dxa"/>
            <w:vAlign w:val="center"/>
          </w:tcPr>
          <w:p w14:paraId="4DAC5751">
            <w:pPr>
              <w:pStyle w:val="11"/>
              <w:keepNext/>
              <w:spacing w:after="0" w:line="440" w:lineRule="exact"/>
              <w:ind w:left="63" w:right="63"/>
              <w:rPr>
                <w:rFonts w:ascii="宋体" w:hAnsi="宋体" w:cs="宋体"/>
                <w:color w:val="auto"/>
                <w:sz w:val="24"/>
                <w:highlight w:val="none"/>
              </w:rPr>
            </w:pPr>
          </w:p>
        </w:tc>
        <w:tc>
          <w:tcPr>
            <w:tcW w:w="2231" w:type="dxa"/>
            <w:vAlign w:val="center"/>
          </w:tcPr>
          <w:p w14:paraId="2A868514">
            <w:pPr>
              <w:pStyle w:val="11"/>
              <w:keepNext/>
              <w:spacing w:after="0" w:line="440" w:lineRule="exact"/>
              <w:ind w:left="63" w:right="63"/>
              <w:rPr>
                <w:rFonts w:ascii="宋体" w:hAnsi="宋体" w:cs="宋体"/>
                <w:color w:val="auto"/>
                <w:sz w:val="24"/>
                <w:highlight w:val="none"/>
              </w:rPr>
            </w:pPr>
          </w:p>
        </w:tc>
      </w:tr>
      <w:tr w14:paraId="72685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vAlign w:val="center"/>
          </w:tcPr>
          <w:p w14:paraId="71D09044">
            <w:pPr>
              <w:pStyle w:val="11"/>
              <w:keepNext/>
              <w:spacing w:after="0" w:line="440" w:lineRule="exact"/>
              <w:ind w:left="63" w:right="63"/>
              <w:rPr>
                <w:rFonts w:ascii="宋体" w:hAnsi="宋体" w:cs="宋体"/>
                <w:color w:val="auto"/>
                <w:sz w:val="24"/>
                <w:highlight w:val="none"/>
              </w:rPr>
            </w:pPr>
          </w:p>
        </w:tc>
        <w:tc>
          <w:tcPr>
            <w:tcW w:w="1418" w:type="dxa"/>
            <w:vAlign w:val="center"/>
          </w:tcPr>
          <w:p w14:paraId="4C84C892">
            <w:pPr>
              <w:pStyle w:val="11"/>
              <w:keepNext/>
              <w:spacing w:after="0" w:line="440" w:lineRule="exact"/>
              <w:ind w:left="63" w:right="63"/>
              <w:rPr>
                <w:rFonts w:ascii="宋体" w:hAnsi="宋体" w:cs="宋体"/>
                <w:color w:val="auto"/>
                <w:sz w:val="24"/>
                <w:highlight w:val="none"/>
              </w:rPr>
            </w:pPr>
          </w:p>
        </w:tc>
        <w:tc>
          <w:tcPr>
            <w:tcW w:w="1436" w:type="dxa"/>
            <w:vAlign w:val="center"/>
          </w:tcPr>
          <w:p w14:paraId="70A0229F">
            <w:pPr>
              <w:pStyle w:val="11"/>
              <w:keepNext/>
              <w:spacing w:after="0" w:line="440" w:lineRule="exact"/>
              <w:ind w:left="63" w:right="63"/>
              <w:rPr>
                <w:rFonts w:ascii="宋体" w:hAnsi="宋体" w:cs="宋体"/>
                <w:color w:val="auto"/>
                <w:sz w:val="24"/>
                <w:highlight w:val="none"/>
              </w:rPr>
            </w:pPr>
          </w:p>
        </w:tc>
        <w:tc>
          <w:tcPr>
            <w:tcW w:w="1020" w:type="dxa"/>
            <w:vAlign w:val="center"/>
          </w:tcPr>
          <w:p w14:paraId="06963F61">
            <w:pPr>
              <w:pStyle w:val="11"/>
              <w:keepNext/>
              <w:spacing w:after="0" w:line="440" w:lineRule="exact"/>
              <w:ind w:left="63" w:right="63"/>
              <w:rPr>
                <w:rFonts w:ascii="宋体" w:hAnsi="宋体" w:cs="宋体"/>
                <w:color w:val="auto"/>
                <w:sz w:val="24"/>
                <w:highlight w:val="none"/>
              </w:rPr>
            </w:pPr>
          </w:p>
        </w:tc>
        <w:tc>
          <w:tcPr>
            <w:tcW w:w="2043" w:type="dxa"/>
            <w:vAlign w:val="center"/>
          </w:tcPr>
          <w:p w14:paraId="5816DFE4">
            <w:pPr>
              <w:pStyle w:val="11"/>
              <w:keepNext/>
              <w:spacing w:after="0" w:line="440" w:lineRule="exact"/>
              <w:ind w:left="63" w:right="63"/>
              <w:rPr>
                <w:rFonts w:ascii="宋体" w:hAnsi="宋体" w:cs="宋体"/>
                <w:color w:val="auto"/>
                <w:sz w:val="24"/>
                <w:highlight w:val="none"/>
              </w:rPr>
            </w:pPr>
          </w:p>
        </w:tc>
        <w:tc>
          <w:tcPr>
            <w:tcW w:w="2231" w:type="dxa"/>
            <w:vAlign w:val="center"/>
          </w:tcPr>
          <w:p w14:paraId="12CD8F67">
            <w:pPr>
              <w:pStyle w:val="11"/>
              <w:keepNext/>
              <w:spacing w:after="0" w:line="440" w:lineRule="exact"/>
              <w:ind w:left="63" w:right="63"/>
              <w:rPr>
                <w:rFonts w:ascii="宋体" w:hAnsi="宋体" w:cs="宋体"/>
                <w:color w:val="auto"/>
                <w:sz w:val="24"/>
                <w:highlight w:val="none"/>
              </w:rPr>
            </w:pPr>
          </w:p>
        </w:tc>
      </w:tr>
      <w:tr w14:paraId="0CD75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tcBorders>
              <w:bottom w:val="single" w:color="auto" w:sz="12" w:space="0"/>
            </w:tcBorders>
            <w:vAlign w:val="center"/>
          </w:tcPr>
          <w:p w14:paraId="72D2AE39">
            <w:pPr>
              <w:pStyle w:val="11"/>
              <w:keepNext/>
              <w:spacing w:after="0" w:line="440" w:lineRule="exact"/>
              <w:ind w:left="63" w:right="63"/>
              <w:rPr>
                <w:rFonts w:ascii="宋体" w:hAnsi="宋体" w:cs="宋体"/>
                <w:color w:val="auto"/>
                <w:sz w:val="24"/>
                <w:highlight w:val="none"/>
              </w:rPr>
            </w:pPr>
          </w:p>
        </w:tc>
        <w:tc>
          <w:tcPr>
            <w:tcW w:w="1418" w:type="dxa"/>
            <w:tcBorders>
              <w:bottom w:val="single" w:color="auto" w:sz="12" w:space="0"/>
            </w:tcBorders>
            <w:vAlign w:val="center"/>
          </w:tcPr>
          <w:p w14:paraId="35856DA0">
            <w:pPr>
              <w:pStyle w:val="11"/>
              <w:keepNext/>
              <w:spacing w:after="0" w:line="440" w:lineRule="exact"/>
              <w:ind w:left="63" w:right="63"/>
              <w:rPr>
                <w:rFonts w:ascii="宋体" w:hAnsi="宋体" w:cs="宋体"/>
                <w:color w:val="auto"/>
                <w:sz w:val="24"/>
                <w:highlight w:val="none"/>
              </w:rPr>
            </w:pPr>
          </w:p>
        </w:tc>
        <w:tc>
          <w:tcPr>
            <w:tcW w:w="1436" w:type="dxa"/>
            <w:tcBorders>
              <w:bottom w:val="single" w:color="auto" w:sz="12" w:space="0"/>
            </w:tcBorders>
            <w:vAlign w:val="center"/>
          </w:tcPr>
          <w:p w14:paraId="7E40D117">
            <w:pPr>
              <w:pStyle w:val="11"/>
              <w:keepNext/>
              <w:spacing w:after="0" w:line="440" w:lineRule="exact"/>
              <w:ind w:left="63" w:right="63"/>
              <w:rPr>
                <w:rFonts w:ascii="宋体" w:hAnsi="宋体" w:cs="宋体"/>
                <w:color w:val="auto"/>
                <w:sz w:val="24"/>
                <w:highlight w:val="none"/>
              </w:rPr>
            </w:pPr>
          </w:p>
        </w:tc>
        <w:tc>
          <w:tcPr>
            <w:tcW w:w="1020" w:type="dxa"/>
            <w:tcBorders>
              <w:bottom w:val="single" w:color="auto" w:sz="12" w:space="0"/>
            </w:tcBorders>
            <w:vAlign w:val="center"/>
          </w:tcPr>
          <w:p w14:paraId="51AEFA3D">
            <w:pPr>
              <w:pStyle w:val="11"/>
              <w:keepNext/>
              <w:spacing w:after="0" w:line="440" w:lineRule="exact"/>
              <w:ind w:left="63" w:right="63"/>
              <w:rPr>
                <w:rFonts w:ascii="宋体" w:hAnsi="宋体" w:cs="宋体"/>
                <w:color w:val="auto"/>
                <w:sz w:val="24"/>
                <w:highlight w:val="none"/>
              </w:rPr>
            </w:pPr>
          </w:p>
        </w:tc>
        <w:tc>
          <w:tcPr>
            <w:tcW w:w="2043" w:type="dxa"/>
            <w:tcBorders>
              <w:bottom w:val="single" w:color="auto" w:sz="12" w:space="0"/>
            </w:tcBorders>
            <w:vAlign w:val="center"/>
          </w:tcPr>
          <w:p w14:paraId="0E9D274D">
            <w:pPr>
              <w:pStyle w:val="11"/>
              <w:keepNext/>
              <w:spacing w:after="0" w:line="440" w:lineRule="exact"/>
              <w:ind w:left="63" w:right="63"/>
              <w:rPr>
                <w:rFonts w:ascii="宋体" w:hAnsi="宋体" w:cs="宋体"/>
                <w:color w:val="auto"/>
                <w:sz w:val="24"/>
                <w:highlight w:val="none"/>
              </w:rPr>
            </w:pPr>
          </w:p>
        </w:tc>
        <w:tc>
          <w:tcPr>
            <w:tcW w:w="2231" w:type="dxa"/>
            <w:tcBorders>
              <w:bottom w:val="single" w:color="auto" w:sz="12" w:space="0"/>
            </w:tcBorders>
            <w:vAlign w:val="center"/>
          </w:tcPr>
          <w:p w14:paraId="02F653FC">
            <w:pPr>
              <w:pStyle w:val="11"/>
              <w:keepNext/>
              <w:spacing w:after="0" w:line="440" w:lineRule="exact"/>
              <w:ind w:left="63" w:right="63"/>
              <w:rPr>
                <w:rFonts w:ascii="宋体" w:hAnsi="宋体" w:cs="宋体"/>
                <w:color w:val="auto"/>
                <w:sz w:val="24"/>
                <w:highlight w:val="none"/>
              </w:rPr>
            </w:pPr>
          </w:p>
        </w:tc>
      </w:tr>
      <w:tr w14:paraId="2D220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tcBorders>
              <w:bottom w:val="single" w:color="auto" w:sz="12" w:space="0"/>
            </w:tcBorders>
            <w:vAlign w:val="center"/>
          </w:tcPr>
          <w:p w14:paraId="4C31C847">
            <w:pPr>
              <w:pStyle w:val="11"/>
              <w:keepNext/>
              <w:spacing w:after="0" w:line="440" w:lineRule="exact"/>
              <w:ind w:left="63" w:right="63"/>
              <w:rPr>
                <w:rFonts w:ascii="宋体" w:hAnsi="宋体" w:cs="宋体"/>
                <w:color w:val="auto"/>
                <w:sz w:val="24"/>
                <w:highlight w:val="none"/>
              </w:rPr>
            </w:pPr>
          </w:p>
        </w:tc>
        <w:tc>
          <w:tcPr>
            <w:tcW w:w="1418" w:type="dxa"/>
            <w:tcBorders>
              <w:bottom w:val="single" w:color="auto" w:sz="12" w:space="0"/>
            </w:tcBorders>
            <w:vAlign w:val="center"/>
          </w:tcPr>
          <w:p w14:paraId="61215EEA">
            <w:pPr>
              <w:pStyle w:val="11"/>
              <w:keepNext/>
              <w:spacing w:after="0" w:line="440" w:lineRule="exact"/>
              <w:ind w:left="63" w:right="63"/>
              <w:rPr>
                <w:rFonts w:ascii="宋体" w:hAnsi="宋体" w:cs="宋体"/>
                <w:color w:val="auto"/>
                <w:sz w:val="24"/>
                <w:highlight w:val="none"/>
              </w:rPr>
            </w:pPr>
          </w:p>
        </w:tc>
        <w:tc>
          <w:tcPr>
            <w:tcW w:w="1436" w:type="dxa"/>
            <w:tcBorders>
              <w:bottom w:val="single" w:color="auto" w:sz="12" w:space="0"/>
            </w:tcBorders>
            <w:vAlign w:val="center"/>
          </w:tcPr>
          <w:p w14:paraId="60CAFB4F">
            <w:pPr>
              <w:pStyle w:val="11"/>
              <w:keepNext/>
              <w:spacing w:after="0" w:line="440" w:lineRule="exact"/>
              <w:ind w:left="63" w:right="63"/>
              <w:rPr>
                <w:rFonts w:ascii="宋体" w:hAnsi="宋体" w:cs="宋体"/>
                <w:color w:val="auto"/>
                <w:sz w:val="24"/>
                <w:highlight w:val="none"/>
              </w:rPr>
            </w:pPr>
          </w:p>
        </w:tc>
        <w:tc>
          <w:tcPr>
            <w:tcW w:w="1020" w:type="dxa"/>
            <w:tcBorders>
              <w:bottom w:val="single" w:color="auto" w:sz="12" w:space="0"/>
            </w:tcBorders>
            <w:vAlign w:val="center"/>
          </w:tcPr>
          <w:p w14:paraId="113CBDAF">
            <w:pPr>
              <w:pStyle w:val="11"/>
              <w:keepNext/>
              <w:spacing w:after="0" w:line="440" w:lineRule="exact"/>
              <w:ind w:left="63" w:right="63"/>
              <w:rPr>
                <w:rFonts w:ascii="宋体" w:hAnsi="宋体" w:cs="宋体"/>
                <w:color w:val="auto"/>
                <w:sz w:val="24"/>
                <w:highlight w:val="none"/>
              </w:rPr>
            </w:pPr>
          </w:p>
        </w:tc>
        <w:tc>
          <w:tcPr>
            <w:tcW w:w="2043" w:type="dxa"/>
            <w:tcBorders>
              <w:bottom w:val="single" w:color="auto" w:sz="12" w:space="0"/>
            </w:tcBorders>
            <w:vAlign w:val="center"/>
          </w:tcPr>
          <w:p w14:paraId="2D1CEB31">
            <w:pPr>
              <w:pStyle w:val="11"/>
              <w:keepNext/>
              <w:spacing w:after="0" w:line="440" w:lineRule="exact"/>
              <w:ind w:left="63" w:right="63"/>
              <w:rPr>
                <w:rFonts w:ascii="宋体" w:hAnsi="宋体" w:cs="宋体"/>
                <w:color w:val="auto"/>
                <w:sz w:val="24"/>
                <w:highlight w:val="none"/>
              </w:rPr>
            </w:pPr>
          </w:p>
        </w:tc>
        <w:tc>
          <w:tcPr>
            <w:tcW w:w="2231" w:type="dxa"/>
            <w:tcBorders>
              <w:bottom w:val="single" w:color="auto" w:sz="12" w:space="0"/>
            </w:tcBorders>
            <w:vAlign w:val="center"/>
          </w:tcPr>
          <w:p w14:paraId="6C80BB1E">
            <w:pPr>
              <w:pStyle w:val="11"/>
              <w:keepNext/>
              <w:spacing w:after="0" w:line="440" w:lineRule="exact"/>
              <w:ind w:left="63" w:right="63"/>
              <w:rPr>
                <w:rFonts w:ascii="宋体" w:hAnsi="宋体" w:cs="宋体"/>
                <w:color w:val="auto"/>
                <w:sz w:val="24"/>
                <w:highlight w:val="none"/>
              </w:rPr>
            </w:pPr>
          </w:p>
        </w:tc>
      </w:tr>
    </w:tbl>
    <w:p w14:paraId="4D36F189">
      <w:pPr>
        <w:rPr>
          <w:rFonts w:ascii="宋体" w:hAnsi="宋体" w:cs="宋体"/>
          <w:bCs/>
          <w:color w:val="auto"/>
          <w:highlight w:val="none"/>
        </w:rPr>
        <w:sectPr>
          <w:pgSz w:w="11906" w:h="16838"/>
          <w:pgMar w:top="1440" w:right="1080" w:bottom="1440" w:left="1080" w:header="851" w:footer="992" w:gutter="0"/>
          <w:pgNumType w:fmt="decimal"/>
          <w:cols w:space="720" w:num="1"/>
          <w:docGrid w:type="lines" w:linePitch="312" w:charSpace="0"/>
        </w:sectPr>
      </w:pPr>
    </w:p>
    <w:p w14:paraId="1E27AB21">
      <w:pPr>
        <w:spacing w:line="440" w:lineRule="exact"/>
        <w:rPr>
          <w:rFonts w:ascii="宋体" w:hAnsi="宋体" w:cs="宋体"/>
          <w:color w:val="auto"/>
          <w:sz w:val="30"/>
          <w:szCs w:val="30"/>
          <w:highlight w:val="none"/>
        </w:rPr>
      </w:pPr>
      <w:r>
        <w:rPr>
          <w:rFonts w:hint="eastAsia" w:ascii="宋体" w:hAnsi="宋体" w:cs="宋体"/>
          <w:color w:val="auto"/>
          <w:sz w:val="30"/>
          <w:szCs w:val="30"/>
          <w:highlight w:val="none"/>
        </w:rPr>
        <w:t>附</w:t>
      </w:r>
      <w:bookmarkStart w:id="1718" w:name="_Toc296944568"/>
      <w:bookmarkStart w:id="1719" w:name="_Toc296891057"/>
      <w:bookmarkStart w:id="1720" w:name="_Toc296347228"/>
      <w:bookmarkStart w:id="1721" w:name="_Toc296891269"/>
      <w:bookmarkStart w:id="1722" w:name="_Toc296503229"/>
      <w:bookmarkStart w:id="1723" w:name="_Toc296346730"/>
      <w:r>
        <w:rPr>
          <w:rFonts w:hint="eastAsia" w:ascii="宋体" w:hAnsi="宋体" w:cs="宋体"/>
          <w:color w:val="auto"/>
          <w:sz w:val="30"/>
          <w:szCs w:val="30"/>
          <w:highlight w:val="none"/>
        </w:rPr>
        <w:t>件5：</w:t>
      </w:r>
    </w:p>
    <w:bookmarkEnd w:id="1718"/>
    <w:bookmarkEnd w:id="1719"/>
    <w:bookmarkEnd w:id="1720"/>
    <w:bookmarkEnd w:id="1721"/>
    <w:bookmarkEnd w:id="1722"/>
    <w:bookmarkEnd w:id="1723"/>
    <w:p w14:paraId="1158FC49">
      <w:pPr>
        <w:jc w:val="center"/>
        <w:rPr>
          <w:rFonts w:ascii="宋体" w:hAnsi="宋体" w:cs="宋体"/>
          <w:color w:val="auto"/>
          <w:sz w:val="28"/>
          <w:szCs w:val="28"/>
          <w:highlight w:val="none"/>
        </w:rPr>
      </w:pPr>
      <w:r>
        <w:rPr>
          <w:rFonts w:hint="eastAsia" w:ascii="宋体" w:hAnsi="宋体" w:cs="宋体"/>
          <w:color w:val="auto"/>
          <w:sz w:val="28"/>
          <w:szCs w:val="28"/>
          <w:highlight w:val="none"/>
        </w:rPr>
        <w:t>施工单位资质证书正本及营业执照正本（彩色扫描）</w:t>
      </w:r>
    </w:p>
    <w:p w14:paraId="4F3322D2">
      <w:pPr>
        <w:jc w:val="center"/>
        <w:rPr>
          <w:rFonts w:ascii="宋体" w:hAnsi="宋体" w:cs="宋体"/>
          <w:color w:val="auto"/>
          <w:sz w:val="28"/>
          <w:szCs w:val="28"/>
          <w:highlight w:val="none"/>
        </w:rPr>
      </w:pPr>
    </w:p>
    <w:p w14:paraId="05C9D403">
      <w:pPr>
        <w:jc w:val="center"/>
        <w:rPr>
          <w:rFonts w:ascii="宋体" w:hAnsi="宋体" w:cs="宋体"/>
          <w:color w:val="auto"/>
          <w:sz w:val="28"/>
          <w:szCs w:val="28"/>
          <w:highlight w:val="none"/>
        </w:rPr>
      </w:pPr>
    </w:p>
    <w:p w14:paraId="095C55D9">
      <w:pPr>
        <w:jc w:val="center"/>
        <w:rPr>
          <w:rFonts w:ascii="宋体" w:hAnsi="宋体" w:cs="宋体"/>
          <w:color w:val="auto"/>
          <w:sz w:val="28"/>
          <w:szCs w:val="28"/>
          <w:highlight w:val="none"/>
        </w:rPr>
      </w:pPr>
    </w:p>
    <w:p w14:paraId="0D4DE51B">
      <w:pPr>
        <w:jc w:val="center"/>
        <w:rPr>
          <w:rFonts w:ascii="宋体" w:hAnsi="宋体" w:cs="宋体"/>
          <w:color w:val="auto"/>
          <w:sz w:val="28"/>
          <w:szCs w:val="28"/>
          <w:highlight w:val="none"/>
        </w:rPr>
      </w:pPr>
    </w:p>
    <w:p w14:paraId="5AA30FA7">
      <w:pPr>
        <w:jc w:val="center"/>
        <w:rPr>
          <w:rFonts w:ascii="宋体" w:hAnsi="宋体" w:cs="宋体"/>
          <w:color w:val="auto"/>
          <w:sz w:val="28"/>
          <w:szCs w:val="28"/>
          <w:highlight w:val="none"/>
        </w:rPr>
      </w:pPr>
    </w:p>
    <w:p w14:paraId="6A54F0A9">
      <w:pPr>
        <w:jc w:val="center"/>
        <w:rPr>
          <w:rFonts w:ascii="宋体" w:hAnsi="宋体" w:cs="宋体"/>
          <w:color w:val="auto"/>
          <w:sz w:val="28"/>
          <w:szCs w:val="28"/>
          <w:highlight w:val="none"/>
        </w:rPr>
      </w:pPr>
    </w:p>
    <w:p w14:paraId="4E7CFA55">
      <w:pPr>
        <w:jc w:val="center"/>
        <w:rPr>
          <w:rFonts w:ascii="宋体" w:hAnsi="宋体" w:cs="宋体"/>
          <w:color w:val="auto"/>
          <w:sz w:val="28"/>
          <w:szCs w:val="28"/>
          <w:highlight w:val="none"/>
        </w:rPr>
      </w:pPr>
    </w:p>
    <w:p w14:paraId="57FCD3B6">
      <w:pPr>
        <w:jc w:val="center"/>
        <w:rPr>
          <w:rFonts w:ascii="宋体" w:hAnsi="宋体" w:cs="宋体"/>
          <w:color w:val="auto"/>
          <w:sz w:val="28"/>
          <w:szCs w:val="28"/>
          <w:highlight w:val="none"/>
        </w:rPr>
      </w:pPr>
    </w:p>
    <w:p w14:paraId="6F340204">
      <w:pPr>
        <w:jc w:val="center"/>
        <w:rPr>
          <w:rFonts w:ascii="宋体" w:hAnsi="宋体" w:cs="宋体"/>
          <w:color w:val="auto"/>
          <w:sz w:val="28"/>
          <w:szCs w:val="28"/>
          <w:highlight w:val="none"/>
        </w:rPr>
      </w:pPr>
    </w:p>
    <w:p w14:paraId="0969BFDD">
      <w:pPr>
        <w:jc w:val="center"/>
        <w:rPr>
          <w:rFonts w:ascii="宋体" w:hAnsi="宋体" w:cs="宋体"/>
          <w:color w:val="auto"/>
          <w:sz w:val="28"/>
          <w:szCs w:val="28"/>
          <w:highlight w:val="none"/>
        </w:rPr>
      </w:pPr>
    </w:p>
    <w:p w14:paraId="0FCC8310">
      <w:pPr>
        <w:jc w:val="center"/>
        <w:rPr>
          <w:rFonts w:ascii="宋体" w:hAnsi="宋体" w:cs="宋体"/>
          <w:color w:val="auto"/>
          <w:sz w:val="28"/>
          <w:szCs w:val="28"/>
          <w:highlight w:val="none"/>
        </w:rPr>
      </w:pPr>
    </w:p>
    <w:p w14:paraId="004604E8">
      <w:pPr>
        <w:jc w:val="center"/>
        <w:rPr>
          <w:rFonts w:ascii="宋体" w:hAnsi="宋体" w:cs="宋体"/>
          <w:color w:val="auto"/>
          <w:sz w:val="28"/>
          <w:szCs w:val="28"/>
          <w:highlight w:val="none"/>
        </w:rPr>
      </w:pPr>
    </w:p>
    <w:p w14:paraId="6CC523FC">
      <w:pPr>
        <w:jc w:val="center"/>
        <w:rPr>
          <w:rFonts w:ascii="宋体" w:hAnsi="宋体" w:cs="宋体"/>
          <w:color w:val="auto"/>
          <w:sz w:val="28"/>
          <w:szCs w:val="28"/>
          <w:highlight w:val="none"/>
        </w:rPr>
      </w:pPr>
    </w:p>
    <w:p w14:paraId="5034E095">
      <w:pPr>
        <w:jc w:val="center"/>
        <w:rPr>
          <w:rFonts w:ascii="宋体" w:hAnsi="宋体" w:cs="宋体"/>
          <w:color w:val="auto"/>
          <w:sz w:val="28"/>
          <w:szCs w:val="28"/>
          <w:highlight w:val="none"/>
        </w:rPr>
      </w:pPr>
    </w:p>
    <w:p w14:paraId="3171E373">
      <w:pPr>
        <w:jc w:val="center"/>
        <w:rPr>
          <w:rFonts w:ascii="宋体" w:hAnsi="宋体" w:cs="宋体"/>
          <w:color w:val="auto"/>
          <w:sz w:val="28"/>
          <w:szCs w:val="28"/>
          <w:highlight w:val="none"/>
        </w:rPr>
      </w:pPr>
    </w:p>
    <w:p w14:paraId="5741B992">
      <w:pPr>
        <w:jc w:val="center"/>
        <w:rPr>
          <w:rFonts w:ascii="宋体" w:hAnsi="宋体" w:cs="宋体"/>
          <w:color w:val="auto"/>
          <w:sz w:val="28"/>
          <w:szCs w:val="28"/>
          <w:highlight w:val="none"/>
        </w:rPr>
      </w:pPr>
    </w:p>
    <w:p w14:paraId="3E7C7C83">
      <w:pPr>
        <w:jc w:val="center"/>
        <w:rPr>
          <w:rFonts w:ascii="宋体" w:hAnsi="宋体" w:cs="宋体"/>
          <w:color w:val="auto"/>
          <w:sz w:val="28"/>
          <w:szCs w:val="28"/>
          <w:highlight w:val="none"/>
        </w:rPr>
      </w:pPr>
    </w:p>
    <w:p w14:paraId="0772E007">
      <w:pPr>
        <w:jc w:val="center"/>
        <w:rPr>
          <w:rFonts w:ascii="宋体" w:hAnsi="宋体" w:cs="宋体"/>
          <w:color w:val="auto"/>
          <w:sz w:val="28"/>
          <w:szCs w:val="28"/>
          <w:highlight w:val="none"/>
        </w:rPr>
      </w:pPr>
    </w:p>
    <w:p w14:paraId="16A473E0">
      <w:pPr>
        <w:jc w:val="center"/>
        <w:rPr>
          <w:rFonts w:ascii="宋体" w:hAnsi="宋体" w:cs="宋体"/>
          <w:color w:val="auto"/>
          <w:sz w:val="28"/>
          <w:szCs w:val="28"/>
          <w:highlight w:val="none"/>
        </w:rPr>
      </w:pPr>
    </w:p>
    <w:p w14:paraId="3AB7B7FF">
      <w:pPr>
        <w:jc w:val="center"/>
        <w:rPr>
          <w:rFonts w:ascii="宋体" w:hAnsi="宋体" w:cs="宋体"/>
          <w:color w:val="auto"/>
          <w:sz w:val="28"/>
          <w:szCs w:val="28"/>
          <w:highlight w:val="none"/>
        </w:rPr>
      </w:pPr>
    </w:p>
    <w:p w14:paraId="4F26F9B2">
      <w:pPr>
        <w:jc w:val="center"/>
        <w:rPr>
          <w:rFonts w:ascii="宋体" w:hAnsi="宋体" w:cs="宋体"/>
          <w:color w:val="auto"/>
          <w:sz w:val="28"/>
          <w:szCs w:val="28"/>
          <w:highlight w:val="none"/>
        </w:rPr>
      </w:pPr>
    </w:p>
    <w:p w14:paraId="1341E96E">
      <w:pPr>
        <w:jc w:val="center"/>
        <w:rPr>
          <w:rFonts w:ascii="宋体" w:hAnsi="宋体" w:cs="宋体"/>
          <w:color w:val="auto"/>
          <w:sz w:val="28"/>
          <w:szCs w:val="28"/>
          <w:highlight w:val="none"/>
        </w:rPr>
      </w:pPr>
    </w:p>
    <w:p w14:paraId="0AD607DC">
      <w:pPr>
        <w:jc w:val="center"/>
        <w:rPr>
          <w:rFonts w:ascii="宋体" w:hAnsi="宋体" w:cs="宋体"/>
          <w:color w:val="auto"/>
          <w:sz w:val="28"/>
          <w:szCs w:val="28"/>
          <w:highlight w:val="none"/>
        </w:rPr>
      </w:pPr>
    </w:p>
    <w:p w14:paraId="4EFA627C">
      <w:pPr>
        <w:jc w:val="center"/>
        <w:rPr>
          <w:rFonts w:ascii="宋体" w:hAnsi="宋体" w:cs="宋体"/>
          <w:color w:val="auto"/>
          <w:sz w:val="28"/>
          <w:szCs w:val="28"/>
          <w:highlight w:val="none"/>
        </w:rPr>
      </w:pPr>
    </w:p>
    <w:p w14:paraId="5E461A64">
      <w:pPr>
        <w:jc w:val="center"/>
        <w:rPr>
          <w:rFonts w:ascii="宋体" w:hAnsi="宋体" w:cs="宋体"/>
          <w:color w:val="auto"/>
          <w:sz w:val="28"/>
          <w:szCs w:val="28"/>
          <w:highlight w:val="none"/>
        </w:rPr>
      </w:pPr>
    </w:p>
    <w:p w14:paraId="165A1F45">
      <w:pPr>
        <w:jc w:val="center"/>
        <w:rPr>
          <w:rFonts w:ascii="宋体" w:hAnsi="宋体" w:cs="宋体"/>
          <w:color w:val="auto"/>
          <w:sz w:val="28"/>
          <w:szCs w:val="28"/>
          <w:highlight w:val="none"/>
        </w:rPr>
      </w:pPr>
    </w:p>
    <w:p w14:paraId="3253B0D0">
      <w:pPr>
        <w:jc w:val="center"/>
        <w:rPr>
          <w:rFonts w:ascii="宋体" w:hAnsi="宋体" w:cs="宋体"/>
          <w:color w:val="auto"/>
          <w:sz w:val="28"/>
          <w:szCs w:val="28"/>
          <w:highlight w:val="none"/>
        </w:rPr>
      </w:pPr>
    </w:p>
    <w:p w14:paraId="41122189">
      <w:pPr>
        <w:tabs>
          <w:tab w:val="left" w:pos="3261"/>
        </w:tabs>
        <w:spacing w:line="360" w:lineRule="auto"/>
        <w:jc w:val="center"/>
        <w:rPr>
          <w:rFonts w:ascii="宋体" w:hAnsi="宋体" w:cs="宋体"/>
          <w:b/>
          <w:color w:val="auto"/>
          <w:sz w:val="44"/>
          <w:szCs w:val="44"/>
          <w:highlight w:val="none"/>
        </w:rPr>
      </w:pPr>
    </w:p>
    <w:p w14:paraId="43B02ED6">
      <w:pPr>
        <w:spacing w:line="440" w:lineRule="exact"/>
        <w:rPr>
          <w:rFonts w:ascii="宋体" w:hAnsi="宋体" w:cs="宋体"/>
          <w:color w:val="auto"/>
          <w:sz w:val="30"/>
          <w:szCs w:val="30"/>
          <w:highlight w:val="none"/>
        </w:rPr>
      </w:pPr>
    </w:p>
    <w:p w14:paraId="290E8D67">
      <w:pPr>
        <w:spacing w:line="440" w:lineRule="exact"/>
        <w:rPr>
          <w:rFonts w:ascii="宋体" w:hAnsi="宋体" w:cs="宋体"/>
          <w:color w:val="auto"/>
          <w:sz w:val="30"/>
          <w:szCs w:val="30"/>
          <w:highlight w:val="none"/>
        </w:rPr>
      </w:pPr>
    </w:p>
    <w:p w14:paraId="5D6D1B99">
      <w:pPr>
        <w:spacing w:line="440" w:lineRule="exact"/>
        <w:rPr>
          <w:rFonts w:ascii="宋体" w:hAnsi="宋体" w:cs="宋体"/>
          <w:color w:val="auto"/>
          <w:sz w:val="30"/>
          <w:szCs w:val="30"/>
          <w:highlight w:val="none"/>
        </w:rPr>
      </w:pPr>
    </w:p>
    <w:p w14:paraId="747551E0">
      <w:pPr>
        <w:spacing w:line="440" w:lineRule="exact"/>
        <w:rPr>
          <w:rFonts w:ascii="宋体" w:hAnsi="宋体" w:cs="宋体"/>
          <w:color w:val="auto"/>
          <w:sz w:val="30"/>
          <w:szCs w:val="30"/>
          <w:highlight w:val="none"/>
        </w:rPr>
      </w:pPr>
    </w:p>
    <w:p w14:paraId="224C7240">
      <w:pPr>
        <w:spacing w:line="440" w:lineRule="exact"/>
        <w:rPr>
          <w:rFonts w:ascii="宋体" w:hAnsi="宋体" w:cs="宋体"/>
          <w:color w:val="auto"/>
          <w:sz w:val="30"/>
          <w:szCs w:val="30"/>
          <w:highlight w:val="none"/>
        </w:rPr>
      </w:pPr>
    </w:p>
    <w:p w14:paraId="73966937">
      <w:pPr>
        <w:spacing w:line="440" w:lineRule="exact"/>
        <w:rPr>
          <w:rFonts w:ascii="宋体" w:hAnsi="宋体" w:cs="宋体"/>
          <w:color w:val="auto"/>
          <w:sz w:val="30"/>
          <w:szCs w:val="30"/>
          <w:highlight w:val="none"/>
        </w:rPr>
      </w:pPr>
    </w:p>
    <w:p w14:paraId="43A88D4F">
      <w:pPr>
        <w:spacing w:line="440" w:lineRule="exact"/>
        <w:rPr>
          <w:rFonts w:ascii="宋体" w:hAnsi="宋体" w:cs="宋体"/>
          <w:color w:val="auto"/>
          <w:sz w:val="30"/>
          <w:szCs w:val="30"/>
          <w:highlight w:val="none"/>
        </w:rPr>
      </w:pPr>
    </w:p>
    <w:p w14:paraId="7A49F289">
      <w:pPr>
        <w:spacing w:line="440" w:lineRule="exact"/>
        <w:rPr>
          <w:rFonts w:ascii="宋体" w:hAnsi="宋体" w:cs="宋体"/>
          <w:color w:val="auto"/>
          <w:sz w:val="30"/>
          <w:szCs w:val="30"/>
          <w:highlight w:val="none"/>
        </w:rPr>
      </w:pPr>
      <w:r>
        <w:rPr>
          <w:rFonts w:hint="eastAsia" w:ascii="宋体" w:hAnsi="宋体" w:cs="宋体"/>
          <w:color w:val="auto"/>
          <w:sz w:val="30"/>
          <w:szCs w:val="30"/>
          <w:highlight w:val="none"/>
        </w:rPr>
        <w:t>附件6：</w:t>
      </w:r>
    </w:p>
    <w:p w14:paraId="104FE0B3">
      <w:pPr>
        <w:widowControl/>
        <w:shd w:val="clear" w:color="auto" w:fill="FFFFFF"/>
        <w:spacing w:before="120" w:beforeLines="50" w:after="120" w:afterLines="50" w:line="400" w:lineRule="exact"/>
        <w:jc w:val="center"/>
        <w:rPr>
          <w:b/>
          <w:bCs/>
          <w:color w:val="auto"/>
          <w:spacing w:val="-16"/>
          <w:sz w:val="28"/>
          <w:szCs w:val="28"/>
          <w:highlight w:val="none"/>
        </w:rPr>
      </w:pPr>
      <w:r>
        <w:rPr>
          <w:rFonts w:hint="eastAsia" w:hAnsi="宋体"/>
          <w:b/>
          <w:color w:val="auto"/>
          <w:spacing w:val="-16"/>
          <w:sz w:val="28"/>
          <w:szCs w:val="28"/>
          <w:highlight w:val="none"/>
        </w:rPr>
        <w:t>广西达元工程管理有限责任公司关于横州市第二高级中学校椅校区田径场塑胶跑道及配套灯光和广播项目</w:t>
      </w:r>
      <w:r>
        <w:rPr>
          <w:rFonts w:hint="eastAsia"/>
          <w:b/>
          <w:bCs/>
          <w:color w:val="auto"/>
          <w:spacing w:val="-16"/>
          <w:sz w:val="28"/>
          <w:szCs w:val="28"/>
          <w:highlight w:val="none"/>
        </w:rPr>
        <w:t>（</w:t>
      </w:r>
      <w:r>
        <w:rPr>
          <w:rFonts w:hint="eastAsia" w:ascii="宋体" w:hAnsi="宋体" w:cs="宋体"/>
          <w:b/>
          <w:bCs/>
          <w:color w:val="auto"/>
          <w:spacing w:val="-16"/>
          <w:sz w:val="28"/>
          <w:szCs w:val="28"/>
          <w:highlight w:val="none"/>
          <w:lang w:eastAsia="zh-CN"/>
        </w:rPr>
        <w:t>NNZC2025-C2-270064-GXDY</w:t>
      </w:r>
      <w:r>
        <w:rPr>
          <w:rFonts w:hint="eastAsia"/>
          <w:b/>
          <w:bCs/>
          <w:color w:val="auto"/>
          <w:spacing w:val="-16"/>
          <w:sz w:val="28"/>
          <w:szCs w:val="28"/>
          <w:highlight w:val="none"/>
        </w:rPr>
        <w:t>）</w:t>
      </w:r>
    </w:p>
    <w:p w14:paraId="136DF708">
      <w:pPr>
        <w:widowControl/>
        <w:shd w:val="clear" w:color="auto" w:fill="FFFFFF"/>
        <w:spacing w:before="120" w:beforeLines="50" w:after="120" w:afterLines="50" w:line="400" w:lineRule="exact"/>
        <w:jc w:val="center"/>
        <w:rPr>
          <w:rFonts w:ascii="宋体" w:hAnsi="宋体" w:cs="宋体"/>
          <w:color w:val="auto"/>
          <w:spacing w:val="-4"/>
          <w:sz w:val="28"/>
          <w:szCs w:val="28"/>
          <w:highlight w:val="none"/>
        </w:rPr>
      </w:pPr>
      <w:r>
        <w:rPr>
          <w:rFonts w:hint="eastAsia"/>
          <w:b/>
          <w:color w:val="auto"/>
          <w:spacing w:val="-16"/>
          <w:sz w:val="28"/>
          <w:szCs w:val="28"/>
          <w:highlight w:val="none"/>
        </w:rPr>
        <w:t>中标通知书</w:t>
      </w:r>
    </w:p>
    <w:p w14:paraId="3DE58F96">
      <w:pPr>
        <w:spacing w:line="540" w:lineRule="exact"/>
        <w:rPr>
          <w:rFonts w:ascii="宋体" w:hAnsi="宋体" w:cs="宋体"/>
          <w:color w:val="auto"/>
          <w:szCs w:val="21"/>
          <w:highlight w:val="none"/>
        </w:rPr>
      </w:pPr>
      <w:r>
        <w:rPr>
          <w:rFonts w:hint="eastAsia" w:ascii="宋体" w:hAnsi="宋体" w:cs="宋体"/>
          <w:color w:val="auto"/>
          <w:szCs w:val="21"/>
          <w:highlight w:val="none"/>
        </w:rPr>
        <w:t>XXXX公司：</w:t>
      </w:r>
    </w:p>
    <w:p w14:paraId="388DB69A">
      <w:pPr>
        <w:pStyle w:val="12"/>
        <w:tabs>
          <w:tab w:val="left" w:pos="3204"/>
        </w:tabs>
        <w:spacing w:line="540" w:lineRule="exact"/>
        <w:ind w:firstLine="420" w:firstLineChars="200"/>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贵单位参加了本采购代理机构组织的</w:t>
      </w:r>
      <w:r>
        <w:rPr>
          <w:rFonts w:hint="eastAsia" w:hAnsi="宋体" w:eastAsia="宋体" w:cs="宋体"/>
          <w:color w:val="auto"/>
          <w:sz w:val="21"/>
          <w:szCs w:val="21"/>
          <w:highlight w:val="none"/>
          <w:u w:val="single"/>
        </w:rPr>
        <w:t>横州市第二高级中学校椅校区田径场塑胶跑道及配套灯光和广播项目</w:t>
      </w:r>
      <w:r>
        <w:rPr>
          <w:rFonts w:hint="eastAsia" w:ascii="宋体" w:hAnsi="宋体" w:eastAsia="宋体" w:cs="宋体"/>
          <w:color w:val="auto"/>
          <w:sz w:val="21"/>
          <w:szCs w:val="21"/>
          <w:highlight w:val="none"/>
          <w:u w:val="single"/>
        </w:rPr>
        <w:t>（</w:t>
      </w:r>
      <w:r>
        <w:rPr>
          <w:rFonts w:hint="eastAsia" w:hAnsi="宋体" w:eastAsia="宋体" w:cs="宋体"/>
          <w:color w:val="auto"/>
          <w:sz w:val="21"/>
          <w:szCs w:val="21"/>
          <w:highlight w:val="none"/>
          <w:u w:val="single"/>
          <w:lang w:eastAsia="zh-CN"/>
        </w:rPr>
        <w:t>NNZC2025-C2-270064-GXDY</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，经</w:t>
      </w:r>
      <w:r>
        <w:rPr>
          <w:rFonts w:hint="eastAsia" w:hAnsi="宋体" w:eastAsia="宋体" w:cs="宋体"/>
          <w:color w:val="auto"/>
          <w:sz w:val="21"/>
          <w:szCs w:val="21"/>
          <w:highlight w:val="none"/>
        </w:rPr>
        <w:t>磋商小组</w:t>
      </w:r>
      <w:r>
        <w:rPr>
          <w:rFonts w:hint="eastAsia" w:ascii="宋体" w:hAnsi="宋体" w:eastAsia="宋体" w:cs="宋体"/>
          <w:color w:val="auto"/>
          <w:sz w:val="21"/>
          <w:szCs w:val="21"/>
          <w:highlight w:val="none"/>
        </w:rPr>
        <w:t>评定确定贵单位为本项目的中标供应商。</w:t>
      </w:r>
      <w:r>
        <w:rPr>
          <w:rFonts w:hint="eastAsia" w:hAnsi="宋体" w:eastAsia="宋体" w:cs="宋体"/>
          <w:color w:val="auto"/>
          <w:sz w:val="21"/>
          <w:szCs w:val="21"/>
          <w:highlight w:val="none"/>
        </w:rPr>
        <w:t>中标金额</w:t>
      </w:r>
      <w:r>
        <w:rPr>
          <w:rFonts w:hint="eastAsia" w:ascii="宋体" w:hAnsi="宋体" w:eastAsia="宋体" w:cs="宋体"/>
          <w:color w:val="auto"/>
          <w:sz w:val="21"/>
          <w:szCs w:val="21"/>
          <w:highlight w:val="none"/>
        </w:rPr>
        <w:t>大写</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XXXX</w:t>
      </w:r>
      <w:r>
        <w:rPr>
          <w:rFonts w:hint="eastAsia" w:hAnsi="宋体" w:eastAsia="宋体" w:cs="宋体"/>
          <w:bCs/>
          <w:color w:val="auto"/>
          <w:sz w:val="21"/>
          <w:szCs w:val="21"/>
          <w:highlight w:val="none"/>
        </w:rPr>
        <w:t>元整</w:t>
      </w:r>
      <w:r>
        <w:rPr>
          <w:rFonts w:hint="eastAsia" w:ascii="宋体" w:hAnsi="宋体" w:eastAsia="宋体" w:cs="宋体"/>
          <w:bCs/>
          <w:color w:val="auto"/>
          <w:sz w:val="21"/>
          <w:szCs w:val="21"/>
          <w:highlight w:val="none"/>
        </w:rPr>
        <w:t>（小写：</w:t>
      </w:r>
      <w:r>
        <w:rPr>
          <w:rFonts w:hint="eastAsia" w:ascii="宋体" w:hAnsi="宋体" w:eastAsia="宋体" w:cs="宋体"/>
          <w:color w:val="auto"/>
          <w:sz w:val="21"/>
          <w:szCs w:val="21"/>
          <w:highlight w:val="none"/>
        </w:rPr>
        <w:t>XXXX</w:t>
      </w:r>
      <w:r>
        <w:rPr>
          <w:rFonts w:hint="eastAsia" w:hAnsi="宋体" w:eastAsia="宋体" w:cs="宋体"/>
          <w:bCs/>
          <w:color w:val="auto"/>
          <w:sz w:val="21"/>
          <w:szCs w:val="21"/>
          <w:highlight w:val="none"/>
        </w:rPr>
        <w:t>元</w:t>
      </w:r>
      <w:r>
        <w:rPr>
          <w:rFonts w:hint="eastAsia" w:ascii="宋体" w:hAnsi="宋体" w:eastAsia="宋体" w:cs="宋体"/>
          <w:bCs/>
          <w:color w:val="auto"/>
          <w:sz w:val="21"/>
          <w:szCs w:val="21"/>
          <w:highlight w:val="none"/>
        </w:rPr>
        <w:t>）。</w:t>
      </w:r>
    </w:p>
    <w:p w14:paraId="59329618">
      <w:pPr>
        <w:spacing w:line="5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现将有关事项通知如下：</w:t>
      </w:r>
    </w:p>
    <w:p w14:paraId="10F8D2F8">
      <w:pPr>
        <w:spacing w:line="5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一、请接到本通知后，请在《中华人民共和国政府采购法》和采购文件规定时间前与采购单位</w:t>
      </w:r>
      <w:r>
        <w:rPr>
          <w:rFonts w:hint="eastAsia" w:ascii="宋体" w:hAnsi="宋体" w:cs="宋体"/>
          <w:color w:val="auto"/>
          <w:szCs w:val="21"/>
          <w:highlight w:val="none"/>
          <w:u w:val="single"/>
        </w:rPr>
        <w:t>横州市第二高级中学</w:t>
      </w:r>
      <w:r>
        <w:rPr>
          <w:rFonts w:hint="eastAsia" w:ascii="宋体" w:hAnsi="宋体" w:cs="宋体"/>
          <w:color w:val="auto"/>
          <w:szCs w:val="21"/>
          <w:highlight w:val="none"/>
        </w:rPr>
        <w:t>签订合同，延期自误。</w:t>
      </w:r>
    </w:p>
    <w:p w14:paraId="3E831EFD">
      <w:pPr>
        <w:spacing w:line="54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二、签订合同详细地点：</w:t>
      </w:r>
      <w:r>
        <w:rPr>
          <w:rFonts w:hint="eastAsia" w:ascii="宋体" w:hAnsi="宋体" w:cs="宋体"/>
          <w:color w:val="auto"/>
          <w:szCs w:val="21"/>
          <w:highlight w:val="none"/>
          <w:u w:val="single"/>
        </w:rPr>
        <w:t>横州市横州镇柳福北巷21号（项目联系人：韦老师 ，电话：</w:t>
      </w:r>
      <w:r>
        <w:rPr>
          <w:rFonts w:hint="eastAsia" w:ascii="宋体" w:hAnsi="宋体" w:cs="宋体"/>
          <w:color w:val="auto"/>
          <w:szCs w:val="21"/>
          <w:highlight w:val="none"/>
          <w:u w:val="single"/>
          <w:lang w:eastAsia="zh-CN"/>
        </w:rPr>
        <w:t>0771-7261995</w:t>
      </w:r>
      <w:r>
        <w:rPr>
          <w:rFonts w:hint="eastAsia" w:ascii="宋体" w:hAnsi="宋体" w:cs="宋体"/>
          <w:color w:val="auto"/>
          <w:szCs w:val="21"/>
          <w:highlight w:val="none"/>
          <w:u w:val="single"/>
        </w:rPr>
        <w:t>）</w:t>
      </w:r>
    </w:p>
    <w:p w14:paraId="24BF65F8">
      <w:pPr>
        <w:pStyle w:val="15"/>
        <w:spacing w:line="540" w:lineRule="exact"/>
        <w:ind w:firstLine="420" w:firstLineChars="200"/>
        <w:rPr>
          <w:rFonts w:hAnsi="宋体" w:cs="宋体"/>
          <w:color w:val="auto"/>
          <w:sz w:val="21"/>
          <w:highlight w:val="none"/>
        </w:rPr>
      </w:pPr>
      <w:r>
        <w:rPr>
          <w:rFonts w:hint="eastAsia" w:hAnsi="宋体" w:cs="宋体"/>
          <w:color w:val="auto"/>
          <w:sz w:val="21"/>
          <w:highlight w:val="none"/>
        </w:rPr>
        <w:t>三、届时请带齐下列证件：</w:t>
      </w:r>
    </w:p>
    <w:p w14:paraId="45613059">
      <w:pPr>
        <w:pStyle w:val="15"/>
        <w:spacing w:line="540" w:lineRule="exact"/>
        <w:ind w:firstLine="315" w:firstLineChars="150"/>
        <w:rPr>
          <w:rFonts w:hAnsi="宋体" w:cs="宋体"/>
          <w:color w:val="auto"/>
          <w:sz w:val="21"/>
          <w:highlight w:val="none"/>
        </w:rPr>
      </w:pPr>
      <w:r>
        <w:rPr>
          <w:rFonts w:hint="eastAsia" w:hAnsi="宋体" w:cs="宋体"/>
          <w:color w:val="auto"/>
          <w:sz w:val="21"/>
          <w:highlight w:val="none"/>
        </w:rPr>
        <w:t>（1）中标通知书</w:t>
      </w:r>
    </w:p>
    <w:p w14:paraId="1E002E37">
      <w:pPr>
        <w:pStyle w:val="15"/>
        <w:spacing w:line="540" w:lineRule="exact"/>
        <w:ind w:firstLine="315" w:firstLineChars="150"/>
        <w:rPr>
          <w:rFonts w:hAnsi="宋体" w:cs="宋体"/>
          <w:color w:val="auto"/>
          <w:sz w:val="21"/>
          <w:highlight w:val="none"/>
        </w:rPr>
      </w:pPr>
      <w:r>
        <w:rPr>
          <w:rFonts w:hint="eastAsia" w:hAnsi="宋体" w:cs="宋体"/>
          <w:color w:val="auto"/>
          <w:sz w:val="21"/>
          <w:highlight w:val="none"/>
        </w:rPr>
        <w:t>（2）响应文件上规定的文件材料（含法定代表人授权书）</w:t>
      </w:r>
    </w:p>
    <w:p w14:paraId="3BCFA28D">
      <w:pPr>
        <w:pStyle w:val="15"/>
        <w:spacing w:line="540" w:lineRule="exact"/>
        <w:ind w:firstLine="315" w:firstLineChars="150"/>
        <w:rPr>
          <w:rFonts w:hAnsi="宋体" w:cs="宋体"/>
          <w:color w:val="auto"/>
          <w:sz w:val="21"/>
          <w:highlight w:val="none"/>
        </w:rPr>
      </w:pPr>
      <w:r>
        <w:rPr>
          <w:rFonts w:hint="eastAsia" w:hAnsi="宋体" w:cs="宋体"/>
          <w:color w:val="auto"/>
          <w:sz w:val="21"/>
          <w:highlight w:val="none"/>
        </w:rPr>
        <w:t>（3）单位公章或合同专用章</w:t>
      </w:r>
    </w:p>
    <w:p w14:paraId="1C1EDBC3">
      <w:pPr>
        <w:pStyle w:val="15"/>
        <w:spacing w:line="540" w:lineRule="exact"/>
        <w:ind w:firstLine="315" w:firstLineChars="150"/>
        <w:rPr>
          <w:rFonts w:hAnsi="宋体" w:cs="宋体"/>
          <w:color w:val="auto"/>
          <w:sz w:val="21"/>
          <w:highlight w:val="none"/>
        </w:rPr>
      </w:pPr>
      <w:r>
        <w:rPr>
          <w:rFonts w:hint="eastAsia" w:hAnsi="宋体" w:cs="宋体"/>
          <w:color w:val="auto"/>
          <w:sz w:val="21"/>
          <w:highlight w:val="none"/>
        </w:rPr>
        <w:t>（4）本单位的开户银行、帐号及开户名称</w:t>
      </w:r>
    </w:p>
    <w:p w14:paraId="4D80BD59">
      <w:pPr>
        <w:pStyle w:val="15"/>
        <w:spacing w:line="540" w:lineRule="exact"/>
        <w:ind w:firstLine="630" w:firstLineChars="300"/>
        <w:rPr>
          <w:color w:val="auto"/>
          <w:sz w:val="21"/>
          <w:highlight w:val="none"/>
        </w:rPr>
      </w:pPr>
      <w:r>
        <w:rPr>
          <w:rFonts w:hint="eastAsia" w:hAnsi="宋体" w:cs="宋体"/>
          <w:color w:val="auto"/>
          <w:sz w:val="21"/>
          <w:highlight w:val="none"/>
        </w:rPr>
        <w:t xml:space="preserve">特此通知。 </w:t>
      </w:r>
    </w:p>
    <w:p w14:paraId="429CB652">
      <w:pPr>
        <w:pStyle w:val="15"/>
        <w:spacing w:line="320" w:lineRule="exact"/>
        <w:ind w:right="720"/>
        <w:jc w:val="right"/>
        <w:outlineLvl w:val="0"/>
        <w:rPr>
          <w:rFonts w:hAnsi="宋体" w:cs="宋体"/>
          <w:color w:val="auto"/>
          <w:sz w:val="21"/>
          <w:highlight w:val="none"/>
        </w:rPr>
      </w:pPr>
    </w:p>
    <w:p w14:paraId="6A59A2D2">
      <w:pPr>
        <w:pStyle w:val="15"/>
        <w:spacing w:line="320" w:lineRule="exact"/>
        <w:ind w:right="720"/>
        <w:jc w:val="right"/>
        <w:outlineLvl w:val="0"/>
        <w:rPr>
          <w:rFonts w:hAnsi="宋体" w:cs="宋体"/>
          <w:color w:val="auto"/>
          <w:sz w:val="21"/>
          <w:highlight w:val="none"/>
        </w:rPr>
      </w:pPr>
    </w:p>
    <w:p w14:paraId="5E5B8AE7">
      <w:pPr>
        <w:pStyle w:val="15"/>
        <w:spacing w:line="320" w:lineRule="exact"/>
        <w:ind w:right="720"/>
        <w:jc w:val="right"/>
        <w:outlineLvl w:val="0"/>
        <w:rPr>
          <w:color w:val="auto"/>
          <w:sz w:val="21"/>
          <w:highlight w:val="none"/>
        </w:rPr>
      </w:pPr>
      <w:r>
        <w:rPr>
          <w:rFonts w:hint="eastAsia" w:hAnsi="宋体" w:cs="宋体"/>
          <w:color w:val="auto"/>
          <w:sz w:val="21"/>
          <w:highlight w:val="none"/>
        </w:rPr>
        <w:t xml:space="preserve">采购单位：横州市第二高级中学  </w:t>
      </w:r>
    </w:p>
    <w:p w14:paraId="21DD14D0">
      <w:pPr>
        <w:pStyle w:val="15"/>
        <w:spacing w:line="460" w:lineRule="exact"/>
        <w:rPr>
          <w:rFonts w:hAnsi="宋体" w:cs="宋体"/>
          <w:color w:val="auto"/>
          <w:sz w:val="21"/>
          <w:highlight w:val="none"/>
        </w:rPr>
      </w:pPr>
    </w:p>
    <w:p w14:paraId="1A071812">
      <w:pPr>
        <w:pStyle w:val="15"/>
        <w:spacing w:line="460" w:lineRule="exact"/>
        <w:rPr>
          <w:rFonts w:hAnsi="宋体" w:cs="宋体"/>
          <w:color w:val="auto"/>
          <w:sz w:val="21"/>
          <w:highlight w:val="none"/>
        </w:rPr>
      </w:pPr>
    </w:p>
    <w:p w14:paraId="31C4070B">
      <w:pPr>
        <w:pStyle w:val="15"/>
        <w:spacing w:line="460" w:lineRule="exact"/>
        <w:ind w:firstLine="315" w:firstLineChars="150"/>
        <w:jc w:val="left"/>
        <w:rPr>
          <w:rFonts w:hAnsi="宋体" w:cs="宋体"/>
          <w:color w:val="auto"/>
          <w:sz w:val="21"/>
          <w:highlight w:val="none"/>
        </w:rPr>
      </w:pPr>
      <w:r>
        <w:rPr>
          <w:rFonts w:hint="eastAsia" w:hAnsi="宋体" w:cs="宋体"/>
          <w:color w:val="auto"/>
          <w:sz w:val="21"/>
          <w:highlight w:val="none"/>
        </w:rPr>
        <w:t xml:space="preserve">                                       采购代理机构：广西达元工程管理有限责任公司                                 </w:t>
      </w:r>
    </w:p>
    <w:p w14:paraId="5C99E8A6">
      <w:pPr>
        <w:pStyle w:val="15"/>
        <w:spacing w:line="460" w:lineRule="exact"/>
        <w:ind w:firstLine="315" w:firstLineChars="150"/>
        <w:jc w:val="center"/>
        <w:rPr>
          <w:rFonts w:hAnsi="宋体" w:cs="宋体"/>
          <w:color w:val="auto"/>
          <w:sz w:val="21"/>
          <w:highlight w:val="none"/>
        </w:rPr>
      </w:pPr>
      <w:r>
        <w:rPr>
          <w:rFonts w:hint="eastAsia" w:hAnsi="宋体" w:cs="宋体"/>
          <w:color w:val="auto"/>
          <w:sz w:val="21"/>
          <w:highlight w:val="none"/>
        </w:rPr>
        <w:t xml:space="preserve">                               </w:t>
      </w:r>
    </w:p>
    <w:p w14:paraId="4CE6D8D9">
      <w:pPr>
        <w:pStyle w:val="15"/>
        <w:spacing w:line="460" w:lineRule="exact"/>
        <w:ind w:firstLine="315" w:firstLineChars="150"/>
        <w:jc w:val="center"/>
        <w:rPr>
          <w:rFonts w:hAnsi="宋体" w:cs="宋体"/>
          <w:color w:val="auto"/>
          <w:sz w:val="21"/>
          <w:highlight w:val="none"/>
        </w:rPr>
      </w:pPr>
      <w:r>
        <w:rPr>
          <w:rFonts w:hint="eastAsia" w:hAnsi="宋体" w:cs="宋体"/>
          <w:color w:val="auto"/>
          <w:sz w:val="21"/>
          <w:highlight w:val="none"/>
        </w:rPr>
        <w:t xml:space="preserve">                                                 2025年XX月XX日</w:t>
      </w:r>
    </w:p>
    <w:p w14:paraId="2DD51485">
      <w:pPr>
        <w:jc w:val="center"/>
        <w:rPr>
          <w:rFonts w:ascii="宋体" w:hAnsi="宋体" w:cs="宋体"/>
          <w:color w:val="auto"/>
          <w:sz w:val="28"/>
          <w:szCs w:val="28"/>
          <w:highlight w:val="none"/>
        </w:rPr>
      </w:pPr>
    </w:p>
    <w:p w14:paraId="0FC3AF81">
      <w:pPr>
        <w:jc w:val="center"/>
        <w:rPr>
          <w:rFonts w:ascii="宋体" w:hAnsi="宋体" w:cs="宋体"/>
          <w:color w:val="auto"/>
          <w:sz w:val="28"/>
          <w:szCs w:val="28"/>
          <w:highlight w:val="none"/>
        </w:rPr>
      </w:pPr>
    </w:p>
    <w:p w14:paraId="3E23101B">
      <w:pPr>
        <w:rPr>
          <w:rFonts w:ascii="宋体" w:hAnsi="宋体" w:cs="宋体"/>
          <w:color w:val="auto"/>
          <w:sz w:val="28"/>
          <w:szCs w:val="28"/>
          <w:highlight w:val="none"/>
        </w:rPr>
      </w:pPr>
    </w:p>
    <w:p w14:paraId="53E8A679">
      <w:pPr>
        <w:pStyle w:val="3"/>
        <w:jc w:val="center"/>
        <w:rPr>
          <w:rFonts w:ascii="宋体" w:hAnsi="宋体" w:cs="宋体"/>
          <w:bCs w:val="0"/>
          <w:color w:val="auto"/>
          <w:kern w:val="44"/>
          <w:sz w:val="44"/>
          <w:szCs w:val="44"/>
          <w:highlight w:val="none"/>
        </w:rPr>
      </w:pPr>
      <w:bookmarkStart w:id="1724" w:name="_Toc1707863990"/>
      <w:bookmarkStart w:id="1725" w:name="_Toc26654"/>
      <w:r>
        <w:rPr>
          <w:rFonts w:hint="eastAsia" w:ascii="宋体" w:hAnsi="宋体" w:cs="宋体"/>
          <w:bCs w:val="0"/>
          <w:color w:val="auto"/>
          <w:kern w:val="44"/>
          <w:sz w:val="44"/>
          <w:szCs w:val="44"/>
          <w:highlight w:val="none"/>
        </w:rPr>
        <w:t>第七章 工程量清单</w:t>
      </w:r>
      <w:bookmarkEnd w:id="1724"/>
      <w:bookmarkEnd w:id="1725"/>
    </w:p>
    <w:p w14:paraId="25A5C3D9">
      <w:pPr>
        <w:pStyle w:val="4"/>
        <w:spacing w:line="360" w:lineRule="exact"/>
        <w:rPr>
          <w:color w:val="auto"/>
          <w:highlight w:val="none"/>
        </w:rPr>
      </w:pPr>
      <w:bookmarkStart w:id="1726" w:name="bookmark1944"/>
      <w:bookmarkEnd w:id="1726"/>
      <w:bookmarkStart w:id="1727" w:name="bookmark1942"/>
      <w:bookmarkStart w:id="1728" w:name="bookmark1945"/>
      <w:bookmarkStart w:id="1729" w:name="bookmark1943"/>
      <w:bookmarkStart w:id="1730" w:name="_Toc2117366857"/>
      <w:bookmarkStart w:id="1731" w:name="_Toc10850"/>
      <w:bookmarkStart w:id="1732" w:name="_Toc31914"/>
      <w:bookmarkStart w:id="1733" w:name="_Toc10568"/>
      <w:r>
        <w:rPr>
          <w:rFonts w:hint="eastAsia"/>
          <w:color w:val="auto"/>
          <w:highlight w:val="none"/>
        </w:rPr>
        <w:t>1. 工程量清单说明</w:t>
      </w:r>
      <w:bookmarkEnd w:id="1727"/>
      <w:bookmarkEnd w:id="1728"/>
      <w:bookmarkEnd w:id="1729"/>
      <w:bookmarkEnd w:id="1730"/>
      <w:bookmarkEnd w:id="1731"/>
      <w:bookmarkEnd w:id="1732"/>
      <w:bookmarkEnd w:id="1733"/>
    </w:p>
    <w:p w14:paraId="765BCE01">
      <w:pPr>
        <w:pStyle w:val="41"/>
        <w:tabs>
          <w:tab w:val="left" w:pos="922"/>
        </w:tabs>
        <w:spacing w:line="355" w:lineRule="exact"/>
        <w:ind w:firstLine="440"/>
        <w:rPr>
          <w:rFonts w:ascii="Times New Roman" w:hAnsi="Times New Roman" w:cs="Times New Roman"/>
          <w:color w:val="auto"/>
          <w:highlight w:val="none"/>
        </w:rPr>
      </w:pPr>
      <w:bookmarkStart w:id="1734" w:name="bookmark1946"/>
      <w:r>
        <w:rPr>
          <w:rFonts w:ascii="Times New Roman" w:hAnsi="Times New Roman" w:cs="Times New Roman"/>
          <w:color w:val="auto"/>
          <w:highlight w:val="none"/>
        </w:rPr>
        <w:t>（</w:t>
      </w:r>
      <w:bookmarkEnd w:id="1734"/>
      <w:r>
        <w:rPr>
          <w:rFonts w:ascii="Times New Roman" w:hAnsi="Times New Roman" w:cs="Times New Roman"/>
          <w:color w:val="auto"/>
          <w:highlight w:val="none"/>
        </w:rPr>
        <w:t>1）工程量清单应与</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文件中的</w:t>
      </w:r>
      <w:r>
        <w:rPr>
          <w:rFonts w:hint="eastAsia" w:ascii="Times New Roman" w:hAnsi="Times New Roman" w:cs="Times New Roman"/>
          <w:color w:val="auto"/>
          <w:highlight w:val="none"/>
        </w:rPr>
        <w:t>供应商须知</w:t>
      </w:r>
      <w:r>
        <w:rPr>
          <w:rFonts w:ascii="Times New Roman" w:hAnsi="Times New Roman" w:cs="Times New Roman"/>
          <w:color w:val="auto"/>
          <w:highlight w:val="none"/>
        </w:rPr>
        <w:t>、通用合同条款、专用合同条款、技术标准和要求（合同技术条款）、图纸及</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lang w:val="en-US" w:bidi="en-US"/>
        </w:rPr>
        <w:t>）</w:t>
      </w:r>
      <w:r>
        <w:rPr>
          <w:rFonts w:ascii="Times New Roman" w:hAnsi="Times New Roman" w:cs="Times New Roman"/>
          <w:color w:val="auto"/>
          <w:highlight w:val="none"/>
        </w:rPr>
        <w:t>等一起阅读和理解。</w:t>
      </w:r>
    </w:p>
    <w:p w14:paraId="6D9F29BD">
      <w:pPr>
        <w:pStyle w:val="41"/>
        <w:tabs>
          <w:tab w:val="left" w:pos="922"/>
        </w:tabs>
        <w:spacing w:line="355" w:lineRule="exact"/>
        <w:ind w:firstLine="440"/>
        <w:rPr>
          <w:rFonts w:ascii="Times New Roman" w:hAnsi="Times New Roman" w:cs="Times New Roman"/>
          <w:color w:val="auto"/>
          <w:highlight w:val="none"/>
        </w:rPr>
      </w:pPr>
      <w:bookmarkStart w:id="1735" w:name="bookmark1947"/>
      <w:r>
        <w:rPr>
          <w:rFonts w:ascii="Times New Roman" w:hAnsi="Times New Roman" w:cs="Times New Roman"/>
          <w:color w:val="auto"/>
          <w:highlight w:val="none"/>
        </w:rPr>
        <w:t>（</w:t>
      </w:r>
      <w:bookmarkEnd w:id="1735"/>
      <w:r>
        <w:rPr>
          <w:rFonts w:ascii="Times New Roman" w:hAnsi="Times New Roman" w:cs="Times New Roman"/>
          <w:color w:val="auto"/>
          <w:highlight w:val="none"/>
        </w:rPr>
        <w:t>2）工程量清单仅是</w:t>
      </w:r>
      <w:r>
        <w:rPr>
          <w:rFonts w:hint="eastAsia" w:ascii="Times New Roman" w:hAnsi="Times New Roman" w:cs="Times New Roman"/>
          <w:color w:val="auto"/>
          <w:highlight w:val="none"/>
          <w:lang w:val="en-US"/>
        </w:rPr>
        <w:t>供应商磋商</w:t>
      </w:r>
      <w:r>
        <w:rPr>
          <w:rFonts w:ascii="Times New Roman" w:hAnsi="Times New Roman" w:cs="Times New Roman"/>
          <w:color w:val="auto"/>
          <w:highlight w:val="none"/>
        </w:rPr>
        <w:t>报价的共同基础。除另有约定外，工程量清单中的工程量是根据招标设计图纸按</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rPr>
        <w:t>计算规则计算的用于</w:t>
      </w:r>
      <w:r>
        <w:rPr>
          <w:rFonts w:hint="eastAsia" w:ascii="Times New Roman" w:hAnsi="Times New Roman" w:cs="Times New Roman"/>
          <w:color w:val="auto"/>
          <w:highlight w:val="none"/>
          <w:lang w:val="en-US"/>
        </w:rPr>
        <w:t>磋商</w:t>
      </w:r>
      <w:r>
        <w:rPr>
          <w:rFonts w:ascii="Times New Roman" w:hAnsi="Times New Roman" w:cs="Times New Roman"/>
          <w:color w:val="auto"/>
          <w:highlight w:val="none"/>
        </w:rPr>
        <w:t>报价的估算工程量，不作为最终结算工程量。最终结算工程量是承包人实际完成并符合技术标准和要求（合同技术条款）和</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rPr>
        <w:t>计算规则等规定，按施工图纸计算的有效工程量。</w:t>
      </w:r>
    </w:p>
    <w:p w14:paraId="0F4C9CCB">
      <w:pPr>
        <w:pStyle w:val="41"/>
        <w:tabs>
          <w:tab w:val="left" w:pos="918"/>
        </w:tabs>
        <w:spacing w:line="355" w:lineRule="exact"/>
        <w:ind w:firstLine="440"/>
        <w:rPr>
          <w:rFonts w:ascii="Times New Roman" w:hAnsi="Times New Roman" w:cs="Times New Roman"/>
          <w:color w:val="auto"/>
          <w:highlight w:val="none"/>
        </w:rPr>
      </w:pPr>
      <w:bookmarkStart w:id="1736" w:name="bookmark1948"/>
      <w:r>
        <w:rPr>
          <w:rFonts w:ascii="Times New Roman" w:hAnsi="Times New Roman" w:cs="Times New Roman"/>
          <w:color w:val="auto"/>
          <w:highlight w:val="none"/>
        </w:rPr>
        <w:t>（</w:t>
      </w:r>
      <w:bookmarkEnd w:id="1736"/>
      <w:r>
        <w:rPr>
          <w:rFonts w:ascii="Times New Roman" w:hAnsi="Times New Roman" w:cs="Times New Roman"/>
          <w:color w:val="auto"/>
          <w:highlight w:val="none"/>
        </w:rPr>
        <w:t>3）工程量清单中各项目的工作内容和要求应符合相关技术标准和要求（合同技术条款）以及</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rPr>
        <w:t>的规定。</w:t>
      </w:r>
    </w:p>
    <w:p w14:paraId="171CEAF1">
      <w:pPr>
        <w:pStyle w:val="41"/>
        <w:tabs>
          <w:tab w:val="left" w:pos="903"/>
        </w:tabs>
        <w:spacing w:after="260" w:line="355" w:lineRule="exact"/>
        <w:ind w:firstLine="420"/>
        <w:rPr>
          <w:rFonts w:ascii="Times New Roman" w:hAnsi="Times New Roman" w:cs="Times New Roman"/>
          <w:color w:val="auto"/>
          <w:highlight w:val="none"/>
        </w:rPr>
      </w:pPr>
      <w:bookmarkStart w:id="1737" w:name="bookmark1949"/>
      <w:r>
        <w:rPr>
          <w:rFonts w:ascii="Times New Roman" w:hAnsi="Times New Roman" w:cs="Times New Roman"/>
          <w:color w:val="auto"/>
          <w:highlight w:val="none"/>
        </w:rPr>
        <w:t>（</w:t>
      </w:r>
      <w:bookmarkEnd w:id="1737"/>
      <w:r>
        <w:rPr>
          <w:rFonts w:ascii="Times New Roman" w:hAnsi="Times New Roman" w:cs="Times New Roman"/>
          <w:color w:val="auto"/>
          <w:highlight w:val="none"/>
        </w:rPr>
        <w:t>4）工程价款的支付遵循合同条款的约定。</w:t>
      </w:r>
    </w:p>
    <w:p w14:paraId="23056FC7">
      <w:pPr>
        <w:pStyle w:val="4"/>
        <w:spacing w:line="360" w:lineRule="exact"/>
        <w:rPr>
          <w:color w:val="auto"/>
          <w:highlight w:val="none"/>
        </w:rPr>
      </w:pPr>
      <w:bookmarkStart w:id="1738" w:name="bookmark1952"/>
      <w:bookmarkEnd w:id="1738"/>
      <w:bookmarkStart w:id="1739" w:name="bookmark1950"/>
      <w:bookmarkStart w:id="1740" w:name="_Toc26458"/>
      <w:bookmarkStart w:id="1741" w:name="_Toc111540483"/>
      <w:bookmarkStart w:id="1742" w:name="bookmark1953"/>
      <w:bookmarkStart w:id="1743" w:name="bookmark1951"/>
      <w:bookmarkStart w:id="1744" w:name="_Toc17246"/>
      <w:bookmarkStart w:id="1745" w:name="_Toc30126"/>
      <w:r>
        <w:rPr>
          <w:rFonts w:hint="eastAsia"/>
          <w:color w:val="auto"/>
          <w:highlight w:val="none"/>
        </w:rPr>
        <w:t>2. 磋商报价说明</w:t>
      </w:r>
      <w:bookmarkEnd w:id="1739"/>
      <w:bookmarkEnd w:id="1740"/>
      <w:bookmarkEnd w:id="1741"/>
      <w:bookmarkEnd w:id="1742"/>
      <w:bookmarkEnd w:id="1743"/>
      <w:bookmarkEnd w:id="1744"/>
      <w:bookmarkEnd w:id="1745"/>
    </w:p>
    <w:p w14:paraId="481F3A60">
      <w:pPr>
        <w:spacing w:line="360" w:lineRule="auto"/>
        <w:rPr>
          <w:rFonts w:ascii="宋体" w:hAnsi="宋体"/>
          <w:b/>
          <w:color w:val="auto"/>
          <w:sz w:val="30"/>
          <w:szCs w:val="30"/>
          <w:highlight w:val="none"/>
        </w:rPr>
      </w:pPr>
      <w:bookmarkStart w:id="1746" w:name="bookmark1955"/>
      <w:bookmarkStart w:id="1747" w:name="bookmark1954"/>
      <w:bookmarkStart w:id="1748" w:name="bookmark1956"/>
      <w:r>
        <w:rPr>
          <w:rFonts w:ascii="宋体" w:hAnsi="宋体"/>
          <w:b/>
          <w:color w:val="auto"/>
          <w:sz w:val="30"/>
          <w:szCs w:val="30"/>
          <w:highlight w:val="none"/>
        </w:rPr>
        <w:t>2.1工程量清单报价表组成</w:t>
      </w:r>
      <w:bookmarkEnd w:id="1746"/>
      <w:bookmarkEnd w:id="1747"/>
      <w:bookmarkEnd w:id="1748"/>
    </w:p>
    <w:p w14:paraId="09CE0BD3">
      <w:pPr>
        <w:pStyle w:val="41"/>
        <w:spacing w:line="355" w:lineRule="atLeast"/>
        <w:ind w:firstLine="420"/>
        <w:rPr>
          <w:rFonts w:ascii="Times New Roman" w:hAnsi="Times New Roman" w:cs="Times New Roman"/>
          <w:color w:val="auto"/>
          <w:highlight w:val="none"/>
        </w:rPr>
      </w:pPr>
      <w:r>
        <w:rPr>
          <w:rFonts w:ascii="Times New Roman" w:hAnsi="Times New Roman" w:cs="Times New Roman"/>
          <w:color w:val="auto"/>
          <w:highlight w:val="none"/>
        </w:rPr>
        <w:t>工程量清单报价表由以下表格组成：</w:t>
      </w:r>
    </w:p>
    <w:p w14:paraId="26413C44">
      <w:pPr>
        <w:pStyle w:val="41"/>
        <w:tabs>
          <w:tab w:val="left" w:pos="738"/>
        </w:tabs>
        <w:spacing w:line="355" w:lineRule="atLeast"/>
        <w:ind w:left="420" w:leftChars="200" w:firstLine="0"/>
        <w:rPr>
          <w:rFonts w:ascii="Times New Roman" w:hAnsi="Times New Roman" w:cs="Times New Roman"/>
          <w:color w:val="auto"/>
          <w:highlight w:val="none"/>
        </w:rPr>
      </w:pPr>
      <w:bookmarkStart w:id="1749" w:name="bookmark1957"/>
      <w:bookmarkEnd w:id="1749"/>
      <w:r>
        <w:rPr>
          <w:rFonts w:ascii="Times New Roman" w:hAnsi="Times New Roman" w:cs="Times New Roman"/>
          <w:color w:val="auto"/>
          <w:highlight w:val="none"/>
          <w:lang w:val="en-US"/>
        </w:rPr>
        <w:t>1.</w:t>
      </w:r>
      <w:r>
        <w:rPr>
          <w:rFonts w:hint="eastAsia" w:ascii="Times New Roman" w:hAnsi="Times New Roman" w:cs="Times New Roman"/>
          <w:color w:val="auto"/>
          <w:highlight w:val="none"/>
          <w:lang w:val="en-US"/>
        </w:rPr>
        <w:t>磋商</w:t>
      </w:r>
      <w:r>
        <w:rPr>
          <w:rFonts w:ascii="Times New Roman" w:hAnsi="Times New Roman" w:cs="Times New Roman"/>
          <w:color w:val="auto"/>
          <w:highlight w:val="none"/>
        </w:rPr>
        <w:t>总价。</w:t>
      </w:r>
    </w:p>
    <w:p w14:paraId="50D0A7AC">
      <w:pPr>
        <w:pStyle w:val="41"/>
        <w:tabs>
          <w:tab w:val="left" w:pos="754"/>
        </w:tabs>
        <w:spacing w:line="355" w:lineRule="atLeast"/>
        <w:ind w:left="420" w:leftChars="200" w:firstLine="0"/>
        <w:rPr>
          <w:rFonts w:ascii="Times New Roman" w:hAnsi="Times New Roman" w:cs="Times New Roman"/>
          <w:color w:val="auto"/>
          <w:highlight w:val="none"/>
        </w:rPr>
      </w:pPr>
      <w:bookmarkStart w:id="1750" w:name="bookmark1958"/>
      <w:bookmarkEnd w:id="1750"/>
      <w:r>
        <w:rPr>
          <w:rFonts w:ascii="Times New Roman" w:hAnsi="Times New Roman" w:cs="Times New Roman"/>
          <w:color w:val="auto"/>
          <w:highlight w:val="none"/>
          <w:lang w:val="en-US"/>
        </w:rPr>
        <w:t>2.</w:t>
      </w:r>
      <w:r>
        <w:rPr>
          <w:rFonts w:ascii="Times New Roman" w:hAnsi="Times New Roman" w:cs="Times New Roman"/>
          <w:color w:val="auto"/>
          <w:highlight w:val="none"/>
        </w:rPr>
        <w:t>工程项目总价表。</w:t>
      </w:r>
    </w:p>
    <w:p w14:paraId="21CE162C">
      <w:pPr>
        <w:pStyle w:val="41"/>
        <w:tabs>
          <w:tab w:val="left" w:pos="754"/>
        </w:tabs>
        <w:spacing w:line="355" w:lineRule="atLeast"/>
        <w:ind w:left="420" w:leftChars="200" w:firstLine="0"/>
        <w:rPr>
          <w:rFonts w:ascii="Times New Roman" w:hAnsi="Times New Roman" w:cs="Times New Roman"/>
          <w:color w:val="auto"/>
          <w:highlight w:val="none"/>
        </w:rPr>
      </w:pPr>
      <w:bookmarkStart w:id="1751" w:name="bookmark1959"/>
      <w:bookmarkEnd w:id="1751"/>
      <w:r>
        <w:rPr>
          <w:rFonts w:ascii="Times New Roman" w:hAnsi="Times New Roman" w:cs="Times New Roman"/>
          <w:color w:val="auto"/>
          <w:highlight w:val="none"/>
          <w:lang w:val="en-US"/>
        </w:rPr>
        <w:t>3.</w:t>
      </w:r>
      <w:r>
        <w:rPr>
          <w:rFonts w:ascii="Times New Roman" w:hAnsi="Times New Roman" w:cs="Times New Roman"/>
          <w:color w:val="auto"/>
          <w:highlight w:val="none"/>
        </w:rPr>
        <w:t>分类分项工程量清单计价表。</w:t>
      </w:r>
    </w:p>
    <w:p w14:paraId="5292452D">
      <w:pPr>
        <w:pStyle w:val="41"/>
        <w:tabs>
          <w:tab w:val="left" w:pos="759"/>
        </w:tabs>
        <w:spacing w:line="355" w:lineRule="atLeast"/>
        <w:ind w:left="420" w:leftChars="200" w:firstLine="0"/>
        <w:rPr>
          <w:rFonts w:ascii="Times New Roman" w:hAnsi="Times New Roman" w:cs="Times New Roman"/>
          <w:color w:val="auto"/>
          <w:highlight w:val="none"/>
        </w:rPr>
      </w:pPr>
      <w:bookmarkStart w:id="1752" w:name="bookmark1960"/>
      <w:bookmarkEnd w:id="1752"/>
      <w:r>
        <w:rPr>
          <w:rFonts w:ascii="Times New Roman" w:hAnsi="Times New Roman" w:cs="Times New Roman"/>
          <w:color w:val="auto"/>
          <w:highlight w:val="none"/>
          <w:lang w:val="en-US"/>
        </w:rPr>
        <w:t>4.</w:t>
      </w:r>
      <w:r>
        <w:rPr>
          <w:rFonts w:ascii="Times New Roman" w:hAnsi="Times New Roman" w:cs="Times New Roman"/>
          <w:color w:val="auto"/>
          <w:highlight w:val="none"/>
        </w:rPr>
        <w:t>措施项目清单计价表。</w:t>
      </w:r>
    </w:p>
    <w:p w14:paraId="6692CF42">
      <w:pPr>
        <w:pStyle w:val="41"/>
        <w:tabs>
          <w:tab w:val="left" w:pos="759"/>
        </w:tabs>
        <w:spacing w:line="355" w:lineRule="atLeast"/>
        <w:ind w:left="420" w:leftChars="200" w:firstLine="0"/>
        <w:rPr>
          <w:rFonts w:ascii="Times New Roman" w:hAnsi="Times New Roman" w:cs="Times New Roman"/>
          <w:color w:val="auto"/>
          <w:highlight w:val="none"/>
        </w:rPr>
      </w:pPr>
      <w:bookmarkStart w:id="1753" w:name="bookmark1961"/>
      <w:bookmarkEnd w:id="1753"/>
      <w:r>
        <w:rPr>
          <w:rFonts w:ascii="Times New Roman" w:hAnsi="Times New Roman" w:cs="Times New Roman"/>
          <w:color w:val="auto"/>
          <w:highlight w:val="none"/>
          <w:lang w:val="en-US"/>
        </w:rPr>
        <w:t>5.</w:t>
      </w:r>
      <w:r>
        <w:rPr>
          <w:rFonts w:ascii="Times New Roman" w:hAnsi="Times New Roman" w:cs="Times New Roman"/>
          <w:color w:val="auto"/>
          <w:highlight w:val="none"/>
        </w:rPr>
        <w:t>其它项目清单计价表。</w:t>
      </w:r>
    </w:p>
    <w:p w14:paraId="082C58B5">
      <w:pPr>
        <w:pStyle w:val="41"/>
        <w:tabs>
          <w:tab w:val="left" w:pos="759"/>
        </w:tabs>
        <w:spacing w:line="355" w:lineRule="atLeast"/>
        <w:ind w:left="420" w:leftChars="200" w:firstLine="0"/>
        <w:rPr>
          <w:rFonts w:ascii="Times New Roman" w:hAnsi="Times New Roman" w:cs="Times New Roman"/>
          <w:color w:val="auto"/>
          <w:highlight w:val="none"/>
        </w:rPr>
      </w:pPr>
      <w:bookmarkStart w:id="1754" w:name="bookmark1962"/>
      <w:bookmarkEnd w:id="1754"/>
      <w:r>
        <w:rPr>
          <w:rFonts w:ascii="Times New Roman" w:hAnsi="Times New Roman" w:cs="Times New Roman"/>
          <w:color w:val="auto"/>
          <w:highlight w:val="none"/>
          <w:lang w:val="en-US"/>
        </w:rPr>
        <w:t>6.</w:t>
      </w:r>
      <w:r>
        <w:rPr>
          <w:rFonts w:ascii="Times New Roman" w:hAnsi="Times New Roman" w:cs="Times New Roman"/>
          <w:color w:val="auto"/>
          <w:highlight w:val="none"/>
        </w:rPr>
        <w:t>零星工作（计日工）项目计价表。</w:t>
      </w:r>
    </w:p>
    <w:p w14:paraId="0868BA2C">
      <w:pPr>
        <w:pStyle w:val="41"/>
        <w:tabs>
          <w:tab w:val="left" w:pos="759"/>
        </w:tabs>
        <w:spacing w:line="355" w:lineRule="atLeast"/>
        <w:ind w:left="420" w:leftChars="200" w:firstLine="0"/>
        <w:rPr>
          <w:rFonts w:ascii="Times New Roman" w:hAnsi="Times New Roman" w:cs="Times New Roman"/>
          <w:color w:val="auto"/>
          <w:highlight w:val="none"/>
        </w:rPr>
      </w:pPr>
      <w:bookmarkStart w:id="1755" w:name="bookmark1963"/>
      <w:bookmarkEnd w:id="1755"/>
      <w:r>
        <w:rPr>
          <w:rFonts w:ascii="Times New Roman" w:hAnsi="Times New Roman" w:cs="Times New Roman"/>
          <w:color w:val="auto"/>
          <w:highlight w:val="none"/>
          <w:lang w:val="en-US"/>
        </w:rPr>
        <w:t>7.</w:t>
      </w:r>
      <w:r>
        <w:rPr>
          <w:rFonts w:ascii="Times New Roman" w:hAnsi="Times New Roman" w:cs="Times New Roman"/>
          <w:color w:val="auto"/>
          <w:highlight w:val="none"/>
        </w:rPr>
        <w:t>工程单价汇总表。</w:t>
      </w:r>
    </w:p>
    <w:p w14:paraId="630A38D4">
      <w:pPr>
        <w:pStyle w:val="41"/>
        <w:tabs>
          <w:tab w:val="left" w:pos="759"/>
        </w:tabs>
        <w:spacing w:line="355" w:lineRule="atLeast"/>
        <w:ind w:left="420" w:leftChars="200" w:firstLine="0"/>
        <w:rPr>
          <w:rFonts w:ascii="Times New Roman" w:hAnsi="Times New Roman" w:cs="Times New Roman"/>
          <w:color w:val="auto"/>
          <w:highlight w:val="none"/>
        </w:rPr>
      </w:pPr>
      <w:bookmarkStart w:id="1756" w:name="bookmark1964"/>
      <w:bookmarkEnd w:id="1756"/>
      <w:r>
        <w:rPr>
          <w:rFonts w:ascii="Times New Roman" w:hAnsi="Times New Roman" w:cs="Times New Roman"/>
          <w:color w:val="auto"/>
          <w:highlight w:val="none"/>
          <w:lang w:val="en-US"/>
        </w:rPr>
        <w:t>8.</w:t>
      </w:r>
      <w:r>
        <w:rPr>
          <w:rFonts w:ascii="Times New Roman" w:hAnsi="Times New Roman" w:cs="Times New Roman"/>
          <w:color w:val="auto"/>
          <w:highlight w:val="none"/>
        </w:rPr>
        <w:t>工程单价费（税）率汇总表。</w:t>
      </w:r>
    </w:p>
    <w:p w14:paraId="28AF282F">
      <w:pPr>
        <w:pStyle w:val="41"/>
        <w:tabs>
          <w:tab w:val="left" w:pos="759"/>
        </w:tabs>
        <w:spacing w:line="355" w:lineRule="atLeast"/>
        <w:ind w:left="420" w:leftChars="200" w:firstLine="0"/>
        <w:rPr>
          <w:rFonts w:ascii="Times New Roman" w:hAnsi="Times New Roman" w:cs="Times New Roman"/>
          <w:color w:val="auto"/>
          <w:highlight w:val="none"/>
        </w:rPr>
      </w:pPr>
      <w:bookmarkStart w:id="1757" w:name="bookmark1965"/>
      <w:bookmarkEnd w:id="1757"/>
      <w:r>
        <w:rPr>
          <w:rFonts w:ascii="Times New Roman" w:hAnsi="Times New Roman" w:cs="Times New Roman"/>
          <w:color w:val="auto"/>
          <w:highlight w:val="none"/>
          <w:lang w:val="en-US"/>
        </w:rPr>
        <w:t>9.</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生产电、风、水、砂石基础单价汇总表。</w:t>
      </w:r>
    </w:p>
    <w:p w14:paraId="59B6D25F">
      <w:pPr>
        <w:pStyle w:val="41"/>
        <w:tabs>
          <w:tab w:val="left" w:pos="841"/>
        </w:tabs>
        <w:spacing w:line="355" w:lineRule="atLeast"/>
        <w:ind w:left="420" w:leftChars="200" w:firstLine="0"/>
        <w:rPr>
          <w:rFonts w:ascii="Times New Roman" w:hAnsi="Times New Roman" w:cs="Times New Roman"/>
          <w:color w:val="auto"/>
          <w:highlight w:val="none"/>
        </w:rPr>
      </w:pPr>
      <w:bookmarkStart w:id="1758" w:name="bookmark1966"/>
      <w:bookmarkEnd w:id="1758"/>
      <w:r>
        <w:rPr>
          <w:rFonts w:ascii="Times New Roman" w:hAnsi="Times New Roman" w:cs="Times New Roman"/>
          <w:color w:val="auto"/>
          <w:highlight w:val="none"/>
          <w:lang w:val="en-US"/>
        </w:rPr>
        <w:t>10.</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生产混凝土配合比材料费表。</w:t>
      </w:r>
    </w:p>
    <w:p w14:paraId="058A5281">
      <w:pPr>
        <w:pStyle w:val="41"/>
        <w:spacing w:line="355" w:lineRule="atLeast"/>
        <w:ind w:left="420" w:leftChars="200" w:firstLine="0"/>
        <w:rPr>
          <w:rFonts w:ascii="Times New Roman" w:hAnsi="Times New Roman" w:cs="Times New Roman"/>
          <w:color w:val="auto"/>
          <w:highlight w:val="none"/>
        </w:rPr>
      </w:pPr>
      <w:r>
        <w:rPr>
          <w:rFonts w:ascii="Times New Roman" w:hAnsi="Times New Roman" w:cs="Times New Roman"/>
          <w:color w:val="auto"/>
          <w:highlight w:val="none"/>
          <w:lang w:val="en-US"/>
        </w:rPr>
        <w:t>11.</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供应材料价格汇总表（若招标人提供）。</w:t>
      </w:r>
    </w:p>
    <w:p w14:paraId="04F09332">
      <w:pPr>
        <w:pStyle w:val="41"/>
        <w:tabs>
          <w:tab w:val="left" w:pos="841"/>
        </w:tabs>
        <w:spacing w:line="355" w:lineRule="atLeast"/>
        <w:ind w:left="420" w:leftChars="200" w:firstLine="0"/>
        <w:rPr>
          <w:rFonts w:ascii="Times New Roman" w:hAnsi="Times New Roman" w:cs="Times New Roman"/>
          <w:color w:val="auto"/>
          <w:highlight w:val="none"/>
        </w:rPr>
      </w:pPr>
      <w:bookmarkStart w:id="1759" w:name="bookmark1968"/>
      <w:bookmarkEnd w:id="1759"/>
      <w:r>
        <w:rPr>
          <w:rFonts w:ascii="Times New Roman" w:hAnsi="Times New Roman" w:cs="Times New Roman"/>
          <w:color w:val="auto"/>
          <w:highlight w:val="none"/>
          <w:lang w:val="en-US"/>
        </w:rPr>
        <w:t>12.</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自行采购主要材料预算价格汇总表。</w:t>
      </w:r>
    </w:p>
    <w:p w14:paraId="3CF2DEE4">
      <w:pPr>
        <w:pStyle w:val="41"/>
        <w:tabs>
          <w:tab w:val="left" w:pos="841"/>
        </w:tabs>
        <w:spacing w:line="355" w:lineRule="atLeast"/>
        <w:ind w:left="420" w:leftChars="200" w:firstLine="0"/>
        <w:rPr>
          <w:rFonts w:ascii="Times New Roman" w:hAnsi="Times New Roman" w:cs="Times New Roman"/>
          <w:color w:val="auto"/>
          <w:highlight w:val="none"/>
        </w:rPr>
      </w:pPr>
      <w:bookmarkStart w:id="1760" w:name="bookmark1969"/>
      <w:bookmarkEnd w:id="1760"/>
      <w:r>
        <w:rPr>
          <w:rFonts w:ascii="Times New Roman" w:hAnsi="Times New Roman" w:cs="Times New Roman"/>
          <w:color w:val="auto"/>
          <w:highlight w:val="none"/>
          <w:lang w:val="en-US"/>
        </w:rPr>
        <w:t>13.</w:t>
      </w:r>
      <w:r>
        <w:rPr>
          <w:rFonts w:hint="eastAsia" w:ascii="Times New Roman" w:hAnsi="Times New Roman" w:cs="Times New Roman"/>
          <w:color w:val="auto"/>
          <w:highlight w:val="none"/>
          <w:lang w:val="en-US"/>
        </w:rPr>
        <w:t>采购人</w:t>
      </w:r>
      <w:r>
        <w:rPr>
          <w:rFonts w:ascii="Times New Roman" w:hAnsi="Times New Roman" w:cs="Times New Roman"/>
          <w:color w:val="auto"/>
          <w:highlight w:val="none"/>
        </w:rPr>
        <w:t>提供施工机械台时（班）费汇总表（若招标人提供）。</w:t>
      </w:r>
    </w:p>
    <w:p w14:paraId="27387E56">
      <w:pPr>
        <w:pStyle w:val="41"/>
        <w:tabs>
          <w:tab w:val="left" w:pos="841"/>
        </w:tabs>
        <w:spacing w:line="355" w:lineRule="atLeast"/>
        <w:ind w:left="420" w:leftChars="200" w:firstLine="0"/>
        <w:rPr>
          <w:rFonts w:ascii="Times New Roman" w:hAnsi="Times New Roman" w:cs="Times New Roman"/>
          <w:color w:val="auto"/>
          <w:highlight w:val="none"/>
        </w:rPr>
      </w:pPr>
      <w:bookmarkStart w:id="1761" w:name="bookmark1970"/>
      <w:bookmarkEnd w:id="1761"/>
      <w:r>
        <w:rPr>
          <w:rFonts w:ascii="Times New Roman" w:hAnsi="Times New Roman" w:cs="Times New Roman"/>
          <w:color w:val="auto"/>
          <w:highlight w:val="none"/>
          <w:lang w:val="en-US"/>
        </w:rPr>
        <w:t>14.</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自备施工机械台时（班）费汇总表。</w:t>
      </w:r>
    </w:p>
    <w:p w14:paraId="5542AFF6">
      <w:pPr>
        <w:pStyle w:val="41"/>
        <w:tabs>
          <w:tab w:val="left" w:pos="841"/>
        </w:tabs>
        <w:spacing w:line="355" w:lineRule="atLeast"/>
        <w:ind w:left="420" w:leftChars="200" w:firstLine="0"/>
        <w:rPr>
          <w:rFonts w:ascii="Times New Roman" w:hAnsi="Times New Roman" w:cs="Times New Roman"/>
          <w:color w:val="auto"/>
          <w:highlight w:val="none"/>
        </w:rPr>
      </w:pPr>
      <w:bookmarkStart w:id="1762" w:name="bookmark1971"/>
      <w:bookmarkEnd w:id="1762"/>
      <w:r>
        <w:rPr>
          <w:rFonts w:ascii="Times New Roman" w:hAnsi="Times New Roman" w:cs="Times New Roman"/>
          <w:color w:val="auto"/>
          <w:highlight w:val="none"/>
          <w:lang w:val="en-US"/>
        </w:rPr>
        <w:t>15.</w:t>
      </w:r>
      <w:r>
        <w:rPr>
          <w:rFonts w:ascii="Times New Roman" w:hAnsi="Times New Roman" w:cs="Times New Roman"/>
          <w:color w:val="auto"/>
          <w:highlight w:val="none"/>
        </w:rPr>
        <w:t>总价项目分类分项工程分解表。</w:t>
      </w:r>
    </w:p>
    <w:p w14:paraId="45C1430D">
      <w:pPr>
        <w:pStyle w:val="41"/>
        <w:tabs>
          <w:tab w:val="left" w:pos="841"/>
        </w:tabs>
        <w:spacing w:line="355" w:lineRule="atLeast"/>
        <w:ind w:left="420" w:leftChars="200" w:firstLine="0"/>
        <w:rPr>
          <w:rFonts w:ascii="Times New Roman" w:hAnsi="Times New Roman" w:cs="Times New Roman"/>
          <w:color w:val="auto"/>
          <w:highlight w:val="none"/>
        </w:rPr>
      </w:pPr>
      <w:bookmarkStart w:id="1763" w:name="bookmark1972"/>
      <w:bookmarkEnd w:id="1763"/>
      <w:r>
        <w:rPr>
          <w:rFonts w:ascii="Times New Roman" w:hAnsi="Times New Roman" w:cs="Times New Roman"/>
          <w:color w:val="auto"/>
          <w:highlight w:val="none"/>
          <w:lang w:val="en-US"/>
        </w:rPr>
        <w:t>16.</w:t>
      </w:r>
      <w:r>
        <w:rPr>
          <w:rFonts w:ascii="Times New Roman" w:hAnsi="Times New Roman" w:cs="Times New Roman"/>
          <w:color w:val="auto"/>
          <w:highlight w:val="none"/>
        </w:rPr>
        <w:t>工程单价计算表。</w:t>
      </w:r>
    </w:p>
    <w:p w14:paraId="2FEB2F4B">
      <w:pPr>
        <w:pStyle w:val="41"/>
        <w:spacing w:after="100" w:line="355" w:lineRule="atLeast"/>
        <w:ind w:left="420" w:leftChars="200" w:firstLine="0"/>
        <w:rPr>
          <w:rFonts w:ascii="Times New Roman" w:hAnsi="Times New Roman" w:cs="Times New Roman"/>
          <w:color w:val="auto"/>
          <w:highlight w:val="none"/>
        </w:rPr>
      </w:pPr>
      <w:bookmarkStart w:id="1764" w:name="bookmark1973"/>
      <w:bookmarkEnd w:id="1764"/>
      <w:r>
        <w:rPr>
          <w:rFonts w:ascii="Times New Roman" w:hAnsi="Times New Roman" w:cs="Times New Roman"/>
          <w:color w:val="auto"/>
          <w:highlight w:val="none"/>
          <w:lang w:val="en-US"/>
        </w:rPr>
        <w:t>17</w:t>
      </w:r>
      <w:r>
        <w:rPr>
          <w:rFonts w:hint="eastAsia" w:ascii="Times New Roman" w:hAnsi="Times New Roman" w:cs="Times New Roman"/>
          <w:color w:val="auto"/>
          <w:highlight w:val="none"/>
          <w:lang w:val="en-US"/>
        </w:rPr>
        <w:t>.</w:t>
      </w:r>
      <w:r>
        <w:rPr>
          <w:rFonts w:ascii="Times New Roman" w:hAnsi="Times New Roman" w:cs="Times New Roman"/>
          <w:color w:val="auto"/>
          <w:highlight w:val="none"/>
        </w:rPr>
        <w:t>人工费单价汇总表。</w:t>
      </w:r>
    </w:p>
    <w:p w14:paraId="724FE7B0">
      <w:pPr>
        <w:spacing w:line="360" w:lineRule="auto"/>
        <w:rPr>
          <w:rFonts w:ascii="宋体" w:hAnsi="宋体"/>
          <w:b/>
          <w:color w:val="auto"/>
          <w:sz w:val="30"/>
          <w:szCs w:val="30"/>
          <w:highlight w:val="none"/>
        </w:rPr>
      </w:pPr>
      <w:bookmarkStart w:id="1765" w:name="bookmark1976"/>
      <w:bookmarkStart w:id="1766" w:name="bookmark1974"/>
      <w:bookmarkStart w:id="1767" w:name="bookmark1975"/>
      <w:r>
        <w:rPr>
          <w:rFonts w:ascii="宋体" w:hAnsi="宋体"/>
          <w:b/>
          <w:color w:val="auto"/>
          <w:sz w:val="30"/>
          <w:szCs w:val="30"/>
          <w:highlight w:val="none"/>
        </w:rPr>
        <w:t>2.2工程量清单报价表填写规定</w:t>
      </w:r>
      <w:bookmarkEnd w:id="1765"/>
      <w:bookmarkEnd w:id="1766"/>
      <w:bookmarkEnd w:id="1767"/>
    </w:p>
    <w:p w14:paraId="262FEEC1">
      <w:pPr>
        <w:pStyle w:val="41"/>
        <w:tabs>
          <w:tab w:val="left" w:pos="757"/>
        </w:tabs>
        <w:spacing w:line="352" w:lineRule="exact"/>
        <w:ind w:firstLine="420" w:firstLineChars="200"/>
        <w:rPr>
          <w:rFonts w:ascii="Times New Roman" w:hAnsi="Times New Roman" w:cs="Times New Roman"/>
          <w:color w:val="auto"/>
          <w:highlight w:val="none"/>
        </w:rPr>
      </w:pPr>
      <w:bookmarkStart w:id="1768" w:name="bookmark1977"/>
      <w:bookmarkEnd w:id="1768"/>
      <w:r>
        <w:rPr>
          <w:rFonts w:ascii="Times New Roman" w:hAnsi="Times New Roman" w:cs="Times New Roman"/>
          <w:color w:val="auto"/>
          <w:highlight w:val="none"/>
          <w:lang w:val="en-US"/>
        </w:rPr>
        <w:t>1.</w:t>
      </w:r>
      <w:r>
        <w:rPr>
          <w:rFonts w:ascii="Times New Roman" w:hAnsi="Times New Roman" w:cs="Times New Roman"/>
          <w:color w:val="auto"/>
          <w:highlight w:val="none"/>
        </w:rPr>
        <w:t>除</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文件另有规定外，</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应按招标工程量清单填报价格，项目编码、项目名称、计量单位、工程量、主要技术条款码、备注必须与</w:t>
      </w:r>
      <w:r>
        <w:rPr>
          <w:rFonts w:hint="eastAsia" w:ascii="Times New Roman" w:hAnsi="Times New Roman" w:cs="Times New Roman"/>
          <w:color w:val="auto"/>
          <w:highlight w:val="none"/>
          <w:lang w:val="en-US"/>
        </w:rPr>
        <w:t>采购人发布的</w:t>
      </w:r>
      <w:r>
        <w:rPr>
          <w:rFonts w:ascii="Times New Roman" w:hAnsi="Times New Roman" w:cs="Times New Roman"/>
          <w:color w:val="auto"/>
          <w:highlight w:val="none"/>
        </w:rPr>
        <w:t>工程量清单一致，</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不得对</w:t>
      </w:r>
      <w:r>
        <w:rPr>
          <w:rFonts w:hint="eastAsia" w:ascii="Times New Roman" w:hAnsi="Times New Roman" w:cs="Times New Roman"/>
          <w:color w:val="auto"/>
          <w:highlight w:val="none"/>
          <w:lang w:val="en-US"/>
        </w:rPr>
        <w:t>采购人发布的</w:t>
      </w:r>
      <w:r>
        <w:rPr>
          <w:rFonts w:ascii="Times New Roman" w:hAnsi="Times New Roman" w:cs="Times New Roman"/>
          <w:color w:val="auto"/>
          <w:highlight w:val="none"/>
        </w:rPr>
        <w:t xml:space="preserve">工程量清单项目进行增减调整。工程量清单中列明的所有需要填写的单价和合价, </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均应填写；未填写的单价和合价，视为已包括在工程量清单的其它单价和合价中。</w:t>
      </w:r>
    </w:p>
    <w:p w14:paraId="79B72386">
      <w:pPr>
        <w:pStyle w:val="41"/>
        <w:tabs>
          <w:tab w:val="left" w:pos="757"/>
        </w:tabs>
        <w:spacing w:line="352" w:lineRule="exact"/>
        <w:ind w:firstLine="420" w:firstLineChars="200"/>
        <w:rPr>
          <w:rFonts w:ascii="Times New Roman" w:hAnsi="Times New Roman" w:cs="Times New Roman"/>
          <w:color w:val="auto"/>
          <w:highlight w:val="none"/>
        </w:rPr>
      </w:pPr>
      <w:bookmarkStart w:id="1769" w:name="bookmark1978"/>
      <w:bookmarkEnd w:id="1769"/>
      <w:r>
        <w:rPr>
          <w:rFonts w:ascii="Times New Roman" w:hAnsi="Times New Roman" w:cs="Times New Roman"/>
          <w:color w:val="auto"/>
          <w:highlight w:val="none"/>
          <w:lang w:val="en-US"/>
        </w:rPr>
        <w:t>2.</w:t>
      </w:r>
      <w:r>
        <w:rPr>
          <w:rFonts w:ascii="Times New Roman" w:hAnsi="Times New Roman" w:cs="Times New Roman"/>
          <w:color w:val="auto"/>
          <w:highlight w:val="none"/>
        </w:rPr>
        <w:t>工程量清单中的工程单价是完成工程量清单中一个质量合格的规定计量单位项目所需的所有费用。</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应根据规定的工程单价组成内容，按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文件和</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rPr>
        <w:t>确定工程单价。 除另有规定外，对有效工程量以外的超挖、超填工程量，施工附加量，加工、运输损耗量等，所消耗的人工、材料和机械费用，均应摊入相应有效工程量的工程单价内。</w:t>
      </w:r>
    </w:p>
    <w:p w14:paraId="6D0BB5EF">
      <w:pPr>
        <w:pStyle w:val="41"/>
        <w:tabs>
          <w:tab w:val="left" w:pos="757"/>
        </w:tabs>
        <w:spacing w:line="352" w:lineRule="exact"/>
        <w:ind w:firstLine="420" w:firstLineChars="200"/>
        <w:rPr>
          <w:rFonts w:ascii="Times New Roman" w:hAnsi="Times New Roman" w:cs="Times New Roman"/>
          <w:color w:val="auto"/>
          <w:highlight w:val="none"/>
        </w:rPr>
      </w:pPr>
      <w:bookmarkStart w:id="1770" w:name="bookmark1979"/>
      <w:bookmarkEnd w:id="1770"/>
      <w:r>
        <w:rPr>
          <w:rFonts w:ascii="Times New Roman" w:hAnsi="Times New Roman" w:cs="Times New Roman"/>
          <w:color w:val="auto"/>
          <w:highlight w:val="none"/>
          <w:lang w:val="en-US"/>
        </w:rPr>
        <w:t>3.</w:t>
      </w:r>
      <w:r>
        <w:rPr>
          <w:rFonts w:ascii="Times New Roman" w:hAnsi="Times New Roman" w:cs="Times New Roman"/>
          <w:color w:val="auto"/>
          <w:highlight w:val="none"/>
        </w:rPr>
        <w:t>投标金额(价格)均应以人民币(元)表示。</w:t>
      </w:r>
    </w:p>
    <w:p w14:paraId="53A209AC">
      <w:pPr>
        <w:pStyle w:val="41"/>
        <w:tabs>
          <w:tab w:val="left" w:pos="757"/>
        </w:tabs>
        <w:spacing w:line="352" w:lineRule="exact"/>
        <w:ind w:firstLine="420" w:firstLineChars="200"/>
        <w:rPr>
          <w:rFonts w:ascii="Times New Roman" w:hAnsi="Times New Roman" w:cs="Times New Roman"/>
          <w:color w:val="auto"/>
          <w:highlight w:val="none"/>
        </w:rPr>
      </w:pPr>
      <w:bookmarkStart w:id="1771" w:name="bookmark1980"/>
      <w:bookmarkEnd w:id="1771"/>
      <w:r>
        <w:rPr>
          <w:rFonts w:ascii="Times New Roman" w:hAnsi="Times New Roman" w:cs="Times New Roman"/>
          <w:color w:val="auto"/>
          <w:highlight w:val="none"/>
          <w:lang w:val="en-US"/>
        </w:rPr>
        <w:t>4.</w:t>
      </w:r>
      <w:r>
        <w:rPr>
          <w:rFonts w:ascii="Times New Roman" w:hAnsi="Times New Roman" w:cs="Times New Roman"/>
          <w:color w:val="auto"/>
          <w:highlight w:val="none"/>
        </w:rPr>
        <w:t>投标总价应按工程项目总价表合计金额填写。</w:t>
      </w:r>
    </w:p>
    <w:p w14:paraId="7CB596D1">
      <w:pPr>
        <w:pStyle w:val="41"/>
        <w:tabs>
          <w:tab w:val="left" w:pos="757"/>
        </w:tabs>
        <w:spacing w:line="352" w:lineRule="exact"/>
        <w:ind w:firstLine="420" w:firstLineChars="200"/>
        <w:rPr>
          <w:rFonts w:ascii="Times New Roman" w:hAnsi="Times New Roman" w:cs="Times New Roman"/>
          <w:color w:val="auto"/>
          <w:highlight w:val="none"/>
        </w:rPr>
      </w:pPr>
      <w:bookmarkStart w:id="1772" w:name="bookmark1981"/>
      <w:bookmarkEnd w:id="1772"/>
      <w:r>
        <w:rPr>
          <w:rFonts w:ascii="Times New Roman" w:hAnsi="Times New Roman" w:cs="Times New Roman"/>
          <w:color w:val="auto"/>
          <w:highlight w:val="none"/>
          <w:lang w:val="en-US"/>
        </w:rPr>
        <w:t>5.</w:t>
      </w:r>
      <w:r>
        <w:rPr>
          <w:rFonts w:ascii="Times New Roman" w:hAnsi="Times New Roman" w:cs="Times New Roman"/>
          <w:color w:val="auto"/>
          <w:highlight w:val="none"/>
        </w:rPr>
        <w:t>工程项目总价表中一级项目名称按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文件工程项目总价表中的相应名称填写，并按分类分项工程量清单计价表中相应项目合计金额填写。</w:t>
      </w:r>
    </w:p>
    <w:p w14:paraId="6B02442F">
      <w:pPr>
        <w:pStyle w:val="41"/>
        <w:tabs>
          <w:tab w:val="left" w:pos="757"/>
        </w:tabs>
        <w:spacing w:line="352" w:lineRule="exact"/>
        <w:ind w:firstLine="420" w:firstLineChars="200"/>
        <w:rPr>
          <w:rFonts w:ascii="Times New Roman" w:hAnsi="Times New Roman" w:cs="Times New Roman"/>
          <w:color w:val="auto"/>
          <w:highlight w:val="none"/>
        </w:rPr>
      </w:pPr>
      <w:bookmarkStart w:id="1773" w:name="bookmark1982"/>
      <w:bookmarkEnd w:id="1773"/>
      <w:r>
        <w:rPr>
          <w:rFonts w:ascii="Times New Roman" w:hAnsi="Times New Roman" w:cs="Times New Roman"/>
          <w:color w:val="auto"/>
          <w:highlight w:val="none"/>
          <w:lang w:val="en-US"/>
        </w:rPr>
        <w:t>6.</w:t>
      </w:r>
      <w:r>
        <w:rPr>
          <w:rFonts w:ascii="Times New Roman" w:hAnsi="Times New Roman" w:cs="Times New Roman"/>
          <w:color w:val="auto"/>
          <w:highlight w:val="none"/>
        </w:rPr>
        <w:t>分类分项工程量清单计价表中的序号、项目编码、项目名称、计量单位、工程数量和合同技术条款章节号，按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文件分类分项工程量清单计价表中的相应内容填写，并填写相应项目的单价和合价。</w:t>
      </w:r>
    </w:p>
    <w:p w14:paraId="66A3D556">
      <w:pPr>
        <w:pStyle w:val="41"/>
        <w:tabs>
          <w:tab w:val="left" w:pos="757"/>
        </w:tabs>
        <w:spacing w:line="352" w:lineRule="exact"/>
        <w:ind w:firstLine="420" w:firstLineChars="200"/>
        <w:rPr>
          <w:rFonts w:ascii="Times New Roman" w:hAnsi="Times New Roman" w:cs="Times New Roman"/>
          <w:color w:val="auto"/>
          <w:highlight w:val="none"/>
        </w:rPr>
      </w:pPr>
      <w:bookmarkStart w:id="1774" w:name="bookmark1983"/>
      <w:bookmarkEnd w:id="1774"/>
      <w:r>
        <w:rPr>
          <w:rFonts w:ascii="Times New Roman" w:hAnsi="Times New Roman" w:cs="Times New Roman"/>
          <w:color w:val="auto"/>
          <w:highlight w:val="none"/>
          <w:lang w:val="en-US"/>
        </w:rPr>
        <w:t>7.</w:t>
      </w:r>
      <w:r>
        <w:rPr>
          <w:rFonts w:ascii="Times New Roman" w:hAnsi="Times New Roman" w:cs="Times New Roman"/>
          <w:color w:val="auto"/>
          <w:highlight w:val="none"/>
        </w:rPr>
        <w:t>措施项目清单计价表中的序号、项目名称按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文件措施项目清单计价表中的相应内容填写，并填写相应措施项目的金额和合计金额。</w:t>
      </w:r>
    </w:p>
    <w:p w14:paraId="784CD342">
      <w:pPr>
        <w:pStyle w:val="41"/>
        <w:tabs>
          <w:tab w:val="left" w:pos="757"/>
        </w:tabs>
        <w:spacing w:line="352" w:lineRule="exact"/>
        <w:ind w:firstLine="420" w:firstLineChars="200"/>
        <w:rPr>
          <w:rFonts w:ascii="Times New Roman" w:hAnsi="Times New Roman" w:cs="Times New Roman"/>
          <w:color w:val="auto"/>
          <w:highlight w:val="none"/>
        </w:rPr>
      </w:pPr>
      <w:bookmarkStart w:id="1775" w:name="bookmark1984"/>
      <w:bookmarkEnd w:id="1775"/>
      <w:r>
        <w:rPr>
          <w:rFonts w:ascii="Times New Roman" w:hAnsi="Times New Roman" w:cs="Times New Roman"/>
          <w:color w:val="auto"/>
          <w:highlight w:val="none"/>
          <w:lang w:val="en-US"/>
        </w:rPr>
        <w:t>8.</w:t>
      </w:r>
      <w:r>
        <w:rPr>
          <w:rFonts w:ascii="Times New Roman" w:hAnsi="Times New Roman" w:cs="Times New Roman"/>
          <w:color w:val="auto"/>
          <w:highlight w:val="none"/>
        </w:rPr>
        <w:t>其它项目清单计价表中的序号、项目名称、金额，按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文件其它项目清单计价表中的相应内容填写。</w:t>
      </w:r>
    </w:p>
    <w:p w14:paraId="48348595">
      <w:pPr>
        <w:pStyle w:val="41"/>
        <w:tabs>
          <w:tab w:val="left" w:pos="757"/>
        </w:tabs>
        <w:spacing w:after="100" w:line="352" w:lineRule="exact"/>
        <w:ind w:firstLine="420" w:firstLineChars="200"/>
        <w:rPr>
          <w:rFonts w:ascii="Times New Roman" w:hAnsi="Times New Roman" w:cs="Times New Roman"/>
          <w:color w:val="auto"/>
          <w:highlight w:val="none"/>
        </w:rPr>
      </w:pPr>
      <w:bookmarkStart w:id="1776" w:name="bookmark1985"/>
      <w:bookmarkEnd w:id="1776"/>
      <w:r>
        <w:rPr>
          <w:rFonts w:ascii="Times New Roman" w:hAnsi="Times New Roman" w:cs="Times New Roman"/>
          <w:color w:val="auto"/>
          <w:highlight w:val="none"/>
          <w:lang w:val="en-US"/>
        </w:rPr>
        <w:t>9.</w:t>
      </w:r>
      <w:r>
        <w:rPr>
          <w:rFonts w:ascii="Times New Roman" w:hAnsi="Times New Roman" w:cs="Times New Roman"/>
          <w:color w:val="auto"/>
          <w:highlight w:val="none"/>
        </w:rPr>
        <w:t>计日工项目计价表的序号、人工、材料、机械的名称、型号规格以及计量单位，按招标文件计日工项目计价表中的相应内容填写，并填写相应项目单价。</w:t>
      </w:r>
    </w:p>
    <w:p w14:paraId="7DC50AEE">
      <w:pPr>
        <w:pStyle w:val="41"/>
        <w:tabs>
          <w:tab w:val="left" w:pos="814"/>
        </w:tabs>
        <w:spacing w:line="372" w:lineRule="auto"/>
        <w:ind w:firstLine="420" w:firstLineChars="200"/>
        <w:rPr>
          <w:rFonts w:ascii="Times New Roman" w:hAnsi="Times New Roman" w:cs="Times New Roman"/>
          <w:color w:val="auto"/>
          <w:highlight w:val="none"/>
        </w:rPr>
      </w:pPr>
      <w:bookmarkStart w:id="1777" w:name="bookmark1986"/>
      <w:bookmarkEnd w:id="1777"/>
      <w:r>
        <w:rPr>
          <w:rFonts w:ascii="Times New Roman" w:hAnsi="Times New Roman" w:cs="Times New Roman"/>
          <w:color w:val="auto"/>
          <w:highlight w:val="none"/>
          <w:lang w:val="en-US"/>
        </w:rPr>
        <w:t>10</w:t>
      </w:r>
      <w:r>
        <w:rPr>
          <w:rFonts w:hint="eastAsia" w:ascii="Times New Roman" w:hAnsi="Times New Roman" w:cs="Times New Roman"/>
          <w:color w:val="auto"/>
          <w:highlight w:val="none"/>
          <w:lang w:val="en-US"/>
        </w:rPr>
        <w:t>.</w:t>
      </w:r>
      <w:r>
        <w:rPr>
          <w:rFonts w:ascii="Times New Roman" w:hAnsi="Times New Roman" w:cs="Times New Roman"/>
          <w:color w:val="auto"/>
          <w:highlight w:val="none"/>
        </w:rPr>
        <w:t>辅助表格填写：</w:t>
      </w:r>
    </w:p>
    <w:p w14:paraId="5263A5FF">
      <w:pPr>
        <w:pStyle w:val="41"/>
        <w:numPr>
          <w:ilvl w:val="0"/>
          <w:numId w:val="7"/>
        </w:numPr>
        <w:tabs>
          <w:tab w:val="left" w:pos="876"/>
        </w:tabs>
        <w:spacing w:line="356" w:lineRule="exact"/>
        <w:ind w:firstLine="420"/>
        <w:rPr>
          <w:rFonts w:ascii="Times New Roman" w:hAnsi="Times New Roman" w:cs="Times New Roman"/>
          <w:color w:val="auto"/>
          <w:highlight w:val="none"/>
        </w:rPr>
      </w:pPr>
      <w:bookmarkStart w:id="1778" w:name="bookmark1987"/>
      <w:bookmarkEnd w:id="1778"/>
      <w:r>
        <w:rPr>
          <w:rFonts w:ascii="Times New Roman" w:hAnsi="Times New Roman" w:cs="Times New Roman"/>
          <w:color w:val="auto"/>
          <w:highlight w:val="none"/>
        </w:rPr>
        <w:t>工程单价汇总表，按工程单价计算表中的相应内容、价格(费率)填写。</w:t>
      </w:r>
    </w:p>
    <w:p w14:paraId="35DF4BF2">
      <w:pPr>
        <w:pStyle w:val="41"/>
        <w:numPr>
          <w:ilvl w:val="0"/>
          <w:numId w:val="7"/>
        </w:numPr>
        <w:tabs>
          <w:tab w:val="left" w:pos="893"/>
        </w:tabs>
        <w:spacing w:line="356" w:lineRule="exact"/>
        <w:ind w:firstLine="440"/>
        <w:rPr>
          <w:rFonts w:ascii="Times New Roman" w:hAnsi="Times New Roman" w:cs="Times New Roman"/>
          <w:color w:val="auto"/>
          <w:highlight w:val="none"/>
        </w:rPr>
      </w:pPr>
      <w:bookmarkStart w:id="1779" w:name="bookmark1988"/>
      <w:bookmarkEnd w:id="1779"/>
      <w:r>
        <w:rPr>
          <w:rFonts w:ascii="Times New Roman" w:hAnsi="Times New Roman" w:cs="Times New Roman"/>
          <w:color w:val="auto"/>
          <w:highlight w:val="none"/>
        </w:rPr>
        <w:t>工程单价费(税)率汇总表，按工程单价计算表中的相应内容、费(税)率填写。</w:t>
      </w:r>
    </w:p>
    <w:p w14:paraId="44139974">
      <w:pPr>
        <w:pStyle w:val="41"/>
        <w:numPr>
          <w:ilvl w:val="0"/>
          <w:numId w:val="7"/>
        </w:numPr>
        <w:tabs>
          <w:tab w:val="left" w:pos="871"/>
        </w:tabs>
        <w:spacing w:line="356" w:lineRule="exact"/>
        <w:ind w:firstLine="440"/>
        <w:rPr>
          <w:rFonts w:ascii="Times New Roman" w:hAnsi="Times New Roman" w:cs="Times New Roman"/>
          <w:color w:val="auto"/>
          <w:highlight w:val="none"/>
        </w:rPr>
      </w:pPr>
      <w:bookmarkStart w:id="1780" w:name="bookmark1989"/>
      <w:bookmarkEnd w:id="1780"/>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生产电、风、水、砂石基础单价汇总表，按基础单价分析计算成果的相应内容、价格填写，并附相应基础单价的分析计算书。</w:t>
      </w:r>
    </w:p>
    <w:p w14:paraId="6BAB5292">
      <w:pPr>
        <w:pStyle w:val="41"/>
        <w:numPr>
          <w:ilvl w:val="0"/>
          <w:numId w:val="7"/>
        </w:numPr>
        <w:tabs>
          <w:tab w:val="left" w:pos="893"/>
        </w:tabs>
        <w:spacing w:line="356" w:lineRule="exact"/>
        <w:ind w:firstLine="440"/>
        <w:rPr>
          <w:rFonts w:ascii="Times New Roman" w:hAnsi="Times New Roman" w:cs="Times New Roman"/>
          <w:color w:val="auto"/>
          <w:highlight w:val="none"/>
        </w:rPr>
      </w:pPr>
      <w:bookmarkStart w:id="1781" w:name="bookmark1990"/>
      <w:bookmarkEnd w:id="1781"/>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53787AED">
      <w:pPr>
        <w:pStyle w:val="41"/>
        <w:numPr>
          <w:ilvl w:val="0"/>
          <w:numId w:val="7"/>
        </w:numPr>
        <w:tabs>
          <w:tab w:val="left" w:pos="895"/>
        </w:tabs>
        <w:spacing w:line="356" w:lineRule="exact"/>
        <w:ind w:firstLine="440"/>
        <w:rPr>
          <w:rFonts w:ascii="Times New Roman" w:hAnsi="Times New Roman" w:cs="Times New Roman"/>
          <w:color w:val="auto"/>
          <w:highlight w:val="none"/>
        </w:rPr>
      </w:pPr>
      <w:bookmarkStart w:id="1782" w:name="bookmark1991"/>
      <w:bookmarkEnd w:id="1782"/>
      <w:r>
        <w:rPr>
          <w:rFonts w:hint="eastAsia" w:ascii="Times New Roman" w:hAnsi="Times New Roman" w:cs="Times New Roman"/>
          <w:color w:val="auto"/>
          <w:highlight w:val="none"/>
          <w:lang w:val="en-US"/>
        </w:rPr>
        <w:t>采购人</w:t>
      </w:r>
      <w:r>
        <w:rPr>
          <w:rFonts w:ascii="Times New Roman" w:hAnsi="Times New Roman" w:cs="Times New Roman"/>
          <w:color w:val="auto"/>
          <w:highlight w:val="none"/>
        </w:rPr>
        <w:t>供应材料价格汇总表，按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人供应的材料名称、型号规格、计量单位和供应价填写，并填写经分析计算后的相应材料预算价格，填写的预算价格必须与工程单价计算表中采用的相应材料预算价格一致并符合相关规范的规定(若</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人提供)</w:t>
      </w:r>
      <w:r>
        <w:rPr>
          <w:rFonts w:hint="eastAsia" w:ascii="Times New Roman" w:hAnsi="Times New Roman" w:cs="Times New Roman"/>
          <w:color w:val="auto"/>
          <w:highlight w:val="none"/>
        </w:rPr>
        <w:t>。</w:t>
      </w:r>
    </w:p>
    <w:p w14:paraId="042D3FB0">
      <w:pPr>
        <w:pStyle w:val="41"/>
        <w:numPr>
          <w:ilvl w:val="0"/>
          <w:numId w:val="7"/>
        </w:numPr>
        <w:tabs>
          <w:tab w:val="left" w:pos="895"/>
        </w:tabs>
        <w:spacing w:line="358" w:lineRule="exact"/>
        <w:ind w:firstLine="440"/>
        <w:rPr>
          <w:rFonts w:ascii="Times New Roman" w:hAnsi="Times New Roman" w:cs="Times New Roman"/>
          <w:color w:val="auto"/>
          <w:highlight w:val="none"/>
        </w:rPr>
      </w:pPr>
      <w:bookmarkStart w:id="1783" w:name="bookmark1992"/>
      <w:bookmarkEnd w:id="1783"/>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自行采购主要材料预算价格汇总表，按表中的序号、材料名称、型号规格、 计量单位和预算价填写，填写的预算价必须与工程单价计算表中采用的相应材料预算价格一致并符合相关规范的规定。</w:t>
      </w:r>
    </w:p>
    <w:p w14:paraId="1B9DA9D4">
      <w:pPr>
        <w:pStyle w:val="41"/>
        <w:tabs>
          <w:tab w:val="left" w:pos="916"/>
        </w:tabs>
        <w:spacing w:line="355" w:lineRule="exact"/>
        <w:ind w:firstLine="440"/>
        <w:rPr>
          <w:rFonts w:ascii="Times New Roman" w:hAnsi="Times New Roman" w:cs="Times New Roman"/>
          <w:color w:val="auto"/>
          <w:highlight w:val="none"/>
        </w:rPr>
      </w:pPr>
      <w:bookmarkStart w:id="1784" w:name="bookmark1993"/>
      <w:r>
        <w:rPr>
          <w:rFonts w:ascii="Times New Roman" w:hAnsi="Times New Roman" w:cs="Times New Roman"/>
          <w:color w:val="auto"/>
          <w:highlight w:val="none"/>
        </w:rPr>
        <w:t>（</w:t>
      </w:r>
      <w:bookmarkEnd w:id="1784"/>
      <w:r>
        <w:rPr>
          <w:rFonts w:ascii="Times New Roman" w:hAnsi="Times New Roman" w:cs="Times New Roman"/>
          <w:color w:val="auto"/>
          <w:highlight w:val="none"/>
        </w:rPr>
        <w:t>7）</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人提供施工机械台时（班）费汇总表，按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人提供的机械名称、型号规格和</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人收取的台时（班）折旧费填写；</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填写的台时（班）费用合计金额必须与工程单价计算表中相应的施工机械台时（班）费单价一致并符合相关规范的规定（若</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人提供）。</w:t>
      </w:r>
    </w:p>
    <w:p w14:paraId="5D515F8E">
      <w:pPr>
        <w:pStyle w:val="41"/>
        <w:tabs>
          <w:tab w:val="left" w:pos="916"/>
        </w:tabs>
        <w:spacing w:line="355" w:lineRule="exact"/>
        <w:ind w:firstLine="440"/>
        <w:rPr>
          <w:rFonts w:ascii="Times New Roman" w:hAnsi="Times New Roman" w:cs="Times New Roman"/>
          <w:color w:val="auto"/>
          <w:highlight w:val="none"/>
        </w:rPr>
      </w:pPr>
      <w:bookmarkStart w:id="1785" w:name="bookmark1994"/>
      <w:r>
        <w:rPr>
          <w:rFonts w:ascii="Times New Roman" w:hAnsi="Times New Roman" w:cs="Times New Roman"/>
          <w:color w:val="auto"/>
          <w:highlight w:val="none"/>
        </w:rPr>
        <w:t>（</w:t>
      </w:r>
      <w:bookmarkEnd w:id="1785"/>
      <w:r>
        <w:rPr>
          <w:rFonts w:ascii="Times New Roman" w:hAnsi="Times New Roman" w:cs="Times New Roman"/>
          <w:color w:val="auto"/>
          <w:highlight w:val="none"/>
        </w:rPr>
        <w:t>8）</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自备施工机械台时（班）费汇总表，按表中的序号、机械名称、型号规格、一类费用和二类费用填写，填写的台时（班）费合计金额必须与工程单价计算表中相应的施工机械台时（班）费单价一致并符合相关规范的规定。</w:t>
      </w:r>
    </w:p>
    <w:p w14:paraId="1926C392">
      <w:pPr>
        <w:pStyle w:val="41"/>
        <w:tabs>
          <w:tab w:val="left" w:pos="916"/>
        </w:tabs>
        <w:spacing w:line="355" w:lineRule="exact"/>
        <w:ind w:firstLine="440"/>
        <w:rPr>
          <w:rFonts w:ascii="Times New Roman" w:hAnsi="Times New Roman" w:cs="Times New Roman"/>
          <w:color w:val="auto"/>
          <w:highlight w:val="none"/>
        </w:rPr>
      </w:pPr>
      <w:bookmarkStart w:id="1786" w:name="bookmark1995"/>
      <w:r>
        <w:rPr>
          <w:rFonts w:ascii="Times New Roman" w:hAnsi="Times New Roman" w:cs="Times New Roman"/>
          <w:color w:val="auto"/>
          <w:highlight w:val="none"/>
        </w:rPr>
        <w:t>（</w:t>
      </w:r>
      <w:bookmarkEnd w:id="1786"/>
      <w:r>
        <w:rPr>
          <w:rFonts w:ascii="Times New Roman" w:hAnsi="Times New Roman" w:cs="Times New Roman"/>
          <w:color w:val="auto"/>
          <w:highlight w:val="none"/>
        </w:rPr>
        <w:t>9）</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应参照分类分项工程量清单计价表格式编制总价项目分类分项工程分解表, 每个总价项目分类分项工程一份。</w:t>
      </w:r>
    </w:p>
    <w:p w14:paraId="587B902D">
      <w:pPr>
        <w:pStyle w:val="41"/>
        <w:tabs>
          <w:tab w:val="left" w:pos="968"/>
        </w:tabs>
        <w:spacing w:line="355" w:lineRule="exact"/>
        <w:ind w:firstLine="440"/>
        <w:rPr>
          <w:rFonts w:ascii="Times New Roman" w:hAnsi="Times New Roman" w:cs="Times New Roman"/>
          <w:color w:val="auto"/>
          <w:highlight w:val="none"/>
        </w:rPr>
      </w:pPr>
      <w:bookmarkStart w:id="1787" w:name="bookmark1996"/>
      <w:r>
        <w:rPr>
          <w:rFonts w:ascii="Times New Roman" w:hAnsi="Times New Roman" w:cs="Times New Roman"/>
          <w:color w:val="auto"/>
          <w:highlight w:val="none"/>
        </w:rPr>
        <w:t>（</w:t>
      </w:r>
      <w:bookmarkEnd w:id="1787"/>
      <w:r>
        <w:rPr>
          <w:rFonts w:ascii="Times New Roman" w:hAnsi="Times New Roman" w:cs="Times New Roman"/>
          <w:color w:val="auto"/>
          <w:highlight w:val="none"/>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06AC3AAA">
      <w:pPr>
        <w:pStyle w:val="41"/>
        <w:tabs>
          <w:tab w:val="left" w:pos="970"/>
        </w:tabs>
        <w:spacing w:after="260" w:line="355" w:lineRule="exact"/>
        <w:ind w:firstLine="440"/>
        <w:rPr>
          <w:rFonts w:ascii="Times New Roman" w:hAnsi="Times New Roman" w:cs="Times New Roman"/>
          <w:color w:val="auto"/>
          <w:highlight w:val="none"/>
        </w:rPr>
      </w:pPr>
      <w:bookmarkStart w:id="1788" w:name="bookmark1997"/>
      <w:r>
        <w:rPr>
          <w:rFonts w:ascii="Times New Roman" w:hAnsi="Times New Roman" w:cs="Times New Roman"/>
          <w:color w:val="auto"/>
          <w:highlight w:val="none"/>
        </w:rPr>
        <w:t>（</w:t>
      </w:r>
      <w:bookmarkEnd w:id="1788"/>
      <w:r>
        <w:rPr>
          <w:rFonts w:ascii="Times New Roman" w:hAnsi="Times New Roman" w:cs="Times New Roman"/>
          <w:color w:val="auto"/>
          <w:highlight w:val="none"/>
        </w:rPr>
        <w:t>11）人工费单价汇总表应按人工费单价计算表的内容、价格填写，并附相应的人工费单价计算表。</w:t>
      </w:r>
    </w:p>
    <w:p w14:paraId="04AFD1F1">
      <w:pPr>
        <w:pStyle w:val="4"/>
        <w:spacing w:line="360" w:lineRule="exact"/>
        <w:rPr>
          <w:color w:val="auto"/>
          <w:highlight w:val="none"/>
        </w:rPr>
      </w:pPr>
      <w:bookmarkStart w:id="1789" w:name="bookmark2000"/>
      <w:bookmarkEnd w:id="1789"/>
      <w:bookmarkStart w:id="1790" w:name="_Toc665689976"/>
      <w:bookmarkStart w:id="1791" w:name="_Toc27429"/>
      <w:bookmarkStart w:id="1792" w:name="_Toc22503"/>
      <w:bookmarkStart w:id="1793" w:name="bookmark1998"/>
      <w:bookmarkStart w:id="1794" w:name="bookmark1999"/>
      <w:bookmarkStart w:id="1795" w:name="bookmark2001"/>
      <w:bookmarkStart w:id="1796" w:name="_Toc26343"/>
      <w:r>
        <w:rPr>
          <w:rFonts w:hint="eastAsia"/>
          <w:color w:val="auto"/>
          <w:highlight w:val="none"/>
        </w:rPr>
        <w:t>3. 工程量清单及控制价</w:t>
      </w:r>
      <w:bookmarkEnd w:id="1790"/>
      <w:bookmarkEnd w:id="1791"/>
      <w:bookmarkEnd w:id="1792"/>
      <w:bookmarkEnd w:id="1793"/>
      <w:bookmarkEnd w:id="1794"/>
      <w:bookmarkEnd w:id="1795"/>
      <w:bookmarkEnd w:id="1796"/>
    </w:p>
    <w:p w14:paraId="2DB076A1">
      <w:pPr>
        <w:pStyle w:val="41"/>
        <w:tabs>
          <w:tab w:val="left" w:pos="968"/>
        </w:tabs>
        <w:spacing w:line="355" w:lineRule="exact"/>
        <w:ind w:firstLine="440"/>
        <w:rPr>
          <w:rFonts w:ascii="Times New Roman" w:hAnsi="Times New Roman" w:cs="Times New Roman"/>
          <w:color w:val="auto"/>
          <w:highlight w:val="none"/>
        </w:rPr>
      </w:pP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人确定（或由当地财政部门审定）并按规定公布总价（招标控制价）、分类分项目工程量清单（含工程量数量）、以及考核主要单价清单。</w:t>
      </w:r>
    </w:p>
    <w:p w14:paraId="52B7E84A">
      <w:pPr>
        <w:tabs>
          <w:tab w:val="left" w:pos="3261"/>
        </w:tabs>
        <w:spacing w:line="360" w:lineRule="auto"/>
        <w:jc w:val="center"/>
        <w:rPr>
          <w:rFonts w:ascii="宋体" w:hAnsi="宋体" w:cs="宋体"/>
          <w:b/>
          <w:color w:val="auto"/>
          <w:sz w:val="44"/>
          <w:szCs w:val="44"/>
          <w:highlight w:val="none"/>
        </w:rPr>
      </w:pPr>
    </w:p>
    <w:p w14:paraId="58984DF9">
      <w:pPr>
        <w:tabs>
          <w:tab w:val="left" w:pos="3261"/>
        </w:tabs>
        <w:spacing w:line="360" w:lineRule="auto"/>
        <w:jc w:val="center"/>
        <w:rPr>
          <w:rFonts w:ascii="宋体" w:hAnsi="宋体" w:cs="宋体"/>
          <w:b/>
          <w:color w:val="auto"/>
          <w:sz w:val="44"/>
          <w:szCs w:val="44"/>
          <w:highlight w:val="none"/>
        </w:rPr>
      </w:pPr>
    </w:p>
    <w:p w14:paraId="140CF91E">
      <w:pPr>
        <w:tabs>
          <w:tab w:val="left" w:pos="3261"/>
        </w:tabs>
        <w:spacing w:line="360" w:lineRule="auto"/>
        <w:jc w:val="center"/>
        <w:rPr>
          <w:rFonts w:ascii="宋体" w:hAnsi="宋体" w:cs="宋体"/>
          <w:b/>
          <w:color w:val="auto"/>
          <w:sz w:val="44"/>
          <w:szCs w:val="44"/>
          <w:highlight w:val="none"/>
        </w:rPr>
      </w:pPr>
    </w:p>
    <w:p w14:paraId="4B47B2D1">
      <w:pPr>
        <w:tabs>
          <w:tab w:val="left" w:pos="3261"/>
        </w:tabs>
        <w:spacing w:line="360" w:lineRule="auto"/>
        <w:jc w:val="center"/>
        <w:rPr>
          <w:rFonts w:ascii="宋体" w:hAnsi="宋体" w:cs="宋体"/>
          <w:b/>
          <w:color w:val="auto"/>
          <w:sz w:val="44"/>
          <w:szCs w:val="44"/>
          <w:highlight w:val="none"/>
        </w:rPr>
      </w:pPr>
    </w:p>
    <w:p w14:paraId="633B9055">
      <w:pPr>
        <w:tabs>
          <w:tab w:val="left" w:pos="3261"/>
        </w:tabs>
        <w:spacing w:line="360" w:lineRule="auto"/>
        <w:jc w:val="center"/>
        <w:rPr>
          <w:rFonts w:ascii="宋体" w:hAnsi="宋体" w:cs="宋体"/>
          <w:b/>
          <w:color w:val="auto"/>
          <w:sz w:val="44"/>
          <w:szCs w:val="44"/>
          <w:highlight w:val="none"/>
        </w:rPr>
      </w:pPr>
    </w:p>
    <w:p w14:paraId="3F36BBE3">
      <w:pPr>
        <w:tabs>
          <w:tab w:val="left" w:pos="3261"/>
        </w:tabs>
        <w:spacing w:line="360" w:lineRule="auto"/>
        <w:jc w:val="center"/>
        <w:rPr>
          <w:rFonts w:ascii="宋体" w:hAnsi="宋体" w:cs="宋体"/>
          <w:b/>
          <w:color w:val="auto"/>
          <w:sz w:val="44"/>
          <w:szCs w:val="44"/>
          <w:highlight w:val="none"/>
        </w:rPr>
      </w:pPr>
    </w:p>
    <w:p w14:paraId="3FCCC4DE">
      <w:pPr>
        <w:tabs>
          <w:tab w:val="left" w:pos="3261"/>
        </w:tabs>
        <w:spacing w:line="360" w:lineRule="auto"/>
        <w:jc w:val="center"/>
        <w:rPr>
          <w:rFonts w:ascii="宋体" w:hAnsi="宋体" w:cs="宋体"/>
          <w:b/>
          <w:color w:val="auto"/>
          <w:sz w:val="44"/>
          <w:szCs w:val="44"/>
          <w:highlight w:val="none"/>
        </w:rPr>
      </w:pPr>
    </w:p>
    <w:p w14:paraId="021D216F">
      <w:pPr>
        <w:tabs>
          <w:tab w:val="left" w:pos="3261"/>
        </w:tabs>
        <w:spacing w:line="360" w:lineRule="auto"/>
        <w:jc w:val="center"/>
        <w:rPr>
          <w:rFonts w:ascii="宋体" w:hAnsi="宋体" w:cs="宋体"/>
          <w:b/>
          <w:color w:val="auto"/>
          <w:sz w:val="44"/>
          <w:szCs w:val="44"/>
          <w:highlight w:val="none"/>
        </w:rPr>
      </w:pPr>
    </w:p>
    <w:p w14:paraId="150EE56F">
      <w:pPr>
        <w:tabs>
          <w:tab w:val="left" w:pos="3261"/>
        </w:tabs>
        <w:spacing w:line="360" w:lineRule="auto"/>
        <w:jc w:val="center"/>
        <w:rPr>
          <w:rFonts w:ascii="宋体" w:hAnsi="宋体" w:cs="宋体"/>
          <w:b/>
          <w:color w:val="auto"/>
          <w:sz w:val="44"/>
          <w:szCs w:val="44"/>
          <w:highlight w:val="none"/>
        </w:rPr>
      </w:pPr>
    </w:p>
    <w:p w14:paraId="1181E518">
      <w:pPr>
        <w:pStyle w:val="2"/>
        <w:jc w:val="center"/>
        <w:rPr>
          <w:rFonts w:ascii="宋体" w:hAnsi="宋体" w:cs="宋体"/>
          <w:b w:val="0"/>
          <w:color w:val="auto"/>
          <w:highlight w:val="none"/>
        </w:rPr>
      </w:pPr>
      <w:bookmarkStart w:id="1797" w:name="_Toc22933"/>
    </w:p>
    <w:p w14:paraId="5F7395B5">
      <w:pPr>
        <w:pStyle w:val="2"/>
        <w:jc w:val="center"/>
        <w:rPr>
          <w:rFonts w:ascii="宋体" w:hAnsi="宋体" w:cs="宋体"/>
          <w:b w:val="0"/>
          <w:color w:val="auto"/>
          <w:highlight w:val="none"/>
        </w:rPr>
      </w:pPr>
    </w:p>
    <w:p w14:paraId="49118510">
      <w:pPr>
        <w:pStyle w:val="2"/>
        <w:jc w:val="center"/>
        <w:rPr>
          <w:rFonts w:ascii="宋体" w:hAnsi="宋体" w:cs="宋体"/>
          <w:color w:val="auto"/>
          <w:highlight w:val="none"/>
        </w:rPr>
      </w:pPr>
      <w:r>
        <w:rPr>
          <w:rFonts w:hint="eastAsia" w:ascii="宋体" w:hAnsi="宋体" w:cs="宋体"/>
          <w:b w:val="0"/>
          <w:color w:val="auto"/>
          <w:highlight w:val="none"/>
        </w:rPr>
        <w:t>第八章 质疑、投诉材料格式</w:t>
      </w:r>
      <w:bookmarkEnd w:id="1797"/>
    </w:p>
    <w:p w14:paraId="320C4CA0">
      <w:pPr>
        <w:widowControl/>
        <w:spacing w:line="576" w:lineRule="auto"/>
        <w:jc w:val="left"/>
        <w:rPr>
          <w:rFonts w:ascii="宋体" w:hAnsi="宋体" w:cs="宋体"/>
          <w:b/>
          <w:bCs/>
          <w:color w:val="auto"/>
          <w:kern w:val="44"/>
          <w:sz w:val="44"/>
          <w:szCs w:val="44"/>
          <w:highlight w:val="none"/>
        </w:rPr>
        <w:sectPr>
          <w:pgSz w:w="11910" w:h="16840"/>
          <w:pgMar w:top="1440" w:right="1080" w:bottom="1440" w:left="1080" w:header="720" w:footer="720" w:gutter="0"/>
          <w:pgNumType w:fmt="decimal"/>
          <w:cols w:space="720" w:num="1"/>
        </w:sectPr>
      </w:pPr>
    </w:p>
    <w:p w14:paraId="0D6AE25D">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324958FC">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2019B636">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1847771">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1014913">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88D45D1">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099B5537">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6480740">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BBF5146">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271B4FC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798" w:name="PO_3000001868_PM002_16"/>
      <w:r>
        <w:rPr>
          <w:rFonts w:hint="eastAsia" w:hAnsi="宋体" w:cs="宋体"/>
          <w:bCs/>
          <w:color w:val="auto"/>
          <w:sz w:val="24"/>
          <w:szCs w:val="24"/>
          <w:highlight w:val="none"/>
          <w:u w:val="single"/>
        </w:rPr>
        <w:t>[项目名称]</w:t>
      </w:r>
      <w:bookmarkEnd w:id="1798"/>
      <w:r>
        <w:rPr>
          <w:rFonts w:hint="eastAsia" w:hAnsi="宋体" w:cs="宋体"/>
          <w:bCs/>
          <w:color w:val="auto"/>
          <w:sz w:val="24"/>
          <w:szCs w:val="24"/>
          <w:highlight w:val="none"/>
          <w:u w:val="single"/>
        </w:rPr>
        <w:t xml:space="preserve"> </w:t>
      </w:r>
    </w:p>
    <w:p w14:paraId="483A0CEC">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1799" w:name="PO_3000001868_PM001_13"/>
      <w:r>
        <w:rPr>
          <w:rFonts w:hint="eastAsia" w:hAnsi="宋体" w:cs="宋体"/>
          <w:bCs/>
          <w:color w:val="auto"/>
          <w:sz w:val="24"/>
          <w:szCs w:val="24"/>
          <w:highlight w:val="none"/>
          <w:u w:val="single"/>
        </w:rPr>
        <w:t>[项目编号]</w:t>
      </w:r>
      <w:bookmarkEnd w:id="1799"/>
      <w:r>
        <w:rPr>
          <w:rFonts w:hint="eastAsia" w:hAnsi="宋体" w:cs="宋体"/>
          <w:bCs/>
          <w:color w:val="auto"/>
          <w:sz w:val="24"/>
          <w:szCs w:val="24"/>
          <w:highlight w:val="none"/>
          <w:u w:val="single"/>
        </w:rPr>
        <w:t xml:space="preserve"> </w:t>
      </w:r>
    </w:p>
    <w:p w14:paraId="5AB12F4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800" w:name="PO_3000001868_PM026_7"/>
      <w:r>
        <w:rPr>
          <w:rFonts w:hint="eastAsia" w:hAnsi="宋体" w:cs="宋体"/>
          <w:bCs/>
          <w:color w:val="auto"/>
          <w:sz w:val="24"/>
          <w:szCs w:val="24"/>
          <w:highlight w:val="none"/>
          <w:u w:val="single"/>
        </w:rPr>
        <w:t>[采购人]</w:t>
      </w:r>
      <w:bookmarkEnd w:id="1800"/>
      <w:r>
        <w:rPr>
          <w:rFonts w:hint="eastAsia" w:hAnsi="宋体" w:cs="宋体"/>
          <w:bCs/>
          <w:color w:val="auto"/>
          <w:sz w:val="24"/>
          <w:szCs w:val="24"/>
          <w:highlight w:val="none"/>
          <w:u w:val="single"/>
        </w:rPr>
        <w:t xml:space="preserve">  </w:t>
      </w:r>
    </w:p>
    <w:p w14:paraId="2F5757DA">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07C74C2C">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125A5095">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0322F6FA">
      <w:pPr>
        <w:pStyle w:val="15"/>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354BD31C">
      <w:pPr>
        <w:pStyle w:val="15"/>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6A6610E4">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7AE3DAB4">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046405CB">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2A85CF13">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2604B6B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15C2E9F2">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182A1677">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2AE065AF">
      <w:pPr>
        <w:pStyle w:val="15"/>
        <w:spacing w:line="360" w:lineRule="auto"/>
        <w:ind w:left="25" w:leftChars="12" w:firstLine="352" w:firstLineChars="147"/>
        <w:contextualSpacing/>
        <w:rPr>
          <w:rFonts w:hAnsi="宋体" w:cs="宋体"/>
          <w:color w:val="auto"/>
          <w:sz w:val="24"/>
          <w:szCs w:val="24"/>
          <w:highlight w:val="none"/>
        </w:rPr>
      </w:pPr>
    </w:p>
    <w:p w14:paraId="6D01F229">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3F4C34B2">
      <w:pPr>
        <w:pStyle w:val="15"/>
        <w:spacing w:line="360" w:lineRule="auto"/>
        <w:ind w:left="25" w:leftChars="12" w:firstLine="352" w:firstLineChars="147"/>
        <w:contextualSpacing/>
        <w:rPr>
          <w:rFonts w:hAnsi="宋体" w:cs="宋体"/>
          <w:color w:val="auto"/>
          <w:sz w:val="24"/>
          <w:szCs w:val="24"/>
          <w:highlight w:val="none"/>
        </w:rPr>
      </w:pPr>
    </w:p>
    <w:p w14:paraId="1046C4C6">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61BED0A4">
      <w:pPr>
        <w:pStyle w:val="15"/>
        <w:spacing w:line="360" w:lineRule="auto"/>
        <w:rPr>
          <w:rFonts w:hAnsi="宋体" w:cs="宋体"/>
          <w:b/>
          <w:color w:val="auto"/>
          <w:sz w:val="24"/>
          <w:szCs w:val="24"/>
          <w:highlight w:val="none"/>
        </w:rPr>
      </w:pPr>
    </w:p>
    <w:p w14:paraId="6E1F47E4">
      <w:pPr>
        <w:pStyle w:val="15"/>
        <w:spacing w:line="360" w:lineRule="auto"/>
        <w:rPr>
          <w:rFonts w:hAnsi="宋体" w:cs="宋体"/>
          <w:b/>
          <w:color w:val="auto"/>
          <w:sz w:val="24"/>
          <w:szCs w:val="24"/>
          <w:highlight w:val="none"/>
        </w:rPr>
      </w:pPr>
    </w:p>
    <w:p w14:paraId="58A4BF8A">
      <w:pPr>
        <w:pStyle w:val="15"/>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08F297A5">
      <w:pPr>
        <w:pStyle w:val="15"/>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65F3A10F">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EA27AA0">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25C21345">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5C269F69">
      <w:pPr>
        <w:pStyle w:val="15"/>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51F67AE1">
      <w:pPr>
        <w:pStyle w:val="15"/>
        <w:snapToGrid w:val="0"/>
        <w:rPr>
          <w:rFonts w:hAnsi="宋体" w:cs="宋体"/>
          <w:b/>
          <w:color w:val="auto"/>
          <w:sz w:val="24"/>
          <w:szCs w:val="24"/>
          <w:highlight w:val="none"/>
        </w:rPr>
      </w:pPr>
    </w:p>
    <w:p w14:paraId="234FF36C">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27D0F3E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24A894D5">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34A9544">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D5D289B">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0D9DE06">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20692576">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D7DF763">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399DE23">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1C816144">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2A254BD">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63D78735">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5D8A157">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B0502DD">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143174D">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35CF0635">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15945E83">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508D45C6">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14835A29">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3CFE7CE">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5738E94A">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801" w:name="PO_3000001868_PM002_17"/>
      <w:r>
        <w:rPr>
          <w:rFonts w:hint="eastAsia" w:hAnsi="宋体" w:cs="宋体"/>
          <w:bCs/>
          <w:color w:val="auto"/>
          <w:sz w:val="24"/>
          <w:szCs w:val="24"/>
          <w:highlight w:val="none"/>
          <w:u w:val="single"/>
        </w:rPr>
        <w:t>[项目名称]</w:t>
      </w:r>
      <w:bookmarkEnd w:id="1801"/>
      <w:r>
        <w:rPr>
          <w:rFonts w:hint="eastAsia" w:hAnsi="宋体" w:cs="宋体"/>
          <w:bCs/>
          <w:color w:val="auto"/>
          <w:sz w:val="24"/>
          <w:szCs w:val="24"/>
          <w:highlight w:val="none"/>
          <w:u w:val="single"/>
        </w:rPr>
        <w:t xml:space="preserve">    </w:t>
      </w:r>
    </w:p>
    <w:p w14:paraId="44305669">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1802" w:name="PO_3000001868_PM001_14"/>
      <w:r>
        <w:rPr>
          <w:rFonts w:hint="eastAsia" w:hAnsi="宋体" w:cs="宋体"/>
          <w:bCs/>
          <w:color w:val="auto"/>
          <w:sz w:val="24"/>
          <w:szCs w:val="24"/>
          <w:highlight w:val="none"/>
          <w:u w:val="single"/>
        </w:rPr>
        <w:t>[项目编号]</w:t>
      </w:r>
      <w:bookmarkEnd w:id="1802"/>
      <w:r>
        <w:rPr>
          <w:rFonts w:hint="eastAsia" w:hAnsi="宋体" w:cs="宋体"/>
          <w:bCs/>
          <w:color w:val="auto"/>
          <w:sz w:val="24"/>
          <w:szCs w:val="24"/>
          <w:highlight w:val="none"/>
          <w:u w:val="single"/>
        </w:rPr>
        <w:t xml:space="preserve">    </w:t>
      </w:r>
    </w:p>
    <w:p w14:paraId="4556F742">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803" w:name="PO_3000001868_PM026_8"/>
      <w:r>
        <w:rPr>
          <w:rFonts w:hint="eastAsia" w:hAnsi="宋体" w:cs="宋体"/>
          <w:bCs/>
          <w:color w:val="auto"/>
          <w:sz w:val="24"/>
          <w:szCs w:val="24"/>
          <w:highlight w:val="none"/>
          <w:u w:val="single"/>
        </w:rPr>
        <w:t>[采购人]</w:t>
      </w:r>
      <w:bookmarkEnd w:id="1803"/>
      <w:r>
        <w:rPr>
          <w:rFonts w:hint="eastAsia" w:hAnsi="宋体" w:cs="宋体"/>
          <w:bCs/>
          <w:color w:val="auto"/>
          <w:sz w:val="24"/>
          <w:szCs w:val="24"/>
          <w:highlight w:val="none"/>
          <w:u w:val="single"/>
        </w:rPr>
        <w:t xml:space="preserve">                </w:t>
      </w:r>
    </w:p>
    <w:p w14:paraId="4F9DDCAF">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bookmarkStart w:id="1804" w:name="PO_3000001868_PM031_5"/>
      <w:r>
        <w:rPr>
          <w:rFonts w:hint="eastAsia" w:hAnsi="宋体" w:cs="宋体"/>
          <w:bCs/>
          <w:color w:val="auto"/>
          <w:sz w:val="24"/>
          <w:szCs w:val="24"/>
          <w:highlight w:val="none"/>
          <w:u w:val="single"/>
        </w:rPr>
        <w:t>[采购组织机构]</w:t>
      </w:r>
      <w:bookmarkEnd w:id="1804"/>
      <w:r>
        <w:rPr>
          <w:rFonts w:hint="eastAsia" w:hAnsi="宋体" w:cs="宋体"/>
          <w:bCs/>
          <w:color w:val="auto"/>
          <w:sz w:val="24"/>
          <w:szCs w:val="24"/>
          <w:highlight w:val="none"/>
          <w:u w:val="single"/>
        </w:rPr>
        <w:t xml:space="preserve">                </w:t>
      </w:r>
    </w:p>
    <w:p w14:paraId="329458EA">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2ECA073E">
      <w:pPr>
        <w:pStyle w:val="1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0BF3BBBD">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6D0F8BAF">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6F1CED6C">
      <w:pPr>
        <w:pStyle w:val="15"/>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69D9DAB">
      <w:pPr>
        <w:pStyle w:val="15"/>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28977566">
      <w:pPr>
        <w:pStyle w:val="1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6AE43CE3">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4153A86F">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6303CE64">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4F15AA1">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26EC4762">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C72DB42">
      <w:pPr>
        <w:pStyle w:val="15"/>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5D2FC6DF">
      <w:pPr>
        <w:pStyle w:val="1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668F010E">
      <w:pPr>
        <w:pStyle w:val="1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534A0B14">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1D9DB91">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5FD210E">
      <w:pPr>
        <w:pStyle w:val="15"/>
        <w:spacing w:line="360" w:lineRule="auto"/>
        <w:ind w:left="25" w:leftChars="12" w:firstLine="352" w:firstLineChars="147"/>
        <w:rPr>
          <w:rFonts w:hAnsi="宋体" w:cs="宋体"/>
          <w:color w:val="auto"/>
          <w:sz w:val="24"/>
          <w:szCs w:val="24"/>
          <w:highlight w:val="none"/>
        </w:rPr>
      </w:pPr>
    </w:p>
    <w:p w14:paraId="6F3A7EF9">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048886B7">
      <w:pPr>
        <w:pStyle w:val="15"/>
        <w:spacing w:line="360" w:lineRule="auto"/>
        <w:ind w:left="25" w:leftChars="12" w:firstLine="352" w:firstLineChars="147"/>
        <w:rPr>
          <w:rFonts w:hAnsi="宋体" w:cs="宋体"/>
          <w:color w:val="auto"/>
          <w:sz w:val="24"/>
          <w:szCs w:val="24"/>
          <w:highlight w:val="none"/>
        </w:rPr>
      </w:pPr>
    </w:p>
    <w:p w14:paraId="24E7BF55">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1016BBF9">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09EB8F6F">
      <w:pPr>
        <w:pStyle w:val="15"/>
        <w:snapToGrid w:val="0"/>
        <w:spacing w:line="360" w:lineRule="auto"/>
        <w:rPr>
          <w:rFonts w:hAnsi="宋体" w:cs="宋体"/>
          <w:b/>
          <w:color w:val="auto"/>
          <w:sz w:val="24"/>
          <w:szCs w:val="24"/>
          <w:highlight w:val="none"/>
        </w:rPr>
      </w:pPr>
    </w:p>
    <w:p w14:paraId="0BBA4491">
      <w:pPr>
        <w:pStyle w:val="1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359D5B3F">
      <w:pPr>
        <w:pStyle w:val="1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1EAAC6C5">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1EE8F2">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3BAD59F9">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18A139FA">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460F1342">
      <w:pPr>
        <w:pStyle w:val="15"/>
        <w:spacing w:line="360" w:lineRule="auto"/>
        <w:ind w:left="25" w:leftChars="12" w:firstLine="354" w:firstLineChars="147"/>
        <w:rPr>
          <w:rFonts w:ascii="宋体"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footerReference r:id="rId9" w:type="first"/>
      <w:footerReference r:id="rId8" w:type="default"/>
      <w:pgSz w:w="11910" w:h="16840"/>
      <w:pgMar w:top="1440" w:right="1080" w:bottom="1440" w:left="10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D00A">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AC1CF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67AC1CF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7117">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46AAFC">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4546AAFC">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E241">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0E811E">
                          <w:pPr>
                            <w:pStyle w:val="1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150E811E">
                    <w:pPr>
                      <w:pStyle w:val="1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7B7DC">
    <w:pPr>
      <w:spacing w:line="166" w:lineRule="auto"/>
      <w:ind w:left="422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62CF5A">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2E62CF5A">
                    <w:pPr>
                      <w:pStyle w:val="1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6C95">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EEBC6D">
                          <w:pPr>
                            <w:pStyle w:val="17"/>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5CEEBC6D">
                    <w:pPr>
                      <w:pStyle w:val="17"/>
                    </w:pPr>
                    <w:r>
                      <w:fldChar w:fldCharType="begin"/>
                    </w:r>
                    <w:r>
                      <w:instrText xml:space="preserve"> PAGE  \* MERGEFORMAT </w:instrText>
                    </w:r>
                    <w:r>
                      <w:fldChar w:fldCharType="separate"/>
                    </w:r>
                    <w:r>
                      <w:t>105</w:t>
                    </w:r>
                    <w:r>
                      <w:fldChar w:fldCharType="end"/>
                    </w:r>
                  </w:p>
                </w:txbxContent>
              </v:textbox>
            </v:shape>
          </w:pict>
        </mc:Fallback>
      </mc:AlternateContent>
    </w:r>
  </w:p>
  <w:p w14:paraId="5D535573">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76A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7C9D7F">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37C9D7F">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E2BC">
    <w:pPr>
      <w:pStyle w:val="18"/>
    </w:pPr>
    <w:r>
      <w:rPr>
        <w:rFonts w:hint="eastAsia"/>
      </w:rPr>
      <w:t>南宁市政府采购竞争性磋商采购文件（项目编号：</w:t>
    </w:r>
    <w:r>
      <w:rPr>
        <w:rFonts w:hint="eastAsia"/>
        <w:lang w:eastAsia="zh-CN"/>
      </w:rPr>
      <w:t>NNZC2025-C2-270064-GXDY</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7031B"/>
    <w:multiLevelType w:val="singleLevel"/>
    <w:tmpl w:val="8447031B"/>
    <w:lvl w:ilvl="0" w:tentative="0">
      <w:start w:val="1"/>
      <w:numFmt w:val="decimal"/>
      <w:suff w:val="nothing"/>
      <w:lvlText w:val="（%1）"/>
      <w:lvlJc w:val="left"/>
    </w:lvl>
  </w:abstractNum>
  <w:abstractNum w:abstractNumId="1">
    <w:nsid w:val="C0283A65"/>
    <w:multiLevelType w:val="singleLevel"/>
    <w:tmpl w:val="C0283A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C71DA5F"/>
    <w:multiLevelType w:val="singleLevel"/>
    <w:tmpl w:val="0C71DA5F"/>
    <w:lvl w:ilvl="0" w:tentative="0">
      <w:start w:val="1"/>
      <w:numFmt w:val="decimal"/>
      <w:suff w:val="nothing"/>
      <w:lvlText w:val="%1、"/>
      <w:lvlJc w:val="left"/>
    </w:lvl>
  </w:abstractNum>
  <w:abstractNum w:abstractNumId="4">
    <w:nsid w:val="508D7A92"/>
    <w:multiLevelType w:val="singleLevel"/>
    <w:tmpl w:val="508D7A92"/>
    <w:lvl w:ilvl="0" w:tentative="0">
      <w:start w:val="1"/>
      <w:numFmt w:val="decimal"/>
      <w:suff w:val="nothing"/>
      <w:lvlText w:val="（%1）"/>
      <w:lvlJc w:val="left"/>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72668605"/>
    <w:multiLevelType w:val="singleLevel"/>
    <w:tmpl w:val="72668605"/>
    <w:lvl w:ilvl="0" w:tentative="0">
      <w:start w:val="1"/>
      <w:numFmt w:val="decimal"/>
      <w:pStyle w:val="7"/>
      <w:lvlText w:val="%1."/>
      <w:lvlJc w:val="left"/>
      <w:pPr>
        <w:tabs>
          <w:tab w:val="left" w:pos="360"/>
        </w:tabs>
        <w:ind w:left="360" w:hanging="36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MTg5NWQ0MmY4ZTI3NDQ0YWQzNDNlNDJjYzgxY2IifQ=="/>
  </w:docVars>
  <w:rsids>
    <w:rsidRoot w:val="72590521"/>
    <w:rsid w:val="000510B6"/>
    <w:rsid w:val="0014006B"/>
    <w:rsid w:val="0015420E"/>
    <w:rsid w:val="001E77F1"/>
    <w:rsid w:val="002738D5"/>
    <w:rsid w:val="00294959"/>
    <w:rsid w:val="003E0F2D"/>
    <w:rsid w:val="00444F54"/>
    <w:rsid w:val="00733D07"/>
    <w:rsid w:val="00733FD2"/>
    <w:rsid w:val="00773247"/>
    <w:rsid w:val="00854C70"/>
    <w:rsid w:val="00877B31"/>
    <w:rsid w:val="00896A26"/>
    <w:rsid w:val="008E5425"/>
    <w:rsid w:val="00A556DE"/>
    <w:rsid w:val="00B477E1"/>
    <w:rsid w:val="00C349DE"/>
    <w:rsid w:val="00E02320"/>
    <w:rsid w:val="00E076C4"/>
    <w:rsid w:val="00E12C35"/>
    <w:rsid w:val="018312F3"/>
    <w:rsid w:val="019D115B"/>
    <w:rsid w:val="01A544B3"/>
    <w:rsid w:val="01E12EDC"/>
    <w:rsid w:val="03015719"/>
    <w:rsid w:val="03FB241F"/>
    <w:rsid w:val="03FD3328"/>
    <w:rsid w:val="05F4078D"/>
    <w:rsid w:val="06A66D03"/>
    <w:rsid w:val="06ED3035"/>
    <w:rsid w:val="07CA4C73"/>
    <w:rsid w:val="08783670"/>
    <w:rsid w:val="089D5EE4"/>
    <w:rsid w:val="09024057"/>
    <w:rsid w:val="092A6EDD"/>
    <w:rsid w:val="099427CD"/>
    <w:rsid w:val="0B325DD9"/>
    <w:rsid w:val="0B333C33"/>
    <w:rsid w:val="0B4D1E43"/>
    <w:rsid w:val="0C232BA4"/>
    <w:rsid w:val="0C264442"/>
    <w:rsid w:val="0C8E44C1"/>
    <w:rsid w:val="0C973ECB"/>
    <w:rsid w:val="0CFB6D87"/>
    <w:rsid w:val="0D0205E5"/>
    <w:rsid w:val="0DC05864"/>
    <w:rsid w:val="0E811E04"/>
    <w:rsid w:val="0E816917"/>
    <w:rsid w:val="100D1A48"/>
    <w:rsid w:val="10525806"/>
    <w:rsid w:val="10F92125"/>
    <w:rsid w:val="11162CD7"/>
    <w:rsid w:val="112D117D"/>
    <w:rsid w:val="11427AE5"/>
    <w:rsid w:val="14523B4C"/>
    <w:rsid w:val="14B542EB"/>
    <w:rsid w:val="14C07BDD"/>
    <w:rsid w:val="14C26AC9"/>
    <w:rsid w:val="14C65C60"/>
    <w:rsid w:val="160C46A9"/>
    <w:rsid w:val="16C2757B"/>
    <w:rsid w:val="17402B04"/>
    <w:rsid w:val="175A6A33"/>
    <w:rsid w:val="17966920"/>
    <w:rsid w:val="17E54EFA"/>
    <w:rsid w:val="18083A36"/>
    <w:rsid w:val="1811456D"/>
    <w:rsid w:val="18673E19"/>
    <w:rsid w:val="18A701A3"/>
    <w:rsid w:val="196565AA"/>
    <w:rsid w:val="1B1477AE"/>
    <w:rsid w:val="1C913B5A"/>
    <w:rsid w:val="1D9C3F6B"/>
    <w:rsid w:val="1DAD75B8"/>
    <w:rsid w:val="1DBE4FFB"/>
    <w:rsid w:val="1DC37378"/>
    <w:rsid w:val="1E1F4DBD"/>
    <w:rsid w:val="1E44325C"/>
    <w:rsid w:val="1E7F010E"/>
    <w:rsid w:val="1ECA3BCB"/>
    <w:rsid w:val="1F1412A0"/>
    <w:rsid w:val="1F1A4A57"/>
    <w:rsid w:val="1F250D12"/>
    <w:rsid w:val="1F771D62"/>
    <w:rsid w:val="221A39C9"/>
    <w:rsid w:val="22A86B57"/>
    <w:rsid w:val="22B569E9"/>
    <w:rsid w:val="23CF3DE7"/>
    <w:rsid w:val="23E838BA"/>
    <w:rsid w:val="24C02C1C"/>
    <w:rsid w:val="25292781"/>
    <w:rsid w:val="25BB5095"/>
    <w:rsid w:val="28FB7EBD"/>
    <w:rsid w:val="29D71B05"/>
    <w:rsid w:val="2AC04D68"/>
    <w:rsid w:val="2B7C4938"/>
    <w:rsid w:val="2C5801F0"/>
    <w:rsid w:val="2D316615"/>
    <w:rsid w:val="2D6055AE"/>
    <w:rsid w:val="2DF45C52"/>
    <w:rsid w:val="2E2B600A"/>
    <w:rsid w:val="2EC41BEF"/>
    <w:rsid w:val="2EFC51FA"/>
    <w:rsid w:val="2F951161"/>
    <w:rsid w:val="30D65154"/>
    <w:rsid w:val="311C7A3E"/>
    <w:rsid w:val="316B35BD"/>
    <w:rsid w:val="3179279B"/>
    <w:rsid w:val="31946B55"/>
    <w:rsid w:val="335504C3"/>
    <w:rsid w:val="33E549D2"/>
    <w:rsid w:val="340547BA"/>
    <w:rsid w:val="344846D9"/>
    <w:rsid w:val="346B4DFC"/>
    <w:rsid w:val="350D3D50"/>
    <w:rsid w:val="35AA4124"/>
    <w:rsid w:val="35D3093F"/>
    <w:rsid w:val="3641681D"/>
    <w:rsid w:val="36573C20"/>
    <w:rsid w:val="375C225E"/>
    <w:rsid w:val="379A790F"/>
    <w:rsid w:val="38710670"/>
    <w:rsid w:val="38757231"/>
    <w:rsid w:val="38F82B3F"/>
    <w:rsid w:val="39333B77"/>
    <w:rsid w:val="395028AA"/>
    <w:rsid w:val="3A7D30CD"/>
    <w:rsid w:val="3B4839D3"/>
    <w:rsid w:val="3B4C7172"/>
    <w:rsid w:val="3B5303DF"/>
    <w:rsid w:val="3BB04C7B"/>
    <w:rsid w:val="3CE65E70"/>
    <w:rsid w:val="3D3D401B"/>
    <w:rsid w:val="3F0A4723"/>
    <w:rsid w:val="3FA4132B"/>
    <w:rsid w:val="3FD20B5E"/>
    <w:rsid w:val="40653F4E"/>
    <w:rsid w:val="40E903F0"/>
    <w:rsid w:val="41310CE3"/>
    <w:rsid w:val="41CF4659"/>
    <w:rsid w:val="41D2177E"/>
    <w:rsid w:val="42024A2E"/>
    <w:rsid w:val="4257012F"/>
    <w:rsid w:val="436D5ED7"/>
    <w:rsid w:val="440A3726"/>
    <w:rsid w:val="44733BE0"/>
    <w:rsid w:val="4614088C"/>
    <w:rsid w:val="47036501"/>
    <w:rsid w:val="470C7D34"/>
    <w:rsid w:val="473D0DA5"/>
    <w:rsid w:val="473E2065"/>
    <w:rsid w:val="47C46FB6"/>
    <w:rsid w:val="47DD66CD"/>
    <w:rsid w:val="487041FF"/>
    <w:rsid w:val="488643E5"/>
    <w:rsid w:val="48E91EBC"/>
    <w:rsid w:val="493A429A"/>
    <w:rsid w:val="493F3E72"/>
    <w:rsid w:val="49CA7BE0"/>
    <w:rsid w:val="49E66D09"/>
    <w:rsid w:val="4A4C4A99"/>
    <w:rsid w:val="4AA30431"/>
    <w:rsid w:val="4AFB5984"/>
    <w:rsid w:val="4B1530DD"/>
    <w:rsid w:val="4B871B00"/>
    <w:rsid w:val="4B931AB6"/>
    <w:rsid w:val="4C101AF6"/>
    <w:rsid w:val="4C925E54"/>
    <w:rsid w:val="4CE0771A"/>
    <w:rsid w:val="4D2B1E2E"/>
    <w:rsid w:val="4DB513F5"/>
    <w:rsid w:val="4DBA440F"/>
    <w:rsid w:val="4E6A1991"/>
    <w:rsid w:val="4E6F6C65"/>
    <w:rsid w:val="4E994025"/>
    <w:rsid w:val="4F6A1258"/>
    <w:rsid w:val="4FD5081B"/>
    <w:rsid w:val="4FD55530"/>
    <w:rsid w:val="50D420F0"/>
    <w:rsid w:val="519F45AD"/>
    <w:rsid w:val="52DC05C5"/>
    <w:rsid w:val="52E10AC1"/>
    <w:rsid w:val="52E8557B"/>
    <w:rsid w:val="54F46459"/>
    <w:rsid w:val="55033CC5"/>
    <w:rsid w:val="55570796"/>
    <w:rsid w:val="55EB160A"/>
    <w:rsid w:val="566E6C91"/>
    <w:rsid w:val="5739726A"/>
    <w:rsid w:val="57600F2A"/>
    <w:rsid w:val="57C14700"/>
    <w:rsid w:val="57C83B82"/>
    <w:rsid w:val="57EE16D6"/>
    <w:rsid w:val="5829145C"/>
    <w:rsid w:val="582A3264"/>
    <w:rsid w:val="5855720E"/>
    <w:rsid w:val="58E40592"/>
    <w:rsid w:val="58F86F27"/>
    <w:rsid w:val="5B3C46B5"/>
    <w:rsid w:val="5BD56655"/>
    <w:rsid w:val="5C3E0583"/>
    <w:rsid w:val="5C5B1863"/>
    <w:rsid w:val="5C8E0EFE"/>
    <w:rsid w:val="5E167440"/>
    <w:rsid w:val="5EBD6C20"/>
    <w:rsid w:val="5EDC1325"/>
    <w:rsid w:val="5F5E109E"/>
    <w:rsid w:val="5FD70E51"/>
    <w:rsid w:val="600F05EB"/>
    <w:rsid w:val="60492303"/>
    <w:rsid w:val="61B01959"/>
    <w:rsid w:val="63085150"/>
    <w:rsid w:val="63166D35"/>
    <w:rsid w:val="634F3056"/>
    <w:rsid w:val="63D86F45"/>
    <w:rsid w:val="64073002"/>
    <w:rsid w:val="64485466"/>
    <w:rsid w:val="654D349C"/>
    <w:rsid w:val="655C1E5E"/>
    <w:rsid w:val="667473F9"/>
    <w:rsid w:val="672229B1"/>
    <w:rsid w:val="67E1702A"/>
    <w:rsid w:val="68481CB4"/>
    <w:rsid w:val="684D788C"/>
    <w:rsid w:val="69643755"/>
    <w:rsid w:val="69E76134"/>
    <w:rsid w:val="6A507835"/>
    <w:rsid w:val="6A835EC6"/>
    <w:rsid w:val="6CE1732F"/>
    <w:rsid w:val="6CF5311E"/>
    <w:rsid w:val="6E27365A"/>
    <w:rsid w:val="6EE73126"/>
    <w:rsid w:val="70BA1EAD"/>
    <w:rsid w:val="7141437C"/>
    <w:rsid w:val="7200394C"/>
    <w:rsid w:val="72447C5E"/>
    <w:rsid w:val="72590521"/>
    <w:rsid w:val="731C4B6B"/>
    <w:rsid w:val="737F2F3A"/>
    <w:rsid w:val="73C92407"/>
    <w:rsid w:val="740F250F"/>
    <w:rsid w:val="75930F1E"/>
    <w:rsid w:val="76117C36"/>
    <w:rsid w:val="770E2578"/>
    <w:rsid w:val="77F74806"/>
    <w:rsid w:val="78215339"/>
    <w:rsid w:val="78234C5E"/>
    <w:rsid w:val="788D26EB"/>
    <w:rsid w:val="78E61A18"/>
    <w:rsid w:val="7A266516"/>
    <w:rsid w:val="7A503014"/>
    <w:rsid w:val="7BDE7E75"/>
    <w:rsid w:val="7C464F3C"/>
    <w:rsid w:val="7D3C187C"/>
    <w:rsid w:val="7E114B6A"/>
    <w:rsid w:val="7E6D4A02"/>
    <w:rsid w:val="7ED740F4"/>
    <w:rsid w:val="7F436171"/>
    <w:rsid w:val="7F701003"/>
    <w:rsid w:val="7F8D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qFormat/>
    <w:uiPriority w:val="9"/>
    <w:pPr>
      <w:keepNext/>
      <w:keepLines/>
      <w:spacing w:before="260" w:after="260" w:line="416" w:lineRule="auto"/>
      <w:outlineLvl w:val="2"/>
    </w:pPr>
    <w:rPr>
      <w:b/>
      <w:bCs/>
      <w:sz w:val="32"/>
      <w:szCs w:val="32"/>
    </w:rPr>
  </w:style>
  <w:style w:type="paragraph" w:styleId="5">
    <w:name w:val="heading 4"/>
    <w:basedOn w:val="1"/>
    <w:next w:val="1"/>
    <w:link w:val="45"/>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index 8"/>
    <w:basedOn w:val="1"/>
    <w:next w:val="1"/>
    <w:qFormat/>
    <w:uiPriority w:val="99"/>
    <w:pPr>
      <w:ind w:left="1400" w:leftChars="1400"/>
    </w:pPr>
  </w:style>
  <w:style w:type="paragraph" w:styleId="7">
    <w:name w:val="List Number"/>
    <w:basedOn w:val="1"/>
    <w:qFormat/>
    <w:uiPriority w:val="0"/>
    <w:pPr>
      <w:numPr>
        <w:ilvl w:val="0"/>
        <w:numId w:val="1"/>
      </w:numPr>
    </w:pPr>
  </w:style>
  <w:style w:type="paragraph" w:styleId="8">
    <w:name w:val="Normal Indent"/>
    <w:basedOn w:val="1"/>
    <w:qFormat/>
    <w:uiPriority w:val="99"/>
    <w:pPr>
      <w:ind w:firstLine="420"/>
    </w:pPr>
    <w:rPr>
      <w:szCs w:val="20"/>
    </w:r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unhideWhenUsed/>
    <w:qFormat/>
    <w:uiPriority w:val="0"/>
    <w:pPr>
      <w:spacing w:after="120"/>
    </w:p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Plain Text"/>
    <w:basedOn w:val="1"/>
    <w:qFormat/>
    <w:uiPriority w:val="0"/>
    <w:rPr>
      <w:rFonts w:ascii="宋体" w:hAnsi="Courier New"/>
      <w:kern w:val="0"/>
      <w:sz w:val="20"/>
      <w:szCs w:val="21"/>
    </w:rPr>
  </w:style>
  <w:style w:type="paragraph" w:styleId="16">
    <w:name w:val="Balloon Text"/>
    <w:basedOn w:val="1"/>
    <w:link w:val="39"/>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List"/>
    <w:basedOn w:val="1"/>
    <w:unhideWhenUsed/>
    <w:qFormat/>
    <w:uiPriority w:val="99"/>
    <w:pPr>
      <w:ind w:left="200" w:hanging="200" w:hangingChars="200"/>
      <w:contextualSpacing/>
    </w:p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Body Text First Indent 2"/>
    <w:basedOn w:val="12"/>
    <w:unhideWhenUsed/>
    <w:qFormat/>
    <w:uiPriority w:val="99"/>
    <w:pPr>
      <w:ind w:firstLine="420" w:firstLineChars="2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unhideWhenUsed/>
    <w:qFormat/>
    <w:uiPriority w:val="99"/>
    <w:rPr>
      <w:color w:val="0000FF"/>
      <w:u w:val="single"/>
    </w:rPr>
  </w:style>
  <w:style w:type="character" w:styleId="28">
    <w:name w:val="annotation reference"/>
    <w:basedOn w:val="26"/>
    <w:qFormat/>
    <w:uiPriority w:val="99"/>
    <w:rPr>
      <w:sz w:val="21"/>
      <w:szCs w:val="21"/>
    </w:rPr>
  </w:style>
  <w:style w:type="paragraph" w:customStyle="1" w:styleId="29">
    <w:name w:val="Title1"/>
    <w:basedOn w:val="1"/>
    <w:next w:val="1"/>
    <w:qFormat/>
    <w:uiPriority w:val="0"/>
    <w:pPr>
      <w:jc w:val="center"/>
      <w:outlineLvl w:val="0"/>
    </w:pPr>
    <w:rPr>
      <w:rFonts w:ascii="Calibri Light" w:hAnsi="Calibri Light" w:eastAsia="Arial Unicode MS"/>
      <w:b/>
    </w:rPr>
  </w:style>
  <w:style w:type="paragraph" w:customStyle="1" w:styleId="30">
    <w:name w:val="表格文字115"/>
    <w:basedOn w:val="1"/>
    <w:qFormat/>
    <w:uiPriority w:val="0"/>
    <w:pPr>
      <w:spacing w:before="25" w:after="25"/>
      <w:jc w:val="left"/>
    </w:pPr>
    <w:rPr>
      <w:bCs/>
      <w:spacing w:val="10"/>
      <w:kern w:val="0"/>
      <w:sz w:val="24"/>
    </w:rPr>
  </w:style>
  <w:style w:type="paragraph" w:customStyle="1" w:styleId="31">
    <w:name w:val="正文-公1"/>
    <w:basedOn w:val="1"/>
    <w:qFormat/>
    <w:uiPriority w:val="0"/>
    <w:pPr>
      <w:ind w:firstLine="200" w:firstLineChars="200"/>
      <w:jc w:val="left"/>
    </w:pPr>
    <w:rPr>
      <w:rFonts w:eastAsia="仿宋_GB2312"/>
    </w:rPr>
  </w:style>
  <w:style w:type="paragraph" w:customStyle="1" w:styleId="32">
    <w:name w:val="Default"/>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3">
    <w:name w:val="正文2"/>
    <w:basedOn w:val="1"/>
    <w:qFormat/>
    <w:uiPriority w:val="0"/>
    <w:pPr>
      <w:adjustRightInd w:val="0"/>
      <w:spacing w:before="156" w:line="360" w:lineRule="auto"/>
      <w:ind w:firstLine="510" w:firstLineChars="200"/>
    </w:pPr>
    <w:rPr>
      <w:kern w:val="0"/>
      <w:sz w:val="24"/>
      <w:szCs w:val="20"/>
    </w:rPr>
  </w:style>
  <w:style w:type="paragraph" w:customStyle="1" w:styleId="3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5">
    <w:name w:val="正文缩进1"/>
    <w:basedOn w:val="1"/>
    <w:next w:val="12"/>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6">
    <w:name w:val="Table Paragraph"/>
    <w:basedOn w:val="1"/>
    <w:qFormat/>
    <w:uiPriority w:val="1"/>
    <w:pPr>
      <w:jc w:val="left"/>
    </w:pPr>
    <w:rPr>
      <w:rFonts w:ascii="Calibri" w:hAnsi="Calibri"/>
      <w:kern w:val="0"/>
      <w:sz w:val="22"/>
      <w:szCs w:val="22"/>
      <w:lang w:eastAsia="en-US"/>
    </w:rPr>
  </w:style>
  <w:style w:type="character" w:customStyle="1" w:styleId="37">
    <w:name w:val="font91"/>
    <w:basedOn w:val="26"/>
    <w:qFormat/>
    <w:uiPriority w:val="0"/>
    <w:rPr>
      <w:rFonts w:hint="eastAsia" w:ascii="黑体" w:hAnsi="宋体" w:eastAsia="黑体" w:cs="黑体"/>
      <w:color w:val="000000"/>
      <w:sz w:val="21"/>
      <w:szCs w:val="21"/>
      <w:u w:val="none"/>
    </w:rPr>
  </w:style>
  <w:style w:type="character" w:customStyle="1" w:styleId="38">
    <w:name w:val="font61"/>
    <w:basedOn w:val="26"/>
    <w:qFormat/>
    <w:uiPriority w:val="0"/>
    <w:rPr>
      <w:rFonts w:hint="default" w:ascii="Times New Roman" w:hAnsi="Times New Roman" w:cs="Times New Roman"/>
      <w:color w:val="000000"/>
      <w:sz w:val="21"/>
      <w:szCs w:val="21"/>
      <w:u w:val="none"/>
      <w:vertAlign w:val="superscript"/>
    </w:rPr>
  </w:style>
  <w:style w:type="character" w:customStyle="1" w:styleId="39">
    <w:name w:val="批注框文本 Char"/>
    <w:basedOn w:val="26"/>
    <w:link w:val="16"/>
    <w:qFormat/>
    <w:uiPriority w:val="0"/>
    <w:rPr>
      <w:kern w:val="2"/>
      <w:sz w:val="18"/>
      <w:szCs w:val="18"/>
    </w:rPr>
  </w:style>
  <w:style w:type="paragraph" w:customStyle="1" w:styleId="40">
    <w:name w:val="Normal_1"/>
    <w:qFormat/>
    <w:uiPriority w:val="0"/>
    <w:rPr>
      <w:rFonts w:ascii="Times New Roman" w:hAnsi="Times New Roman" w:eastAsia="Times New Roman" w:cs="Times New Roman"/>
      <w:sz w:val="24"/>
      <w:szCs w:val="24"/>
      <w:lang w:val="en-US" w:eastAsia="zh-CN" w:bidi="ar-SA"/>
    </w:rPr>
  </w:style>
  <w:style w:type="paragraph" w:customStyle="1" w:styleId="41">
    <w:name w:val="Body text|1"/>
    <w:basedOn w:val="1"/>
    <w:qFormat/>
    <w:uiPriority w:val="0"/>
    <w:pPr>
      <w:spacing w:line="360" w:lineRule="auto"/>
      <w:ind w:firstLine="400"/>
    </w:pPr>
    <w:rPr>
      <w:rFonts w:ascii="宋体" w:hAnsi="宋体" w:cs="宋体"/>
      <w:szCs w:val="20"/>
      <w:lang w:val="zh-CN" w:bidi="zh-CN"/>
    </w:rPr>
  </w:style>
  <w:style w:type="paragraph" w:customStyle="1" w:styleId="42">
    <w:name w:val="Body text|2"/>
    <w:basedOn w:val="1"/>
    <w:qFormat/>
    <w:uiPriority w:val="0"/>
    <w:pPr>
      <w:spacing w:after="30"/>
      <w:ind w:firstLine="420"/>
    </w:pPr>
    <w:rPr>
      <w:szCs w:val="20"/>
    </w:rPr>
  </w:style>
  <w:style w:type="paragraph" w:customStyle="1" w:styleId="43">
    <w:name w:val="Other|1"/>
    <w:basedOn w:val="1"/>
    <w:qFormat/>
    <w:uiPriority w:val="0"/>
    <w:pPr>
      <w:spacing w:line="360" w:lineRule="auto"/>
      <w:ind w:firstLine="400"/>
    </w:pPr>
    <w:rPr>
      <w:rFonts w:ascii="宋体" w:hAnsi="宋体" w:cs="宋体"/>
      <w:sz w:val="20"/>
      <w:szCs w:val="20"/>
      <w:lang w:val="zh-CN" w:bidi="zh-CN"/>
    </w:rPr>
  </w:style>
  <w:style w:type="character" w:customStyle="1" w:styleId="44">
    <w:name w:val="标题 3 Char"/>
    <w:link w:val="4"/>
    <w:qFormat/>
    <w:uiPriority w:val="0"/>
    <w:rPr>
      <w:b/>
      <w:bCs/>
      <w:sz w:val="32"/>
      <w:szCs w:val="32"/>
    </w:rPr>
  </w:style>
  <w:style w:type="character" w:customStyle="1" w:styleId="45">
    <w:name w:val="标题 4 Char"/>
    <w:link w:val="5"/>
    <w:qFormat/>
    <w:uiPriority w:val="9"/>
    <w:rPr>
      <w:rFonts w:ascii="Arial" w:eastAsia="黑体"/>
      <w:kern w:val="0"/>
      <w:sz w:val="28"/>
      <w:szCs w:val="20"/>
    </w:rPr>
  </w:style>
  <w:style w:type="paragraph" w:customStyle="1" w:styleId="46">
    <w:name w:val="正文_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47">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10_0"/>
    <w:basedOn w:val="2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174</Pages>
  <Words>19551</Words>
  <Characters>21296</Characters>
  <Lines>962</Lines>
  <Paragraphs>270</Paragraphs>
  <TotalTime>38</TotalTime>
  <ScaleCrop>false</ScaleCrop>
  <LinksUpToDate>false</LinksUpToDate>
  <CharactersWithSpaces>21638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2025-05-15T02:39:00Z</dcterms:created>
  <dc:creator>Max</dc:creator>
  <cp:lastModifiedBy>Lenovo</cp:lastModifiedBy>
  <cp:lastPrinted>2024-04-28T10:38:00Z</cp:lastPrinted>
  <dcterms:modified xsi:type="dcterms:W3CDTF">2025-05-27T02:27:46Z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B38BAD2A1B8748C5B85550FD5AE65280_13</vt:lpwstr>
  </property>
  <property fmtid="{D5CDD505-2E9C-101B-9397-08002B2CF9AE}" pid="4" name="KSOTemplateDocerSaveRecord">
    <vt:lpwstr>eyJoZGlkIjoiYTQ5ZDMyY2Q5NzgyMjY5YTAzMTQ5ODY3ZDYzYzJhMjYiLCJ1c2VySWQiOiIxMzY1OTU5MDU1In0=</vt:lpwstr>
  </property>
</Properties>
</file>