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3F9EE">
      <w:pPr>
        <w:jc w:val="center"/>
        <w:rPr>
          <w:rFonts w:hint="eastAsia" w:ascii="宋体" w:hAnsi="宋体" w:eastAsia="宋体" w:cs="宋体"/>
          <w:b/>
          <w:color w:val="000000" w:themeColor="text1"/>
          <w:sz w:val="52"/>
          <w:lang w:val="en-US" w:eastAsia="zh-CN"/>
          <w14:textFill>
            <w14:solidFill>
              <w14:schemeClr w14:val="tx1"/>
            </w14:solidFill>
          </w14:textFill>
        </w:rPr>
      </w:pPr>
      <w:r>
        <w:rPr>
          <w:rFonts w:hint="eastAsia" w:ascii="宋体" w:hAnsi="宋体" w:eastAsia="宋体" w:cs="宋体"/>
          <w:b/>
          <w:color w:val="000000" w:themeColor="text1"/>
          <w:sz w:val="52"/>
          <w:lang w:val="en-US" w:eastAsia="zh-CN"/>
          <w14:textFill>
            <w14:solidFill>
              <w14:schemeClr w14:val="tx1"/>
            </w14:solidFill>
          </w14:textFill>
        </w:rPr>
        <w:t>防城港市政府采购中心</w:t>
      </w:r>
    </w:p>
    <w:p w14:paraId="024DDE3A">
      <w:pPr>
        <w:jc w:val="center"/>
        <w:rPr>
          <w:rFonts w:hint="eastAsia" w:ascii="宋体" w:hAnsi="宋体" w:eastAsia="宋体" w:cs="宋体"/>
          <w:b/>
          <w:color w:val="000000" w:themeColor="text1"/>
          <w:sz w:val="52"/>
          <w:lang w:val="en-US" w:eastAsia="zh-CN"/>
          <w14:textFill>
            <w14:solidFill>
              <w14:schemeClr w14:val="tx1"/>
            </w14:solidFill>
          </w14:textFill>
        </w:rPr>
      </w:pPr>
    </w:p>
    <w:p w14:paraId="580079C0">
      <w:pPr>
        <w:pStyle w:val="17"/>
        <w:rPr>
          <w:rFonts w:ascii="宋体" w:hAnsi="宋体" w:cs="宋体"/>
          <w:b/>
          <w:bCs/>
          <w:color w:val="000000" w:themeColor="text1"/>
          <w:sz w:val="52"/>
          <w:szCs w:val="52"/>
          <w14:textFill>
            <w14:solidFill>
              <w14:schemeClr w14:val="tx1"/>
            </w14:solidFill>
          </w14:textFill>
        </w:rPr>
      </w:pPr>
    </w:p>
    <w:p w14:paraId="6D34DA41">
      <w:pPr>
        <w:pStyle w:val="17"/>
        <w:rPr>
          <w:rFonts w:ascii="宋体" w:hAnsi="宋体" w:cs="宋体"/>
          <w:b/>
          <w:bCs/>
          <w:color w:val="000000" w:themeColor="text1"/>
          <w:sz w:val="52"/>
          <w:szCs w:val="52"/>
          <w14:textFill>
            <w14:solidFill>
              <w14:schemeClr w14:val="tx1"/>
            </w14:solidFill>
          </w14:textFill>
        </w:rPr>
      </w:pPr>
    </w:p>
    <w:p w14:paraId="2F5F1856">
      <w:pPr>
        <w:spacing w:beforeLines="100" w:afterLines="50"/>
        <w:jc w:val="center"/>
        <w:rPr>
          <w:rFonts w:hint="eastAsia" w:ascii="宋体" w:hAnsi="宋体" w:cs="宋体"/>
          <w:b/>
          <w:color w:val="000000" w:themeColor="text1"/>
          <w:spacing w:val="93"/>
          <w:sz w:val="72"/>
          <w:szCs w:val="72"/>
          <w14:textFill>
            <w14:solidFill>
              <w14:schemeClr w14:val="tx1"/>
            </w14:solidFill>
          </w14:textFill>
        </w:rPr>
      </w:pPr>
      <w:r>
        <w:rPr>
          <w:rFonts w:hint="eastAsia" w:ascii="宋体" w:hAnsi="宋体" w:cs="宋体"/>
          <w:b/>
          <w:color w:val="000000" w:themeColor="text1"/>
          <w:spacing w:val="93"/>
          <w:sz w:val="72"/>
          <w:szCs w:val="72"/>
          <w14:textFill>
            <w14:solidFill>
              <w14:schemeClr w14:val="tx1"/>
            </w14:solidFill>
          </w14:textFill>
        </w:rPr>
        <w:t>公开招标文件</w:t>
      </w:r>
    </w:p>
    <w:p w14:paraId="43EB5417">
      <w:pPr>
        <w:spacing w:beforeLines="100" w:afterLines="50"/>
        <w:jc w:val="center"/>
        <w:rPr>
          <w:rFonts w:ascii="宋体" w:hAnsi="宋体" w:cs="宋体"/>
          <w:sz w:val="40"/>
          <w:szCs w:val="40"/>
        </w:rPr>
      </w:pPr>
      <w:r>
        <w:rPr>
          <w:rFonts w:hint="eastAsia" w:ascii="宋体" w:hAnsi="宋体" w:cs="宋体"/>
          <w:sz w:val="40"/>
          <w:szCs w:val="40"/>
        </w:rPr>
        <w:t>（全流程电子化采购）</w:t>
      </w:r>
    </w:p>
    <w:p w14:paraId="2CAE4793">
      <w:pPr>
        <w:jc w:val="center"/>
        <w:rPr>
          <w:rFonts w:ascii="宋体" w:hAnsi="宋体" w:cs="宋体"/>
          <w:b/>
          <w:bCs/>
          <w:color w:val="000000" w:themeColor="text1"/>
          <w:sz w:val="52"/>
          <w:szCs w:val="52"/>
          <w14:textFill>
            <w14:solidFill>
              <w14:schemeClr w14:val="tx1"/>
            </w14:solidFill>
          </w14:textFill>
        </w:rPr>
      </w:pPr>
    </w:p>
    <w:p w14:paraId="782688DC">
      <w:pPr>
        <w:jc w:val="center"/>
        <w:rPr>
          <w:rFonts w:ascii="宋体" w:hAnsi="宋体" w:cs="宋体"/>
          <w:b/>
          <w:bCs/>
          <w:color w:val="000000" w:themeColor="text1"/>
          <w:sz w:val="52"/>
          <w:szCs w:val="52"/>
          <w14:textFill>
            <w14:solidFill>
              <w14:schemeClr w14:val="tx1"/>
            </w14:solidFill>
          </w14:textFill>
        </w:rPr>
      </w:pPr>
    </w:p>
    <w:p w14:paraId="0801E0C5">
      <w:pPr>
        <w:jc w:val="center"/>
        <w:rPr>
          <w:rFonts w:ascii="宋体" w:hAnsi="宋体" w:cs="宋体"/>
          <w:b/>
          <w:bCs/>
          <w:color w:val="000000" w:themeColor="text1"/>
          <w:sz w:val="52"/>
          <w:szCs w:val="52"/>
          <w14:textFill>
            <w14:solidFill>
              <w14:schemeClr w14:val="tx1"/>
            </w14:solidFill>
          </w14:textFill>
        </w:rPr>
      </w:pPr>
    </w:p>
    <w:p w14:paraId="620B2FD9">
      <w:pPr>
        <w:jc w:val="center"/>
        <w:rPr>
          <w:rFonts w:ascii="宋体" w:hAnsi="宋体" w:cs="宋体"/>
          <w:b/>
          <w:bCs/>
          <w:color w:val="000000" w:themeColor="text1"/>
          <w:sz w:val="32"/>
          <w:szCs w:val="32"/>
          <w:u w:val="single"/>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项目名称：</w:t>
      </w:r>
      <w:r>
        <w:rPr>
          <w:rFonts w:hint="eastAsia" w:ascii="宋体" w:hAnsi="宋体" w:cs="宋体"/>
          <w:b/>
          <w:bCs/>
          <w:color w:val="000000" w:themeColor="text1"/>
          <w:sz w:val="32"/>
          <w:szCs w:val="32"/>
          <w:u w:val="none"/>
          <w14:textFill>
            <w14:solidFill>
              <w14:schemeClr w14:val="tx1"/>
            </w14:solidFill>
          </w14:textFill>
        </w:rPr>
        <w:t>防城港市中级人民法院2025－2028年物业管理服务项目</w:t>
      </w:r>
    </w:p>
    <w:p w14:paraId="21F69114">
      <w:pPr>
        <w:jc w:val="center"/>
        <w:rPr>
          <w:rFonts w:hint="default" w:ascii="宋体" w:hAnsi="宋体" w:cs="宋体" w:eastAsiaTheme="minorEastAsia"/>
          <w:b/>
          <w:bCs/>
          <w:color w:val="auto"/>
          <w:sz w:val="32"/>
          <w:szCs w:val="32"/>
          <w:lang w:val="en-US" w:eastAsia="zh-CN"/>
        </w:rPr>
      </w:pPr>
      <w:r>
        <w:rPr>
          <w:rFonts w:hint="eastAsia" w:ascii="宋体" w:hAnsi="宋体" w:cs="宋体"/>
          <w:b/>
          <w:bCs/>
          <w:color w:val="auto"/>
          <w:sz w:val="32"/>
          <w:szCs w:val="32"/>
        </w:rPr>
        <w:t>项目编号：FCZC2025-G3-990082-FCGS</w:t>
      </w:r>
    </w:p>
    <w:p w14:paraId="412520D7">
      <w:pPr>
        <w:jc w:val="both"/>
        <w:rPr>
          <w:rFonts w:ascii="宋体" w:hAnsi="宋体" w:cs="宋体"/>
          <w:color w:val="000000" w:themeColor="text1"/>
          <w:sz w:val="32"/>
          <w:szCs w:val="32"/>
          <w14:textFill>
            <w14:solidFill>
              <w14:schemeClr w14:val="tx1"/>
            </w14:solidFill>
          </w14:textFill>
        </w:rPr>
      </w:pPr>
    </w:p>
    <w:p w14:paraId="27B21AFF">
      <w:pPr>
        <w:rPr>
          <w:rFonts w:ascii="宋体" w:hAnsi="宋体" w:cs="宋体"/>
          <w:color w:val="000000" w:themeColor="text1"/>
          <w:sz w:val="32"/>
          <w:szCs w:val="32"/>
          <w14:textFill>
            <w14:solidFill>
              <w14:schemeClr w14:val="tx1"/>
            </w14:solidFill>
          </w14:textFill>
        </w:rPr>
      </w:pPr>
    </w:p>
    <w:p w14:paraId="0FEB565E">
      <w:pPr>
        <w:pStyle w:val="17"/>
        <w:rPr>
          <w:rFonts w:hint="eastAsia" w:ascii="宋体" w:hAnsi="宋体" w:cs="宋体" w:eastAsiaTheme="minorEastAsia"/>
          <w:b/>
          <w:bCs/>
          <w:color w:val="000000" w:themeColor="text1"/>
          <w:kern w:val="2"/>
          <w:sz w:val="32"/>
          <w:szCs w:val="32"/>
          <w:u w:val="none"/>
          <w:lang w:val="en-US" w:eastAsia="zh-CN" w:bidi="ar-SA"/>
          <w14:textFill>
            <w14:solidFill>
              <w14:schemeClr w14:val="tx1"/>
            </w14:solidFill>
          </w14:textFill>
        </w:rPr>
      </w:pPr>
      <w:r>
        <w:rPr>
          <w:rFonts w:hint="eastAsia" w:ascii="宋体" w:hAnsi="宋体" w:cs="宋体" w:eastAsiaTheme="minorEastAsia"/>
          <w:b/>
          <w:bCs/>
          <w:color w:val="000000" w:themeColor="text1"/>
          <w:kern w:val="2"/>
          <w:sz w:val="32"/>
          <w:szCs w:val="32"/>
          <w:u w:val="none"/>
          <w:lang w:val="en-US" w:eastAsia="zh-CN" w:bidi="ar-SA"/>
          <w14:textFill>
            <w14:solidFill>
              <w14:schemeClr w14:val="tx1"/>
            </w14:solidFill>
          </w14:textFill>
        </w:rPr>
        <w:t xml:space="preserve">采 </w:t>
      </w:r>
      <w:r>
        <w:rPr>
          <w:rFonts w:hint="eastAsia" w:ascii="宋体" w:hAnsi="宋体" w:cs="宋体"/>
          <w:b/>
          <w:bCs/>
          <w:color w:val="000000" w:themeColor="text1"/>
          <w:kern w:val="2"/>
          <w:sz w:val="32"/>
          <w:szCs w:val="32"/>
          <w:u w:val="none"/>
          <w:lang w:val="en-US" w:eastAsia="zh-CN" w:bidi="ar-SA"/>
          <w14:textFill>
            <w14:solidFill>
              <w14:schemeClr w14:val="tx1"/>
            </w14:solidFill>
          </w14:textFill>
        </w:rPr>
        <w:t xml:space="preserve"> </w:t>
      </w:r>
      <w:r>
        <w:rPr>
          <w:rFonts w:hint="eastAsia" w:ascii="宋体" w:hAnsi="宋体" w:cs="宋体" w:eastAsiaTheme="minorEastAsia"/>
          <w:b/>
          <w:bCs/>
          <w:color w:val="000000" w:themeColor="text1"/>
          <w:kern w:val="2"/>
          <w:sz w:val="32"/>
          <w:szCs w:val="32"/>
          <w:u w:val="none"/>
          <w:lang w:val="en-US" w:eastAsia="zh-CN" w:bidi="ar-SA"/>
          <w14:textFill>
            <w14:solidFill>
              <w14:schemeClr w14:val="tx1"/>
            </w14:solidFill>
          </w14:textFill>
        </w:rPr>
        <w:t>购 人：防城港市中级人民法院</w:t>
      </w:r>
    </w:p>
    <w:p w14:paraId="67AB3B0E">
      <w:pPr>
        <w:pStyle w:val="17"/>
        <w:rPr>
          <w:rFonts w:hint="eastAsia" w:ascii="宋体" w:hAnsi="宋体" w:cs="宋体" w:eastAsiaTheme="minorEastAsia"/>
          <w:b/>
          <w:bCs/>
          <w:color w:val="000000" w:themeColor="text1"/>
          <w:kern w:val="2"/>
          <w:sz w:val="32"/>
          <w:szCs w:val="32"/>
          <w:u w:val="none"/>
          <w:lang w:val="en-US" w:eastAsia="zh-CN" w:bidi="ar-SA"/>
          <w14:textFill>
            <w14:solidFill>
              <w14:schemeClr w14:val="tx1"/>
            </w14:solidFill>
          </w14:textFill>
        </w:rPr>
      </w:pPr>
      <w:r>
        <w:rPr>
          <w:rFonts w:hint="eastAsia" w:ascii="宋体" w:hAnsi="宋体" w:cs="宋体" w:eastAsiaTheme="minorEastAsia"/>
          <w:b/>
          <w:bCs/>
          <w:color w:val="000000" w:themeColor="text1"/>
          <w:kern w:val="2"/>
          <w:sz w:val="32"/>
          <w:szCs w:val="32"/>
          <w:u w:val="none"/>
          <w:lang w:val="en-US" w:eastAsia="zh-CN" w:bidi="ar-SA"/>
          <w14:textFill>
            <w14:solidFill>
              <w14:schemeClr w14:val="tx1"/>
            </w14:solidFill>
          </w14:textFill>
        </w:rPr>
        <w:t>采购代理机构：防城港市政府采购中心</w:t>
      </w:r>
    </w:p>
    <w:p w14:paraId="7ED0A62D">
      <w:pPr>
        <w:rPr>
          <w:rFonts w:hint="eastAsia"/>
          <w:lang w:val="en-US" w:eastAsia="zh-CN"/>
        </w:rPr>
      </w:pPr>
    </w:p>
    <w:p w14:paraId="08748B17">
      <w:pPr>
        <w:pStyle w:val="17"/>
        <w:rPr>
          <w:rFonts w:hint="eastAsia"/>
          <w:color w:val="auto"/>
          <w:lang w:val="en-US" w:eastAsia="zh-CN"/>
        </w:rPr>
      </w:pPr>
    </w:p>
    <w:p w14:paraId="78F5DCE5">
      <w:pPr>
        <w:pStyle w:val="17"/>
        <w:jc w:val="center"/>
        <w:rPr>
          <w:rFonts w:hint="eastAsia" w:ascii="宋体" w:hAnsi="宋体" w:cs="宋体" w:eastAsiaTheme="minorEastAsia"/>
          <w:b/>
          <w:bCs/>
          <w:color w:val="auto"/>
          <w:kern w:val="2"/>
          <w:sz w:val="32"/>
          <w:szCs w:val="32"/>
          <w:lang w:val="en-US" w:eastAsia="zh-CN" w:bidi="ar-SA"/>
        </w:rPr>
      </w:pPr>
      <w:r>
        <w:rPr>
          <w:rFonts w:hint="eastAsia" w:ascii="宋体" w:hAnsi="宋体" w:cs="宋体" w:eastAsiaTheme="minorEastAsia"/>
          <w:b/>
          <w:bCs/>
          <w:color w:val="auto"/>
          <w:kern w:val="2"/>
          <w:sz w:val="32"/>
          <w:szCs w:val="32"/>
          <w:lang w:val="en-US" w:eastAsia="zh-CN" w:bidi="ar-SA"/>
        </w:rPr>
        <w:t>2025年</w:t>
      </w:r>
      <w:r>
        <w:rPr>
          <w:rFonts w:hint="eastAsia" w:ascii="宋体" w:hAnsi="宋体" w:cs="宋体"/>
          <w:b/>
          <w:bCs/>
          <w:color w:val="auto"/>
          <w:kern w:val="2"/>
          <w:sz w:val="32"/>
          <w:szCs w:val="32"/>
          <w:lang w:val="en-US" w:eastAsia="zh-CN" w:bidi="ar-SA"/>
        </w:rPr>
        <w:t>07</w:t>
      </w:r>
      <w:r>
        <w:rPr>
          <w:rFonts w:hint="eastAsia" w:ascii="宋体" w:hAnsi="宋体" w:cs="宋体" w:eastAsiaTheme="minorEastAsia"/>
          <w:b/>
          <w:bCs/>
          <w:color w:val="auto"/>
          <w:kern w:val="2"/>
          <w:sz w:val="32"/>
          <w:szCs w:val="32"/>
          <w:lang w:val="en-US" w:eastAsia="zh-CN" w:bidi="ar-SA"/>
        </w:rPr>
        <w:t>月</w:t>
      </w:r>
      <w:r>
        <w:rPr>
          <w:rFonts w:hint="eastAsia" w:ascii="宋体" w:hAnsi="宋体" w:cs="宋体"/>
          <w:b/>
          <w:bCs/>
          <w:color w:val="auto"/>
          <w:kern w:val="2"/>
          <w:sz w:val="32"/>
          <w:szCs w:val="32"/>
          <w:lang w:val="en-US" w:eastAsia="zh-CN" w:bidi="ar-SA"/>
        </w:rPr>
        <w:t>31</w:t>
      </w:r>
      <w:r>
        <w:rPr>
          <w:rFonts w:hint="eastAsia" w:ascii="宋体" w:hAnsi="宋体" w:cs="宋体" w:eastAsiaTheme="minorEastAsia"/>
          <w:b/>
          <w:bCs/>
          <w:color w:val="auto"/>
          <w:kern w:val="2"/>
          <w:sz w:val="32"/>
          <w:szCs w:val="32"/>
          <w:lang w:val="en-US" w:eastAsia="zh-CN" w:bidi="ar-SA"/>
        </w:rPr>
        <w:t>日</w:t>
      </w:r>
    </w:p>
    <w:p w14:paraId="27E035BD">
      <w:pPr>
        <w:rPr>
          <w:rFonts w:hint="eastAsia" w:ascii="宋体" w:hAnsi="宋体" w:cs="宋体" w:eastAsiaTheme="minorEastAsia"/>
          <w:b/>
          <w:bCs/>
          <w:color w:val="000000" w:themeColor="text1"/>
          <w:kern w:val="2"/>
          <w:sz w:val="32"/>
          <w:szCs w:val="32"/>
          <w:lang w:val="en-US" w:eastAsia="zh-CN" w:bidi="ar-SA"/>
          <w14:textFill>
            <w14:solidFill>
              <w14:schemeClr w14:val="tx1"/>
            </w14:solidFill>
          </w14:textFill>
        </w:rPr>
      </w:pPr>
    </w:p>
    <w:p w14:paraId="35474E05">
      <w:pPr>
        <w:pStyle w:val="15"/>
        <w:pageBreakBefore w:val="0"/>
        <w:kinsoku/>
        <w:overflowPunct/>
        <w:topLinePunct w:val="0"/>
        <w:bidi w:val="0"/>
        <w:spacing w:before="120" w:after="120" w:line="240" w:lineRule="auto"/>
        <w:jc w:val="center"/>
        <w:rPr>
          <w:rFonts w:hint="eastAsia" w:ascii="宋体" w:hAnsi="宋体" w:eastAsia="宋体" w:cs="宋体"/>
          <w:b/>
          <w:color w:val="auto"/>
          <w:sz w:val="21"/>
          <w:szCs w:val="21"/>
          <w:highlight w:val="none"/>
        </w:rPr>
        <w:sectPr>
          <w:pgSz w:w="11906" w:h="16838"/>
          <w:pgMar w:top="1440" w:right="1800" w:bottom="1440" w:left="1800" w:header="851" w:footer="992" w:gutter="0"/>
          <w:cols w:space="425" w:num="1"/>
          <w:docGrid w:type="lines" w:linePitch="312" w:charSpace="0"/>
        </w:sectPr>
      </w:pPr>
    </w:p>
    <w:p w14:paraId="595680CA">
      <w:pPr>
        <w:pStyle w:val="15"/>
        <w:pageBreakBefore w:val="0"/>
        <w:kinsoku/>
        <w:overflowPunct/>
        <w:topLinePunct w:val="0"/>
        <w:bidi w:val="0"/>
        <w:spacing w:before="120" w:after="12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目  录</w:t>
      </w:r>
    </w:p>
    <w:p w14:paraId="595BC9DB">
      <w:pPr>
        <w:pStyle w:val="19"/>
        <w:tabs>
          <w:tab w:val="right" w:leader="dot" w:pos="8306"/>
          <w:tab w:val="clear" w:pos="8398"/>
        </w:tabs>
      </w:pPr>
      <w:r>
        <w:rPr>
          <w:rFonts w:hint="eastAsia" w:ascii="宋体" w:hAnsi="宋体" w:eastAsia="宋体" w:cs="宋体"/>
          <w:b w:val="0"/>
          <w:color w:val="auto"/>
          <w:sz w:val="21"/>
          <w:szCs w:val="21"/>
          <w:highlight w:val="none"/>
        </w:rPr>
        <w:fldChar w:fldCharType="begin"/>
      </w:r>
      <w:r>
        <w:rPr>
          <w:rFonts w:hint="eastAsia" w:ascii="宋体" w:hAnsi="宋体" w:eastAsia="宋体" w:cs="宋体"/>
          <w:b w:val="0"/>
          <w:color w:val="auto"/>
          <w:sz w:val="21"/>
          <w:szCs w:val="21"/>
          <w:highlight w:val="none"/>
        </w:rPr>
        <w:instrText xml:space="preserve"> TOC \o "1-2" \h \z \u </w:instrText>
      </w:r>
      <w:r>
        <w:rPr>
          <w:rFonts w:hint="eastAsia" w:ascii="宋体" w:hAnsi="宋体" w:eastAsia="宋体" w:cs="宋体"/>
          <w:b w:val="0"/>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_Toc28939 </w:instrText>
      </w:r>
      <w:r>
        <w:rPr>
          <w:rFonts w:hint="eastAsia" w:ascii="宋体" w:hAnsi="宋体" w:eastAsia="宋体" w:cs="宋体"/>
          <w:szCs w:val="21"/>
          <w:highlight w:val="none"/>
        </w:rPr>
        <w:fldChar w:fldCharType="separate"/>
      </w:r>
      <w:r>
        <w:rPr>
          <w:rFonts w:hint="eastAsia" w:ascii="宋体" w:hAnsi="宋体" w:eastAsia="宋体" w:cs="宋体"/>
          <w:szCs w:val="21"/>
        </w:rPr>
        <w:t xml:space="preserve">第一章 </w:t>
      </w:r>
      <w:r>
        <w:rPr>
          <w:rFonts w:hint="eastAsia" w:ascii="宋体" w:hAnsi="宋体" w:eastAsia="宋体" w:cs="宋体"/>
          <w:szCs w:val="40"/>
          <w:highlight w:val="none"/>
        </w:rPr>
        <w:t>公开招标公告</w:t>
      </w:r>
      <w:r>
        <w:tab/>
      </w:r>
      <w:r>
        <w:fldChar w:fldCharType="begin"/>
      </w:r>
      <w:r>
        <w:instrText xml:space="preserve"> PAGEREF _Toc28939 \h </w:instrText>
      </w:r>
      <w:r>
        <w:fldChar w:fldCharType="separate"/>
      </w:r>
      <w:r>
        <w:t>2</w:t>
      </w:r>
      <w:r>
        <w:fldChar w:fldCharType="end"/>
      </w:r>
      <w:r>
        <w:rPr>
          <w:rFonts w:hint="eastAsia" w:ascii="宋体" w:hAnsi="宋体" w:eastAsia="宋体" w:cs="宋体"/>
          <w:color w:val="auto"/>
          <w:szCs w:val="21"/>
          <w:highlight w:val="none"/>
        </w:rPr>
        <w:fldChar w:fldCharType="end"/>
      </w:r>
    </w:p>
    <w:p w14:paraId="6D67F2AD">
      <w:pPr>
        <w:pStyle w:val="19"/>
        <w:tabs>
          <w:tab w:val="right" w:leader="dot" w:pos="8306"/>
          <w:tab w:val="clear" w:pos="8398"/>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_Toc10553 </w:instrText>
      </w:r>
      <w:r>
        <w:rPr>
          <w:rFonts w:hint="eastAsia" w:ascii="宋体" w:hAnsi="宋体" w:eastAsia="宋体" w:cs="宋体"/>
          <w:szCs w:val="21"/>
          <w:highlight w:val="none"/>
        </w:rPr>
        <w:fldChar w:fldCharType="separate"/>
      </w:r>
      <w:r>
        <w:rPr>
          <w:rFonts w:hint="eastAsia" w:ascii="宋体" w:hAnsi="宋体" w:eastAsia="宋体" w:cs="宋体"/>
          <w:szCs w:val="40"/>
        </w:rPr>
        <w:t xml:space="preserve">第二章 </w:t>
      </w:r>
      <w:r>
        <w:rPr>
          <w:rFonts w:hint="eastAsia" w:ascii="宋体" w:hAnsi="宋体" w:eastAsia="宋体" w:cs="宋体"/>
          <w:szCs w:val="40"/>
          <w:highlight w:val="none"/>
        </w:rPr>
        <w:t>采购需求</w:t>
      </w:r>
      <w:r>
        <w:tab/>
      </w:r>
      <w:r>
        <w:fldChar w:fldCharType="begin"/>
      </w:r>
      <w:r>
        <w:instrText xml:space="preserve"> PAGEREF _Toc10553 \h </w:instrText>
      </w:r>
      <w:r>
        <w:fldChar w:fldCharType="separate"/>
      </w:r>
      <w:r>
        <w:t>7</w:t>
      </w:r>
      <w:r>
        <w:fldChar w:fldCharType="end"/>
      </w:r>
      <w:r>
        <w:rPr>
          <w:rFonts w:hint="eastAsia" w:ascii="宋体" w:hAnsi="宋体" w:eastAsia="宋体" w:cs="宋体"/>
          <w:color w:val="auto"/>
          <w:szCs w:val="21"/>
          <w:highlight w:val="none"/>
        </w:rPr>
        <w:fldChar w:fldCharType="end"/>
      </w:r>
    </w:p>
    <w:p w14:paraId="3569466D">
      <w:pPr>
        <w:pStyle w:val="19"/>
        <w:tabs>
          <w:tab w:val="right" w:leader="dot" w:pos="8306"/>
          <w:tab w:val="clear" w:pos="8398"/>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_Toc29035 </w:instrText>
      </w:r>
      <w:r>
        <w:rPr>
          <w:rFonts w:hint="eastAsia" w:ascii="宋体" w:hAnsi="宋体" w:eastAsia="宋体" w:cs="宋体"/>
          <w:szCs w:val="21"/>
          <w:highlight w:val="none"/>
        </w:rPr>
        <w:fldChar w:fldCharType="separate"/>
      </w:r>
      <w:r>
        <w:rPr>
          <w:rFonts w:hint="eastAsia" w:ascii="宋体" w:hAnsi="宋体" w:eastAsia="宋体" w:cs="宋体"/>
          <w:szCs w:val="40"/>
        </w:rPr>
        <w:t xml:space="preserve">第三章 </w:t>
      </w:r>
      <w:r>
        <w:rPr>
          <w:rFonts w:hint="eastAsia" w:ascii="宋体" w:hAnsi="宋体" w:eastAsia="宋体" w:cs="宋体"/>
          <w:szCs w:val="40"/>
          <w:highlight w:val="none"/>
        </w:rPr>
        <w:t>投标人须知</w:t>
      </w:r>
      <w:r>
        <w:tab/>
      </w:r>
      <w:r>
        <w:fldChar w:fldCharType="begin"/>
      </w:r>
      <w:r>
        <w:instrText xml:space="preserve"> PAGEREF _Toc29035 \h </w:instrText>
      </w:r>
      <w:r>
        <w:fldChar w:fldCharType="separate"/>
      </w:r>
      <w:r>
        <w:t>34</w:t>
      </w:r>
      <w:r>
        <w:fldChar w:fldCharType="end"/>
      </w:r>
      <w:r>
        <w:rPr>
          <w:rFonts w:hint="eastAsia" w:ascii="宋体" w:hAnsi="宋体" w:eastAsia="宋体" w:cs="宋体"/>
          <w:color w:val="auto"/>
          <w:szCs w:val="21"/>
          <w:highlight w:val="none"/>
        </w:rPr>
        <w:fldChar w:fldCharType="end"/>
      </w:r>
    </w:p>
    <w:p w14:paraId="497ACB30">
      <w:pPr>
        <w:pStyle w:val="19"/>
        <w:tabs>
          <w:tab w:val="right" w:leader="dot" w:pos="8306"/>
          <w:tab w:val="clear" w:pos="8398"/>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_Toc9297 </w:instrText>
      </w:r>
      <w:r>
        <w:rPr>
          <w:rFonts w:hint="eastAsia" w:ascii="宋体" w:hAnsi="宋体" w:eastAsia="宋体" w:cs="宋体"/>
          <w:szCs w:val="21"/>
          <w:highlight w:val="none"/>
        </w:rPr>
        <w:fldChar w:fldCharType="separate"/>
      </w:r>
      <w:r>
        <w:rPr>
          <w:rFonts w:hint="eastAsia" w:ascii="宋体" w:hAnsi="宋体" w:eastAsia="宋体" w:cs="宋体"/>
          <w:szCs w:val="40"/>
          <w:lang w:val="en-US" w:eastAsia="zh-CN"/>
        </w:rPr>
        <w:t xml:space="preserve">第四章 </w:t>
      </w:r>
      <w:r>
        <w:rPr>
          <w:rFonts w:hint="eastAsia" w:ascii="宋体" w:hAnsi="宋体" w:eastAsia="宋体" w:cs="宋体"/>
          <w:szCs w:val="40"/>
          <w:highlight w:val="none"/>
          <w:lang w:val="en-US" w:eastAsia="zh-CN"/>
        </w:rPr>
        <w:t>评标方法及评标标准</w:t>
      </w:r>
      <w:r>
        <w:tab/>
      </w:r>
      <w:r>
        <w:fldChar w:fldCharType="begin"/>
      </w:r>
      <w:r>
        <w:instrText xml:space="preserve"> PAGEREF _Toc9297 \h </w:instrText>
      </w:r>
      <w:r>
        <w:fldChar w:fldCharType="separate"/>
      </w:r>
      <w:r>
        <w:t>48</w:t>
      </w:r>
      <w:r>
        <w:fldChar w:fldCharType="end"/>
      </w:r>
      <w:r>
        <w:rPr>
          <w:rFonts w:hint="eastAsia" w:ascii="宋体" w:hAnsi="宋体" w:eastAsia="宋体" w:cs="宋体"/>
          <w:color w:val="auto"/>
          <w:szCs w:val="21"/>
          <w:highlight w:val="none"/>
        </w:rPr>
        <w:fldChar w:fldCharType="end"/>
      </w:r>
    </w:p>
    <w:p w14:paraId="3B154E14">
      <w:pPr>
        <w:pStyle w:val="19"/>
        <w:tabs>
          <w:tab w:val="right" w:leader="dot" w:pos="8306"/>
          <w:tab w:val="clear" w:pos="8398"/>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_Toc4121 </w:instrText>
      </w:r>
      <w:r>
        <w:rPr>
          <w:rFonts w:hint="eastAsia" w:ascii="宋体" w:hAnsi="宋体" w:eastAsia="宋体" w:cs="宋体"/>
          <w:szCs w:val="21"/>
          <w:highlight w:val="none"/>
        </w:rPr>
        <w:fldChar w:fldCharType="separate"/>
      </w:r>
      <w:r>
        <w:rPr>
          <w:rFonts w:hint="eastAsia" w:ascii="宋体" w:hAnsi="宋体" w:eastAsia="宋体" w:cs="宋体"/>
          <w:szCs w:val="40"/>
          <w:lang w:val="en-US" w:eastAsia="zh-CN"/>
        </w:rPr>
        <w:t xml:space="preserve">第五章 </w:t>
      </w:r>
      <w:r>
        <w:rPr>
          <w:rFonts w:hint="eastAsia" w:ascii="宋体" w:hAnsi="宋体" w:eastAsia="宋体" w:cs="宋体"/>
          <w:szCs w:val="40"/>
          <w:highlight w:val="none"/>
          <w:lang w:val="en-US" w:eastAsia="zh-CN"/>
        </w:rPr>
        <w:t>拟签订的合同文本</w:t>
      </w:r>
      <w:r>
        <w:tab/>
      </w:r>
      <w:r>
        <w:fldChar w:fldCharType="begin"/>
      </w:r>
      <w:r>
        <w:instrText xml:space="preserve"> PAGEREF _Toc4121 \h </w:instrText>
      </w:r>
      <w:r>
        <w:fldChar w:fldCharType="separate"/>
      </w:r>
      <w:r>
        <w:t>55</w:t>
      </w:r>
      <w:r>
        <w:fldChar w:fldCharType="end"/>
      </w:r>
      <w:r>
        <w:rPr>
          <w:rFonts w:hint="eastAsia" w:ascii="宋体" w:hAnsi="宋体" w:eastAsia="宋体" w:cs="宋体"/>
          <w:color w:val="auto"/>
          <w:szCs w:val="21"/>
          <w:highlight w:val="none"/>
        </w:rPr>
        <w:fldChar w:fldCharType="end"/>
      </w:r>
    </w:p>
    <w:p w14:paraId="1E401D34">
      <w:pPr>
        <w:pStyle w:val="19"/>
        <w:tabs>
          <w:tab w:val="right" w:leader="dot" w:pos="8306"/>
          <w:tab w:val="clear" w:pos="8398"/>
        </w:tabs>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_Toc16478 </w:instrText>
      </w:r>
      <w:r>
        <w:rPr>
          <w:rFonts w:hint="eastAsia" w:ascii="宋体" w:hAnsi="宋体" w:eastAsia="宋体" w:cs="宋体"/>
          <w:szCs w:val="21"/>
          <w:highlight w:val="none"/>
        </w:rPr>
        <w:fldChar w:fldCharType="separate"/>
      </w:r>
      <w:r>
        <w:rPr>
          <w:rFonts w:hint="eastAsia" w:ascii="宋体" w:hAnsi="宋体" w:eastAsia="宋体" w:cs="宋体"/>
          <w:szCs w:val="40"/>
          <w:lang w:val="en-US" w:eastAsia="zh-CN"/>
        </w:rPr>
        <w:t xml:space="preserve">第六章 </w:t>
      </w:r>
      <w:r>
        <w:rPr>
          <w:rFonts w:hint="eastAsia" w:ascii="宋体" w:hAnsi="宋体" w:eastAsia="宋体" w:cs="宋体"/>
          <w:szCs w:val="40"/>
          <w:highlight w:val="none"/>
          <w:lang w:val="en-US" w:eastAsia="zh-CN"/>
        </w:rPr>
        <w:t>投标文件格式</w:t>
      </w:r>
      <w:r>
        <w:tab/>
      </w:r>
      <w:r>
        <w:fldChar w:fldCharType="begin"/>
      </w:r>
      <w:r>
        <w:instrText xml:space="preserve"> PAGEREF _Toc16478 \h </w:instrText>
      </w:r>
      <w:r>
        <w:fldChar w:fldCharType="separate"/>
      </w:r>
      <w:r>
        <w:t>59</w:t>
      </w:r>
      <w:r>
        <w:fldChar w:fldCharType="end"/>
      </w:r>
      <w:r>
        <w:rPr>
          <w:rFonts w:hint="eastAsia" w:ascii="宋体" w:hAnsi="宋体" w:eastAsia="宋体" w:cs="宋体"/>
          <w:color w:val="auto"/>
          <w:szCs w:val="21"/>
          <w:highlight w:val="none"/>
        </w:rPr>
        <w:fldChar w:fldCharType="end"/>
      </w:r>
    </w:p>
    <w:p w14:paraId="440B15BB">
      <w:pPr>
        <w:pStyle w:val="17"/>
        <w:rPr>
          <w:rFonts w:hint="default"/>
          <w:lang w:val="en-US" w:eastAsia="zh-CN"/>
        </w:rPr>
      </w:pPr>
      <w:r>
        <w:rPr>
          <w:rFonts w:hint="eastAsia" w:ascii="宋体" w:hAnsi="宋体" w:eastAsia="宋体" w:cs="宋体"/>
          <w:color w:val="auto"/>
          <w:szCs w:val="21"/>
          <w:highlight w:val="none"/>
        </w:rPr>
        <w:fldChar w:fldCharType="end"/>
      </w:r>
    </w:p>
    <w:p w14:paraId="6E81AC25">
      <w:pPr>
        <w:rPr>
          <w:rFonts w:hint="eastAsia" w:ascii="宋体" w:hAnsi="宋体" w:eastAsia="宋体" w:cs="宋体"/>
          <w:b/>
          <w:color w:val="auto"/>
          <w:spacing w:val="-18"/>
          <w:sz w:val="40"/>
          <w:szCs w:val="40"/>
          <w:highlight w:val="none"/>
          <w:u w:val="none"/>
          <w:lang w:val="en-US" w:eastAsia="zh-CN"/>
        </w:rPr>
      </w:pPr>
      <w:r>
        <w:rPr>
          <w:rFonts w:hint="eastAsia" w:ascii="宋体" w:hAnsi="宋体" w:eastAsia="宋体" w:cs="宋体"/>
          <w:b/>
          <w:color w:val="auto"/>
          <w:spacing w:val="-18"/>
          <w:sz w:val="40"/>
          <w:szCs w:val="40"/>
          <w:highlight w:val="none"/>
          <w:u w:val="none"/>
          <w:lang w:val="en-US" w:eastAsia="zh-CN"/>
        </w:rPr>
        <w:br w:type="page"/>
      </w:r>
    </w:p>
    <w:p w14:paraId="02F4C190">
      <w:pPr>
        <w:pStyle w:val="3"/>
        <w:pageBreakBefore w:val="0"/>
        <w:numPr>
          <w:ilvl w:val="0"/>
          <w:numId w:val="2"/>
        </w:numPr>
        <w:tabs>
          <w:tab w:val="left" w:pos="0"/>
          <w:tab w:val="left" w:pos="3165"/>
          <w:tab w:val="center" w:pos="4153"/>
        </w:tabs>
        <w:kinsoku/>
        <w:overflowPunct/>
        <w:topLinePunct w:val="0"/>
        <w:autoSpaceDE w:val="0"/>
        <w:autoSpaceDN w:val="0"/>
        <w:bidi w:val="0"/>
        <w:adjustRightInd w:val="0"/>
        <w:spacing w:before="0" w:after="0" w:line="240" w:lineRule="auto"/>
        <w:ind w:left="0" w:leftChars="0" w:firstLine="42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40"/>
          <w:szCs w:val="40"/>
          <w:highlight w:val="none"/>
        </w:rPr>
        <w:t xml:space="preserve"> </w:t>
      </w:r>
      <w:bookmarkStart w:id="0" w:name="_Toc28939"/>
      <w:r>
        <w:rPr>
          <w:rFonts w:hint="eastAsia" w:ascii="宋体" w:hAnsi="宋体" w:eastAsia="宋体" w:cs="宋体"/>
          <w:color w:val="auto"/>
          <w:sz w:val="40"/>
          <w:szCs w:val="40"/>
          <w:highlight w:val="none"/>
        </w:rPr>
        <w:t>公开招标公告</w:t>
      </w:r>
      <w:bookmarkEnd w:id="0"/>
    </w:p>
    <w:p w14:paraId="23598CB4">
      <w:pPr>
        <w:keepNext w:val="0"/>
        <w:keepLines w:val="0"/>
        <w:pageBreakBefore w:val="0"/>
        <w:kinsoku/>
        <w:overflowPunct/>
        <w:topLinePunct w:val="0"/>
        <w:autoSpaceDE/>
        <w:autoSpaceDN/>
        <w:bidi w:val="0"/>
        <w:adjustRightInd/>
        <w:spacing w:line="240" w:lineRule="auto"/>
        <w:jc w:val="center"/>
        <w:textAlignment w:val="auto"/>
        <w:rPr>
          <w:rFonts w:hint="eastAsia" w:ascii="宋体" w:hAnsi="宋体" w:eastAsia="宋体" w:cs="宋体"/>
          <w:b/>
          <w:color w:val="EE822F" w:themeColor="accent2"/>
          <w:sz w:val="21"/>
          <w:szCs w:val="21"/>
          <w:highlight w:val="none"/>
          <w:lang w:val="en-US" w:eastAsia="zh-CN"/>
          <w14:textFill>
            <w14:solidFill>
              <w14:schemeClr w14:val="accent2"/>
            </w14:solidFill>
          </w14:textFill>
        </w:rPr>
      </w:pPr>
    </w:p>
    <w:p w14:paraId="0EBC7BCD">
      <w:pPr>
        <w:keepNext w:val="0"/>
        <w:keepLines w:val="0"/>
        <w:pageBreakBefore w:val="0"/>
        <w:kinsoku/>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防城港市中级人民法院2025－2028年物业管理服务项目的公开招标公告</w:t>
      </w:r>
      <w:r>
        <w:rPr>
          <w:rFonts w:hint="eastAsia" w:ascii="宋体" w:hAnsi="宋体" w:cs="宋体"/>
          <w:b/>
          <w:color w:val="auto"/>
          <w:sz w:val="21"/>
          <w:szCs w:val="21"/>
          <w:highlight w:val="none"/>
          <w:lang w:val="en-US" w:eastAsia="zh-CN"/>
        </w:rPr>
        <w:t>（远程异地评标）</w:t>
      </w:r>
    </w:p>
    <w:p w14:paraId="6DC11407">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62232155">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防城港市中级人民法院2025－2028年物业管理服务项目</w:t>
      </w:r>
      <w:r>
        <w:rPr>
          <w:rFonts w:hint="eastAsia" w:ascii="宋体" w:hAnsi="宋体" w:eastAsia="宋体" w:cs="宋体"/>
          <w:color w:val="auto"/>
          <w:sz w:val="21"/>
          <w:szCs w:val="21"/>
          <w:highlight w:val="none"/>
        </w:rPr>
        <w:t>的潜在投标人应在</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获取招标文件，并于</w:t>
      </w:r>
      <w:r>
        <w:rPr>
          <w:rFonts w:hint="eastAsia" w:ascii="宋体" w:hAnsi="宋体" w:eastAsia="宋体" w:cs="宋体"/>
          <w:bCs/>
          <w:color w:val="auto"/>
          <w:sz w:val="21"/>
          <w:szCs w:val="21"/>
          <w:highlight w:val="none"/>
          <w:lang w:eastAsia="zh-CN"/>
        </w:rPr>
        <w:t>2025</w:t>
      </w:r>
      <w:r>
        <w:rPr>
          <w:rFonts w:hint="eastAsia" w:ascii="宋体" w:hAnsi="宋体" w:eastAsia="宋体" w:cs="宋体"/>
          <w:bCs/>
          <w:color w:val="auto"/>
          <w:sz w:val="21"/>
          <w:szCs w:val="21"/>
          <w:highlight w:val="none"/>
        </w:rPr>
        <w:t>年</w:t>
      </w:r>
      <w:r>
        <w:rPr>
          <w:rFonts w:hint="eastAsia" w:ascii="宋体" w:hAnsi="宋体" w:cs="宋体"/>
          <w:bCs/>
          <w:color w:val="auto"/>
          <w:sz w:val="21"/>
          <w:szCs w:val="21"/>
          <w:highlight w:val="none"/>
          <w:lang w:val="en-US" w:eastAsia="zh-CN"/>
        </w:rPr>
        <w:t>08</w:t>
      </w:r>
      <w:r>
        <w:rPr>
          <w:rFonts w:hint="eastAsia" w:ascii="宋体" w:hAnsi="宋体" w:eastAsia="宋体" w:cs="宋体"/>
          <w:bCs/>
          <w:color w:val="auto"/>
          <w:sz w:val="21"/>
          <w:szCs w:val="21"/>
          <w:highlight w:val="none"/>
          <w:lang w:val="en-US" w:eastAsia="zh-CN"/>
        </w:rPr>
        <w:t>月</w:t>
      </w:r>
      <w:r>
        <w:rPr>
          <w:rFonts w:hint="eastAsia" w:ascii="宋体" w:hAnsi="宋体" w:cs="宋体"/>
          <w:bCs/>
          <w:color w:val="auto"/>
          <w:sz w:val="21"/>
          <w:szCs w:val="21"/>
          <w:highlight w:val="none"/>
          <w:lang w:val="en-US" w:eastAsia="zh-CN"/>
        </w:rPr>
        <w:t>21</w:t>
      </w:r>
      <w:r>
        <w:rPr>
          <w:rFonts w:hint="eastAsia" w:ascii="宋体" w:hAnsi="宋体" w:eastAsia="宋体" w:cs="宋体"/>
          <w:bCs/>
          <w:color w:val="auto"/>
          <w:sz w:val="21"/>
          <w:szCs w:val="21"/>
          <w:highlight w:val="none"/>
          <w:lang w:val="en-US" w:eastAsia="zh-CN"/>
        </w:rPr>
        <w:t>日9</w:t>
      </w:r>
      <w:r>
        <w:rPr>
          <w:rFonts w:hint="eastAsia" w:ascii="宋体" w:hAnsi="宋体" w:eastAsia="宋体" w:cs="宋体"/>
          <w:bCs/>
          <w:color w:val="auto"/>
          <w:sz w:val="21"/>
          <w:szCs w:val="21"/>
          <w:highlight w:val="none"/>
        </w:rPr>
        <w:t>时</w:t>
      </w:r>
      <w:r>
        <w:rPr>
          <w:rFonts w:hint="eastAsia" w:ascii="宋体" w:hAnsi="宋体" w:eastAsia="宋体" w:cs="宋体"/>
          <w:bCs/>
          <w:color w:val="auto"/>
          <w:sz w:val="21"/>
          <w:szCs w:val="21"/>
          <w:highlight w:val="none"/>
          <w:lang w:val="en-US" w:eastAsia="zh-CN"/>
        </w:rPr>
        <w:t>30</w:t>
      </w:r>
      <w:r>
        <w:rPr>
          <w:rFonts w:hint="eastAsia" w:ascii="宋体" w:hAnsi="宋体" w:eastAsia="宋体" w:cs="宋体"/>
          <w:bCs/>
          <w:color w:val="auto"/>
          <w:sz w:val="21"/>
          <w:szCs w:val="21"/>
          <w:highlight w:val="none"/>
        </w:rPr>
        <w:t>分（北京时间）前按要求提交投标文件</w:t>
      </w:r>
      <w:r>
        <w:rPr>
          <w:rFonts w:hint="eastAsia" w:ascii="宋体" w:hAnsi="宋体" w:eastAsia="宋体" w:cs="宋体"/>
          <w:color w:val="auto"/>
          <w:sz w:val="21"/>
          <w:szCs w:val="21"/>
          <w:highlight w:val="none"/>
        </w:rPr>
        <w:t>。</w:t>
      </w:r>
    </w:p>
    <w:p w14:paraId="149C0C30">
      <w:pPr>
        <w:keepNext w:val="0"/>
        <w:keepLines w:val="0"/>
        <w:pageBreakBefore w:val="0"/>
        <w:kinsoku/>
        <w:overflowPunct/>
        <w:topLinePunct w:val="0"/>
        <w:autoSpaceDE/>
        <w:autoSpaceDN/>
        <w:bidi w:val="0"/>
        <w:adjustRightInd/>
        <w:snapToGrid/>
        <w:spacing w:line="520" w:lineRule="exact"/>
        <w:textAlignment w:val="auto"/>
        <w:rPr>
          <w:rFonts w:hint="eastAsia" w:ascii="宋体" w:hAnsi="宋体" w:eastAsia="宋体" w:cs="宋体"/>
          <w:b/>
          <w:bCs/>
          <w:color w:val="auto"/>
          <w:sz w:val="21"/>
          <w:szCs w:val="21"/>
          <w:highlight w:val="none"/>
        </w:rPr>
      </w:pPr>
      <w:bookmarkStart w:id="1" w:name="_Toc28359079"/>
      <w:bookmarkStart w:id="2" w:name="_Toc28359002"/>
      <w:bookmarkStart w:id="3" w:name="_Toc35393621"/>
      <w:bookmarkStart w:id="4" w:name="_Toc35393790"/>
      <w:bookmarkStart w:id="5" w:name="_Hlk24379207"/>
      <w:r>
        <w:rPr>
          <w:rFonts w:hint="eastAsia" w:ascii="宋体" w:hAnsi="宋体" w:eastAsia="宋体" w:cs="宋体"/>
          <w:b/>
          <w:bCs/>
          <w:color w:val="auto"/>
          <w:sz w:val="21"/>
          <w:szCs w:val="21"/>
          <w:highlight w:val="none"/>
        </w:rPr>
        <w:t>一、项目基本情况</w:t>
      </w:r>
      <w:bookmarkEnd w:id="1"/>
      <w:bookmarkEnd w:id="2"/>
      <w:bookmarkEnd w:id="3"/>
      <w:bookmarkEnd w:id="4"/>
    </w:p>
    <w:p w14:paraId="3A73E38E">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项目编号：FCZC2025-G3-990082-FCGS</w:t>
      </w:r>
    </w:p>
    <w:p w14:paraId="520685E6">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bookmarkEnd w:id="5"/>
      <w:r>
        <w:rPr>
          <w:rFonts w:hint="eastAsia" w:ascii="宋体" w:hAnsi="宋体" w:eastAsia="宋体" w:cs="宋体"/>
          <w:color w:val="auto"/>
          <w:sz w:val="21"/>
          <w:szCs w:val="21"/>
          <w:highlight w:val="none"/>
          <w:lang w:val="en-US" w:eastAsia="zh-CN"/>
        </w:rPr>
        <w:t>防城港市中级人民法院2025－2028年物业管理服务项目</w:t>
      </w:r>
    </w:p>
    <w:p w14:paraId="62319DF4">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预算总金额：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300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000元</w:t>
      </w:r>
    </w:p>
    <w:p w14:paraId="2F6CD065">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300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000元</w:t>
      </w:r>
    </w:p>
    <w:p w14:paraId="6D6A59D0">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采购需求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防城港市中级人民法院2025－2028年物业管理服务项目包括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办公大院内保洁、保安、园林、会务等物业服务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服务期限3年。</w:t>
      </w:r>
      <w:r>
        <w:rPr>
          <w:rFonts w:hint="eastAsia" w:ascii="宋体" w:hAnsi="宋体" w:eastAsia="宋体" w:cs="宋体"/>
          <w:color w:val="auto"/>
          <w:sz w:val="21"/>
          <w:szCs w:val="21"/>
          <w:highlight w:val="none"/>
          <w:lang w:eastAsia="zh-CN"/>
        </w:rPr>
        <w:t>具体内容详见《采购需求》。</w:t>
      </w:r>
    </w:p>
    <w:p w14:paraId="7C45BCA9">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项目所属行业：</w:t>
      </w:r>
      <w:r>
        <w:rPr>
          <w:rFonts w:hint="eastAsia" w:ascii="宋体" w:hAnsi="宋体" w:eastAsia="宋体" w:cs="宋体"/>
          <w:color w:val="auto"/>
          <w:kern w:val="0"/>
          <w:sz w:val="21"/>
          <w:szCs w:val="21"/>
          <w:highlight w:val="none"/>
        </w:rPr>
        <w:t>物业管理</w:t>
      </w:r>
      <w:r>
        <w:rPr>
          <w:rFonts w:hint="eastAsia" w:ascii="宋体" w:hAnsi="宋体" w:eastAsia="宋体" w:cs="宋体"/>
          <w:color w:val="auto"/>
          <w:sz w:val="21"/>
          <w:szCs w:val="21"/>
          <w:highlight w:val="none"/>
          <w:lang w:eastAsia="zh-CN"/>
        </w:rPr>
        <w:t>。</w:t>
      </w:r>
    </w:p>
    <w:p w14:paraId="68DF86A6">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合同履行期限：</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合同服务期限为合同签订生效之日</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起3年</w:t>
      </w: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w:t>
      </w:r>
    </w:p>
    <w:p w14:paraId="6556AD07">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w:t>
      </w:r>
    </w:p>
    <w:p w14:paraId="5F521DD1">
      <w:pPr>
        <w:keepNext w:val="0"/>
        <w:keepLines w:val="0"/>
        <w:pageBreakBefore w:val="0"/>
        <w:kinsoku/>
        <w:overflowPunct/>
        <w:topLinePunct w:val="0"/>
        <w:autoSpaceDE/>
        <w:autoSpaceDN/>
        <w:bidi w:val="0"/>
        <w:adjustRightInd/>
        <w:snapToGrid/>
        <w:spacing w:line="520" w:lineRule="exact"/>
        <w:textAlignment w:val="auto"/>
        <w:rPr>
          <w:rFonts w:hint="eastAsia" w:ascii="宋体" w:hAnsi="宋体" w:eastAsia="宋体" w:cs="宋体"/>
          <w:b/>
          <w:bCs/>
          <w:color w:val="000000" w:themeColor="text1"/>
          <w:sz w:val="21"/>
          <w:szCs w:val="21"/>
          <w:highlight w:val="none"/>
          <w14:textFill>
            <w14:solidFill>
              <w14:schemeClr w14:val="tx1"/>
            </w14:solidFill>
          </w14:textFill>
        </w:rPr>
      </w:pPr>
      <w:bookmarkStart w:id="6" w:name="_Toc28359080"/>
      <w:bookmarkStart w:id="7" w:name="_Toc35393791"/>
      <w:bookmarkStart w:id="8" w:name="_Toc35393622"/>
      <w:bookmarkStart w:id="9" w:name="_Toc28359003"/>
      <w:r>
        <w:rPr>
          <w:rFonts w:hint="eastAsia" w:ascii="宋体" w:hAnsi="宋体" w:eastAsia="宋体" w:cs="宋体"/>
          <w:b/>
          <w:bCs/>
          <w:color w:val="000000" w:themeColor="text1"/>
          <w:sz w:val="21"/>
          <w:szCs w:val="21"/>
          <w:highlight w:val="none"/>
          <w14:textFill>
            <w14:solidFill>
              <w14:schemeClr w14:val="tx1"/>
            </w14:solidFill>
          </w14:textFill>
        </w:rPr>
        <w:t>二、申请人的资格要求：</w:t>
      </w:r>
      <w:bookmarkEnd w:id="6"/>
      <w:bookmarkEnd w:id="7"/>
      <w:bookmarkEnd w:id="8"/>
      <w:bookmarkEnd w:id="9"/>
    </w:p>
    <w:p w14:paraId="3E76B83C">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10" w:name="_Hlk51746371"/>
      <w:r>
        <w:rPr>
          <w:rFonts w:hint="eastAsia" w:ascii="宋体" w:hAnsi="宋体" w:eastAsia="宋体" w:cs="宋体"/>
          <w:color w:val="000000" w:themeColor="text1"/>
          <w:sz w:val="21"/>
          <w:szCs w:val="21"/>
          <w:highlight w:val="none"/>
          <w14:textFill>
            <w14:solidFill>
              <w14:schemeClr w14:val="tx1"/>
            </w14:solidFill>
          </w14:textFill>
        </w:rPr>
        <w:t>1.满足《中华人民共和国政府采购法》第二十二条规定；</w:t>
      </w:r>
    </w:p>
    <w:p w14:paraId="3755F1B6">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rPr>
      </w:pPr>
      <w:bookmarkStart w:id="11" w:name="_Toc28359081"/>
      <w:bookmarkStart w:id="12" w:name="_Toc28359004"/>
      <w:r>
        <w:rPr>
          <w:rFonts w:hint="eastAsia" w:ascii="宋体" w:hAnsi="宋体" w:eastAsia="宋体" w:cs="宋体"/>
          <w:color w:val="auto"/>
          <w:sz w:val="21"/>
          <w:szCs w:val="21"/>
          <w:highlight w:val="none"/>
        </w:rPr>
        <w:t>2.落实政府采购政策需满足的资格要求：</w:t>
      </w:r>
      <w:bookmarkEnd w:id="10"/>
      <w:bookmarkStart w:id="13" w:name="_Toc35393623"/>
      <w:bookmarkStart w:id="14" w:name="_Toc35393792"/>
      <w:r>
        <w:rPr>
          <w:rFonts w:hint="eastAsia" w:ascii="宋体" w:hAnsi="宋体" w:eastAsia="宋体" w:cs="宋体"/>
          <w:b/>
          <w:bCs/>
          <w:color w:val="auto"/>
          <w:sz w:val="21"/>
          <w:szCs w:val="21"/>
          <w:highlight w:val="none"/>
        </w:rPr>
        <w:t>本项目专门面向</w:t>
      </w:r>
      <w:r>
        <w:rPr>
          <w:rFonts w:hint="eastAsia" w:ascii="宋体" w:hAnsi="宋体" w:cs="宋体"/>
          <w:b/>
          <w:bCs/>
          <w:color w:val="auto"/>
          <w:sz w:val="21"/>
          <w:szCs w:val="21"/>
          <w:highlight w:val="none"/>
          <w:lang w:eastAsia="zh-CN"/>
        </w:rPr>
        <w:t>中小</w:t>
      </w:r>
      <w:r>
        <w:rPr>
          <w:rFonts w:hint="eastAsia" w:ascii="宋体" w:hAnsi="宋体" w:eastAsia="宋体" w:cs="宋体"/>
          <w:b/>
          <w:bCs/>
          <w:color w:val="auto"/>
          <w:sz w:val="21"/>
          <w:szCs w:val="21"/>
          <w:highlight w:val="none"/>
        </w:rPr>
        <w:t>企业采购</w:t>
      </w:r>
      <w:r>
        <w:rPr>
          <w:rFonts w:hint="eastAsia" w:ascii="宋体" w:hAnsi="宋体" w:eastAsia="宋体" w:cs="宋体"/>
          <w:color w:val="auto"/>
          <w:sz w:val="21"/>
          <w:szCs w:val="21"/>
          <w:highlight w:val="none"/>
        </w:rPr>
        <w:t>（投标人应符合《政府采购促进中小企业发展管理办法》（财库〔2020〕46号）中关于中</w:t>
      </w:r>
      <w:r>
        <w:rPr>
          <w:rFonts w:hint="eastAsia" w:ascii="宋体" w:hAnsi="宋体" w:cs="宋体"/>
          <w:color w:val="auto"/>
          <w:sz w:val="21"/>
          <w:szCs w:val="21"/>
          <w:highlight w:val="none"/>
          <w:lang w:eastAsia="zh-CN"/>
        </w:rPr>
        <w:t>小</w:t>
      </w:r>
      <w:r>
        <w:rPr>
          <w:rFonts w:hint="eastAsia" w:ascii="宋体" w:hAnsi="宋体" w:eastAsia="宋体" w:cs="宋体"/>
          <w:color w:val="auto"/>
          <w:sz w:val="21"/>
          <w:szCs w:val="21"/>
          <w:highlight w:val="none"/>
        </w:rPr>
        <w:t>企业的相关规定；监狱企业及残疾人福利性单位视同于小微企业）；</w:t>
      </w:r>
    </w:p>
    <w:p w14:paraId="396EDDFD">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r>
        <w:rPr>
          <w:rFonts w:hint="eastAsia" w:ascii="宋体" w:hAnsi="宋体" w:eastAsia="宋体" w:cs="宋体"/>
          <w:color w:val="auto"/>
          <w:sz w:val="21"/>
          <w:szCs w:val="21"/>
          <w:highlight w:val="none"/>
          <w:lang w:val="en-US" w:eastAsia="zh-CN"/>
        </w:rPr>
        <w:t>无</w:t>
      </w:r>
      <w:r>
        <w:rPr>
          <w:rFonts w:hint="eastAsia" w:ascii="宋体" w:hAnsi="宋体" w:eastAsia="宋体" w:cs="宋体"/>
          <w:iCs/>
          <w:color w:val="auto"/>
          <w:sz w:val="21"/>
          <w:szCs w:val="21"/>
          <w:highlight w:val="none"/>
        </w:rPr>
        <w:t>。</w:t>
      </w:r>
    </w:p>
    <w:p w14:paraId="30BF49E8">
      <w:pPr>
        <w:keepNext w:val="0"/>
        <w:keepLines w:val="0"/>
        <w:pageBreakBefore w:val="0"/>
        <w:kinsoku/>
        <w:overflowPunct/>
        <w:topLinePunct w:val="0"/>
        <w:autoSpaceDE/>
        <w:autoSpaceDN/>
        <w:bidi w:val="0"/>
        <w:adjustRightInd/>
        <w:snapToGrid/>
        <w:spacing w:line="52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三、获取招标文件</w:t>
      </w:r>
      <w:bookmarkEnd w:id="11"/>
      <w:bookmarkEnd w:id="12"/>
      <w:bookmarkEnd w:id="13"/>
      <w:bookmarkEnd w:id="14"/>
    </w:p>
    <w:p w14:paraId="7E990E39">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时间：</w:t>
      </w:r>
      <w:r>
        <w:rPr>
          <w:rFonts w:hint="eastAsia" w:ascii="宋体" w:hAnsi="宋体" w:eastAsia="宋体" w:cs="宋体"/>
          <w:bCs/>
          <w:color w:val="auto"/>
          <w:sz w:val="21"/>
          <w:szCs w:val="21"/>
          <w:highlight w:val="none"/>
          <w:lang w:eastAsia="zh-CN"/>
        </w:rPr>
        <w:t>2025</w:t>
      </w:r>
      <w:r>
        <w:rPr>
          <w:rFonts w:hint="eastAsia" w:ascii="宋体" w:hAnsi="宋体" w:eastAsia="宋体" w:cs="宋体"/>
          <w:bCs/>
          <w:color w:val="auto"/>
          <w:sz w:val="21"/>
          <w:szCs w:val="21"/>
          <w:highlight w:val="none"/>
        </w:rPr>
        <w:t>年</w:t>
      </w:r>
      <w:r>
        <w:rPr>
          <w:rFonts w:hint="eastAsia" w:ascii="宋体" w:hAnsi="宋体" w:cs="宋体"/>
          <w:bCs/>
          <w:color w:val="auto"/>
          <w:sz w:val="21"/>
          <w:szCs w:val="21"/>
          <w:highlight w:val="none"/>
          <w:lang w:val="en-US" w:eastAsia="zh-CN"/>
        </w:rPr>
        <w:t>07</w:t>
      </w:r>
      <w:r>
        <w:rPr>
          <w:rFonts w:hint="eastAsia" w:ascii="宋体" w:hAnsi="宋体" w:eastAsia="宋体" w:cs="宋体"/>
          <w:bCs/>
          <w:color w:val="auto"/>
          <w:sz w:val="21"/>
          <w:szCs w:val="21"/>
          <w:highlight w:val="none"/>
        </w:rPr>
        <w:t>月</w:t>
      </w:r>
      <w:r>
        <w:rPr>
          <w:rFonts w:hint="eastAsia" w:ascii="宋体" w:hAnsi="宋体" w:cs="宋体"/>
          <w:bCs/>
          <w:color w:val="auto"/>
          <w:sz w:val="21"/>
          <w:szCs w:val="21"/>
          <w:highlight w:val="none"/>
          <w:lang w:val="en-US" w:eastAsia="zh-CN"/>
        </w:rPr>
        <w:t>31</w:t>
      </w:r>
      <w:r>
        <w:rPr>
          <w:rFonts w:hint="eastAsia" w:ascii="宋体" w:hAnsi="宋体" w:eastAsia="宋体" w:cs="宋体"/>
          <w:bCs/>
          <w:color w:val="auto"/>
          <w:sz w:val="21"/>
          <w:szCs w:val="21"/>
          <w:highlight w:val="none"/>
        </w:rPr>
        <w:t>日</w:t>
      </w:r>
      <w:r>
        <w:rPr>
          <w:rFonts w:hint="eastAsia" w:ascii="宋体" w:hAnsi="宋体" w:eastAsia="宋体" w:cs="宋体"/>
          <w:bCs/>
          <w:color w:val="auto"/>
          <w:kern w:val="0"/>
          <w:sz w:val="21"/>
          <w:szCs w:val="21"/>
          <w:highlight w:val="none"/>
        </w:rPr>
        <w:t>至</w:t>
      </w:r>
      <w:r>
        <w:rPr>
          <w:rFonts w:hint="eastAsia" w:ascii="宋体" w:hAnsi="宋体" w:eastAsia="宋体" w:cs="宋体"/>
          <w:bCs/>
          <w:color w:val="auto"/>
          <w:sz w:val="21"/>
          <w:szCs w:val="21"/>
          <w:highlight w:val="none"/>
          <w:lang w:eastAsia="zh-CN"/>
        </w:rPr>
        <w:t>2025</w:t>
      </w:r>
      <w:r>
        <w:rPr>
          <w:rFonts w:hint="eastAsia" w:ascii="宋体" w:hAnsi="宋体" w:eastAsia="宋体" w:cs="宋体"/>
          <w:bCs/>
          <w:color w:val="auto"/>
          <w:sz w:val="21"/>
          <w:szCs w:val="21"/>
          <w:highlight w:val="none"/>
        </w:rPr>
        <w:t>年</w:t>
      </w:r>
      <w:r>
        <w:rPr>
          <w:rFonts w:hint="eastAsia" w:ascii="宋体" w:hAnsi="宋体" w:cs="宋体"/>
          <w:bCs/>
          <w:color w:val="auto"/>
          <w:sz w:val="21"/>
          <w:szCs w:val="21"/>
          <w:highlight w:val="none"/>
          <w:lang w:val="en-US" w:eastAsia="zh-CN"/>
        </w:rPr>
        <w:t>08</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lang w:val="en-US" w:eastAsia="zh-CN"/>
        </w:rPr>
        <w:t>0</w:t>
      </w: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rPr>
        <w:t>日</w:t>
      </w:r>
      <w:r>
        <w:rPr>
          <w:rFonts w:hint="eastAsia" w:ascii="宋体" w:hAnsi="宋体" w:eastAsia="宋体" w:cs="宋体"/>
          <w:bCs/>
          <w:color w:val="auto"/>
          <w:kern w:val="0"/>
          <w:sz w:val="21"/>
          <w:szCs w:val="21"/>
          <w:highlight w:val="none"/>
        </w:rPr>
        <w:t>，</w:t>
      </w:r>
      <w:r>
        <w:rPr>
          <w:rFonts w:hint="eastAsia" w:ascii="宋体" w:hAnsi="宋体" w:eastAsia="宋体" w:cs="宋体"/>
          <w:color w:val="auto"/>
          <w:sz w:val="21"/>
          <w:szCs w:val="21"/>
          <w:highlight w:val="none"/>
        </w:rPr>
        <w:t>每天</w:t>
      </w:r>
      <w:r>
        <w:rPr>
          <w:rFonts w:hint="eastAsia" w:ascii="宋体" w:hAnsi="宋体" w:eastAsia="宋体" w:cs="宋体"/>
          <w:color w:val="000000" w:themeColor="text1"/>
          <w:sz w:val="21"/>
          <w:szCs w:val="21"/>
          <w:highlight w:val="none"/>
          <w14:textFill>
            <w14:solidFill>
              <w14:schemeClr w14:val="tx1"/>
            </w14:solidFill>
          </w14:textFill>
        </w:rPr>
        <w:t>上午</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r>
        <w:rPr>
          <w:rFonts w:hint="eastAsia" w:ascii="宋体" w:hAnsi="宋体" w:eastAsia="宋体" w:cs="宋体"/>
          <w:color w:val="000000" w:themeColor="text1"/>
          <w:sz w:val="21"/>
          <w:szCs w:val="21"/>
          <w:highlight w:val="none"/>
          <w14:textFill>
            <w14:solidFill>
              <w14:schemeClr w14:val="tx1"/>
            </w14:solidFill>
          </w14:textFill>
        </w:rPr>
        <w:t>时00分至12时00分，下午</w:t>
      </w: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t>时00分至</w:t>
      </w:r>
      <w:r>
        <w:rPr>
          <w:rFonts w:hint="eastAsia" w:ascii="宋体" w:hAnsi="宋体" w:eastAsia="宋体" w:cs="宋体"/>
          <w:color w:val="000000" w:themeColor="text1"/>
          <w:sz w:val="21"/>
          <w:szCs w:val="21"/>
          <w:highlight w:val="none"/>
          <w:lang w:val="en-US" w:eastAsia="zh-CN"/>
          <w14:textFill>
            <w14:solidFill>
              <w14:schemeClr w14:val="tx1"/>
            </w14:solidFill>
          </w14:textFill>
        </w:rPr>
        <w:t>23</w:t>
      </w:r>
      <w:r>
        <w:rPr>
          <w:rFonts w:hint="eastAsia" w:ascii="宋体" w:hAnsi="宋体" w:eastAsia="宋体" w:cs="宋体"/>
          <w:color w:val="000000" w:themeColor="text1"/>
          <w:sz w:val="21"/>
          <w:szCs w:val="21"/>
          <w:highlight w:val="none"/>
          <w14:textFill>
            <w14:solidFill>
              <w14:schemeClr w14:val="tx1"/>
            </w14:solidFill>
          </w14:textFill>
        </w:rPr>
        <w:t>时</w:t>
      </w:r>
      <w:r>
        <w:rPr>
          <w:rFonts w:hint="eastAsia" w:ascii="宋体" w:hAnsi="宋体" w:eastAsia="宋体" w:cs="宋体"/>
          <w:color w:val="000000" w:themeColor="text1"/>
          <w:sz w:val="21"/>
          <w:szCs w:val="21"/>
          <w:highlight w:val="none"/>
          <w:lang w:val="en-US" w:eastAsia="zh-CN"/>
          <w14:textFill>
            <w14:solidFill>
              <w14:schemeClr w14:val="tx1"/>
            </w14:solidFill>
          </w14:textFill>
        </w:rPr>
        <w:t>59</w:t>
      </w:r>
      <w:r>
        <w:rPr>
          <w:rFonts w:hint="eastAsia" w:ascii="宋体" w:hAnsi="宋体" w:eastAsia="宋体" w:cs="宋体"/>
          <w:color w:val="000000" w:themeColor="text1"/>
          <w:sz w:val="21"/>
          <w:szCs w:val="21"/>
          <w:highlight w:val="none"/>
          <w14:textFill>
            <w14:solidFill>
              <w14:schemeClr w14:val="tx1"/>
            </w14:solidFill>
          </w14:textFill>
        </w:rPr>
        <w:t>分（北京时间，法定节假日除外）。</w:t>
      </w:r>
    </w:p>
    <w:p w14:paraId="6C2C8C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400" w:lineRule="exact"/>
        <w:ind w:left="0" w:right="0" w:firstLine="420" w:firstLineChars="200"/>
        <w:jc w:val="left"/>
        <w:rPr>
          <w:rFonts w:hint="eastAsia" w:ascii="Times New Roman" w:hAnsi="Times New Roman" w:eastAsia="宋体" w:cs="Times New Roman"/>
          <w:color w:val="333333"/>
          <w:kern w:val="0"/>
          <w:sz w:val="21"/>
          <w:szCs w:val="21"/>
          <w:shd w:val="clear" w:fill="FFFFFF"/>
          <w:lang w:val="en-US" w:eastAsia="zh-CN" w:bidi="ar"/>
        </w:rPr>
      </w:pPr>
      <w:r>
        <w:rPr>
          <w:rFonts w:hint="eastAsia" w:ascii="宋体" w:hAnsi="宋体" w:eastAsia="宋体" w:cs="宋体"/>
          <w:bCs/>
          <w:color w:val="auto"/>
          <w:kern w:val="0"/>
          <w:sz w:val="21"/>
          <w:szCs w:val="21"/>
          <w:highlight w:val="none"/>
        </w:rPr>
        <w:t>地</w:t>
      </w:r>
      <w:r>
        <w:rPr>
          <w:rFonts w:hint="eastAsia" w:ascii="宋体" w:hAnsi="宋体" w:cs="宋体"/>
          <w:bCs/>
          <w:color w:val="auto"/>
          <w:kern w:val="0"/>
          <w:sz w:val="21"/>
          <w:szCs w:val="21"/>
          <w:highlight w:val="none"/>
          <w:lang w:val="en-US" w:eastAsia="zh-CN"/>
        </w:rPr>
        <w:t>址</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eastAsia="zh-CN"/>
        </w:rPr>
        <w:t>广西政府采购云平台</w:t>
      </w:r>
      <w:r>
        <w:rPr>
          <w:rFonts w:hint="eastAsia" w:ascii="宋体" w:hAnsi="宋体" w:cs="宋体"/>
          <w:bCs/>
          <w:color w:val="auto"/>
          <w:kern w:val="0"/>
          <w:sz w:val="21"/>
          <w:szCs w:val="21"/>
          <w:highlight w:val="none"/>
          <w:lang w:eastAsia="zh-CN"/>
        </w:rPr>
        <w:t>（</w:t>
      </w:r>
      <w:r>
        <w:rPr>
          <w:rFonts w:hint="default" w:ascii="Times New Roman" w:hAnsi="Times New Roman" w:eastAsia="宋体" w:cs="Times New Roman"/>
          <w:color w:val="333333"/>
          <w:kern w:val="0"/>
          <w:sz w:val="21"/>
          <w:szCs w:val="21"/>
          <w:shd w:val="clear" w:fill="FFFFFF"/>
          <w:lang w:val="en-US" w:eastAsia="zh-CN" w:bidi="ar"/>
        </w:rPr>
        <w:t>https</w:t>
      </w:r>
      <w:r>
        <w:rPr>
          <w:rFonts w:hint="eastAsia" w:ascii="Times New Roman" w:hAnsi="Times New Roman" w:eastAsia="宋体" w:cs="Times New Roman"/>
          <w:color w:val="333333"/>
          <w:kern w:val="0"/>
          <w:sz w:val="21"/>
          <w:szCs w:val="21"/>
          <w:shd w:val="clear" w:fill="FFFFFF"/>
          <w:lang w:val="en-US" w:eastAsia="zh-CN" w:bidi="ar"/>
        </w:rPr>
        <w:t>：</w:t>
      </w:r>
      <w:r>
        <w:rPr>
          <w:rFonts w:hint="default" w:ascii="Times New Roman" w:hAnsi="Times New Roman" w:eastAsia="宋体" w:cs="Times New Roman"/>
          <w:color w:val="333333"/>
          <w:kern w:val="0"/>
          <w:sz w:val="21"/>
          <w:szCs w:val="21"/>
          <w:shd w:val="clear" w:fill="FFFFFF"/>
          <w:lang w:val="en-US" w:eastAsia="zh-CN" w:bidi="ar"/>
        </w:rPr>
        <w:t>//www.gcy.zfcg.gxzf.gov.cn/</w:t>
      </w:r>
      <w:r>
        <w:rPr>
          <w:rFonts w:hint="eastAsia" w:ascii="Times New Roman" w:hAnsi="Times New Roman" w:eastAsia="宋体" w:cs="Times New Roman"/>
          <w:color w:val="333333"/>
          <w:kern w:val="0"/>
          <w:sz w:val="21"/>
          <w:szCs w:val="21"/>
          <w:shd w:val="clear" w:fill="FFFFFF"/>
          <w:lang w:val="en-US" w:eastAsia="zh-CN" w:bidi="ar"/>
        </w:rPr>
        <w:t>）</w:t>
      </w:r>
    </w:p>
    <w:p w14:paraId="50DB7B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400" w:lineRule="exact"/>
        <w:ind w:left="0" w:right="0"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方式：</w:t>
      </w:r>
      <w:r>
        <w:rPr>
          <w:rFonts w:hint="eastAsia" w:ascii="宋体" w:hAnsi="宋体" w:eastAsia="宋体" w:cs="宋体"/>
          <w:color w:val="auto"/>
          <w:sz w:val="21"/>
          <w:szCs w:val="21"/>
          <w:highlight w:val="none"/>
        </w:rPr>
        <w:t>网上下载。本项目不提供纸质文件，潜在供应商需使用账号登录或者使用CA登录</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-进入“项目采购”应用，在获取采购文件菜单中选择项目，获取采购文件（或在“政采云电子投标客户端-获取采购文件”跳转到政采云系统获取）。电子响应文件制作需要基于</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获取的采购文件编制，通过其他方式获取采购文件的，将有可能导致供应商无法在</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编制及上传响应文件。未注册的供应商可登录</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进行注册（</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商家入驻-注册），如在操作过程中遇到问题或者需要技术支持，请致电政采云客服热线：95763。供应商未按以上时间、方式获取本项目采购文件的，本公司将拒收其响应文件。已获取采购文件的供应商不等于符合本项目的供应商资格。</w:t>
      </w:r>
    </w:p>
    <w:p w14:paraId="2EC6AEA8">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售价：</w:t>
      </w:r>
      <w:r>
        <w:rPr>
          <w:rFonts w:hint="eastAsia" w:ascii="宋体" w:hAnsi="宋体" w:eastAsia="宋体" w:cs="宋体"/>
          <w:color w:val="auto"/>
          <w:sz w:val="21"/>
          <w:szCs w:val="21"/>
          <w:highlight w:val="none"/>
        </w:rPr>
        <w:t>0元。</w:t>
      </w:r>
    </w:p>
    <w:p w14:paraId="27E6297A">
      <w:pPr>
        <w:keepNext w:val="0"/>
        <w:keepLines w:val="0"/>
        <w:pageBreakBefore w:val="0"/>
        <w:kinsoku/>
        <w:overflowPunct/>
        <w:topLinePunct w:val="0"/>
        <w:autoSpaceDE/>
        <w:autoSpaceDN/>
        <w:bidi w:val="0"/>
        <w:adjustRightInd/>
        <w:snapToGrid/>
        <w:spacing w:line="52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四、投标响应文件提交</w:t>
      </w:r>
    </w:p>
    <w:p w14:paraId="41DA9CE9">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时间：</w:t>
      </w:r>
      <w:r>
        <w:rPr>
          <w:rFonts w:hint="eastAsia" w:ascii="宋体" w:hAnsi="宋体" w:eastAsia="宋体" w:cs="宋体"/>
          <w:bCs/>
          <w:color w:val="auto"/>
          <w:sz w:val="21"/>
          <w:szCs w:val="21"/>
          <w:highlight w:val="none"/>
          <w:lang w:eastAsia="zh-CN"/>
        </w:rPr>
        <w:t>2025</w:t>
      </w:r>
      <w:r>
        <w:rPr>
          <w:rFonts w:hint="eastAsia" w:ascii="宋体" w:hAnsi="宋体" w:eastAsia="宋体" w:cs="宋体"/>
          <w:bCs/>
          <w:color w:val="auto"/>
          <w:sz w:val="21"/>
          <w:szCs w:val="21"/>
          <w:highlight w:val="none"/>
        </w:rPr>
        <w:t>年</w:t>
      </w:r>
      <w:r>
        <w:rPr>
          <w:rFonts w:hint="eastAsia" w:ascii="宋体" w:hAnsi="宋体" w:cs="宋体"/>
          <w:bCs/>
          <w:color w:val="auto"/>
          <w:sz w:val="21"/>
          <w:szCs w:val="21"/>
          <w:highlight w:val="none"/>
          <w:lang w:val="en-US" w:eastAsia="zh-CN"/>
        </w:rPr>
        <w:t>08</w:t>
      </w:r>
      <w:r>
        <w:rPr>
          <w:rFonts w:hint="eastAsia" w:ascii="宋体" w:hAnsi="宋体" w:eastAsia="宋体" w:cs="宋体"/>
          <w:bCs/>
          <w:color w:val="auto"/>
          <w:sz w:val="21"/>
          <w:szCs w:val="21"/>
          <w:highlight w:val="none"/>
          <w:lang w:val="en-US" w:eastAsia="zh-CN"/>
        </w:rPr>
        <w:t>月</w:t>
      </w:r>
      <w:r>
        <w:rPr>
          <w:rFonts w:hint="eastAsia" w:ascii="宋体" w:hAnsi="宋体" w:cs="宋体"/>
          <w:bCs/>
          <w:color w:val="auto"/>
          <w:sz w:val="21"/>
          <w:szCs w:val="21"/>
          <w:highlight w:val="none"/>
          <w:lang w:val="en-US" w:eastAsia="zh-CN"/>
        </w:rPr>
        <w:t>21</w:t>
      </w:r>
      <w:r>
        <w:rPr>
          <w:rFonts w:hint="eastAsia" w:ascii="宋体" w:hAnsi="宋体" w:eastAsia="宋体" w:cs="宋体"/>
          <w:bCs/>
          <w:color w:val="auto"/>
          <w:sz w:val="21"/>
          <w:szCs w:val="21"/>
          <w:highlight w:val="none"/>
          <w:lang w:val="en-US" w:eastAsia="zh-CN"/>
        </w:rPr>
        <w:t>日9</w:t>
      </w:r>
      <w:r>
        <w:rPr>
          <w:rFonts w:hint="eastAsia" w:ascii="宋体" w:hAnsi="宋体" w:eastAsia="宋体" w:cs="宋体"/>
          <w:bCs/>
          <w:color w:val="auto"/>
          <w:sz w:val="21"/>
          <w:szCs w:val="21"/>
          <w:highlight w:val="none"/>
        </w:rPr>
        <w:t>时</w:t>
      </w:r>
      <w:r>
        <w:rPr>
          <w:rFonts w:hint="eastAsia" w:ascii="宋体" w:hAnsi="宋体" w:eastAsia="宋体" w:cs="宋体"/>
          <w:bCs/>
          <w:color w:val="auto"/>
          <w:sz w:val="21"/>
          <w:szCs w:val="21"/>
          <w:highlight w:val="none"/>
          <w:lang w:val="en-US" w:eastAsia="zh-CN"/>
        </w:rPr>
        <w:t>30</w:t>
      </w:r>
      <w:r>
        <w:rPr>
          <w:rFonts w:hint="eastAsia" w:ascii="宋体" w:hAnsi="宋体" w:eastAsia="宋体" w:cs="宋体"/>
          <w:bCs/>
          <w:color w:val="auto"/>
          <w:sz w:val="21"/>
          <w:szCs w:val="21"/>
          <w:highlight w:val="none"/>
        </w:rPr>
        <w:t>分</w:t>
      </w:r>
      <w:r>
        <w:rPr>
          <w:rFonts w:hint="eastAsia" w:ascii="宋体" w:hAnsi="宋体" w:eastAsia="宋体" w:cs="宋体"/>
          <w:bCs/>
          <w:color w:val="auto"/>
          <w:kern w:val="0"/>
          <w:sz w:val="21"/>
          <w:szCs w:val="21"/>
          <w:highlight w:val="none"/>
        </w:rPr>
        <w:t>（北京时间）</w:t>
      </w:r>
    </w:p>
    <w:p w14:paraId="5F3EF30A">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地点：通过</w:t>
      </w:r>
      <w:r>
        <w:rPr>
          <w:rFonts w:hint="eastAsia" w:ascii="宋体" w:hAnsi="宋体" w:eastAsia="宋体" w:cs="宋体"/>
          <w:bCs/>
          <w:color w:val="auto"/>
          <w:kern w:val="0"/>
          <w:sz w:val="21"/>
          <w:szCs w:val="21"/>
          <w:highlight w:val="none"/>
          <w:lang w:eastAsia="zh-CN"/>
        </w:rPr>
        <w:t>广西政府采购云平台</w:t>
      </w:r>
      <w:r>
        <w:rPr>
          <w:rFonts w:hint="eastAsia" w:ascii="宋体" w:hAnsi="宋体" w:eastAsia="宋体" w:cs="宋体"/>
          <w:bCs/>
          <w:color w:val="auto"/>
          <w:kern w:val="0"/>
          <w:sz w:val="21"/>
          <w:szCs w:val="21"/>
          <w:highlight w:val="none"/>
        </w:rPr>
        <w:t>实行在线投标。</w:t>
      </w:r>
    </w:p>
    <w:p w14:paraId="004154DE">
      <w:pPr>
        <w:keepNext w:val="0"/>
        <w:keepLines w:val="0"/>
        <w:pageBreakBefore w:val="0"/>
        <w:kinsoku/>
        <w:overflowPunct/>
        <w:topLinePunct w:val="0"/>
        <w:autoSpaceDE/>
        <w:autoSpaceDN/>
        <w:bidi w:val="0"/>
        <w:adjustRightInd/>
        <w:snapToGrid/>
        <w:spacing w:line="52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五、开启</w:t>
      </w:r>
    </w:p>
    <w:p w14:paraId="4B409BC0">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时间：</w:t>
      </w:r>
      <w:r>
        <w:rPr>
          <w:rFonts w:hint="eastAsia" w:ascii="宋体" w:hAnsi="宋体" w:eastAsia="宋体" w:cs="宋体"/>
          <w:bCs/>
          <w:color w:val="auto"/>
          <w:sz w:val="21"/>
          <w:szCs w:val="21"/>
          <w:highlight w:val="none"/>
          <w:lang w:eastAsia="zh-CN"/>
        </w:rPr>
        <w:t>2025</w:t>
      </w:r>
      <w:r>
        <w:rPr>
          <w:rFonts w:hint="eastAsia" w:ascii="宋体" w:hAnsi="宋体" w:eastAsia="宋体" w:cs="宋体"/>
          <w:bCs/>
          <w:color w:val="auto"/>
          <w:sz w:val="21"/>
          <w:szCs w:val="21"/>
          <w:highlight w:val="none"/>
        </w:rPr>
        <w:t>年</w:t>
      </w:r>
      <w:r>
        <w:rPr>
          <w:rFonts w:hint="eastAsia" w:ascii="宋体" w:hAnsi="宋体" w:cs="宋体"/>
          <w:bCs/>
          <w:color w:val="auto"/>
          <w:sz w:val="21"/>
          <w:szCs w:val="21"/>
          <w:highlight w:val="none"/>
          <w:lang w:val="en-US" w:eastAsia="zh-CN"/>
        </w:rPr>
        <w:t>08</w:t>
      </w:r>
      <w:r>
        <w:rPr>
          <w:rFonts w:hint="eastAsia" w:ascii="宋体" w:hAnsi="宋体" w:eastAsia="宋体" w:cs="宋体"/>
          <w:bCs/>
          <w:color w:val="auto"/>
          <w:sz w:val="21"/>
          <w:szCs w:val="21"/>
          <w:highlight w:val="none"/>
          <w:lang w:val="en-US" w:eastAsia="zh-CN"/>
        </w:rPr>
        <w:t>月21日9</w:t>
      </w:r>
      <w:r>
        <w:rPr>
          <w:rFonts w:hint="eastAsia" w:ascii="宋体" w:hAnsi="宋体" w:eastAsia="宋体" w:cs="宋体"/>
          <w:bCs/>
          <w:color w:val="auto"/>
          <w:sz w:val="21"/>
          <w:szCs w:val="21"/>
          <w:highlight w:val="none"/>
        </w:rPr>
        <w:t>时</w:t>
      </w:r>
      <w:r>
        <w:rPr>
          <w:rFonts w:hint="eastAsia" w:ascii="宋体" w:hAnsi="宋体" w:eastAsia="宋体" w:cs="宋体"/>
          <w:bCs/>
          <w:color w:val="auto"/>
          <w:sz w:val="21"/>
          <w:szCs w:val="21"/>
          <w:highlight w:val="none"/>
          <w:lang w:val="en-US" w:eastAsia="zh-CN"/>
        </w:rPr>
        <w:t>30</w:t>
      </w:r>
      <w:r>
        <w:rPr>
          <w:rFonts w:hint="eastAsia" w:ascii="宋体" w:hAnsi="宋体" w:eastAsia="宋体" w:cs="宋体"/>
          <w:bCs/>
          <w:color w:val="auto"/>
          <w:sz w:val="21"/>
          <w:szCs w:val="21"/>
          <w:highlight w:val="none"/>
        </w:rPr>
        <w:t>分</w:t>
      </w:r>
      <w:r>
        <w:rPr>
          <w:rFonts w:hint="eastAsia" w:ascii="宋体" w:hAnsi="宋体" w:eastAsia="宋体" w:cs="宋体"/>
          <w:bCs/>
          <w:color w:val="auto"/>
          <w:kern w:val="0"/>
          <w:sz w:val="21"/>
          <w:szCs w:val="21"/>
          <w:highlight w:val="none"/>
        </w:rPr>
        <w:t>（北京时间）</w:t>
      </w:r>
    </w:p>
    <w:p w14:paraId="042FFEFA">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地点：</w:t>
      </w:r>
      <w:r>
        <w:rPr>
          <w:rFonts w:hint="eastAsia" w:ascii="宋体" w:hAnsi="宋体" w:eastAsia="宋体" w:cs="宋体"/>
          <w:bCs/>
          <w:color w:val="auto"/>
          <w:kern w:val="0"/>
          <w:sz w:val="21"/>
          <w:szCs w:val="21"/>
          <w:highlight w:val="none"/>
          <w:lang w:eastAsia="zh-CN"/>
        </w:rPr>
        <w:t>广西壮族自治区防城港市开标室1政府采购开标室1</w:t>
      </w:r>
    </w:p>
    <w:p w14:paraId="3F1D5E6B">
      <w:pPr>
        <w:keepNext w:val="0"/>
        <w:keepLines w:val="0"/>
        <w:pageBreakBefore w:val="0"/>
        <w:kinsoku/>
        <w:overflowPunct/>
        <w:topLinePunct w:val="0"/>
        <w:autoSpaceDE/>
        <w:autoSpaceDN/>
        <w:bidi w:val="0"/>
        <w:adjustRightInd/>
        <w:snapToGrid/>
        <w:spacing w:line="52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六、公告期限</w:t>
      </w:r>
    </w:p>
    <w:p w14:paraId="1A62F2DA">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自本公告发布之日起5个工作日。</w:t>
      </w:r>
    </w:p>
    <w:p w14:paraId="609BDD99">
      <w:pPr>
        <w:keepNext w:val="0"/>
        <w:keepLines w:val="0"/>
        <w:pageBreakBefore w:val="0"/>
        <w:kinsoku/>
        <w:overflowPunct/>
        <w:topLinePunct w:val="0"/>
        <w:autoSpaceDE/>
        <w:autoSpaceDN/>
        <w:bidi w:val="0"/>
        <w:adjustRightInd/>
        <w:snapToGrid/>
        <w:spacing w:line="520" w:lineRule="exact"/>
        <w:textAlignment w:val="auto"/>
        <w:rPr>
          <w:rFonts w:hint="eastAsia" w:ascii="宋体" w:hAnsi="宋体" w:eastAsia="宋体" w:cs="宋体"/>
          <w:b/>
          <w:bCs/>
          <w:color w:val="auto"/>
          <w:sz w:val="21"/>
          <w:szCs w:val="21"/>
          <w:highlight w:val="none"/>
        </w:rPr>
      </w:pPr>
      <w:bookmarkStart w:id="15" w:name="_Toc35393795"/>
      <w:bookmarkStart w:id="16" w:name="_Toc35393626"/>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、其他补充事宜</w:t>
      </w:r>
      <w:bookmarkEnd w:id="15"/>
      <w:bookmarkEnd w:id="16"/>
    </w:p>
    <w:p w14:paraId="47F73A5A">
      <w:pPr>
        <w:pStyle w:val="24"/>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bookmarkStart w:id="17" w:name="_Hlk37428740"/>
      <w:bookmarkStart w:id="18" w:name="_Toc35393796"/>
      <w:bookmarkStart w:id="19" w:name="_Toc28359008"/>
      <w:bookmarkStart w:id="20" w:name="_Toc35393627"/>
      <w:bookmarkStart w:id="21" w:name="_Toc28359085"/>
      <w:r>
        <w:rPr>
          <w:rFonts w:hint="eastAsia" w:ascii="宋体" w:hAnsi="宋体" w:eastAsia="宋体" w:cs="宋体"/>
          <w:color w:val="auto"/>
          <w:sz w:val="21"/>
          <w:szCs w:val="21"/>
          <w:highlight w:val="none"/>
        </w:rPr>
        <w:t>1.网上查询地址：中国政府采购网、广西壮族自治区政府采购网、全国公共资源交易平台（广西·防城港）。</w:t>
      </w:r>
    </w:p>
    <w:bookmarkEnd w:id="17"/>
    <w:p w14:paraId="01FBE543">
      <w:pPr>
        <w:pStyle w:val="24"/>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2.本项目政府采购落实政策：</w:t>
      </w:r>
    </w:p>
    <w:p w14:paraId="0B3D32DD">
      <w:pPr>
        <w:pStyle w:val="24"/>
        <w:keepNext w:val="0"/>
        <w:keepLines w:val="0"/>
        <w:pageBreakBefore w:val="0"/>
        <w:kinsoku/>
        <w:overflowPunct/>
        <w:topLinePunct w:val="0"/>
        <w:autoSpaceDE/>
        <w:autoSpaceDN/>
        <w:bidi w:val="0"/>
        <w:adjustRightInd/>
        <w:snapToGrid/>
        <w:spacing w:line="520" w:lineRule="exact"/>
        <w:ind w:left="420" w:leftChars="20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（1）政府采购促进中小企业发展。</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（2）政府采购支持采用本国产品的政策。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（3）强制采购节能产品；优先采购节能产品、环境标志产品。</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（4）政府采购促进残疾人就业政策。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（5）政府采购支持监狱企业发展。</w:t>
      </w:r>
    </w:p>
    <w:p w14:paraId="5774FA46">
      <w:pPr>
        <w:pStyle w:val="24"/>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3.投标保证金：不收取投标保证金。</w:t>
      </w:r>
    </w:p>
    <w:p w14:paraId="40E5F94C">
      <w:pPr>
        <w:pStyle w:val="24"/>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4.监督部门</w:t>
      </w:r>
    </w:p>
    <w:p w14:paraId="4BD3875F">
      <w:pPr>
        <w:pStyle w:val="24"/>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称：防城港市财政局</w:t>
      </w:r>
    </w:p>
    <w:p w14:paraId="7E842A19">
      <w:pPr>
        <w:pStyle w:val="24"/>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话：0770-6102323</w:t>
      </w:r>
    </w:p>
    <w:p w14:paraId="40888396">
      <w:pPr>
        <w:pStyle w:val="24"/>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单位负责人为同一人或者存在直接控股、管理关系的不同投标人，不得参加同一合同项下的政府采购活动。为本项目提供过整体设计、规范编制或者项目管理、监理、检测等服务的投标人，不得再参加本项目上述服务以外的其他采购活动。</w:t>
      </w:r>
    </w:p>
    <w:p w14:paraId="26FD266F">
      <w:pPr>
        <w:pStyle w:val="24"/>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对在“信用中国”网站、中国政府采购网等渠道列入失信被执行人、重大税收违法案件当事人名单、政府采购严重违法失信行为记录名单及其他不符合《中华人民共和国政府采购法》第二十二条规定条件的供应商，不得参与政府采购活动。</w:t>
      </w:r>
    </w:p>
    <w:p w14:paraId="6E7C817F">
      <w:pPr>
        <w:pStyle w:val="24"/>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7.在线投标响应（电子投标）说明及注意事项</w:t>
      </w:r>
    </w:p>
    <w:p w14:paraId="001D8A5E">
      <w:pPr>
        <w:pStyle w:val="24"/>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（1）本项目为全流程电子化采购项目，通过</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实行在线电子投标，投标人应先安装“政采云电子交易客户端”（请自行前往</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进行下载），并按照本项目招标文件和</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的要求编制、加密后在投标响应文件递交截止时间前通过网络上传至</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，投标人在</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提交电子投标响应文件时，请填写参加远程开标活动经办人联系方式。投标人登录</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，依次进入“服务中心-项目采购-操作流程-电子招投标-政府采购项目电子交易管理操作指南-供应商”查看电子投标具体操作流程。</w:t>
      </w:r>
    </w:p>
    <w:p w14:paraId="67950C38">
      <w:pPr>
        <w:pStyle w:val="24"/>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进行网上注册并办理数字证书（CA认证）的投标人将无法参与本项目政府采购活动，投标人应当在投标响应文件递交截止时间前，完成电子交易平台上的CA数字证书办理（投标人可登录“广西政府采购网”，依次进入“办事服务-下载专区”或者登陆</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，依次进入“服务中心-入驻与配置”中查看CA数字证书办理操作流程。如在操作过程中遇到问题或者需要技术支持，请致电政采云客服热线：95763）及响应文件的提交。</w:t>
      </w:r>
    </w:p>
    <w:p w14:paraId="64CF1B33">
      <w:pPr>
        <w:pStyle w:val="24"/>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（3）CA证书在线解密：投标人投标时，需携带制作投标响应文件时用来加密的有效数字证书（CA认证）登录</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电子开标大厅现场按规定时间对加密的投标响应文件进行解密，否则后果自负。</w:t>
      </w:r>
    </w:p>
    <w:p w14:paraId="3EC56431">
      <w:pPr>
        <w:pStyle w:val="24"/>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（4）投标人需要在具备有摄像头及语音功能且互联网网络状况良好的电脑登录</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远程开标大厅参与本次投标，否则后果自负。</w:t>
      </w:r>
    </w:p>
    <w:p w14:paraId="7ABD158E">
      <w:pPr>
        <w:pStyle w:val="24"/>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认为招标文件使自己的权益受到损害的，可以自获取招标文件之日或者招标文件公告期限届满之日（公告期限届满后获取招标文件的，以公告期限届满之日为准）起7个工作日内以书面形式一次性向采购人和采购代理机构提出同一环节的质疑。否则，逾期的质疑采购人及招标代理机构可不予接受。质疑投标人对采购人、采购代理机构的答复不满意或者采购人、采购代理机构未在规定的时间内作出答复的，可以在答复期满后十五个工作日内向同级政府采购监督管理部门投诉。</w:t>
      </w:r>
    </w:p>
    <w:p w14:paraId="37DE1CF8">
      <w:pPr>
        <w:pStyle w:val="24"/>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（6）本项目不接受未登陆</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获取本项目招标文件的投标人投标。</w:t>
      </w:r>
    </w:p>
    <w:p w14:paraId="5DC8988D">
      <w:pPr>
        <w:pStyle w:val="24"/>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为确保网上操作合法、有效和安全，请投标人确保在电子投标过程中能够对相关数据电文进行加密和使用电子签章，妥善保管CA数字证书并使用有效的CA数字证书参与整个投标活动。2）投标人应当在投标响应文件提交截止时间前完成电子投标响应文件的上传、提交，投标响应文件提交截止时间前可以补充、修改或者撤回投标响应文件。补充或者修改投标响应文件的，应当先行撤回原投标响应文件，补充、修改后重新上传、提交，投标响应文件提交截止时间前未完成上传、提交的，视为撤回投标响应文件。投标响应文件提交截止时间以后上传递交的投标响应文件，</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将予以拒收。</w:t>
      </w:r>
    </w:p>
    <w:p w14:paraId="5C58E038">
      <w:pPr>
        <w:pStyle w:val="24"/>
        <w:keepNext w:val="0"/>
        <w:keepLines w:val="0"/>
        <w:pageBreakBefore w:val="0"/>
        <w:kinsoku/>
        <w:overflowPunct/>
        <w:topLinePunct w:val="0"/>
        <w:autoSpaceDE/>
        <w:autoSpaceDN/>
        <w:bidi w:val="0"/>
        <w:adjustRightInd/>
        <w:snapToGrid/>
        <w:spacing w:line="520" w:lineRule="exact"/>
        <w:ind w:firstLine="420"/>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7</w:t>
      </w:r>
      <w:r>
        <w:rPr>
          <w:rFonts w:hint="eastAsia" w:cs="宋体"/>
          <w:color w:val="auto"/>
          <w:sz w:val="21"/>
          <w:szCs w:val="21"/>
          <w:highlight w:val="none"/>
          <w:lang w:eastAsia="zh-CN"/>
        </w:rPr>
        <w:t>）</w:t>
      </w:r>
      <w:r>
        <w:rPr>
          <w:rFonts w:hint="eastAsia" w:cs="宋体"/>
          <w:color w:val="auto"/>
          <w:sz w:val="21"/>
          <w:szCs w:val="21"/>
          <w:highlight w:val="none"/>
          <w:lang w:val="en-US" w:eastAsia="zh-CN"/>
        </w:rPr>
        <w:t>不同投标人的投标文件由同一单位或者个人编制，或不同投标人报名的</w:t>
      </w:r>
      <w:r>
        <w:rPr>
          <w:rFonts w:hint="default" w:ascii="Times New Roman" w:hAnsi="Times New Roman" w:cs="Times New Roman"/>
          <w:color w:val="auto"/>
          <w:sz w:val="21"/>
          <w:szCs w:val="21"/>
          <w:highlight w:val="none"/>
          <w:lang w:val="en-US" w:eastAsia="zh-CN"/>
        </w:rPr>
        <w:t>ip</w:t>
      </w:r>
      <w:r>
        <w:rPr>
          <w:rFonts w:hint="eastAsia" w:cs="宋体"/>
          <w:color w:val="auto"/>
          <w:sz w:val="21"/>
          <w:szCs w:val="21"/>
          <w:highlight w:val="none"/>
          <w:lang w:val="en-US" w:eastAsia="zh-CN"/>
        </w:rPr>
        <w:t>地址一致的，此类投标供应商将视为无效。</w:t>
      </w:r>
    </w:p>
    <w:p w14:paraId="0D8F496B">
      <w:pPr>
        <w:keepNext w:val="0"/>
        <w:keepLines w:val="0"/>
        <w:pageBreakBefore w:val="0"/>
        <w:kinsoku/>
        <w:overflowPunct/>
        <w:topLinePunct w:val="0"/>
        <w:autoSpaceDE/>
        <w:autoSpaceDN/>
        <w:bidi w:val="0"/>
        <w:adjustRightInd/>
        <w:snapToGrid/>
        <w:spacing w:line="520" w:lineRule="exac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、对本次招标提出询问，请按以下方式联系。</w:t>
      </w:r>
      <w:bookmarkEnd w:id="18"/>
      <w:bookmarkEnd w:id="19"/>
      <w:bookmarkEnd w:id="20"/>
      <w:bookmarkEnd w:id="21"/>
    </w:p>
    <w:p w14:paraId="54C5701F">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1.采购人信息</w:t>
      </w:r>
    </w:p>
    <w:p w14:paraId="5752A08E">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default"/>
          <w:lang w:val="en-US" w:eastAsia="zh-CN"/>
        </w:rPr>
      </w:pPr>
      <w:r>
        <w:rPr>
          <w:rFonts w:hint="eastAsia" w:ascii="宋体" w:hAnsi="宋体" w:eastAsia="宋体" w:cs="宋体"/>
          <w:color w:val="auto"/>
          <w:kern w:val="0"/>
          <w:sz w:val="21"/>
          <w:szCs w:val="21"/>
          <w:highlight w:val="none"/>
        </w:rPr>
        <w:t>名    称：</w:t>
      </w:r>
      <w:r>
        <w:rPr>
          <w:rFonts w:hint="eastAsia" w:ascii="宋体" w:hAnsi="宋体" w:eastAsia="宋体" w:cs="宋体"/>
          <w:color w:val="auto"/>
          <w:sz w:val="21"/>
          <w:szCs w:val="21"/>
          <w:highlight w:val="none"/>
          <w:lang w:eastAsia="zh-CN"/>
        </w:rPr>
        <w:t>防城港市中级人民法院</w:t>
      </w:r>
    </w:p>
    <w:p w14:paraId="247E4445">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    址：防城港市防城区文昌街道金花茶大道500号</w:t>
      </w:r>
    </w:p>
    <w:p w14:paraId="686AD64B">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联系方式：</w:t>
      </w:r>
      <w:r>
        <w:rPr>
          <w:rFonts w:hint="eastAsia" w:ascii="宋体" w:hAnsi="宋体" w:eastAsia="宋体" w:cs="宋体"/>
          <w:color w:val="auto"/>
          <w:kern w:val="0"/>
          <w:sz w:val="21"/>
          <w:szCs w:val="21"/>
          <w:highlight w:val="none"/>
          <w:lang w:eastAsia="zh-CN"/>
        </w:rPr>
        <w:t>曹家富</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0770-6103661</w:t>
      </w:r>
    </w:p>
    <w:p w14:paraId="68BBF0D4">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kern w:val="0"/>
          <w:sz w:val="21"/>
          <w:szCs w:val="21"/>
          <w:highlight w:val="none"/>
        </w:rPr>
      </w:pPr>
      <w:bookmarkStart w:id="22" w:name="_Toc7613"/>
      <w:r>
        <w:rPr>
          <w:rFonts w:hint="eastAsia" w:ascii="宋体" w:hAnsi="宋体" w:eastAsia="宋体" w:cs="宋体"/>
          <w:color w:val="auto"/>
          <w:kern w:val="0"/>
          <w:sz w:val="21"/>
          <w:szCs w:val="21"/>
          <w:highlight w:val="none"/>
        </w:rPr>
        <w:t>2.采购代理机构信息</w:t>
      </w:r>
      <w:bookmarkEnd w:id="22"/>
    </w:p>
    <w:p w14:paraId="4AE7E220">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称：</w:t>
      </w:r>
      <w:r>
        <w:rPr>
          <w:rFonts w:hint="eastAsia" w:ascii="宋体" w:hAnsi="宋体" w:eastAsia="宋体" w:cs="宋体"/>
          <w:color w:val="auto"/>
          <w:kern w:val="0"/>
          <w:sz w:val="21"/>
          <w:szCs w:val="21"/>
          <w:highlight w:val="none"/>
          <w:lang w:val="en-US" w:eastAsia="zh-CN"/>
        </w:rPr>
        <w:t>防城港市政府采购中心</w:t>
      </w:r>
    </w:p>
    <w:p w14:paraId="6020DE2E">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地</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址：</w:t>
      </w:r>
      <w:r>
        <w:rPr>
          <w:rFonts w:hint="eastAsia" w:ascii="宋体" w:hAnsi="宋体" w:eastAsia="宋体" w:cs="宋体"/>
          <w:color w:val="auto"/>
          <w:sz w:val="21"/>
          <w:szCs w:val="21"/>
          <w:highlight w:val="none"/>
          <w:lang w:val="en-US" w:eastAsia="zh-CN"/>
        </w:rPr>
        <w:t>防城港市中心区红树林大厦东塔6楼</w:t>
      </w:r>
      <w:r>
        <w:rPr>
          <w:rFonts w:hint="eastAsia" w:ascii="宋体" w:hAnsi="宋体" w:eastAsia="宋体" w:cs="宋体"/>
          <w:color w:val="auto"/>
          <w:kern w:val="0"/>
          <w:sz w:val="21"/>
          <w:szCs w:val="21"/>
          <w:highlight w:val="none"/>
        </w:rPr>
        <w:t> </w:t>
      </w:r>
    </w:p>
    <w:p w14:paraId="48917985">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联系方式：肖秀艺，0770-6126192</w:t>
      </w:r>
    </w:p>
    <w:p w14:paraId="61F06DE8">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kern w:val="0"/>
          <w:sz w:val="21"/>
          <w:szCs w:val="21"/>
          <w:highlight w:val="none"/>
          <w:lang w:val="en-US" w:eastAsia="zh-CN"/>
        </w:rPr>
      </w:pPr>
      <w:bookmarkStart w:id="23" w:name="_Toc7110"/>
      <w:r>
        <w:rPr>
          <w:rFonts w:hint="eastAsia" w:ascii="宋体" w:hAnsi="宋体" w:eastAsia="宋体" w:cs="宋体"/>
          <w:color w:val="auto"/>
          <w:kern w:val="0"/>
          <w:sz w:val="21"/>
          <w:szCs w:val="21"/>
          <w:highlight w:val="none"/>
          <w:lang w:val="en-US" w:eastAsia="zh-CN"/>
        </w:rPr>
        <w:t>3.项目联系方式</w:t>
      </w:r>
      <w:bookmarkEnd w:id="23"/>
    </w:p>
    <w:p w14:paraId="4AFC8AAD">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rPr>
        <w:t>项目联系人：</w:t>
      </w:r>
      <w:r>
        <w:rPr>
          <w:rFonts w:hint="eastAsia" w:ascii="宋体" w:hAnsi="宋体" w:eastAsia="宋体" w:cs="宋体"/>
          <w:color w:val="auto"/>
          <w:kern w:val="0"/>
          <w:sz w:val="21"/>
          <w:szCs w:val="21"/>
          <w:highlight w:val="none"/>
          <w:lang w:val="en-US" w:eastAsia="zh-CN"/>
        </w:rPr>
        <w:t>肖秀艺、陈琨元</w:t>
      </w:r>
    </w:p>
    <w:p w14:paraId="3C7BD39F">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rPr>
        <w:t>电  话</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0770-6126192</w:t>
      </w:r>
    </w:p>
    <w:p w14:paraId="618FD25D">
      <w:pPr>
        <w:keepNext w:val="0"/>
        <w:keepLines w:val="0"/>
        <w:pageBreakBefore w:val="0"/>
        <w:kinsoku/>
        <w:overflowPunct/>
        <w:topLinePunct w:val="0"/>
        <w:autoSpaceDE/>
        <w:autoSpaceDN/>
        <w:bidi w:val="0"/>
        <w:adjustRightInd/>
        <w:snapToGrid/>
        <w:spacing w:line="520" w:lineRule="exact"/>
        <w:ind w:firstLine="420" w:firstLineChars="200"/>
        <w:jc w:val="righ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采购人：</w:t>
      </w:r>
      <w:r>
        <w:rPr>
          <w:rFonts w:hint="eastAsia" w:ascii="宋体" w:hAnsi="宋体" w:eastAsia="宋体" w:cs="宋体"/>
          <w:color w:val="auto"/>
          <w:sz w:val="21"/>
          <w:szCs w:val="21"/>
          <w:highlight w:val="none"/>
          <w:lang w:eastAsia="zh-CN"/>
        </w:rPr>
        <w:t>防城港市中级人民法院</w:t>
      </w:r>
    </w:p>
    <w:p w14:paraId="08486B46">
      <w:pPr>
        <w:keepNext w:val="0"/>
        <w:keepLines w:val="0"/>
        <w:pageBreakBefore w:val="0"/>
        <w:kinsoku/>
        <w:overflowPunct/>
        <w:topLinePunct w:val="0"/>
        <w:autoSpaceDE/>
        <w:autoSpaceDN/>
        <w:bidi w:val="0"/>
        <w:adjustRightInd/>
        <w:snapToGrid/>
        <w:spacing w:line="520" w:lineRule="exact"/>
        <w:ind w:firstLine="420" w:firstLineChars="200"/>
        <w:jc w:val="righ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采购代理机构：</w:t>
      </w:r>
      <w:r>
        <w:rPr>
          <w:rFonts w:hint="eastAsia" w:ascii="宋体" w:hAnsi="宋体" w:eastAsia="宋体" w:cs="宋体"/>
          <w:color w:val="auto"/>
          <w:kern w:val="0"/>
          <w:sz w:val="21"/>
          <w:szCs w:val="21"/>
          <w:highlight w:val="none"/>
          <w:lang w:val="en-US" w:eastAsia="zh-CN"/>
        </w:rPr>
        <w:t>防城港市政府采购中心</w:t>
      </w:r>
    </w:p>
    <w:p w14:paraId="3E175811">
      <w:pPr>
        <w:keepNext w:val="0"/>
        <w:keepLines w:val="0"/>
        <w:pageBreakBefore w:val="0"/>
        <w:kinsoku/>
        <w:wordWrap w:val="0"/>
        <w:overflowPunct/>
        <w:topLinePunct w:val="0"/>
        <w:autoSpaceDE/>
        <w:autoSpaceDN/>
        <w:bidi w:val="0"/>
        <w:adjustRightInd/>
        <w:snapToGrid/>
        <w:spacing w:line="520" w:lineRule="exact"/>
        <w:ind w:firstLine="420" w:firstLineChars="200"/>
        <w:jc w:val="righ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2025年</w:t>
      </w:r>
      <w:r>
        <w:rPr>
          <w:rFonts w:hint="eastAsia" w:ascii="宋体" w:hAnsi="宋体" w:cs="宋体"/>
          <w:color w:val="auto"/>
          <w:sz w:val="21"/>
          <w:szCs w:val="21"/>
          <w:highlight w:val="none"/>
          <w:lang w:val="en-US" w:eastAsia="zh-CN"/>
        </w:rPr>
        <w:t>07</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lang w:val="zh-CN"/>
        </w:rPr>
        <w:t>日</w:t>
      </w:r>
      <w:bookmarkStart w:id="133" w:name="_GoBack"/>
      <w:bookmarkEnd w:id="133"/>
    </w:p>
    <w:p w14:paraId="58731881">
      <w:pPr>
        <w:rPr>
          <w:rFonts w:hint="eastAsia"/>
          <w:lang w:val="en-US" w:eastAsia="zh-CN"/>
        </w:rPr>
      </w:pPr>
      <w:r>
        <w:rPr>
          <w:rFonts w:hint="eastAsia"/>
          <w:lang w:val="en-US" w:eastAsia="zh-CN"/>
        </w:rPr>
        <w:br w:type="page"/>
      </w:r>
    </w:p>
    <w:p w14:paraId="0FB9C343">
      <w:pPr>
        <w:pStyle w:val="3"/>
        <w:pageBreakBefore w:val="0"/>
        <w:numPr>
          <w:ilvl w:val="0"/>
          <w:numId w:val="3"/>
        </w:numPr>
        <w:tabs>
          <w:tab w:val="left" w:pos="0"/>
          <w:tab w:val="left" w:pos="3165"/>
          <w:tab w:val="center" w:pos="4153"/>
        </w:tabs>
        <w:kinsoku/>
        <w:overflowPunct/>
        <w:topLinePunct w:val="0"/>
        <w:autoSpaceDE w:val="0"/>
        <w:autoSpaceDN w:val="0"/>
        <w:bidi w:val="0"/>
        <w:adjustRightInd w:val="0"/>
        <w:spacing w:before="0" w:after="0" w:line="240" w:lineRule="auto"/>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 xml:space="preserve"> </w:t>
      </w:r>
      <w:bookmarkStart w:id="24" w:name="_Toc10553"/>
      <w:r>
        <w:rPr>
          <w:rFonts w:hint="eastAsia" w:ascii="宋体" w:hAnsi="宋体" w:eastAsia="宋体" w:cs="宋体"/>
          <w:color w:val="auto"/>
          <w:sz w:val="40"/>
          <w:szCs w:val="40"/>
          <w:highlight w:val="none"/>
        </w:rPr>
        <w:t>采购需求</w:t>
      </w:r>
      <w:bookmarkEnd w:id="24"/>
    </w:p>
    <w:p w14:paraId="3611E787">
      <w:pPr>
        <w:numPr>
          <w:ilvl w:val="0"/>
          <w:numId w:val="0"/>
        </w:numPr>
        <w:rPr>
          <w:rFonts w:hint="eastAsia"/>
        </w:rPr>
      </w:pPr>
      <w:r>
        <w:rPr>
          <w:rFonts w:hint="eastAsia"/>
        </w:rPr>
        <w:t>说明：</w:t>
      </w:r>
    </w:p>
    <w:p w14:paraId="5D57D175">
      <w:pPr>
        <w:numPr>
          <w:ilvl w:val="0"/>
          <w:numId w:val="0"/>
        </w:numPr>
        <w:ind w:firstLine="420" w:firstLineChars="200"/>
        <w:rPr>
          <w:rFonts w:hint="eastAsia"/>
        </w:rPr>
      </w:pPr>
      <w:r>
        <w:rPr>
          <w:rFonts w:hint="eastAsia"/>
        </w:rPr>
        <w:t>1.为落实政府采购政策需满足的要求。</w:t>
      </w:r>
    </w:p>
    <w:p w14:paraId="4E1BF552">
      <w:pPr>
        <w:numPr>
          <w:ilvl w:val="0"/>
          <w:numId w:val="0"/>
        </w:numPr>
        <w:ind w:firstLine="420" w:firstLineChars="200"/>
        <w:rPr>
          <w:rFonts w:hint="eastAsia"/>
        </w:rPr>
      </w:pPr>
      <w:r>
        <w:rPr>
          <w:rFonts w:hint="eastAsia"/>
        </w:rPr>
        <w:t>2.“实质性要求”是指招标文件中已经指明不满足则投标无效的条款，或者不能负偏离的条款，或者采购需求中带“▲”的条款。</w:t>
      </w:r>
    </w:p>
    <w:p w14:paraId="1984C078">
      <w:pPr>
        <w:numPr>
          <w:ilvl w:val="0"/>
          <w:numId w:val="0"/>
        </w:numPr>
        <w:ind w:firstLine="420" w:firstLineChars="200"/>
        <w:rPr>
          <w:rFonts w:hint="eastAsia"/>
        </w:rPr>
      </w:pPr>
      <w:r>
        <w:rPr>
          <w:rFonts w:hint="eastAsia"/>
        </w:rPr>
        <w:t>3.投标人应根据自身实际情况如实响应招标文件，不得将招标文件内容简单复制粘贴作为投标响应，还应当提供相关证明材料。对于重要技术条款或技术参数应当在投标文件中提供技术支持资料，技术支持资料以招标文件中规定的形式为准。</w:t>
      </w:r>
    </w:p>
    <w:p w14:paraId="385FFAA2">
      <w:pPr>
        <w:numPr>
          <w:ilvl w:val="0"/>
          <w:numId w:val="0"/>
        </w:numPr>
        <w:ind w:firstLine="420" w:firstLineChars="200"/>
        <w:rPr>
          <w:rFonts w:hint="eastAsia"/>
        </w:rPr>
      </w:pPr>
      <w:r>
        <w:rPr>
          <w:rFonts w:hint="eastAsia"/>
        </w:rPr>
        <w:t>4.所属行业依照《中小企业划型标准规定》（工信部联企业〔2011〕300号）及《国民经济行业分类》（GB/T4754-2017）的有关规定执行。</w:t>
      </w:r>
      <w:r>
        <w:rPr>
          <w:rFonts w:hint="eastAsia"/>
          <w:b/>
          <w:bCs/>
          <w:u w:val="single"/>
        </w:rPr>
        <w:t>本采购项目所属行业为“物业管理”。</w:t>
      </w:r>
    </w:p>
    <w:p w14:paraId="553A5825">
      <w:pPr>
        <w:spacing w:line="560" w:lineRule="exact"/>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rPr>
        <w:t>一、项目名称：物业管理服务采购</w:t>
      </w:r>
    </w:p>
    <w:p w14:paraId="1E414EA9">
      <w:pPr>
        <w:spacing w:line="560" w:lineRule="exact"/>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rPr>
        <w:t>二、服务范围基本情况</w:t>
      </w:r>
    </w:p>
    <w:p w14:paraId="26A48AE8">
      <w:pPr>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项目地点：防城港市</w:t>
      </w:r>
      <w:r>
        <w:rPr>
          <w:rFonts w:hint="eastAsia" w:ascii="仿宋_GB2312" w:hAnsi="仿宋_GB2312" w:eastAsia="仿宋_GB2312" w:cs="仿宋_GB2312"/>
          <w:color w:val="auto"/>
          <w:sz w:val="32"/>
          <w:szCs w:val="32"/>
          <w:lang w:eastAsia="zh-CN"/>
        </w:rPr>
        <w:t>防城区文昌街道</w:t>
      </w:r>
      <w:r>
        <w:rPr>
          <w:rFonts w:hint="eastAsia" w:ascii="仿宋_GB2312" w:hAnsi="仿宋_GB2312" w:eastAsia="仿宋_GB2312" w:cs="仿宋_GB2312"/>
          <w:color w:val="auto"/>
          <w:sz w:val="32"/>
          <w:szCs w:val="32"/>
        </w:rPr>
        <w:t>金花茶大道</w:t>
      </w:r>
      <w:r>
        <w:rPr>
          <w:rFonts w:hint="eastAsia" w:ascii="仿宋_GB2312" w:hAnsi="仿宋_GB2312" w:eastAsia="仿宋_GB2312" w:cs="仿宋_GB2312"/>
          <w:color w:val="auto"/>
          <w:sz w:val="32"/>
          <w:szCs w:val="32"/>
          <w:lang w:val="en-US" w:eastAsia="zh-CN"/>
        </w:rPr>
        <w:t>500号。</w:t>
      </w:r>
    </w:p>
    <w:p w14:paraId="62452AEF">
      <w:pPr>
        <w:widowControl/>
        <w:shd w:val="clear" w:color="auto" w:fill="FFFFFF"/>
        <w:spacing w:line="560" w:lineRule="exact"/>
        <w:ind w:firstLine="64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规模：</w:t>
      </w:r>
      <w:r>
        <w:rPr>
          <w:rFonts w:hint="eastAsia" w:ascii="仿宋_GB2312" w:hAnsi="仿宋_GB2312" w:eastAsia="仿宋_GB2312" w:cs="仿宋_GB2312"/>
          <w:color w:val="auto"/>
          <w:sz w:val="32"/>
          <w:szCs w:val="32"/>
          <w:lang w:eastAsia="zh-CN"/>
        </w:rPr>
        <w:t>防城港市中级人民法院大院占地约</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pacing w:val="8"/>
          <w:kern w:val="0"/>
          <w:sz w:val="32"/>
          <w:szCs w:val="32"/>
          <w:lang w:eastAsia="zh-CN"/>
        </w:rPr>
        <w:t>亩，约</w:t>
      </w:r>
      <w:r>
        <w:rPr>
          <w:rFonts w:hint="eastAsia" w:ascii="仿宋_GB2312" w:hAnsi="仿宋_GB2312" w:eastAsia="仿宋_GB2312" w:cs="仿宋_GB2312"/>
          <w:color w:val="auto"/>
          <w:spacing w:val="8"/>
          <w:kern w:val="0"/>
          <w:sz w:val="32"/>
          <w:szCs w:val="32"/>
          <w:lang w:val="en-US" w:eastAsia="zh-CN"/>
        </w:rPr>
        <w:t>26666.64</w:t>
      </w:r>
      <w:r>
        <w:rPr>
          <w:rFonts w:hint="eastAsia" w:ascii="仿宋_GB2312" w:hAnsi="仿宋_GB2312" w:eastAsia="仿宋_GB2312" w:cs="仿宋_GB2312"/>
          <w:color w:val="auto"/>
          <w:spacing w:val="8"/>
          <w:kern w:val="0"/>
          <w:sz w:val="32"/>
          <w:szCs w:val="32"/>
        </w:rPr>
        <w:t>㎡</w:t>
      </w:r>
      <w:r>
        <w:rPr>
          <w:rFonts w:hint="eastAsia" w:ascii="仿宋_GB2312" w:hAnsi="仿宋_GB2312" w:eastAsia="仿宋_GB2312" w:cs="仿宋_GB2312"/>
          <w:color w:val="auto"/>
          <w:spacing w:val="8"/>
          <w:kern w:val="0"/>
          <w:sz w:val="32"/>
          <w:szCs w:val="32"/>
          <w:lang w:eastAsia="zh-CN"/>
        </w:rPr>
        <w:t>，有四栋楼房，</w:t>
      </w:r>
      <w:r>
        <w:rPr>
          <w:rFonts w:hint="eastAsia" w:ascii="仿宋_GB2312" w:hAnsi="仿宋_GB2312" w:eastAsia="仿宋_GB2312" w:cs="仿宋_GB2312"/>
          <w:color w:val="auto"/>
          <w:spacing w:val="9"/>
          <w:kern w:val="0"/>
          <w:sz w:val="32"/>
          <w:szCs w:val="32"/>
        </w:rPr>
        <w:t>已</w:t>
      </w:r>
      <w:r>
        <w:rPr>
          <w:rFonts w:hint="eastAsia" w:ascii="仿宋_GB2312" w:hAnsi="仿宋_GB2312" w:eastAsia="仿宋_GB2312" w:cs="仿宋_GB2312"/>
          <w:color w:val="auto"/>
          <w:spacing w:val="4"/>
          <w:kern w:val="0"/>
          <w:sz w:val="32"/>
          <w:szCs w:val="32"/>
        </w:rPr>
        <w:t>建</w:t>
      </w:r>
      <w:r>
        <w:rPr>
          <w:rFonts w:hint="eastAsia" w:ascii="仿宋_GB2312" w:hAnsi="仿宋_GB2312" w:eastAsia="仿宋_GB2312" w:cs="仿宋_GB2312"/>
          <w:color w:val="auto"/>
          <w:kern w:val="0"/>
          <w:sz w:val="32"/>
          <w:szCs w:val="32"/>
        </w:rPr>
        <w:t>建筑物总建筑面积</w:t>
      </w:r>
      <w:r>
        <w:rPr>
          <w:rFonts w:hint="eastAsia" w:ascii="仿宋_GB2312" w:hAnsi="仿宋_GB2312" w:eastAsia="仿宋_GB2312" w:cs="仿宋_GB2312"/>
          <w:color w:val="auto"/>
          <w:kern w:val="0"/>
          <w:sz w:val="32"/>
          <w:szCs w:val="32"/>
          <w:lang w:eastAsia="zh-CN"/>
        </w:rPr>
        <w:t>约</w:t>
      </w:r>
      <w:r>
        <w:rPr>
          <w:rFonts w:hint="eastAsia" w:ascii="仿宋_GB2312" w:hAnsi="仿宋_GB2312" w:eastAsia="仿宋_GB2312" w:cs="仿宋_GB2312"/>
          <w:color w:val="auto"/>
          <w:spacing w:val="13"/>
          <w:kern w:val="0"/>
          <w:sz w:val="32"/>
          <w:szCs w:val="32"/>
          <w:lang w:val="en-US" w:eastAsia="zh-CN"/>
        </w:rPr>
        <w:t>27236.3</w:t>
      </w:r>
      <w:r>
        <w:rPr>
          <w:rFonts w:hint="eastAsia" w:ascii="仿宋_GB2312" w:hAnsi="仿宋_GB2312" w:eastAsia="仿宋_GB2312" w:cs="仿宋_GB2312"/>
          <w:color w:val="auto"/>
          <w:spacing w:val="8"/>
          <w:kern w:val="0"/>
          <w:sz w:val="32"/>
          <w:szCs w:val="32"/>
        </w:rPr>
        <w:t>㎡，其中</w:t>
      </w:r>
      <w:r>
        <w:rPr>
          <w:rFonts w:hint="eastAsia" w:ascii="仿宋_GB2312" w:hAnsi="仿宋_GB2312" w:eastAsia="仿宋_GB2312" w:cs="仿宋_GB2312"/>
          <w:color w:val="auto"/>
          <w:spacing w:val="8"/>
          <w:kern w:val="0"/>
          <w:sz w:val="32"/>
          <w:szCs w:val="32"/>
          <w:lang w:eastAsia="zh-CN"/>
        </w:rPr>
        <w:t>，</w:t>
      </w:r>
      <w:r>
        <w:rPr>
          <w:rFonts w:hint="eastAsia" w:ascii="仿宋_GB2312" w:hAnsi="仿宋_GB2312" w:eastAsia="仿宋_GB2312" w:cs="仿宋_GB2312"/>
          <w:color w:val="auto"/>
          <w:spacing w:val="8"/>
          <w:kern w:val="0"/>
          <w:sz w:val="32"/>
          <w:szCs w:val="32"/>
        </w:rPr>
        <w:t>办公楼</w:t>
      </w:r>
      <w:r>
        <w:rPr>
          <w:rFonts w:hint="eastAsia" w:ascii="仿宋_GB2312" w:hAnsi="仿宋_GB2312" w:eastAsia="仿宋_GB2312" w:cs="仿宋_GB2312"/>
          <w:color w:val="auto"/>
          <w:spacing w:val="8"/>
          <w:kern w:val="0"/>
          <w:sz w:val="32"/>
          <w:szCs w:val="32"/>
          <w:lang w:eastAsia="zh-CN"/>
        </w:rPr>
        <w:t>占地</w:t>
      </w:r>
      <w:r>
        <w:rPr>
          <w:rFonts w:hint="eastAsia" w:ascii="仿宋_GB2312" w:hAnsi="仿宋_GB2312" w:eastAsia="仿宋_GB2312" w:cs="仿宋_GB2312"/>
          <w:color w:val="auto"/>
          <w:spacing w:val="8"/>
          <w:kern w:val="0"/>
          <w:sz w:val="32"/>
          <w:szCs w:val="32"/>
          <w:lang w:val="en-US" w:eastAsia="zh-CN"/>
        </w:rPr>
        <w:t>1453</w:t>
      </w:r>
      <w:r>
        <w:rPr>
          <w:rFonts w:hint="eastAsia" w:ascii="仿宋_GB2312" w:hAnsi="仿宋_GB2312" w:eastAsia="仿宋_GB2312" w:cs="仿宋_GB2312"/>
          <w:color w:val="auto"/>
          <w:spacing w:val="8"/>
          <w:kern w:val="0"/>
          <w:sz w:val="32"/>
          <w:szCs w:val="32"/>
        </w:rPr>
        <w:t>㎡</w:t>
      </w:r>
      <w:r>
        <w:rPr>
          <w:rFonts w:hint="eastAsia" w:ascii="仿宋_GB2312" w:hAnsi="仿宋_GB2312" w:eastAsia="仿宋_GB2312" w:cs="仿宋_GB2312"/>
          <w:color w:val="auto"/>
          <w:spacing w:val="8"/>
          <w:kern w:val="0"/>
          <w:sz w:val="32"/>
          <w:szCs w:val="32"/>
          <w:lang w:eastAsia="zh-CN"/>
        </w:rPr>
        <w:t>、建筑七层、建筑面积约</w:t>
      </w:r>
      <w:r>
        <w:rPr>
          <w:rFonts w:hint="eastAsia" w:ascii="仿宋_GB2312" w:hAnsi="仿宋_GB2312" w:eastAsia="仿宋_GB2312" w:cs="仿宋_GB2312"/>
          <w:color w:val="auto"/>
          <w:spacing w:val="8"/>
          <w:kern w:val="0"/>
          <w:sz w:val="32"/>
          <w:szCs w:val="32"/>
        </w:rPr>
        <w:t>10171㎡</w:t>
      </w:r>
      <w:r>
        <w:rPr>
          <w:rFonts w:hint="eastAsia" w:ascii="仿宋_GB2312" w:hAnsi="仿宋_GB2312" w:eastAsia="仿宋_GB2312" w:cs="仿宋_GB2312"/>
          <w:color w:val="auto"/>
          <w:spacing w:val="8"/>
          <w:kern w:val="0"/>
          <w:sz w:val="32"/>
          <w:szCs w:val="32"/>
          <w:lang w:eastAsia="zh-CN"/>
        </w:rPr>
        <w:t>，</w:t>
      </w:r>
      <w:r>
        <w:rPr>
          <w:rFonts w:hint="eastAsia" w:ascii="仿宋_GB2312" w:hAnsi="仿宋_GB2312" w:eastAsia="仿宋_GB2312" w:cs="仿宋_GB2312"/>
          <w:color w:val="auto"/>
          <w:spacing w:val="8"/>
          <w:kern w:val="0"/>
          <w:sz w:val="32"/>
          <w:szCs w:val="32"/>
        </w:rPr>
        <w:t>审判楼</w:t>
      </w:r>
      <w:r>
        <w:rPr>
          <w:rFonts w:hint="eastAsia" w:ascii="仿宋_GB2312" w:hAnsi="仿宋_GB2312" w:eastAsia="仿宋_GB2312" w:cs="仿宋_GB2312"/>
          <w:color w:val="auto"/>
          <w:spacing w:val="8"/>
          <w:kern w:val="0"/>
          <w:sz w:val="32"/>
          <w:szCs w:val="32"/>
          <w:lang w:eastAsia="zh-CN"/>
        </w:rPr>
        <w:t>占地</w:t>
      </w:r>
      <w:r>
        <w:rPr>
          <w:rFonts w:hint="eastAsia" w:ascii="仿宋_GB2312" w:hAnsi="仿宋_GB2312" w:eastAsia="仿宋_GB2312" w:cs="仿宋_GB2312"/>
          <w:color w:val="auto"/>
          <w:spacing w:val="8"/>
          <w:kern w:val="0"/>
          <w:sz w:val="32"/>
          <w:szCs w:val="32"/>
          <w:lang w:val="en-US" w:eastAsia="zh-CN"/>
        </w:rPr>
        <w:t>1894</w:t>
      </w:r>
      <w:r>
        <w:rPr>
          <w:rFonts w:hint="eastAsia" w:ascii="仿宋_GB2312" w:hAnsi="仿宋_GB2312" w:eastAsia="仿宋_GB2312" w:cs="仿宋_GB2312"/>
          <w:color w:val="auto"/>
          <w:spacing w:val="8"/>
          <w:kern w:val="0"/>
          <w:sz w:val="32"/>
          <w:szCs w:val="32"/>
        </w:rPr>
        <w:t>㎡</w:t>
      </w:r>
      <w:r>
        <w:rPr>
          <w:rFonts w:hint="eastAsia" w:ascii="仿宋_GB2312" w:hAnsi="仿宋_GB2312" w:eastAsia="仿宋_GB2312" w:cs="仿宋_GB2312"/>
          <w:color w:val="auto"/>
          <w:spacing w:val="8"/>
          <w:kern w:val="0"/>
          <w:sz w:val="32"/>
          <w:szCs w:val="32"/>
          <w:lang w:eastAsia="zh-CN"/>
        </w:rPr>
        <w:t>、建筑</w:t>
      </w:r>
      <w:r>
        <w:rPr>
          <w:rFonts w:hint="eastAsia" w:ascii="仿宋_GB2312" w:hAnsi="仿宋_GB2312" w:eastAsia="仿宋_GB2312" w:cs="仿宋_GB2312"/>
          <w:color w:val="auto"/>
          <w:spacing w:val="8"/>
          <w:kern w:val="0"/>
          <w:sz w:val="32"/>
          <w:szCs w:val="32"/>
          <w:lang w:val="en-US" w:eastAsia="zh-CN"/>
        </w:rPr>
        <w:t>四层、约</w:t>
      </w:r>
      <w:r>
        <w:rPr>
          <w:rFonts w:hint="eastAsia" w:ascii="仿宋_GB2312" w:hAnsi="仿宋_GB2312" w:eastAsia="仿宋_GB2312" w:cs="仿宋_GB2312"/>
          <w:color w:val="auto"/>
          <w:spacing w:val="8"/>
          <w:kern w:val="0"/>
          <w:sz w:val="32"/>
          <w:szCs w:val="32"/>
        </w:rPr>
        <w:t>7010㎡</w:t>
      </w:r>
      <w:r>
        <w:rPr>
          <w:rFonts w:hint="eastAsia" w:ascii="仿宋_GB2312" w:hAnsi="仿宋_GB2312" w:eastAsia="仿宋_GB2312" w:cs="仿宋_GB2312"/>
          <w:color w:val="auto"/>
          <w:spacing w:val="8"/>
          <w:kern w:val="0"/>
          <w:sz w:val="32"/>
          <w:szCs w:val="32"/>
          <w:lang w:eastAsia="zh-CN"/>
        </w:rPr>
        <w:t>，</w:t>
      </w:r>
      <w:r>
        <w:rPr>
          <w:rFonts w:hint="eastAsia" w:ascii="仿宋_GB2312" w:hAnsi="仿宋_GB2312" w:eastAsia="仿宋_GB2312" w:cs="仿宋_GB2312"/>
          <w:color w:val="auto"/>
          <w:spacing w:val="8"/>
          <w:kern w:val="0"/>
          <w:sz w:val="32"/>
          <w:szCs w:val="32"/>
        </w:rPr>
        <w:t>球馆</w:t>
      </w:r>
      <w:r>
        <w:rPr>
          <w:rFonts w:hint="eastAsia" w:ascii="仿宋_GB2312" w:hAnsi="仿宋_GB2312" w:eastAsia="仿宋_GB2312" w:cs="仿宋_GB2312"/>
          <w:color w:val="auto"/>
          <w:spacing w:val="8"/>
          <w:kern w:val="0"/>
          <w:sz w:val="32"/>
          <w:szCs w:val="32"/>
          <w:lang w:eastAsia="zh-CN"/>
        </w:rPr>
        <w:t>占地</w:t>
      </w:r>
      <w:r>
        <w:rPr>
          <w:rFonts w:hint="eastAsia" w:ascii="仿宋_GB2312" w:hAnsi="仿宋_GB2312" w:eastAsia="仿宋_GB2312" w:cs="仿宋_GB2312"/>
          <w:color w:val="auto"/>
          <w:spacing w:val="8"/>
          <w:kern w:val="0"/>
          <w:sz w:val="32"/>
          <w:szCs w:val="32"/>
        </w:rPr>
        <w:t>1344㎡</w:t>
      </w:r>
      <w:r>
        <w:rPr>
          <w:rFonts w:hint="eastAsia" w:ascii="仿宋_GB2312" w:hAnsi="仿宋_GB2312" w:eastAsia="仿宋_GB2312" w:cs="仿宋_GB2312"/>
          <w:color w:val="auto"/>
          <w:spacing w:val="8"/>
          <w:kern w:val="0"/>
          <w:sz w:val="32"/>
          <w:szCs w:val="32"/>
          <w:lang w:eastAsia="zh-CN"/>
        </w:rPr>
        <w:t>、建筑一层，</w:t>
      </w:r>
      <w:r>
        <w:rPr>
          <w:rFonts w:hint="eastAsia" w:ascii="仿宋_GB2312" w:hAnsi="仿宋_GB2312" w:eastAsia="仿宋_GB2312" w:cs="仿宋_GB2312"/>
          <w:color w:val="auto"/>
          <w:spacing w:val="8"/>
          <w:kern w:val="0"/>
          <w:sz w:val="32"/>
          <w:szCs w:val="32"/>
        </w:rPr>
        <w:t>综合楼</w:t>
      </w:r>
      <w:r>
        <w:rPr>
          <w:rFonts w:hint="eastAsia" w:ascii="仿宋_GB2312" w:hAnsi="仿宋_GB2312" w:eastAsia="仿宋_GB2312" w:cs="仿宋_GB2312"/>
          <w:color w:val="auto"/>
          <w:spacing w:val="8"/>
          <w:kern w:val="0"/>
          <w:sz w:val="32"/>
          <w:szCs w:val="32"/>
          <w:lang w:eastAsia="zh-CN"/>
        </w:rPr>
        <w:t>占地</w:t>
      </w:r>
      <w:r>
        <w:rPr>
          <w:rFonts w:hint="eastAsia" w:ascii="仿宋_GB2312" w:hAnsi="仿宋_GB2312" w:eastAsia="仿宋_GB2312" w:cs="仿宋_GB2312"/>
          <w:color w:val="auto"/>
          <w:spacing w:val="8"/>
          <w:kern w:val="0"/>
          <w:sz w:val="32"/>
          <w:szCs w:val="32"/>
          <w:lang w:val="en-US" w:eastAsia="zh-CN"/>
        </w:rPr>
        <w:t>718</w:t>
      </w:r>
      <w:r>
        <w:rPr>
          <w:rFonts w:hint="eastAsia" w:ascii="仿宋_GB2312" w:hAnsi="仿宋_GB2312" w:eastAsia="仿宋_GB2312" w:cs="仿宋_GB2312"/>
          <w:color w:val="auto"/>
          <w:spacing w:val="8"/>
          <w:kern w:val="0"/>
          <w:sz w:val="32"/>
          <w:szCs w:val="32"/>
        </w:rPr>
        <w:t>㎡</w:t>
      </w:r>
      <w:r>
        <w:rPr>
          <w:rFonts w:hint="eastAsia" w:ascii="仿宋_GB2312" w:hAnsi="仿宋_GB2312" w:eastAsia="仿宋_GB2312" w:cs="仿宋_GB2312"/>
          <w:color w:val="auto"/>
          <w:spacing w:val="8"/>
          <w:kern w:val="0"/>
          <w:sz w:val="32"/>
          <w:szCs w:val="32"/>
          <w:lang w:eastAsia="zh-CN"/>
        </w:rPr>
        <w:t>、建筑五层、面积约</w:t>
      </w:r>
      <w:r>
        <w:rPr>
          <w:rFonts w:hint="eastAsia" w:ascii="仿宋_GB2312" w:hAnsi="仿宋_GB2312" w:eastAsia="仿宋_GB2312" w:cs="仿宋_GB2312"/>
          <w:color w:val="auto"/>
          <w:spacing w:val="8"/>
          <w:kern w:val="0"/>
          <w:sz w:val="32"/>
          <w:szCs w:val="32"/>
        </w:rPr>
        <w:t>2872㎡</w:t>
      </w:r>
      <w:r>
        <w:rPr>
          <w:rFonts w:hint="eastAsia" w:ascii="仿宋_GB2312" w:hAnsi="仿宋_GB2312" w:eastAsia="仿宋_GB2312" w:cs="仿宋_GB2312"/>
          <w:color w:val="auto"/>
          <w:spacing w:val="8"/>
          <w:kern w:val="0"/>
          <w:sz w:val="32"/>
          <w:szCs w:val="32"/>
          <w:lang w:eastAsia="zh-CN"/>
        </w:rPr>
        <w:t>，</w:t>
      </w:r>
      <w:r>
        <w:rPr>
          <w:rFonts w:hint="eastAsia" w:ascii="仿宋_GB2312" w:hAnsi="仿宋_GB2312" w:eastAsia="仿宋_GB2312" w:cs="仿宋_GB2312"/>
          <w:color w:val="auto"/>
          <w:spacing w:val="8"/>
          <w:kern w:val="0"/>
          <w:sz w:val="32"/>
          <w:szCs w:val="32"/>
        </w:rPr>
        <w:t>审判法庭</w:t>
      </w:r>
      <w:r>
        <w:rPr>
          <w:rFonts w:hint="eastAsia" w:ascii="仿宋_GB2312" w:hAnsi="仿宋_GB2312" w:eastAsia="仿宋_GB2312" w:cs="仿宋_GB2312"/>
          <w:color w:val="auto"/>
          <w:sz w:val="32"/>
          <w:szCs w:val="32"/>
        </w:rPr>
        <w:t>1746</w:t>
      </w:r>
      <w:r>
        <w:rPr>
          <w:rFonts w:hint="eastAsia" w:ascii="仿宋_GB2312" w:hAnsi="仿宋_GB2312" w:eastAsia="仿宋_GB2312" w:cs="仿宋_GB2312"/>
          <w:color w:val="auto"/>
          <w:spacing w:val="8"/>
          <w:kern w:val="0"/>
          <w:sz w:val="32"/>
          <w:szCs w:val="32"/>
        </w:rPr>
        <w:t>㎡、</w:t>
      </w:r>
      <w:r>
        <w:rPr>
          <w:rFonts w:hint="eastAsia" w:ascii="仿宋_GB2312" w:hAnsi="仿宋_GB2312" w:eastAsia="仿宋_GB2312" w:cs="仿宋_GB2312"/>
          <w:color w:val="auto"/>
          <w:spacing w:val="8"/>
          <w:kern w:val="0"/>
          <w:sz w:val="32"/>
          <w:szCs w:val="32"/>
          <w:lang w:eastAsia="zh-CN"/>
        </w:rPr>
        <w:t>执行指挥中心楼（含</w:t>
      </w:r>
      <w:r>
        <w:rPr>
          <w:rFonts w:hint="eastAsia" w:ascii="仿宋_GB2312" w:hAnsi="仿宋_GB2312" w:eastAsia="仿宋_GB2312" w:cs="仿宋_GB2312"/>
          <w:color w:val="auto"/>
          <w:spacing w:val="8"/>
          <w:kern w:val="0"/>
          <w:sz w:val="32"/>
          <w:szCs w:val="32"/>
          <w:lang w:val="en-US" w:eastAsia="zh-CN"/>
        </w:rPr>
        <w:t>审判法庭扩建项目）占地</w:t>
      </w:r>
      <w:r>
        <w:rPr>
          <w:rFonts w:hint="eastAsia" w:ascii="仿宋_GB2312" w:hAnsi="仿宋_GB2312" w:eastAsia="仿宋_GB2312" w:cs="仿宋_GB2312"/>
          <w:color w:val="auto"/>
          <w:sz w:val="32"/>
          <w:szCs w:val="32"/>
          <w:lang w:val="en-US" w:eastAsia="zh-CN"/>
        </w:rPr>
        <w:t>1125</w:t>
      </w:r>
      <w:r>
        <w:rPr>
          <w:rFonts w:hint="eastAsia" w:ascii="仿宋_GB2312" w:hAnsi="仿宋_GB2312" w:eastAsia="仿宋_GB2312" w:cs="仿宋_GB2312"/>
          <w:color w:val="auto"/>
          <w:spacing w:val="8"/>
          <w:kern w:val="0"/>
          <w:sz w:val="32"/>
          <w:szCs w:val="32"/>
        </w:rPr>
        <w:t>㎡</w:t>
      </w:r>
      <w:r>
        <w:rPr>
          <w:rFonts w:hint="eastAsia" w:ascii="仿宋_GB2312" w:hAnsi="仿宋_GB2312" w:eastAsia="仿宋_GB2312" w:cs="仿宋_GB2312"/>
          <w:color w:val="auto"/>
          <w:spacing w:val="8"/>
          <w:kern w:val="0"/>
          <w:sz w:val="32"/>
          <w:szCs w:val="32"/>
          <w:lang w:eastAsia="zh-CN"/>
        </w:rPr>
        <w:t>，建筑面积约</w:t>
      </w:r>
      <w:r>
        <w:rPr>
          <w:rFonts w:hint="eastAsia" w:ascii="仿宋_GB2312" w:hAnsi="仿宋_GB2312" w:eastAsia="仿宋_GB2312" w:cs="仿宋_GB2312"/>
          <w:color w:val="auto"/>
          <w:spacing w:val="8"/>
          <w:kern w:val="0"/>
          <w:sz w:val="32"/>
          <w:szCs w:val="32"/>
          <w:lang w:val="en-US" w:eastAsia="zh-CN"/>
        </w:rPr>
        <w:t>5715.5</w:t>
      </w:r>
      <w:r>
        <w:rPr>
          <w:rFonts w:hint="eastAsia" w:ascii="仿宋_GB2312" w:hAnsi="仿宋_GB2312" w:eastAsia="仿宋_GB2312" w:cs="仿宋_GB2312"/>
          <w:color w:val="auto"/>
          <w:spacing w:val="8"/>
          <w:kern w:val="0"/>
          <w:sz w:val="32"/>
          <w:szCs w:val="32"/>
        </w:rPr>
        <w:t>㎡</w:t>
      </w:r>
      <w:r>
        <w:rPr>
          <w:rFonts w:hint="eastAsia" w:ascii="仿宋_GB2312" w:hAnsi="仿宋_GB2312" w:eastAsia="仿宋_GB2312" w:cs="仿宋_GB2312"/>
          <w:color w:val="auto"/>
          <w:spacing w:val="8"/>
          <w:kern w:val="0"/>
          <w:sz w:val="32"/>
          <w:szCs w:val="32"/>
          <w:lang w:eastAsia="zh-CN"/>
        </w:rPr>
        <w:t>，</w:t>
      </w:r>
      <w:r>
        <w:rPr>
          <w:rFonts w:hint="eastAsia" w:ascii="仿宋_GB2312" w:hAnsi="仿宋_GB2312" w:eastAsia="仿宋_GB2312" w:cs="仿宋_GB2312"/>
          <w:color w:val="auto"/>
          <w:spacing w:val="8"/>
          <w:kern w:val="0"/>
          <w:sz w:val="32"/>
          <w:szCs w:val="32"/>
        </w:rPr>
        <w:t>值班室200㎡、绿化率35%</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lang w:eastAsia="zh-CN"/>
        </w:rPr>
        <w:t>共两</w:t>
      </w:r>
      <w:r>
        <w:rPr>
          <w:rFonts w:hint="eastAsia" w:ascii="仿宋_GB2312" w:hAnsi="仿宋_GB2312" w:eastAsia="仿宋_GB2312" w:cs="仿宋_GB2312"/>
          <w:color w:val="auto"/>
          <w:sz w:val="32"/>
          <w:szCs w:val="32"/>
        </w:rPr>
        <w:t>个出入口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主出入口为正门，侧门为次出入口</w:t>
      </w:r>
      <w:r>
        <w:rPr>
          <w:rFonts w:hint="eastAsia" w:ascii="仿宋_GB2312" w:hAnsi="仿宋_GB2312" w:eastAsia="仿宋_GB2312" w:cs="仿宋_GB2312"/>
          <w:color w:val="auto"/>
          <w:sz w:val="32"/>
          <w:szCs w:val="32"/>
          <w:lang w:eastAsia="zh-CN"/>
        </w:rPr>
        <w:t>。</w:t>
      </w:r>
    </w:p>
    <w:p w14:paraId="53547AAB">
      <w:pPr>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主要设施设备：高、低压配电系统及其配套设备；消防系统及其配套设备；中央空调系统及其配套设备；弱电系统及其配电设备：给、排水系统及其配套设备；电梯系统及其配套设备。</w:t>
      </w:r>
    </w:p>
    <w:p w14:paraId="0B001658">
      <w:pPr>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物业管理人员需求：配置物业管理人员</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人，其中，物业经理1人、</w:t>
      </w:r>
      <w:r>
        <w:rPr>
          <w:rFonts w:hint="eastAsia" w:ascii="仿宋_GB2312" w:hAnsi="仿宋_GB2312" w:eastAsia="仿宋_GB2312" w:cs="仿宋_GB2312"/>
          <w:color w:val="auto"/>
          <w:sz w:val="32"/>
          <w:szCs w:val="32"/>
          <w:lang w:eastAsia="zh-CN"/>
        </w:rPr>
        <w:t>协管队长</w:t>
      </w:r>
      <w:r>
        <w:rPr>
          <w:rFonts w:hint="eastAsia" w:ascii="仿宋_GB2312" w:hAnsi="仿宋_GB2312" w:eastAsia="仿宋_GB2312" w:cs="仿宋_GB2312"/>
          <w:color w:val="auto"/>
          <w:sz w:val="32"/>
          <w:szCs w:val="32"/>
          <w:lang w:val="en-US" w:eastAsia="zh-CN"/>
        </w:rPr>
        <w:t>1人、</w:t>
      </w:r>
      <w:r>
        <w:rPr>
          <w:rFonts w:hint="eastAsia" w:ascii="仿宋_GB2312" w:hAnsi="仿宋_GB2312" w:eastAsia="仿宋_GB2312" w:cs="仿宋_GB2312"/>
          <w:color w:val="auto"/>
          <w:sz w:val="32"/>
          <w:szCs w:val="32"/>
        </w:rPr>
        <w:t>协管员</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人（含搬运办公物品2人）、会议服务员</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人、保洁员</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人、绿化工</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人、工程维修组</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岗位配置条件、职责详见《</w:t>
      </w:r>
      <w:r>
        <w:rPr>
          <w:rFonts w:hint="eastAsia" w:ascii="仿宋_GB2312" w:hAnsi="仿宋_GB2312" w:eastAsia="仿宋_GB2312" w:cs="仿宋_GB2312"/>
          <w:bCs w:val="0"/>
          <w:color w:val="auto"/>
          <w:sz w:val="32"/>
          <w:szCs w:val="32"/>
        </w:rPr>
        <w:t>防城港市</w:t>
      </w:r>
      <w:r>
        <w:rPr>
          <w:rFonts w:hint="eastAsia" w:ascii="仿宋_GB2312" w:hAnsi="仿宋_GB2312" w:eastAsia="仿宋_GB2312" w:cs="仿宋_GB2312"/>
          <w:bCs/>
          <w:color w:val="auto"/>
          <w:sz w:val="32"/>
          <w:szCs w:val="32"/>
        </w:rPr>
        <w:t>中级人民法院</w:t>
      </w:r>
      <w:r>
        <w:rPr>
          <w:rFonts w:hint="eastAsia" w:ascii="仿宋_GB2312" w:hAnsi="仿宋_GB2312" w:eastAsia="仿宋_GB2312" w:cs="仿宋_GB2312"/>
          <w:color w:val="auto"/>
          <w:sz w:val="32"/>
          <w:szCs w:val="32"/>
        </w:rPr>
        <w:t>物业管理人员岗位配置计划表》。</w:t>
      </w:r>
    </w:p>
    <w:p w14:paraId="2B9E3A26">
      <w:pPr>
        <w:pStyle w:val="2"/>
        <w:rPr>
          <w:rFonts w:hint="eastAsia"/>
        </w:rPr>
      </w:pPr>
    </w:p>
    <w:p w14:paraId="08B62764">
      <w:pPr>
        <w:adjustRightInd w:val="0"/>
        <w:snapToGrid w:val="0"/>
        <w:spacing w:line="360" w:lineRule="auto"/>
        <w:jc w:val="center"/>
        <w:rPr>
          <w:rFonts w:hint="eastAsia" w:ascii="仿宋_GB2312" w:hAnsi="仿宋_GB2312" w:eastAsia="仿宋_GB2312" w:cs="仿宋_GB2312"/>
          <w:b w:val="0"/>
          <w:color w:val="auto"/>
          <w:sz w:val="32"/>
          <w:szCs w:val="32"/>
        </w:rPr>
      </w:pPr>
      <w:r>
        <w:rPr>
          <w:rFonts w:hint="eastAsia" w:ascii="仿宋_GB2312" w:hAnsi="仿宋_GB2312" w:eastAsia="仿宋_GB2312" w:cs="仿宋_GB2312"/>
          <w:b w:val="0"/>
          <w:bCs w:val="0"/>
          <w:color w:val="auto"/>
          <w:sz w:val="32"/>
          <w:szCs w:val="32"/>
          <w:u w:val="none"/>
        </w:rPr>
        <w:t>防城港市</w:t>
      </w:r>
      <w:r>
        <w:rPr>
          <w:rFonts w:hint="eastAsia" w:ascii="仿宋_GB2312" w:hAnsi="仿宋_GB2312" w:eastAsia="仿宋_GB2312" w:cs="仿宋_GB2312"/>
          <w:color w:val="auto"/>
          <w:sz w:val="32"/>
          <w:szCs w:val="32"/>
        </w:rPr>
        <w:t>中级</w:t>
      </w:r>
      <w:r>
        <w:rPr>
          <w:rFonts w:hint="eastAsia" w:ascii="仿宋_GB2312" w:hAnsi="仿宋_GB2312" w:eastAsia="仿宋_GB2312" w:cs="仿宋_GB2312"/>
          <w:b w:val="0"/>
          <w:bCs w:val="0"/>
          <w:color w:val="auto"/>
          <w:sz w:val="32"/>
          <w:szCs w:val="32"/>
          <w:u w:val="none"/>
        </w:rPr>
        <w:t>人民</w:t>
      </w:r>
      <w:r>
        <w:rPr>
          <w:rFonts w:hint="eastAsia" w:ascii="仿宋_GB2312" w:hAnsi="仿宋_GB2312" w:eastAsia="仿宋_GB2312" w:cs="仿宋_GB2312"/>
          <w:b w:val="0"/>
          <w:bCs w:val="0"/>
          <w:color w:val="auto"/>
          <w:sz w:val="32"/>
          <w:szCs w:val="32"/>
        </w:rPr>
        <w:t>法院</w:t>
      </w:r>
      <w:r>
        <w:rPr>
          <w:rFonts w:hint="eastAsia" w:ascii="仿宋_GB2312" w:hAnsi="仿宋_GB2312" w:eastAsia="仿宋_GB2312" w:cs="仿宋_GB2312"/>
          <w:b w:val="0"/>
          <w:color w:val="auto"/>
          <w:sz w:val="32"/>
          <w:szCs w:val="32"/>
        </w:rPr>
        <w:t>物业管理人员岗位配置计划表</w:t>
      </w:r>
    </w:p>
    <w:tbl>
      <w:tblPr>
        <w:tblStyle w:val="20"/>
        <w:tblW w:w="9180" w:type="dxa"/>
        <w:tblInd w:w="-345" w:type="dxa"/>
        <w:tblLayout w:type="fixed"/>
        <w:tblCellMar>
          <w:top w:w="0" w:type="dxa"/>
          <w:left w:w="15" w:type="dxa"/>
          <w:bottom w:w="0" w:type="dxa"/>
          <w:right w:w="15" w:type="dxa"/>
        </w:tblCellMar>
      </w:tblPr>
      <w:tblGrid>
        <w:gridCol w:w="580"/>
        <w:gridCol w:w="462"/>
        <w:gridCol w:w="5124"/>
        <w:gridCol w:w="3014"/>
      </w:tblGrid>
      <w:tr w14:paraId="32003275">
        <w:tblPrEx>
          <w:tblCellMar>
            <w:top w:w="0" w:type="dxa"/>
            <w:left w:w="15" w:type="dxa"/>
            <w:bottom w:w="0" w:type="dxa"/>
            <w:right w:w="15" w:type="dxa"/>
          </w:tblCellMar>
        </w:tblPrEx>
        <w:tc>
          <w:tcPr>
            <w:tcW w:w="580" w:type="dxa"/>
            <w:tcBorders>
              <w:top w:val="single" w:color="000000" w:sz="4" w:space="0"/>
              <w:left w:val="single" w:color="000000" w:sz="4" w:space="0"/>
              <w:bottom w:val="single" w:color="000000" w:sz="4" w:space="0"/>
              <w:right w:val="single" w:color="000000" w:sz="4" w:space="0"/>
            </w:tcBorders>
            <w:noWrap w:val="0"/>
            <w:vAlign w:val="center"/>
          </w:tcPr>
          <w:p w14:paraId="749758CA">
            <w:pPr>
              <w:autoSpaceDN w:val="0"/>
              <w:adjustRightInd w:val="0"/>
              <w:snapToGrid w:val="0"/>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岗  位</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14:paraId="681F283D">
            <w:pPr>
              <w:autoSpaceDN w:val="0"/>
              <w:adjustRightInd w:val="0"/>
              <w:snapToGrid w:val="0"/>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人数</w:t>
            </w:r>
          </w:p>
        </w:tc>
        <w:tc>
          <w:tcPr>
            <w:tcW w:w="5124" w:type="dxa"/>
            <w:tcBorders>
              <w:top w:val="single" w:color="000000" w:sz="4" w:space="0"/>
              <w:left w:val="single" w:color="000000" w:sz="4" w:space="0"/>
              <w:bottom w:val="single" w:color="000000" w:sz="4" w:space="0"/>
              <w:right w:val="single" w:color="000000" w:sz="4" w:space="0"/>
            </w:tcBorders>
            <w:noWrap w:val="0"/>
            <w:vAlign w:val="center"/>
          </w:tcPr>
          <w:p w14:paraId="37F0C87A">
            <w:pPr>
              <w:autoSpaceDN w:val="0"/>
              <w:adjustRightInd w:val="0"/>
              <w:snapToGrid w:val="0"/>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条   件</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693A231A">
            <w:pPr>
              <w:autoSpaceDN w:val="0"/>
              <w:adjustRightInd w:val="0"/>
              <w:snapToGrid w:val="0"/>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职    责</w:t>
            </w:r>
          </w:p>
        </w:tc>
      </w:tr>
      <w:tr w14:paraId="0F835F75">
        <w:tblPrEx>
          <w:tblCellMar>
            <w:top w:w="0" w:type="dxa"/>
            <w:left w:w="15" w:type="dxa"/>
            <w:bottom w:w="0" w:type="dxa"/>
            <w:right w:w="15" w:type="dxa"/>
          </w:tblCellMar>
        </w:tblPrEx>
        <w:trPr>
          <w:trHeight w:val="217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0DA62AAA">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物业经理</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14:paraId="374AF9E9">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5124" w:type="dxa"/>
            <w:tcBorders>
              <w:top w:val="single" w:color="000000" w:sz="4" w:space="0"/>
              <w:left w:val="single" w:color="000000" w:sz="4" w:space="0"/>
              <w:bottom w:val="single" w:color="000000" w:sz="4" w:space="0"/>
              <w:right w:val="single" w:color="000000" w:sz="4" w:space="0"/>
            </w:tcBorders>
            <w:noWrap w:val="0"/>
            <w:vAlign w:val="center"/>
          </w:tcPr>
          <w:p w14:paraId="74C070C3">
            <w:pPr>
              <w:autoSpaceDN w:val="0"/>
              <w:adjustRightInd w:val="0"/>
              <w:snapToGrid w:val="0"/>
              <w:spacing w:line="240" w:lineRule="exact"/>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政治思想素质过硬，责任心强，身体健康，五官端正，仪表仪态良好，年龄50岁</w:t>
            </w:r>
            <w:r>
              <w:rPr>
                <w:rFonts w:hint="eastAsia" w:ascii="仿宋_GB2312" w:hAnsi="仿宋_GB2312" w:eastAsia="仿宋_GB2312" w:cs="仿宋_GB2312"/>
                <w:color w:val="auto"/>
                <w:sz w:val="24"/>
                <w:szCs w:val="24"/>
                <w:lang w:val="en-US" w:eastAsia="zh-CN"/>
              </w:rPr>
              <w:t>以下</w:t>
            </w:r>
            <w:r>
              <w:rPr>
                <w:rFonts w:hint="eastAsia" w:ascii="仿宋_GB2312" w:hAnsi="仿宋_GB2312" w:eastAsia="仿宋_GB2312" w:cs="仿宋_GB2312"/>
                <w:color w:val="auto"/>
                <w:sz w:val="24"/>
                <w:szCs w:val="24"/>
              </w:rPr>
              <w:t>，大专以上学历，管理类相关专业，持有物业经理上岗证，有较强的组织和管理能力；熟悉物业管理服务法规、规范，对物业行业有全面了解，并有自己的独到见解，具备独立运作物业管理能力，能够独立掌控各项工作的执行，精通各类文书、档案管理和房屋管理工作</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能独立完成项目秩序维护、设备维修、技术指导等工作。须在投标文件中附相关证书复印件</w:t>
            </w:r>
            <w:r>
              <w:rPr>
                <w:rFonts w:hint="eastAsia" w:ascii="仿宋_GB2312" w:hAnsi="仿宋_GB2312" w:eastAsia="仿宋_GB2312" w:cs="仿宋_GB2312"/>
                <w:color w:val="auto"/>
                <w:sz w:val="24"/>
                <w:szCs w:val="24"/>
                <w:lang w:val="en-US" w:eastAsia="zh-CN"/>
              </w:rPr>
              <w:t>并加盖供应商电子公章，否则按无效投标处理。</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2025762C">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负责统筹指挥、管理、机关安保、保洁、会务、绿化、工程维修等物业服务工作；与</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加强沟通联系和协调等。</w:t>
            </w:r>
          </w:p>
        </w:tc>
      </w:tr>
      <w:tr w14:paraId="12C1F562">
        <w:tblPrEx>
          <w:tblCellMar>
            <w:top w:w="0" w:type="dxa"/>
            <w:left w:w="15" w:type="dxa"/>
            <w:bottom w:w="0" w:type="dxa"/>
            <w:right w:w="15" w:type="dxa"/>
          </w:tblCellMar>
        </w:tblPrEx>
        <w:trPr>
          <w:trHeight w:val="1555" w:hRule="atLeast"/>
        </w:trPr>
        <w:tc>
          <w:tcPr>
            <w:tcW w:w="580" w:type="dxa"/>
            <w:tcBorders>
              <w:top w:val="single" w:color="000000" w:sz="4" w:space="0"/>
              <w:left w:val="single" w:color="auto" w:sz="4" w:space="0"/>
              <w:bottom w:val="single" w:color="000000" w:sz="4" w:space="0"/>
              <w:right w:val="single" w:color="000000" w:sz="4" w:space="0"/>
            </w:tcBorders>
            <w:noWrap w:val="0"/>
            <w:vAlign w:val="center"/>
          </w:tcPr>
          <w:p w14:paraId="08D35214">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协管队长</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14:paraId="4AA3A281">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5124" w:type="dxa"/>
            <w:tcBorders>
              <w:top w:val="single" w:color="000000" w:sz="4" w:space="0"/>
              <w:left w:val="single" w:color="000000" w:sz="4" w:space="0"/>
              <w:bottom w:val="single" w:color="000000" w:sz="4" w:space="0"/>
              <w:right w:val="single" w:color="000000" w:sz="4" w:space="0"/>
            </w:tcBorders>
            <w:noWrap w:val="0"/>
            <w:vAlign w:val="center"/>
          </w:tcPr>
          <w:p w14:paraId="6FED41A8">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年龄50岁</w:t>
            </w:r>
            <w:r>
              <w:rPr>
                <w:rFonts w:hint="eastAsia" w:ascii="仿宋_GB2312" w:hAnsi="仿宋_GB2312" w:eastAsia="仿宋_GB2312" w:cs="仿宋_GB2312"/>
                <w:color w:val="auto"/>
                <w:sz w:val="24"/>
                <w:szCs w:val="24"/>
                <w:lang w:val="en-US" w:eastAsia="zh-CN"/>
              </w:rPr>
              <w:t>以下</w:t>
            </w:r>
            <w:r>
              <w:rPr>
                <w:rFonts w:hint="eastAsia" w:ascii="仿宋_GB2312" w:hAnsi="仿宋_GB2312" w:eastAsia="仿宋_GB2312" w:cs="仿宋_GB2312"/>
                <w:color w:val="auto"/>
                <w:sz w:val="24"/>
                <w:szCs w:val="24"/>
              </w:rPr>
              <w:t>，高中以上文化程度，</w:t>
            </w:r>
            <w:r>
              <w:rPr>
                <w:rFonts w:hint="eastAsia" w:ascii="仿宋_GB2312" w:hAnsi="仿宋_GB2312" w:eastAsia="仿宋_GB2312" w:cs="仿宋_GB2312"/>
                <w:color w:val="auto"/>
                <w:sz w:val="24"/>
                <w:szCs w:val="24"/>
                <w:lang w:eastAsia="zh-CN"/>
              </w:rPr>
              <w:t>责任心强</w:t>
            </w:r>
            <w:r>
              <w:rPr>
                <w:rFonts w:hint="eastAsia" w:ascii="仿宋_GB2312" w:hAnsi="仿宋_GB2312" w:eastAsia="仿宋_GB2312" w:cs="仿宋_GB2312"/>
                <w:color w:val="auto"/>
                <w:sz w:val="24"/>
                <w:szCs w:val="24"/>
              </w:rPr>
              <w:t>，身体健康；熟悉治安管理法律、法规；精通秩序维护专业知识；较强的军事管理能力及各项军事项目操作能力；作风正派，为人正直，处事果断</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有较强的组织协调和管理能力。</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17A1A7ED">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负责管理区域范围内安全保卫工作的统筹安排、监督检查和管理等工作，每天人员、车辆出入秩序维护；不定时对各楼层秩序情况进行巡查。</w:t>
            </w:r>
          </w:p>
        </w:tc>
      </w:tr>
      <w:tr w14:paraId="6DA55491">
        <w:tblPrEx>
          <w:tblCellMar>
            <w:top w:w="0" w:type="dxa"/>
            <w:left w:w="15" w:type="dxa"/>
            <w:bottom w:w="0" w:type="dxa"/>
            <w:right w:w="15" w:type="dxa"/>
          </w:tblCellMar>
        </w:tblPrEx>
        <w:trPr>
          <w:trHeight w:val="1809" w:hRule="atLeast"/>
        </w:trPr>
        <w:tc>
          <w:tcPr>
            <w:tcW w:w="580" w:type="dxa"/>
            <w:tcBorders>
              <w:top w:val="single" w:color="000000" w:sz="4" w:space="0"/>
              <w:left w:val="single" w:color="auto" w:sz="4" w:space="0"/>
              <w:bottom w:val="single" w:color="000000" w:sz="4" w:space="0"/>
              <w:right w:val="single" w:color="000000" w:sz="4" w:space="0"/>
            </w:tcBorders>
            <w:noWrap w:val="0"/>
            <w:vAlign w:val="center"/>
          </w:tcPr>
          <w:p w14:paraId="6EB6BA76">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正门岗协管员</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14:paraId="2D876515">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5124" w:type="dxa"/>
            <w:tcBorders>
              <w:top w:val="single" w:color="000000" w:sz="4" w:space="0"/>
              <w:left w:val="single" w:color="000000" w:sz="4" w:space="0"/>
              <w:bottom w:val="single" w:color="000000" w:sz="4" w:space="0"/>
              <w:right w:val="single" w:color="000000" w:sz="4" w:space="0"/>
            </w:tcBorders>
            <w:noWrap w:val="0"/>
            <w:vAlign w:val="center"/>
          </w:tcPr>
          <w:p w14:paraId="58EC7CC4">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年龄50岁</w:t>
            </w:r>
            <w:r>
              <w:rPr>
                <w:rFonts w:hint="eastAsia" w:ascii="仿宋_GB2312" w:hAnsi="仿宋_GB2312" w:eastAsia="仿宋_GB2312" w:cs="仿宋_GB2312"/>
                <w:color w:val="auto"/>
                <w:sz w:val="24"/>
                <w:szCs w:val="24"/>
                <w:lang w:val="en-US" w:eastAsia="zh-CN"/>
              </w:rPr>
              <w:t>以下</w:t>
            </w:r>
            <w:r>
              <w:rPr>
                <w:rFonts w:hint="eastAsia" w:ascii="仿宋_GB2312" w:hAnsi="仿宋_GB2312" w:eastAsia="仿宋_GB2312" w:cs="仿宋_GB2312"/>
                <w:color w:val="auto"/>
                <w:sz w:val="24"/>
                <w:szCs w:val="24"/>
              </w:rPr>
              <w:t>，体检合格；政治素质高，初中以上文化程度</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身体素质好，反应灵敏，身体健康、品貌端正，品行优良、纪律性强，工作认真负责，作风正派，能吃苦耐劳，无不良记录</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有较强的组织协调能力</w:t>
            </w:r>
            <w:r>
              <w:rPr>
                <w:rFonts w:hint="eastAsia" w:ascii="仿宋_GB2312" w:hAnsi="仿宋_GB2312" w:eastAsia="仿宋_GB2312" w:cs="仿宋_GB2312"/>
                <w:color w:val="auto"/>
                <w:sz w:val="24"/>
                <w:szCs w:val="24"/>
                <w:lang w:eastAsia="zh-CN"/>
              </w:rPr>
              <w:t>。</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717B22F9">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负责外来人员、车辆的登记以及出入区域的各种物品管理登记，做好相关解释工作；每天人员、车辆出入秩序维护；防止无关人员进入或闯入办公区；预防各类自然灾害和处理各类突发事件。</w:t>
            </w:r>
          </w:p>
        </w:tc>
      </w:tr>
      <w:tr w14:paraId="673F3A87">
        <w:tblPrEx>
          <w:tblCellMar>
            <w:top w:w="0" w:type="dxa"/>
            <w:left w:w="15" w:type="dxa"/>
            <w:bottom w:w="0" w:type="dxa"/>
            <w:right w:w="15" w:type="dxa"/>
          </w:tblCellMar>
        </w:tblPrEx>
        <w:trPr>
          <w:trHeight w:val="1778" w:hRule="atLeast"/>
        </w:trPr>
        <w:tc>
          <w:tcPr>
            <w:tcW w:w="580" w:type="dxa"/>
            <w:tcBorders>
              <w:top w:val="single" w:color="000000" w:sz="4" w:space="0"/>
              <w:left w:val="single" w:color="auto" w:sz="4" w:space="0"/>
              <w:bottom w:val="single" w:color="000000" w:sz="4" w:space="0"/>
              <w:right w:val="single" w:color="000000" w:sz="4" w:space="0"/>
            </w:tcBorders>
            <w:noWrap w:val="0"/>
            <w:vAlign w:val="center"/>
          </w:tcPr>
          <w:p w14:paraId="2B7C4217">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侧门岗协管员</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14:paraId="25AB080B">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5124" w:type="dxa"/>
            <w:tcBorders>
              <w:top w:val="single" w:color="000000" w:sz="4" w:space="0"/>
              <w:left w:val="single" w:color="000000" w:sz="4" w:space="0"/>
              <w:bottom w:val="single" w:color="000000" w:sz="4" w:space="0"/>
              <w:right w:val="single" w:color="000000" w:sz="4" w:space="0"/>
            </w:tcBorders>
            <w:noWrap w:val="0"/>
            <w:vAlign w:val="center"/>
          </w:tcPr>
          <w:p w14:paraId="44672D5E">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年龄50岁</w:t>
            </w:r>
            <w:r>
              <w:rPr>
                <w:rFonts w:hint="eastAsia" w:ascii="仿宋_GB2312" w:hAnsi="仿宋_GB2312" w:eastAsia="仿宋_GB2312" w:cs="仿宋_GB2312"/>
                <w:color w:val="auto"/>
                <w:sz w:val="24"/>
                <w:szCs w:val="24"/>
                <w:lang w:val="en-US" w:eastAsia="zh-CN"/>
              </w:rPr>
              <w:t>以下</w:t>
            </w:r>
            <w:r>
              <w:rPr>
                <w:rFonts w:hint="eastAsia" w:ascii="仿宋_GB2312" w:hAnsi="仿宋_GB2312" w:eastAsia="仿宋_GB2312" w:cs="仿宋_GB2312"/>
                <w:color w:val="auto"/>
                <w:sz w:val="24"/>
                <w:szCs w:val="24"/>
              </w:rPr>
              <w:t>，体检合格；政治素质高，初中以上文化程度，身体素质好，反应灵敏，身体健康、品貌端正，品行优良、纪律性强，工作认真负责，作风正派，能吃苦耐劳，无不良记录</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有较强的组织协调能力</w:t>
            </w:r>
            <w:r>
              <w:rPr>
                <w:rFonts w:hint="eastAsia" w:ascii="仿宋_GB2312" w:hAnsi="仿宋_GB2312" w:eastAsia="仿宋_GB2312" w:cs="仿宋_GB2312"/>
                <w:color w:val="auto"/>
                <w:sz w:val="24"/>
                <w:szCs w:val="24"/>
                <w:lang w:eastAsia="zh-CN"/>
              </w:rPr>
              <w:t>。</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33CC1ECF">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负责外来人员、车辆的登记以及出入区域的各种物品管理登记，做好相关解释工作；每天人员、车辆出入秩序维护；防止无关人员进入或闯入办公区；预防各类自然灾害和处理各类突发事件。</w:t>
            </w:r>
          </w:p>
        </w:tc>
      </w:tr>
      <w:tr w14:paraId="1209BED7">
        <w:tblPrEx>
          <w:tblCellMar>
            <w:top w:w="0" w:type="dxa"/>
            <w:left w:w="15" w:type="dxa"/>
            <w:bottom w:w="0" w:type="dxa"/>
            <w:right w:w="15" w:type="dxa"/>
          </w:tblCellMar>
        </w:tblPrEx>
        <w:trPr>
          <w:trHeight w:val="1342" w:hRule="atLeast"/>
        </w:trPr>
        <w:tc>
          <w:tcPr>
            <w:tcW w:w="580" w:type="dxa"/>
            <w:tcBorders>
              <w:top w:val="single" w:color="000000" w:sz="4" w:space="0"/>
              <w:left w:val="single" w:color="auto" w:sz="4" w:space="0"/>
              <w:bottom w:val="single" w:color="000000" w:sz="4" w:space="0"/>
              <w:right w:val="single" w:color="000000" w:sz="4" w:space="0"/>
            </w:tcBorders>
            <w:noWrap w:val="0"/>
            <w:vAlign w:val="center"/>
          </w:tcPr>
          <w:p w14:paraId="7623AF28">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巡逻员</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14:paraId="28903B29">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p>
        </w:tc>
        <w:tc>
          <w:tcPr>
            <w:tcW w:w="5124" w:type="dxa"/>
            <w:tcBorders>
              <w:top w:val="single" w:color="000000" w:sz="4" w:space="0"/>
              <w:left w:val="single" w:color="000000" w:sz="4" w:space="0"/>
              <w:bottom w:val="single" w:color="000000" w:sz="4" w:space="0"/>
              <w:right w:val="single" w:color="000000" w:sz="4" w:space="0"/>
            </w:tcBorders>
            <w:noWrap w:val="0"/>
            <w:vAlign w:val="center"/>
          </w:tcPr>
          <w:p w14:paraId="2F07E361">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年龄50岁</w:t>
            </w:r>
            <w:r>
              <w:rPr>
                <w:rFonts w:hint="eastAsia" w:ascii="仿宋_GB2312" w:hAnsi="仿宋_GB2312" w:eastAsia="仿宋_GB2312" w:cs="仿宋_GB2312"/>
                <w:color w:val="auto"/>
                <w:sz w:val="24"/>
                <w:szCs w:val="24"/>
                <w:lang w:val="en-US" w:eastAsia="zh-CN"/>
              </w:rPr>
              <w:t>以下</w:t>
            </w:r>
            <w:r>
              <w:rPr>
                <w:rFonts w:hint="eastAsia" w:ascii="仿宋_GB2312" w:hAnsi="仿宋_GB2312" w:eastAsia="仿宋_GB2312" w:cs="仿宋_GB2312"/>
                <w:color w:val="auto"/>
                <w:sz w:val="24"/>
                <w:szCs w:val="24"/>
              </w:rPr>
              <w:t>，体检合格；政治素质高，初中以上文化程度</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身体素质好，反应灵敏，身体健康、品貌端正，品行优良、纪律性强，工作认真负责，作风正派，能吃苦耐劳，无不良记录</w:t>
            </w:r>
            <w:r>
              <w:rPr>
                <w:rFonts w:hint="eastAsia" w:ascii="仿宋_GB2312" w:hAnsi="仿宋_GB2312" w:eastAsia="仿宋_GB2312" w:cs="仿宋_GB2312"/>
                <w:color w:val="auto"/>
                <w:sz w:val="24"/>
                <w:szCs w:val="24"/>
                <w:lang w:eastAsia="zh-CN"/>
              </w:rPr>
              <w:t>。</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1D182174">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负责综合业务大楼内外安全管理和日常巡逻检查以及下班后楼内安全、水电等巡查</w:t>
            </w:r>
            <w:r>
              <w:rPr>
                <w:rFonts w:hint="eastAsia" w:ascii="仿宋_GB2312" w:hAnsi="仿宋_GB2312" w:eastAsia="仿宋_GB2312" w:cs="仿宋_GB2312"/>
                <w:color w:val="auto"/>
                <w:sz w:val="24"/>
                <w:szCs w:val="24"/>
                <w:lang w:eastAsia="zh-CN"/>
              </w:rPr>
              <w:t>，及时报告和处理情况</w:t>
            </w:r>
            <w:r>
              <w:rPr>
                <w:rFonts w:hint="eastAsia" w:ascii="仿宋_GB2312" w:hAnsi="仿宋_GB2312" w:eastAsia="仿宋_GB2312" w:cs="仿宋_GB2312"/>
                <w:color w:val="auto"/>
                <w:sz w:val="24"/>
                <w:szCs w:val="24"/>
              </w:rPr>
              <w:t>。</w:t>
            </w:r>
          </w:p>
        </w:tc>
      </w:tr>
      <w:tr w14:paraId="6F31977C">
        <w:tblPrEx>
          <w:tblCellMar>
            <w:top w:w="0" w:type="dxa"/>
            <w:left w:w="15" w:type="dxa"/>
            <w:bottom w:w="0" w:type="dxa"/>
            <w:right w:w="15" w:type="dxa"/>
          </w:tblCellMar>
        </w:tblPrEx>
        <w:trPr>
          <w:trHeight w:val="1122" w:hRule="atLeast"/>
        </w:trPr>
        <w:tc>
          <w:tcPr>
            <w:tcW w:w="580" w:type="dxa"/>
            <w:tcBorders>
              <w:top w:val="single" w:color="000000" w:sz="4" w:space="0"/>
              <w:left w:val="single" w:color="auto" w:sz="4" w:space="0"/>
              <w:bottom w:val="single" w:color="000000" w:sz="4" w:space="0"/>
              <w:right w:val="single" w:color="000000" w:sz="4" w:space="0"/>
            </w:tcBorders>
            <w:noWrap w:val="0"/>
            <w:vAlign w:val="center"/>
          </w:tcPr>
          <w:p w14:paraId="44EFBD5D">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轮休协管员</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14:paraId="34128DBB">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5124" w:type="dxa"/>
            <w:tcBorders>
              <w:top w:val="single" w:color="000000" w:sz="4" w:space="0"/>
              <w:left w:val="single" w:color="000000" w:sz="4" w:space="0"/>
              <w:bottom w:val="single" w:color="000000" w:sz="4" w:space="0"/>
              <w:right w:val="single" w:color="000000" w:sz="4" w:space="0"/>
            </w:tcBorders>
            <w:noWrap w:val="0"/>
            <w:vAlign w:val="center"/>
          </w:tcPr>
          <w:p w14:paraId="0594B9D7">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年龄50岁</w:t>
            </w:r>
            <w:r>
              <w:rPr>
                <w:rFonts w:hint="eastAsia" w:ascii="仿宋_GB2312" w:hAnsi="仿宋_GB2312" w:eastAsia="仿宋_GB2312" w:cs="仿宋_GB2312"/>
                <w:color w:val="auto"/>
                <w:sz w:val="24"/>
                <w:szCs w:val="24"/>
                <w:lang w:val="en-US" w:eastAsia="zh-CN"/>
              </w:rPr>
              <w:t>以下</w:t>
            </w:r>
            <w:r>
              <w:rPr>
                <w:rFonts w:hint="eastAsia" w:ascii="仿宋_GB2312" w:hAnsi="仿宋_GB2312" w:eastAsia="仿宋_GB2312" w:cs="仿宋_GB2312"/>
                <w:color w:val="auto"/>
                <w:sz w:val="24"/>
                <w:szCs w:val="24"/>
              </w:rPr>
              <w:t>，体检合格；政治素质高，初中以上文化程度，身体素质好，反应灵敏，身体健康、品貌端正，品行优良、纪律性强，工作认真负责，作风正派，能吃苦耐劳，无不良记录</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有较强的组织协调能力</w:t>
            </w:r>
            <w:r>
              <w:rPr>
                <w:rFonts w:hint="eastAsia" w:ascii="仿宋_GB2312" w:hAnsi="仿宋_GB2312" w:eastAsia="仿宋_GB2312" w:cs="仿宋_GB2312"/>
                <w:color w:val="auto"/>
                <w:sz w:val="24"/>
                <w:szCs w:val="24"/>
                <w:lang w:eastAsia="zh-CN"/>
              </w:rPr>
              <w:t>。</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49134A8E">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负责各岗位值班员的轮休，每日担负机动备勤，协助处理突发情况。</w:t>
            </w:r>
          </w:p>
        </w:tc>
      </w:tr>
      <w:tr w14:paraId="2366E356">
        <w:tblPrEx>
          <w:tblCellMar>
            <w:top w:w="0" w:type="dxa"/>
            <w:left w:w="15" w:type="dxa"/>
            <w:bottom w:w="0" w:type="dxa"/>
            <w:right w:w="15" w:type="dxa"/>
          </w:tblCellMar>
        </w:tblPrEx>
        <w:trPr>
          <w:trHeight w:val="908"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7C0A2DD0">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会议服务员</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14:paraId="4B3E4EE0">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5124" w:type="dxa"/>
            <w:tcBorders>
              <w:top w:val="single" w:color="000000" w:sz="4" w:space="0"/>
              <w:left w:val="single" w:color="000000" w:sz="4" w:space="0"/>
              <w:bottom w:val="single" w:color="000000" w:sz="4" w:space="0"/>
              <w:right w:val="single" w:color="000000" w:sz="4" w:space="0"/>
            </w:tcBorders>
            <w:noWrap w:val="0"/>
            <w:vAlign w:val="center"/>
          </w:tcPr>
          <w:p w14:paraId="50A53CE3">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初中以上文化程度，年龄</w:t>
            </w:r>
            <w:r>
              <w:rPr>
                <w:rFonts w:hint="eastAsia" w:ascii="仿宋_GB2312" w:hAnsi="仿宋_GB2312" w:eastAsia="仿宋_GB2312" w:cs="仿宋_GB2312"/>
                <w:color w:val="auto"/>
                <w:sz w:val="24"/>
                <w:szCs w:val="24"/>
                <w:lang w:val="en-US" w:eastAsia="zh-CN"/>
              </w:rPr>
              <w:t>45岁以下</w:t>
            </w:r>
            <w:r>
              <w:rPr>
                <w:rFonts w:hint="eastAsia" w:ascii="仿宋_GB2312" w:hAnsi="仿宋_GB2312" w:eastAsia="仿宋_GB2312" w:cs="仿宋_GB2312"/>
                <w:color w:val="auto"/>
                <w:sz w:val="24"/>
                <w:szCs w:val="24"/>
              </w:rPr>
              <w:t>，身体健康；组织纪律观念强，敬业精神好，任劳任怨，工作认真细致</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熟悉会议服务</w:t>
            </w:r>
            <w:r>
              <w:rPr>
                <w:rFonts w:hint="eastAsia" w:ascii="仿宋_GB2312" w:hAnsi="仿宋_GB2312" w:eastAsia="仿宋_GB2312" w:cs="仿宋_GB2312"/>
                <w:color w:val="auto"/>
                <w:sz w:val="24"/>
                <w:szCs w:val="24"/>
                <w:lang w:eastAsia="zh-CN"/>
              </w:rPr>
              <w:t>和接待</w:t>
            </w:r>
            <w:r>
              <w:rPr>
                <w:rFonts w:hint="eastAsia" w:ascii="仿宋_GB2312" w:hAnsi="仿宋_GB2312" w:eastAsia="仿宋_GB2312" w:cs="仿宋_GB2312"/>
                <w:color w:val="auto"/>
                <w:sz w:val="24"/>
                <w:szCs w:val="24"/>
              </w:rPr>
              <w:t>的礼仪、流程。</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4DF67E69">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负责</w:t>
            </w:r>
            <w:r>
              <w:rPr>
                <w:rFonts w:hint="eastAsia" w:ascii="仿宋_GB2312" w:hAnsi="仿宋_GB2312" w:eastAsia="仿宋_GB2312" w:cs="仿宋_GB2312"/>
                <w:color w:val="auto"/>
                <w:sz w:val="24"/>
                <w:szCs w:val="24"/>
              </w:rPr>
              <w:t>日常接待、会务保障、</w:t>
            </w:r>
            <w:r>
              <w:rPr>
                <w:rFonts w:hint="eastAsia" w:ascii="仿宋_GB2312" w:hAnsi="仿宋_GB2312" w:eastAsia="仿宋_GB2312" w:cs="仿宋_GB2312"/>
                <w:color w:val="auto"/>
                <w:sz w:val="24"/>
                <w:szCs w:val="24"/>
                <w:lang w:eastAsia="zh-CN"/>
              </w:rPr>
              <w:t>公务接待</w:t>
            </w:r>
            <w:r>
              <w:rPr>
                <w:rFonts w:hint="eastAsia" w:ascii="仿宋_GB2312" w:hAnsi="仿宋_GB2312" w:eastAsia="仿宋_GB2312" w:cs="仿宋_GB2312"/>
                <w:color w:val="auto"/>
                <w:sz w:val="24"/>
                <w:szCs w:val="24"/>
              </w:rPr>
              <w:t>用餐保障</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巡视管理、资料归档管理等工作</w:t>
            </w:r>
            <w:r>
              <w:rPr>
                <w:rFonts w:hint="eastAsia" w:ascii="仿宋_GB2312" w:hAnsi="仿宋_GB2312" w:eastAsia="仿宋_GB2312" w:cs="仿宋_GB2312"/>
                <w:color w:val="auto"/>
                <w:sz w:val="24"/>
                <w:szCs w:val="24"/>
                <w:lang w:eastAsia="zh-CN"/>
              </w:rPr>
              <w:t>。</w:t>
            </w:r>
          </w:p>
        </w:tc>
      </w:tr>
      <w:tr w14:paraId="35BC1591">
        <w:tblPrEx>
          <w:tblCellMar>
            <w:top w:w="0" w:type="dxa"/>
            <w:left w:w="15" w:type="dxa"/>
            <w:bottom w:w="0" w:type="dxa"/>
            <w:right w:w="15" w:type="dxa"/>
          </w:tblCellMar>
        </w:tblPrEx>
        <w:trPr>
          <w:trHeight w:val="984"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1CD0E22B">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保洁员</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14:paraId="5534189F">
            <w:pPr>
              <w:autoSpaceDN w:val="0"/>
              <w:adjustRightInd w:val="0"/>
              <w:snapToGrid w:val="0"/>
              <w:spacing w:line="240" w:lineRule="exact"/>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w:t>
            </w:r>
          </w:p>
        </w:tc>
        <w:tc>
          <w:tcPr>
            <w:tcW w:w="5124" w:type="dxa"/>
            <w:tcBorders>
              <w:top w:val="single" w:color="000000" w:sz="4" w:space="0"/>
              <w:left w:val="single" w:color="000000" w:sz="4" w:space="0"/>
              <w:bottom w:val="single" w:color="000000" w:sz="4" w:space="0"/>
              <w:right w:val="single" w:color="000000" w:sz="4" w:space="0"/>
            </w:tcBorders>
            <w:noWrap w:val="0"/>
            <w:vAlign w:val="center"/>
          </w:tcPr>
          <w:p w14:paraId="770504D2">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初中以上文化程度，年龄</w:t>
            </w:r>
            <w:r>
              <w:rPr>
                <w:rFonts w:hint="eastAsia" w:ascii="仿宋_GB2312" w:hAnsi="仿宋_GB2312" w:eastAsia="仿宋_GB2312" w:cs="仿宋_GB2312"/>
                <w:color w:val="auto"/>
                <w:sz w:val="24"/>
                <w:szCs w:val="24"/>
                <w:lang w:val="en-US" w:eastAsia="zh-CN"/>
              </w:rPr>
              <w:t>55岁以下</w:t>
            </w:r>
            <w:r>
              <w:rPr>
                <w:rFonts w:hint="eastAsia" w:ascii="仿宋_GB2312" w:hAnsi="仿宋_GB2312" w:eastAsia="仿宋_GB2312" w:cs="仿宋_GB2312"/>
                <w:color w:val="auto"/>
                <w:sz w:val="24"/>
                <w:szCs w:val="24"/>
              </w:rPr>
              <w:t>，身体健康；组织纪律观念强，敬业精神好，任劳任怨，工作认真细致，熟悉设备、用品的操作规程。</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6275D1D6">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负责各自管理区域内的卫生清洁工作；做好机关大院公共卫生清洁工作；协助搞好领导办公室卫生。</w:t>
            </w:r>
          </w:p>
        </w:tc>
      </w:tr>
      <w:tr w14:paraId="77DAAE9A">
        <w:tblPrEx>
          <w:tblCellMar>
            <w:top w:w="0" w:type="dxa"/>
            <w:left w:w="15" w:type="dxa"/>
            <w:bottom w:w="0" w:type="dxa"/>
            <w:right w:w="15" w:type="dxa"/>
          </w:tblCellMar>
        </w:tblPrEx>
        <w:trPr>
          <w:trHeight w:val="1092"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33B27D3E">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绿化员</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14:paraId="1BD96373">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5124" w:type="dxa"/>
            <w:tcBorders>
              <w:top w:val="single" w:color="000000" w:sz="4" w:space="0"/>
              <w:left w:val="single" w:color="000000" w:sz="4" w:space="0"/>
              <w:bottom w:val="single" w:color="000000" w:sz="4" w:space="0"/>
              <w:right w:val="single" w:color="000000" w:sz="4" w:space="0"/>
            </w:tcBorders>
            <w:noWrap w:val="0"/>
            <w:vAlign w:val="center"/>
          </w:tcPr>
          <w:p w14:paraId="14DFAAF9">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初中以上文化程度，</w:t>
            </w:r>
            <w:r>
              <w:rPr>
                <w:rFonts w:hint="eastAsia" w:ascii="仿宋_GB2312" w:hAnsi="仿宋_GB2312" w:eastAsia="仿宋_GB2312" w:cs="仿宋_GB2312"/>
                <w:color w:val="auto"/>
                <w:sz w:val="24"/>
                <w:szCs w:val="24"/>
                <w:lang w:val="en-US" w:eastAsia="zh-CN"/>
              </w:rPr>
              <w:t>年龄</w:t>
            </w:r>
            <w:r>
              <w:rPr>
                <w:rFonts w:hint="eastAsia" w:ascii="仿宋_GB2312" w:hAnsi="仿宋_GB2312" w:eastAsia="仿宋_GB2312" w:cs="仿宋_GB2312"/>
                <w:color w:val="auto"/>
                <w:sz w:val="24"/>
                <w:szCs w:val="24"/>
              </w:rPr>
              <w:t>55岁</w:t>
            </w:r>
            <w:r>
              <w:rPr>
                <w:rFonts w:hint="eastAsia" w:ascii="仿宋_GB2312" w:hAnsi="仿宋_GB2312" w:eastAsia="仿宋_GB2312" w:cs="仿宋_GB2312"/>
                <w:color w:val="auto"/>
                <w:sz w:val="24"/>
                <w:szCs w:val="24"/>
                <w:lang w:val="en-US" w:eastAsia="zh-CN"/>
              </w:rPr>
              <w:t>以下</w:t>
            </w:r>
            <w:r>
              <w:rPr>
                <w:rFonts w:hint="eastAsia" w:ascii="仿宋_GB2312" w:hAnsi="仿宋_GB2312" w:eastAsia="仿宋_GB2312" w:cs="仿宋_GB2312"/>
                <w:color w:val="auto"/>
                <w:sz w:val="24"/>
                <w:szCs w:val="24"/>
              </w:rPr>
              <w:t>，身体健康；组织纪律观念强，敬业精神好，任劳任怨，工作认真细致</w:t>
            </w:r>
            <w:r>
              <w:rPr>
                <w:rFonts w:hint="eastAsia" w:ascii="仿宋_GB2312" w:hAnsi="仿宋_GB2312" w:eastAsia="仿宋_GB2312" w:cs="仿宋_GB2312"/>
                <w:color w:val="auto"/>
                <w:sz w:val="24"/>
                <w:szCs w:val="24"/>
                <w:lang w:eastAsia="zh-CN"/>
              </w:rPr>
              <w:t>，有园林养护工作经验</w:t>
            </w:r>
            <w:r>
              <w:rPr>
                <w:rFonts w:hint="eastAsia" w:ascii="仿宋_GB2312" w:hAnsi="仿宋_GB2312" w:eastAsia="仿宋_GB2312" w:cs="仿宋_GB2312"/>
                <w:color w:val="auto"/>
                <w:sz w:val="24"/>
                <w:szCs w:val="24"/>
              </w:rPr>
              <w:t>，熟悉设备、用品的操作规程。</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50C3B3AC">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负责管理区域内的保洁工作和绿化养护、维护及绿化垃圾清理工作。</w:t>
            </w:r>
          </w:p>
        </w:tc>
      </w:tr>
      <w:tr w14:paraId="3D4EA710">
        <w:tblPrEx>
          <w:tblCellMar>
            <w:top w:w="0" w:type="dxa"/>
            <w:left w:w="15" w:type="dxa"/>
            <w:bottom w:w="0" w:type="dxa"/>
            <w:right w:w="15" w:type="dxa"/>
          </w:tblCellMar>
        </w:tblPrEx>
        <w:trPr>
          <w:trHeight w:val="1292" w:hRule="atLeast"/>
        </w:trPr>
        <w:tc>
          <w:tcPr>
            <w:tcW w:w="580" w:type="dxa"/>
            <w:tcBorders>
              <w:top w:val="single" w:color="000000" w:sz="4" w:space="0"/>
              <w:left w:val="single" w:color="000000" w:sz="4" w:space="0"/>
              <w:bottom w:val="single" w:color="000000" w:sz="4" w:space="0"/>
              <w:right w:val="single" w:color="000000" w:sz="4" w:space="0"/>
            </w:tcBorders>
            <w:noWrap w:val="0"/>
            <w:vAlign w:val="center"/>
          </w:tcPr>
          <w:p w14:paraId="15199AC8">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工程维修员</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14:paraId="3EEB5A85">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w:t>
            </w:r>
          </w:p>
        </w:tc>
        <w:tc>
          <w:tcPr>
            <w:tcW w:w="5124" w:type="dxa"/>
            <w:tcBorders>
              <w:top w:val="single" w:color="000000" w:sz="4" w:space="0"/>
              <w:left w:val="single" w:color="000000" w:sz="4" w:space="0"/>
              <w:bottom w:val="single" w:color="000000" w:sz="4" w:space="0"/>
              <w:right w:val="single" w:color="000000" w:sz="4" w:space="0"/>
            </w:tcBorders>
            <w:noWrap w:val="0"/>
            <w:vAlign w:val="center"/>
          </w:tcPr>
          <w:p w14:paraId="0FF64A82">
            <w:pPr>
              <w:autoSpaceDN w:val="0"/>
              <w:adjustRightInd w:val="0"/>
              <w:snapToGrid w:val="0"/>
              <w:spacing w:line="240" w:lineRule="exact"/>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高中以上文化程度</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年龄</w:t>
            </w:r>
            <w:r>
              <w:rPr>
                <w:rFonts w:hint="eastAsia" w:ascii="仿宋_GB2312" w:hAnsi="仿宋_GB2312" w:eastAsia="仿宋_GB2312" w:cs="仿宋_GB2312"/>
                <w:color w:val="auto"/>
                <w:sz w:val="24"/>
                <w:szCs w:val="24"/>
              </w:rPr>
              <w:t>55岁</w:t>
            </w:r>
            <w:r>
              <w:rPr>
                <w:rFonts w:hint="eastAsia" w:ascii="仿宋_GB2312" w:hAnsi="仿宋_GB2312" w:eastAsia="仿宋_GB2312" w:cs="仿宋_GB2312"/>
                <w:color w:val="auto"/>
                <w:sz w:val="24"/>
                <w:szCs w:val="24"/>
                <w:lang w:val="en-US" w:eastAsia="zh-CN"/>
              </w:rPr>
              <w:t>以下</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身体健康，服从意识强</w:t>
            </w:r>
            <w:r>
              <w:rPr>
                <w:rFonts w:hint="eastAsia" w:ascii="仿宋_GB2312" w:hAnsi="仿宋_GB2312" w:eastAsia="仿宋_GB2312" w:cs="仿宋_GB2312"/>
                <w:color w:val="auto"/>
                <w:sz w:val="24"/>
                <w:szCs w:val="24"/>
              </w:rPr>
              <w:t>，具有设备运行及维修工作经验，熟悉包括房屋装修、强电、弱电、空调、排水、电梯等各项设备管理和应用；有一定社会经验、组织能力和协调处理行政事务能力。</w:t>
            </w:r>
          </w:p>
        </w:tc>
        <w:tc>
          <w:tcPr>
            <w:tcW w:w="3014" w:type="dxa"/>
            <w:tcBorders>
              <w:top w:val="single" w:color="000000" w:sz="4" w:space="0"/>
              <w:left w:val="single" w:color="000000" w:sz="4" w:space="0"/>
              <w:bottom w:val="single" w:color="000000" w:sz="4" w:space="0"/>
              <w:right w:val="single" w:color="000000" w:sz="4" w:space="0"/>
            </w:tcBorders>
            <w:noWrap w:val="0"/>
            <w:vAlign w:val="center"/>
          </w:tcPr>
          <w:p w14:paraId="66F8E7B5">
            <w:pPr>
              <w:autoSpaceDN w:val="0"/>
              <w:adjustRightInd w:val="0"/>
              <w:snapToGrid w:val="0"/>
              <w:spacing w:line="24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w:t>
            </w:r>
            <w:r>
              <w:rPr>
                <w:rFonts w:hint="eastAsia" w:ascii="仿宋_GB2312" w:hAnsi="仿宋_GB2312" w:eastAsia="仿宋_GB2312" w:cs="仿宋_GB2312"/>
                <w:color w:val="auto"/>
                <w:sz w:val="24"/>
                <w:szCs w:val="24"/>
                <w:lang w:eastAsia="zh-CN"/>
              </w:rPr>
              <w:t>院内</w:t>
            </w:r>
            <w:r>
              <w:rPr>
                <w:rFonts w:hint="eastAsia" w:ascii="仿宋_GB2312" w:hAnsi="仿宋_GB2312" w:eastAsia="仿宋_GB2312" w:cs="仿宋_GB2312"/>
                <w:color w:val="auto"/>
                <w:sz w:val="24"/>
                <w:szCs w:val="24"/>
              </w:rPr>
              <w:t>设施设备的</w:t>
            </w:r>
            <w:r>
              <w:rPr>
                <w:rFonts w:hint="eastAsia" w:ascii="仿宋_GB2312" w:hAnsi="仿宋_GB2312" w:eastAsia="仿宋_GB2312" w:cs="仿宋_GB2312"/>
                <w:color w:val="auto"/>
                <w:sz w:val="24"/>
                <w:szCs w:val="24"/>
                <w:lang w:eastAsia="zh-CN"/>
              </w:rPr>
              <w:t>巡查、</w:t>
            </w:r>
            <w:r>
              <w:rPr>
                <w:rFonts w:hint="eastAsia" w:ascii="仿宋_GB2312" w:hAnsi="仿宋_GB2312" w:eastAsia="仿宋_GB2312" w:cs="仿宋_GB2312"/>
                <w:color w:val="auto"/>
                <w:sz w:val="24"/>
                <w:szCs w:val="24"/>
              </w:rPr>
              <w:t>维护</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保养</w:t>
            </w:r>
            <w:r>
              <w:rPr>
                <w:rFonts w:hint="eastAsia" w:ascii="仿宋_GB2312" w:hAnsi="仿宋_GB2312" w:eastAsia="仿宋_GB2312" w:cs="仿宋_GB2312"/>
                <w:color w:val="auto"/>
                <w:sz w:val="24"/>
                <w:szCs w:val="24"/>
                <w:lang w:eastAsia="zh-CN"/>
              </w:rPr>
              <w:t>，庭院建筑和基础设施维护保养，消防值班。</w:t>
            </w:r>
          </w:p>
        </w:tc>
      </w:tr>
      <w:tr w14:paraId="38748A6B">
        <w:tblPrEx>
          <w:tblCellMar>
            <w:top w:w="0" w:type="dxa"/>
            <w:left w:w="15" w:type="dxa"/>
            <w:bottom w:w="0" w:type="dxa"/>
            <w:right w:w="15" w:type="dxa"/>
          </w:tblCellMar>
        </w:tblPrEx>
        <w:trPr>
          <w:trHeight w:val="609" w:hRule="atLeast"/>
        </w:trPr>
        <w:tc>
          <w:tcPr>
            <w:tcW w:w="580" w:type="dxa"/>
            <w:tcBorders>
              <w:top w:val="single" w:color="000000" w:sz="4" w:space="0"/>
              <w:left w:val="single" w:color="auto" w:sz="4" w:space="0"/>
              <w:bottom w:val="single" w:color="000000" w:sz="4" w:space="0"/>
              <w:right w:val="single" w:color="000000" w:sz="4" w:space="0"/>
            </w:tcBorders>
            <w:noWrap w:val="0"/>
            <w:vAlign w:val="center"/>
          </w:tcPr>
          <w:p w14:paraId="3567C5DD">
            <w:pPr>
              <w:autoSpaceDN w:val="0"/>
              <w:adjustRightInd w:val="0"/>
              <w:snapToGrid w:val="0"/>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合计</w:t>
            </w:r>
          </w:p>
        </w:tc>
        <w:tc>
          <w:tcPr>
            <w:tcW w:w="462" w:type="dxa"/>
            <w:tcBorders>
              <w:top w:val="single" w:color="auto" w:sz="4" w:space="0"/>
              <w:bottom w:val="single" w:color="auto" w:sz="4" w:space="0"/>
              <w:right w:val="single" w:color="auto" w:sz="4" w:space="0"/>
            </w:tcBorders>
            <w:noWrap w:val="0"/>
            <w:vAlign w:val="center"/>
          </w:tcPr>
          <w:p w14:paraId="73DC0FC3">
            <w:pPr>
              <w:widowControl/>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31</w:t>
            </w:r>
          </w:p>
        </w:tc>
        <w:tc>
          <w:tcPr>
            <w:tcW w:w="8138" w:type="dxa"/>
            <w:gridSpan w:val="2"/>
            <w:tcBorders>
              <w:top w:val="single" w:color="auto" w:sz="4" w:space="0"/>
              <w:bottom w:val="single" w:color="auto" w:sz="4" w:space="0"/>
              <w:right w:val="single" w:color="auto" w:sz="4" w:space="0"/>
            </w:tcBorders>
            <w:noWrap w:val="0"/>
            <w:vAlign w:val="center"/>
          </w:tcPr>
          <w:p w14:paraId="6FE37FEF">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以上岗位需经合法的背景调查，内容包括但不限于基础信息核实、工程履历核实、职业能力和品行评估等。</w:t>
            </w:r>
          </w:p>
        </w:tc>
      </w:tr>
    </w:tbl>
    <w:p w14:paraId="4AAC1769">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三、合同期限：</w:t>
      </w:r>
      <w:r>
        <w:rPr>
          <w:rFonts w:hint="eastAsia" w:ascii="黑体" w:hAnsi="黑体" w:eastAsia="黑体" w:cs="黑体"/>
          <w:color w:val="auto"/>
          <w:sz w:val="32"/>
          <w:szCs w:val="32"/>
          <w:lang w:eastAsia="zh-CN"/>
        </w:rPr>
        <w:t>叁</w:t>
      </w:r>
      <w:r>
        <w:rPr>
          <w:rFonts w:hint="eastAsia" w:ascii="黑体" w:hAnsi="黑体" w:eastAsia="黑体" w:cs="黑体"/>
          <w:color w:val="auto"/>
          <w:sz w:val="32"/>
          <w:szCs w:val="32"/>
        </w:rPr>
        <w:t>年</w:t>
      </w:r>
    </w:p>
    <w:p w14:paraId="0B529C4F">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四、服务内容</w:t>
      </w:r>
      <w:r>
        <w:rPr>
          <w:rFonts w:hint="eastAsia" w:ascii="黑体" w:hAnsi="黑体" w:eastAsia="黑体" w:cs="黑体"/>
          <w:color w:val="auto"/>
          <w:sz w:val="32"/>
          <w:szCs w:val="32"/>
          <w:lang w:eastAsia="zh-CN"/>
        </w:rPr>
        <w:t>以及标准</w:t>
      </w:r>
    </w:p>
    <w:p w14:paraId="42D62FCA">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宋体" w:cs="Times New Roman"/>
          <w:color w:val="auto"/>
          <w:kern w:val="2"/>
          <w:sz w:val="32"/>
          <w:szCs w:val="32"/>
          <w:lang w:val="en-US" w:eastAsia="zh-CN" w:bidi="ar-SA"/>
        </w:rPr>
      </w:pPr>
      <w:r>
        <w:rPr>
          <w:rFonts w:hint="default" w:ascii="Times New Roman" w:hAnsi="Times New Roman" w:eastAsia="宋体" w:cs="Times New Roman"/>
          <w:color w:val="auto"/>
          <w:kern w:val="2"/>
          <w:sz w:val="32"/>
          <w:szCs w:val="32"/>
          <w:lang w:val="en-US" w:eastAsia="zh-CN" w:bidi="ar-SA"/>
        </w:rPr>
        <w:t>（一）综合管理服务</w:t>
      </w:r>
      <w:r>
        <w:rPr>
          <w:rFonts w:hint="eastAsia" w:ascii="Times New Roman" w:hAnsi="Times New Roman" w:eastAsia="宋体" w:cs="Times New Roman"/>
          <w:color w:val="auto"/>
          <w:kern w:val="2"/>
          <w:sz w:val="32"/>
          <w:szCs w:val="32"/>
          <w:lang w:val="en-US" w:eastAsia="zh-CN" w:bidi="ar-SA"/>
        </w:rPr>
        <w:t>内容及</w:t>
      </w:r>
      <w:r>
        <w:rPr>
          <w:rFonts w:hint="default" w:ascii="Times New Roman" w:hAnsi="Times New Roman" w:eastAsia="宋体" w:cs="Times New Roman"/>
          <w:color w:val="auto"/>
          <w:kern w:val="2"/>
          <w:sz w:val="32"/>
          <w:szCs w:val="32"/>
          <w:lang w:val="en-US" w:eastAsia="zh-CN" w:bidi="ar-SA"/>
        </w:rPr>
        <w:t>标准</w:t>
      </w:r>
    </w:p>
    <w:tbl>
      <w:tblPr>
        <w:tblStyle w:val="25"/>
        <w:tblW w:w="108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63"/>
        <w:gridCol w:w="701"/>
        <w:gridCol w:w="1123"/>
        <w:gridCol w:w="7730"/>
      </w:tblGrid>
      <w:tr w14:paraId="1FF4F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4" w:hRule="atLeast"/>
          <w:jc w:val="center"/>
        </w:trPr>
        <w:tc>
          <w:tcPr>
            <w:tcW w:w="1263" w:type="dxa"/>
            <w:tcBorders>
              <w:top w:val="single" w:color="000000" w:sz="6" w:space="0"/>
              <w:left w:val="single" w:color="000000" w:sz="6" w:space="0"/>
              <w:bottom w:val="single" w:color="000000" w:sz="6" w:space="0"/>
              <w:right w:val="single" w:color="000000" w:sz="6" w:space="0"/>
            </w:tcBorders>
            <w:noWrap w:val="0"/>
            <w:vAlign w:val="center"/>
          </w:tcPr>
          <w:p w14:paraId="2A89795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服务项目</w:t>
            </w: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6D97D1A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序号</w:t>
            </w:r>
          </w:p>
        </w:tc>
        <w:tc>
          <w:tcPr>
            <w:tcW w:w="1123" w:type="dxa"/>
            <w:tcBorders>
              <w:top w:val="single" w:color="000000" w:sz="6" w:space="0"/>
              <w:left w:val="single" w:color="000000" w:sz="6" w:space="0"/>
              <w:bottom w:val="single" w:color="000000" w:sz="6" w:space="0"/>
              <w:right w:val="single" w:color="000000" w:sz="6" w:space="0"/>
            </w:tcBorders>
            <w:noWrap w:val="0"/>
            <w:vAlign w:val="center"/>
          </w:tcPr>
          <w:p w14:paraId="3DF73CA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内容</w:t>
            </w:r>
          </w:p>
        </w:tc>
        <w:tc>
          <w:tcPr>
            <w:tcW w:w="7730" w:type="dxa"/>
            <w:tcBorders>
              <w:top w:val="single" w:color="000000" w:sz="6" w:space="0"/>
              <w:left w:val="single" w:color="000000" w:sz="6" w:space="0"/>
              <w:bottom w:val="single" w:color="000000" w:sz="6" w:space="0"/>
              <w:right w:val="single" w:color="000000" w:sz="6" w:space="0"/>
            </w:tcBorders>
            <w:noWrap w:val="0"/>
            <w:vAlign w:val="center"/>
          </w:tcPr>
          <w:p w14:paraId="6C708D4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服务标准</w:t>
            </w:r>
          </w:p>
        </w:tc>
      </w:tr>
      <w:tr w14:paraId="7B56A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jc w:val="center"/>
        </w:trPr>
        <w:tc>
          <w:tcPr>
            <w:tcW w:w="1263" w:type="dxa"/>
            <w:vMerge w:val="restart"/>
            <w:tcBorders>
              <w:top w:val="single" w:color="000000" w:sz="6" w:space="0"/>
              <w:left w:val="single" w:color="000000" w:sz="6" w:space="0"/>
              <w:bottom w:val="single" w:color="000000" w:sz="6" w:space="0"/>
              <w:right w:val="single" w:color="000000" w:sz="6" w:space="0"/>
            </w:tcBorders>
            <w:noWrap w:val="0"/>
            <w:vAlign w:val="center"/>
          </w:tcPr>
          <w:p w14:paraId="604898D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机构设置</w:t>
            </w: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7A9A96D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w:t>
            </w:r>
          </w:p>
        </w:tc>
        <w:tc>
          <w:tcPr>
            <w:tcW w:w="1123" w:type="dxa"/>
            <w:tcBorders>
              <w:top w:val="single" w:color="000000" w:sz="6" w:space="0"/>
              <w:left w:val="single" w:color="000000" w:sz="6" w:space="0"/>
              <w:bottom w:val="single" w:color="000000" w:sz="6" w:space="0"/>
              <w:right w:val="single" w:color="000000" w:sz="6" w:space="0"/>
            </w:tcBorders>
            <w:noWrap w:val="0"/>
            <w:vAlign w:val="center"/>
          </w:tcPr>
          <w:p w14:paraId="709F1AF3">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物业服务</w:t>
            </w:r>
          </w:p>
          <w:p w14:paraId="72BB12AB">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中心设置</w:t>
            </w:r>
          </w:p>
        </w:tc>
        <w:tc>
          <w:tcPr>
            <w:tcW w:w="7730" w:type="dxa"/>
            <w:tcBorders>
              <w:top w:val="single" w:color="000000" w:sz="6" w:space="0"/>
              <w:left w:val="single" w:color="000000" w:sz="6" w:space="0"/>
              <w:bottom w:val="single" w:color="000000" w:sz="2" w:space="0"/>
              <w:right w:val="single" w:color="000000" w:sz="6" w:space="0"/>
            </w:tcBorders>
            <w:noWrap w:val="0"/>
            <w:vAlign w:val="top"/>
          </w:tcPr>
          <w:p w14:paraId="1F6B3B0F">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w:t>
            </w:r>
            <w:r>
              <w:rPr>
                <w:rFonts w:hint="eastAsia" w:ascii="Times New Roman" w:hAnsi="Times New Roman" w:eastAsia="宋体" w:cs="Times New Roman"/>
                <w:color w:val="auto"/>
                <w:kern w:val="2"/>
                <w:sz w:val="21"/>
                <w:szCs w:val="24"/>
                <w:lang w:val="en-US" w:eastAsia="zh-CN" w:bidi="ar-SA"/>
              </w:rPr>
              <w:t>挂牌</w:t>
            </w:r>
            <w:r>
              <w:rPr>
                <w:rFonts w:hint="default" w:ascii="Times New Roman" w:hAnsi="Times New Roman" w:eastAsia="宋体" w:cs="Times New Roman"/>
                <w:color w:val="auto"/>
                <w:kern w:val="2"/>
                <w:sz w:val="21"/>
                <w:szCs w:val="24"/>
                <w:lang w:val="en-US" w:eastAsia="zh-CN" w:bidi="ar-SA"/>
              </w:rPr>
              <w:t>设置物业服务中心。</w:t>
            </w:r>
          </w:p>
          <w:p w14:paraId="715C55F0">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（2）配置办公家具、电话、计算机等一般的办公设备</w:t>
            </w:r>
            <w:r>
              <w:rPr>
                <w:rFonts w:hint="eastAsia" w:ascii="Times New Roman" w:hAnsi="Times New Roman" w:eastAsia="宋体" w:cs="Times New Roman"/>
                <w:color w:val="auto"/>
                <w:kern w:val="2"/>
                <w:sz w:val="21"/>
                <w:szCs w:val="24"/>
                <w:lang w:val="en-US" w:eastAsia="zh-CN" w:bidi="ar-SA"/>
              </w:rPr>
              <w:t>。</w:t>
            </w:r>
          </w:p>
        </w:tc>
      </w:tr>
      <w:tr w14:paraId="027EE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263" w:type="dxa"/>
            <w:vMerge w:val="continue"/>
            <w:tcBorders>
              <w:top w:val="single" w:color="000000" w:sz="6" w:space="0"/>
              <w:left w:val="single" w:color="000000" w:sz="6" w:space="0"/>
              <w:bottom w:val="single" w:color="000000" w:sz="6" w:space="0"/>
              <w:right w:val="single" w:color="000000" w:sz="6" w:space="0"/>
            </w:tcBorders>
            <w:noWrap w:val="0"/>
            <w:vAlign w:val="center"/>
          </w:tcPr>
          <w:p w14:paraId="1853BDE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4554DA92">
            <w:pPr>
              <w:pStyle w:val="14"/>
              <w:keepNext w:val="0"/>
              <w:keepLines w:val="0"/>
              <w:widowControl w:val="0"/>
              <w:numPr>
                <w:ilvl w:val="0"/>
                <w:numId w:val="0"/>
              </w:numPr>
              <w:suppressLineNumbers w:val="0"/>
              <w:adjustRightInd w:val="0"/>
              <w:spacing w:before="0" w:beforeAutospacing="0" w:after="0" w:afterAutospacing="0"/>
              <w:ind w:right="33" w:rightChars="0"/>
              <w:jc w:val="both"/>
              <w:textAlignment w:val="baseline"/>
              <w:rPr>
                <w:rFonts w:hint="default" w:ascii="Times New Roman" w:hAnsi="Times New Roman" w:eastAsia="宋体" w:cs="Times New Roman"/>
                <w:color w:val="auto"/>
                <w:kern w:val="2"/>
                <w:sz w:val="21"/>
                <w:szCs w:val="24"/>
                <w:lang w:val="en-US" w:eastAsia="zh-CN" w:bidi="ar-SA"/>
              </w:rPr>
            </w:pPr>
          </w:p>
          <w:p w14:paraId="74DA1A1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w:t>
            </w:r>
          </w:p>
        </w:tc>
        <w:tc>
          <w:tcPr>
            <w:tcW w:w="1123" w:type="dxa"/>
            <w:tcBorders>
              <w:top w:val="single" w:color="000000" w:sz="6" w:space="0"/>
              <w:left w:val="single" w:color="000000" w:sz="6" w:space="0"/>
              <w:bottom w:val="single" w:color="000000" w:sz="6" w:space="0"/>
              <w:right w:val="single" w:color="000000" w:sz="6" w:space="0"/>
            </w:tcBorders>
            <w:noWrap w:val="0"/>
            <w:vAlign w:val="center"/>
          </w:tcPr>
          <w:p w14:paraId="35D684FD">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人员要求</w:t>
            </w:r>
          </w:p>
        </w:tc>
        <w:tc>
          <w:tcPr>
            <w:tcW w:w="7730" w:type="dxa"/>
            <w:tcBorders>
              <w:top w:val="single" w:color="000000" w:sz="2" w:space="0"/>
              <w:left w:val="single" w:color="000000" w:sz="6" w:space="0"/>
              <w:bottom w:val="single" w:color="000000" w:sz="6" w:space="0"/>
              <w:right w:val="single" w:color="000000" w:sz="6" w:space="0"/>
            </w:tcBorders>
            <w:noWrap w:val="0"/>
            <w:vAlign w:val="center"/>
          </w:tcPr>
          <w:p w14:paraId="7D502F86">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both"/>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（1）项目负责人，负责管理整个项目的日常工作，具有大专以上学历</w:t>
            </w:r>
            <w:r>
              <w:rPr>
                <w:rFonts w:hint="eastAsia" w:ascii="Times New Roman" w:hAnsi="Times New Roman" w:eastAsia="宋体" w:cs="Times New Roman"/>
                <w:color w:val="auto"/>
                <w:kern w:val="2"/>
                <w:sz w:val="21"/>
                <w:szCs w:val="24"/>
                <w:lang w:val="en-US" w:eastAsia="zh-CN" w:bidi="ar-SA"/>
              </w:rPr>
              <w:t>及</w:t>
            </w:r>
            <w:r>
              <w:rPr>
                <w:rFonts w:hint="default" w:ascii="Times New Roman" w:hAnsi="Times New Roman" w:eastAsia="宋体" w:cs="Times New Roman"/>
                <w:color w:val="auto"/>
                <w:kern w:val="2"/>
                <w:sz w:val="21"/>
                <w:szCs w:val="24"/>
                <w:lang w:val="en-US" w:eastAsia="zh-CN" w:bidi="ar-SA"/>
              </w:rPr>
              <w:t>对应的物业管理工作经历。</w:t>
            </w:r>
          </w:p>
          <w:p w14:paraId="4AD7CA94">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both"/>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（2）管理人员，负责协助项目经理管理各部门工作。</w:t>
            </w:r>
          </w:p>
          <w:p w14:paraId="5FA39298">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both"/>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r>
              <w:rPr>
                <w:rFonts w:hint="eastAsia" w:ascii="Times New Roman" w:hAnsi="Times New Roman" w:eastAsia="宋体" w:cs="Times New Roman"/>
                <w:color w:val="auto"/>
                <w:kern w:val="2"/>
                <w:sz w:val="21"/>
                <w:szCs w:val="24"/>
                <w:lang w:val="en-US" w:eastAsia="zh-CN" w:bidi="ar-SA"/>
              </w:rPr>
              <w:t>3</w:t>
            </w:r>
            <w:r>
              <w:rPr>
                <w:rFonts w:hint="default" w:ascii="Times New Roman" w:hAnsi="Times New Roman" w:eastAsia="宋体" w:cs="Times New Roman"/>
                <w:color w:val="auto"/>
                <w:kern w:val="2"/>
                <w:sz w:val="21"/>
                <w:szCs w:val="24"/>
                <w:lang w:val="en-US" w:eastAsia="zh-CN" w:bidi="ar-SA"/>
              </w:rPr>
              <w:t>）统一着装，挂牌上岗，仪表整洁，表情自然和谐、亲切，对客户一视同仁。</w:t>
            </w:r>
          </w:p>
        </w:tc>
      </w:tr>
      <w:tr w14:paraId="1A36E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263" w:type="dxa"/>
            <w:vMerge w:val="continue"/>
            <w:tcBorders>
              <w:top w:val="single" w:color="000000" w:sz="6" w:space="0"/>
              <w:left w:val="single" w:color="000000" w:sz="6" w:space="0"/>
              <w:bottom w:val="single" w:color="000000" w:sz="6" w:space="0"/>
              <w:right w:val="single" w:color="000000" w:sz="6" w:space="0"/>
            </w:tcBorders>
            <w:noWrap w:val="0"/>
            <w:vAlign w:val="center"/>
          </w:tcPr>
          <w:p w14:paraId="235A0F3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736CC67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3</w:t>
            </w:r>
          </w:p>
        </w:tc>
        <w:tc>
          <w:tcPr>
            <w:tcW w:w="1123" w:type="dxa"/>
            <w:tcBorders>
              <w:top w:val="single" w:color="000000" w:sz="6" w:space="0"/>
              <w:left w:val="single" w:color="000000" w:sz="6" w:space="0"/>
              <w:bottom w:val="single" w:color="000000" w:sz="6" w:space="0"/>
              <w:right w:val="single" w:color="000000" w:sz="6" w:space="0"/>
            </w:tcBorders>
            <w:noWrap w:val="0"/>
            <w:vAlign w:val="center"/>
          </w:tcPr>
          <w:p w14:paraId="142DD7FA">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服务规范</w:t>
            </w:r>
          </w:p>
        </w:tc>
        <w:tc>
          <w:tcPr>
            <w:tcW w:w="7730" w:type="dxa"/>
            <w:tcBorders>
              <w:top w:val="single" w:color="000000" w:sz="6" w:space="0"/>
              <w:left w:val="single" w:color="000000" w:sz="6" w:space="0"/>
              <w:bottom w:val="single" w:color="000000" w:sz="6" w:space="0"/>
              <w:right w:val="single" w:color="000000" w:sz="6" w:space="0"/>
            </w:tcBorders>
            <w:noWrap w:val="0"/>
            <w:vAlign w:val="top"/>
          </w:tcPr>
          <w:p w14:paraId="76103543">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服务规范应符合防城港市物业管理行业规范要求。</w:t>
            </w:r>
          </w:p>
        </w:tc>
      </w:tr>
      <w:tr w14:paraId="21710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jc w:val="center"/>
        </w:trPr>
        <w:tc>
          <w:tcPr>
            <w:tcW w:w="1263" w:type="dxa"/>
            <w:vMerge w:val="continue"/>
            <w:tcBorders>
              <w:top w:val="single" w:color="000000" w:sz="6" w:space="0"/>
              <w:left w:val="single" w:color="000000" w:sz="6" w:space="0"/>
              <w:bottom w:val="single" w:color="000000" w:sz="6" w:space="0"/>
              <w:right w:val="single" w:color="000000" w:sz="6" w:space="0"/>
            </w:tcBorders>
            <w:noWrap w:val="0"/>
            <w:vAlign w:val="center"/>
          </w:tcPr>
          <w:p w14:paraId="400EEDC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43F4A91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4</w:t>
            </w:r>
          </w:p>
        </w:tc>
        <w:tc>
          <w:tcPr>
            <w:tcW w:w="1123" w:type="dxa"/>
            <w:tcBorders>
              <w:top w:val="single" w:color="000000" w:sz="6" w:space="0"/>
              <w:left w:val="single" w:color="000000" w:sz="6" w:space="0"/>
              <w:bottom w:val="single" w:color="000000" w:sz="6" w:space="0"/>
              <w:right w:val="single" w:color="000000" w:sz="6" w:space="0"/>
            </w:tcBorders>
            <w:noWrap w:val="0"/>
            <w:vAlign w:val="center"/>
          </w:tcPr>
          <w:p w14:paraId="1DE89CF1">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管理制度</w:t>
            </w:r>
          </w:p>
        </w:tc>
        <w:tc>
          <w:tcPr>
            <w:tcW w:w="7730" w:type="dxa"/>
            <w:tcBorders>
              <w:top w:val="single" w:color="000000" w:sz="6" w:space="0"/>
              <w:left w:val="single" w:color="000000" w:sz="6" w:space="0"/>
              <w:bottom w:val="single" w:color="000000" w:sz="6" w:space="0"/>
              <w:right w:val="single" w:color="000000" w:sz="6" w:space="0"/>
            </w:tcBorders>
            <w:noWrap w:val="0"/>
            <w:vAlign w:val="center"/>
          </w:tcPr>
          <w:p w14:paraId="19A28788">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both"/>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（1）有明确的值班制度和交接班制度，工作有记录。</w:t>
            </w:r>
          </w:p>
          <w:p w14:paraId="36F81886">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both"/>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（2）建立内部管理制度和考核制度。</w:t>
            </w:r>
          </w:p>
        </w:tc>
      </w:tr>
      <w:tr w14:paraId="47606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2" w:hRule="atLeast"/>
          <w:jc w:val="center"/>
        </w:trPr>
        <w:tc>
          <w:tcPr>
            <w:tcW w:w="1263" w:type="dxa"/>
            <w:vMerge w:val="continue"/>
            <w:tcBorders>
              <w:top w:val="single" w:color="000000" w:sz="6" w:space="0"/>
              <w:left w:val="single" w:color="000000" w:sz="6" w:space="0"/>
              <w:bottom w:val="single" w:color="000000" w:sz="6" w:space="0"/>
              <w:right w:val="single" w:color="000000" w:sz="6" w:space="0"/>
            </w:tcBorders>
            <w:noWrap w:val="0"/>
            <w:vAlign w:val="center"/>
          </w:tcPr>
          <w:p w14:paraId="76F4AF7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3422A6E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5</w:t>
            </w:r>
          </w:p>
        </w:tc>
        <w:tc>
          <w:tcPr>
            <w:tcW w:w="1123" w:type="dxa"/>
            <w:tcBorders>
              <w:top w:val="single" w:color="000000" w:sz="6" w:space="0"/>
              <w:left w:val="single" w:color="000000" w:sz="6" w:space="0"/>
              <w:bottom w:val="single" w:color="000000" w:sz="6" w:space="0"/>
              <w:right w:val="single" w:color="000000" w:sz="6" w:space="0"/>
            </w:tcBorders>
            <w:noWrap w:val="0"/>
            <w:vAlign w:val="center"/>
          </w:tcPr>
          <w:p w14:paraId="0BF62F7D">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报修、投诉受理</w:t>
            </w:r>
          </w:p>
        </w:tc>
        <w:tc>
          <w:tcPr>
            <w:tcW w:w="7730" w:type="dxa"/>
            <w:tcBorders>
              <w:top w:val="single" w:color="000000" w:sz="6" w:space="0"/>
              <w:left w:val="single" w:color="000000" w:sz="6" w:space="0"/>
              <w:bottom w:val="single" w:color="000000" w:sz="6" w:space="0"/>
              <w:right w:val="single" w:color="000000" w:sz="6" w:space="0"/>
            </w:tcBorders>
            <w:noWrap w:val="0"/>
            <w:vAlign w:val="center"/>
          </w:tcPr>
          <w:p w14:paraId="22C2857B">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both"/>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（1）有完善的值班制度和交接班制度，工作记录。24小时受理</w:t>
            </w:r>
            <w:r>
              <w:rPr>
                <w:rFonts w:hint="eastAsia" w:ascii="Times New Roman" w:hAnsi="Times New Roman" w:eastAsia="宋体" w:cs="Times New Roman"/>
                <w:color w:val="auto"/>
                <w:kern w:val="2"/>
                <w:sz w:val="21"/>
                <w:szCs w:val="24"/>
                <w:lang w:val="en-US" w:eastAsia="zh-CN" w:bidi="ar-SA"/>
              </w:rPr>
              <w:t>业主</w:t>
            </w:r>
            <w:r>
              <w:rPr>
                <w:rFonts w:hint="default" w:ascii="Times New Roman" w:hAnsi="Times New Roman" w:eastAsia="宋体" w:cs="Times New Roman"/>
                <w:color w:val="auto"/>
                <w:kern w:val="2"/>
                <w:sz w:val="21"/>
                <w:szCs w:val="24"/>
                <w:lang w:val="en-US" w:eastAsia="zh-CN" w:bidi="ar-SA"/>
              </w:rPr>
              <w:t>或使用人的报修。急修半小时内到现场查看处理，小修三天内修复。有完整的报修、维修和回访记录。</w:t>
            </w:r>
          </w:p>
          <w:p w14:paraId="35089E96">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both"/>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（2）对</w:t>
            </w:r>
            <w:r>
              <w:rPr>
                <w:rFonts w:hint="eastAsia" w:ascii="Times New Roman" w:hAnsi="Times New Roman" w:eastAsia="宋体" w:cs="Times New Roman"/>
                <w:color w:val="auto"/>
                <w:kern w:val="2"/>
                <w:sz w:val="21"/>
                <w:szCs w:val="24"/>
                <w:lang w:val="en-US" w:eastAsia="zh-CN" w:bidi="ar-SA"/>
              </w:rPr>
              <w:t>业主</w:t>
            </w:r>
            <w:r>
              <w:rPr>
                <w:rFonts w:hint="default" w:ascii="Times New Roman" w:hAnsi="Times New Roman" w:eastAsia="宋体" w:cs="Times New Roman"/>
                <w:color w:val="auto"/>
                <w:kern w:val="2"/>
                <w:sz w:val="21"/>
                <w:szCs w:val="24"/>
                <w:lang w:val="en-US" w:eastAsia="zh-CN" w:bidi="ar-SA"/>
              </w:rPr>
              <w:t>或使用人的投诉在二天内答复处理。</w:t>
            </w:r>
          </w:p>
        </w:tc>
      </w:tr>
      <w:tr w14:paraId="20F7E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jc w:val="center"/>
        </w:trPr>
        <w:tc>
          <w:tcPr>
            <w:tcW w:w="1263" w:type="dxa"/>
            <w:vMerge w:val="continue"/>
            <w:tcBorders>
              <w:top w:val="single" w:color="000000" w:sz="6" w:space="0"/>
              <w:left w:val="single" w:color="000000" w:sz="6" w:space="0"/>
              <w:bottom w:val="single" w:color="000000" w:sz="6" w:space="0"/>
              <w:right w:val="single" w:color="000000" w:sz="6" w:space="0"/>
            </w:tcBorders>
            <w:noWrap w:val="0"/>
            <w:vAlign w:val="center"/>
          </w:tcPr>
          <w:p w14:paraId="3999617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3D61168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6</w:t>
            </w:r>
          </w:p>
        </w:tc>
        <w:tc>
          <w:tcPr>
            <w:tcW w:w="1123" w:type="dxa"/>
            <w:tcBorders>
              <w:top w:val="single" w:color="000000" w:sz="6" w:space="0"/>
              <w:left w:val="single" w:color="000000" w:sz="6" w:space="0"/>
              <w:bottom w:val="single" w:color="000000" w:sz="6" w:space="0"/>
              <w:right w:val="single" w:color="000000" w:sz="6" w:space="0"/>
            </w:tcBorders>
            <w:noWrap w:val="0"/>
            <w:vAlign w:val="center"/>
          </w:tcPr>
          <w:p w14:paraId="3602CD4E">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服务质量指标</w:t>
            </w:r>
          </w:p>
        </w:tc>
        <w:tc>
          <w:tcPr>
            <w:tcW w:w="7730" w:type="dxa"/>
            <w:tcBorders>
              <w:top w:val="single" w:color="000000" w:sz="6" w:space="0"/>
              <w:left w:val="single" w:color="000000" w:sz="6" w:space="0"/>
              <w:bottom w:val="single" w:color="000000" w:sz="6" w:space="0"/>
              <w:right w:val="single" w:color="000000" w:sz="6" w:space="0"/>
            </w:tcBorders>
            <w:noWrap w:val="0"/>
            <w:vAlign w:val="center"/>
          </w:tcPr>
          <w:p w14:paraId="0AA88BF3">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日常投诉事件次数≤2次/月；重大投诉事件发生率为零</w:t>
            </w:r>
            <w:r>
              <w:rPr>
                <w:rFonts w:hint="eastAsia" w:ascii="Times New Roman" w:hAnsi="Times New Roman" w:eastAsia="宋体" w:cs="Times New Roman"/>
                <w:color w:val="auto"/>
                <w:kern w:val="2"/>
                <w:sz w:val="21"/>
                <w:szCs w:val="24"/>
                <w:lang w:val="en-US" w:eastAsia="zh-CN" w:bidi="ar-SA"/>
              </w:rPr>
              <w:t>。</w:t>
            </w:r>
          </w:p>
        </w:tc>
      </w:tr>
      <w:tr w14:paraId="056C5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4" w:hRule="atLeast"/>
          <w:jc w:val="center"/>
        </w:trPr>
        <w:tc>
          <w:tcPr>
            <w:tcW w:w="1263" w:type="dxa"/>
            <w:vMerge w:val="continue"/>
            <w:tcBorders>
              <w:top w:val="single" w:color="000000" w:sz="6" w:space="0"/>
              <w:left w:val="single" w:color="000000" w:sz="6" w:space="0"/>
              <w:bottom w:val="single" w:color="000000" w:sz="6" w:space="0"/>
              <w:right w:val="single" w:color="000000" w:sz="6" w:space="0"/>
            </w:tcBorders>
            <w:noWrap w:val="0"/>
            <w:vAlign w:val="center"/>
          </w:tcPr>
          <w:p w14:paraId="1580832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55BFCE4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7</w:t>
            </w:r>
          </w:p>
        </w:tc>
        <w:tc>
          <w:tcPr>
            <w:tcW w:w="1123" w:type="dxa"/>
            <w:tcBorders>
              <w:top w:val="single" w:color="000000" w:sz="6" w:space="0"/>
              <w:left w:val="single" w:color="000000" w:sz="6" w:space="0"/>
              <w:bottom w:val="single" w:color="000000" w:sz="6" w:space="0"/>
              <w:right w:val="single" w:color="000000" w:sz="6" w:space="0"/>
            </w:tcBorders>
            <w:noWrap w:val="0"/>
            <w:vAlign w:val="center"/>
          </w:tcPr>
          <w:p w14:paraId="5C6E983C">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档案管理</w:t>
            </w:r>
          </w:p>
        </w:tc>
        <w:tc>
          <w:tcPr>
            <w:tcW w:w="7730" w:type="dxa"/>
            <w:tcBorders>
              <w:top w:val="single" w:color="000000" w:sz="6" w:space="0"/>
              <w:left w:val="single" w:color="000000" w:sz="6" w:space="0"/>
              <w:bottom w:val="single" w:color="000000" w:sz="6" w:space="0"/>
              <w:right w:val="single" w:color="000000" w:sz="6" w:space="0"/>
            </w:tcBorders>
            <w:noWrap w:val="0"/>
            <w:vAlign w:val="top"/>
          </w:tcPr>
          <w:p w14:paraId="092B558B">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建立项目物业管理档案</w:t>
            </w:r>
            <w:r>
              <w:rPr>
                <w:rFonts w:hint="eastAsia" w:ascii="Times New Roman" w:hAnsi="Times New Roman" w:eastAsia="宋体"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包括物业竣工验收档案、设备管理档案。分类成册，查阅方便。借阅及交接有详细签字记录，并做好保密。</w:t>
            </w:r>
          </w:p>
        </w:tc>
      </w:tr>
      <w:tr w14:paraId="1ADA4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263" w:type="dxa"/>
            <w:vMerge w:val="continue"/>
            <w:tcBorders>
              <w:top w:val="single" w:color="000000" w:sz="6" w:space="0"/>
              <w:left w:val="single" w:color="000000" w:sz="6" w:space="0"/>
              <w:bottom w:val="single" w:color="000000" w:sz="6" w:space="0"/>
              <w:right w:val="single" w:color="000000" w:sz="6" w:space="0"/>
            </w:tcBorders>
            <w:noWrap w:val="0"/>
            <w:vAlign w:val="center"/>
          </w:tcPr>
          <w:p w14:paraId="2805D27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5B12691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8</w:t>
            </w:r>
          </w:p>
        </w:tc>
        <w:tc>
          <w:tcPr>
            <w:tcW w:w="1123" w:type="dxa"/>
            <w:tcBorders>
              <w:top w:val="single" w:color="000000" w:sz="6" w:space="0"/>
              <w:left w:val="single" w:color="000000" w:sz="6" w:space="0"/>
              <w:bottom w:val="single" w:color="000000" w:sz="6" w:space="0"/>
              <w:right w:val="single" w:color="000000" w:sz="6" w:space="0"/>
            </w:tcBorders>
            <w:noWrap w:val="0"/>
            <w:vAlign w:val="center"/>
          </w:tcPr>
          <w:p w14:paraId="52F1D97B">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接管项目</w:t>
            </w:r>
          </w:p>
        </w:tc>
        <w:tc>
          <w:tcPr>
            <w:tcW w:w="7730" w:type="dxa"/>
            <w:tcBorders>
              <w:top w:val="single" w:color="000000" w:sz="6" w:space="0"/>
              <w:left w:val="single" w:color="000000" w:sz="6" w:space="0"/>
              <w:bottom w:val="single" w:color="000000" w:sz="6" w:space="0"/>
              <w:right w:val="single" w:color="000000" w:sz="6" w:space="0"/>
            </w:tcBorders>
            <w:noWrap w:val="0"/>
            <w:vAlign w:val="top"/>
          </w:tcPr>
          <w:p w14:paraId="1C4D33A5">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承接项目时，对项目设施设备进行查验。</w:t>
            </w:r>
          </w:p>
        </w:tc>
      </w:tr>
      <w:tr w14:paraId="6E972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263" w:type="dxa"/>
            <w:vMerge w:val="continue"/>
            <w:tcBorders>
              <w:top w:val="single" w:color="000000" w:sz="6" w:space="0"/>
              <w:left w:val="single" w:color="000000" w:sz="6" w:space="0"/>
              <w:bottom w:val="single" w:color="000000" w:sz="6" w:space="0"/>
              <w:right w:val="single" w:color="000000" w:sz="6" w:space="0"/>
            </w:tcBorders>
            <w:noWrap w:val="0"/>
            <w:vAlign w:val="top"/>
          </w:tcPr>
          <w:p w14:paraId="3AD712D4">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09D01B7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9</w:t>
            </w:r>
          </w:p>
        </w:tc>
        <w:tc>
          <w:tcPr>
            <w:tcW w:w="1123" w:type="dxa"/>
            <w:tcBorders>
              <w:top w:val="single" w:color="000000" w:sz="6" w:space="0"/>
              <w:left w:val="single" w:color="000000" w:sz="6" w:space="0"/>
              <w:bottom w:val="single" w:color="000000" w:sz="6" w:space="0"/>
              <w:right w:val="single" w:color="000000" w:sz="6" w:space="0"/>
            </w:tcBorders>
            <w:noWrap w:val="0"/>
            <w:vAlign w:val="center"/>
          </w:tcPr>
          <w:p w14:paraId="5C4DBECD">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公共资产</w:t>
            </w:r>
          </w:p>
        </w:tc>
        <w:tc>
          <w:tcPr>
            <w:tcW w:w="7730" w:type="dxa"/>
            <w:tcBorders>
              <w:top w:val="single" w:color="000000" w:sz="6" w:space="0"/>
              <w:left w:val="single" w:color="000000" w:sz="6" w:space="0"/>
              <w:bottom w:val="single" w:color="000000" w:sz="6" w:space="0"/>
              <w:right w:val="single" w:color="000000" w:sz="6" w:space="0"/>
            </w:tcBorders>
            <w:noWrap w:val="0"/>
            <w:vAlign w:val="center"/>
          </w:tcPr>
          <w:p w14:paraId="3B3672FB">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公共资产有详细台帐，且账物相符。有变化及时变更登记。</w:t>
            </w:r>
          </w:p>
        </w:tc>
      </w:tr>
      <w:tr w14:paraId="3C397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263" w:type="dxa"/>
            <w:vMerge w:val="continue"/>
            <w:tcBorders>
              <w:top w:val="single" w:color="000000" w:sz="6" w:space="0"/>
              <w:left w:val="single" w:color="000000" w:sz="6" w:space="0"/>
              <w:bottom w:val="single" w:color="000000" w:sz="6" w:space="0"/>
              <w:right w:val="single" w:color="000000" w:sz="6" w:space="0"/>
            </w:tcBorders>
            <w:noWrap w:val="0"/>
            <w:vAlign w:val="top"/>
          </w:tcPr>
          <w:p w14:paraId="5280852B">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14:paraId="1CA2720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10</w:t>
            </w:r>
          </w:p>
        </w:tc>
        <w:tc>
          <w:tcPr>
            <w:tcW w:w="1123" w:type="dxa"/>
            <w:tcBorders>
              <w:top w:val="single" w:color="000000" w:sz="6" w:space="0"/>
              <w:left w:val="single" w:color="000000" w:sz="6" w:space="0"/>
              <w:bottom w:val="single" w:color="000000" w:sz="6" w:space="0"/>
              <w:right w:val="single" w:color="000000" w:sz="6" w:space="0"/>
            </w:tcBorders>
            <w:noWrap w:val="0"/>
            <w:vAlign w:val="center"/>
          </w:tcPr>
          <w:p w14:paraId="2FC27F01">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安全生产</w:t>
            </w:r>
          </w:p>
        </w:tc>
        <w:tc>
          <w:tcPr>
            <w:tcW w:w="7730" w:type="dxa"/>
            <w:tcBorders>
              <w:top w:val="single" w:color="000000" w:sz="6" w:space="0"/>
              <w:left w:val="single" w:color="000000" w:sz="6" w:space="0"/>
              <w:bottom w:val="single" w:color="000000" w:sz="6" w:space="0"/>
              <w:right w:val="single" w:color="000000" w:sz="6" w:space="0"/>
            </w:tcBorders>
            <w:noWrap w:val="0"/>
            <w:vAlign w:val="center"/>
          </w:tcPr>
          <w:p w14:paraId="13B0667E">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00" w:lineRule="exact"/>
              <w:ind w:right="34"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安全生产责任事故发生率为“零”。</w:t>
            </w:r>
          </w:p>
        </w:tc>
      </w:tr>
    </w:tbl>
    <w:p w14:paraId="37A361FD">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宋体" w:cs="Times New Roman"/>
          <w:color w:val="auto"/>
          <w:kern w:val="2"/>
          <w:sz w:val="32"/>
          <w:szCs w:val="32"/>
          <w:lang w:val="en-US" w:eastAsia="zh-CN" w:bidi="ar-SA"/>
        </w:rPr>
      </w:pPr>
      <w:r>
        <w:rPr>
          <w:rFonts w:hint="eastAsia" w:ascii="Times New Roman" w:hAnsi="Times New Roman" w:eastAsia="宋体" w:cs="Times New Roman"/>
          <w:color w:val="auto"/>
          <w:kern w:val="2"/>
          <w:sz w:val="32"/>
          <w:szCs w:val="32"/>
          <w:lang w:val="en-US" w:eastAsia="zh-CN" w:bidi="ar-SA"/>
        </w:rPr>
        <w:t>（二）</w:t>
      </w:r>
      <w:r>
        <w:rPr>
          <w:rFonts w:hint="default" w:ascii="Times New Roman" w:hAnsi="Times New Roman" w:eastAsia="宋体" w:cs="Times New Roman"/>
          <w:color w:val="auto"/>
          <w:kern w:val="2"/>
          <w:sz w:val="32"/>
          <w:szCs w:val="32"/>
          <w:lang w:val="en-US" w:eastAsia="zh-CN" w:bidi="ar-SA"/>
        </w:rPr>
        <w:t>公共区域秩序维护服务</w:t>
      </w:r>
      <w:r>
        <w:rPr>
          <w:rFonts w:hint="eastAsia" w:ascii="Times New Roman" w:hAnsi="Times New Roman" w:eastAsia="宋体" w:cs="Times New Roman"/>
          <w:color w:val="auto"/>
          <w:kern w:val="2"/>
          <w:sz w:val="32"/>
          <w:szCs w:val="32"/>
          <w:lang w:val="en-US" w:eastAsia="zh-CN" w:bidi="ar-SA"/>
        </w:rPr>
        <w:t>内容及</w:t>
      </w:r>
      <w:r>
        <w:rPr>
          <w:rFonts w:hint="default" w:ascii="Times New Roman" w:hAnsi="Times New Roman" w:eastAsia="宋体" w:cs="Times New Roman"/>
          <w:color w:val="auto"/>
          <w:kern w:val="2"/>
          <w:sz w:val="32"/>
          <w:szCs w:val="32"/>
          <w:lang w:val="en-US" w:eastAsia="zh-CN" w:bidi="ar-SA"/>
        </w:rPr>
        <w:t>标准</w:t>
      </w:r>
    </w:p>
    <w:tbl>
      <w:tblPr>
        <w:tblStyle w:val="25"/>
        <w:tblW w:w="107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22"/>
        <w:gridCol w:w="841"/>
        <w:gridCol w:w="1122"/>
        <w:gridCol w:w="7694"/>
      </w:tblGrid>
      <w:tr w14:paraId="4E35E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122" w:type="dxa"/>
            <w:tcBorders>
              <w:top w:val="single" w:color="000000" w:sz="6" w:space="0"/>
              <w:left w:val="single" w:color="000000" w:sz="6" w:space="0"/>
              <w:bottom w:val="single" w:color="auto" w:sz="4" w:space="0"/>
              <w:right w:val="single" w:color="000000" w:sz="6" w:space="0"/>
            </w:tcBorders>
            <w:noWrap w:val="0"/>
            <w:vAlign w:val="center"/>
          </w:tcPr>
          <w:p w14:paraId="13E84DD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服务项目</w:t>
            </w:r>
          </w:p>
        </w:tc>
        <w:tc>
          <w:tcPr>
            <w:tcW w:w="841" w:type="dxa"/>
            <w:tcBorders>
              <w:top w:val="single" w:color="000000" w:sz="6" w:space="0"/>
              <w:left w:val="single" w:color="000000" w:sz="6" w:space="0"/>
              <w:bottom w:val="single" w:color="auto" w:sz="4" w:space="0"/>
              <w:right w:val="single" w:color="000000" w:sz="6" w:space="0"/>
            </w:tcBorders>
            <w:noWrap w:val="0"/>
            <w:vAlign w:val="center"/>
          </w:tcPr>
          <w:p w14:paraId="6971CDD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序号</w:t>
            </w:r>
          </w:p>
        </w:tc>
        <w:tc>
          <w:tcPr>
            <w:tcW w:w="1122" w:type="dxa"/>
            <w:tcBorders>
              <w:top w:val="single" w:color="000000" w:sz="6" w:space="0"/>
              <w:left w:val="single" w:color="000000" w:sz="6" w:space="0"/>
              <w:bottom w:val="single" w:color="000000" w:sz="6" w:space="0"/>
              <w:right w:val="single" w:color="000000" w:sz="6" w:space="0"/>
            </w:tcBorders>
            <w:noWrap w:val="0"/>
            <w:vAlign w:val="center"/>
          </w:tcPr>
          <w:p w14:paraId="5B98AD4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内容</w:t>
            </w:r>
          </w:p>
        </w:tc>
        <w:tc>
          <w:tcPr>
            <w:tcW w:w="7694" w:type="dxa"/>
            <w:tcBorders>
              <w:top w:val="single" w:color="000000" w:sz="6" w:space="0"/>
              <w:left w:val="single" w:color="000000" w:sz="6" w:space="0"/>
              <w:bottom w:val="single" w:color="000000" w:sz="6" w:space="0"/>
              <w:right w:val="single" w:color="000000" w:sz="6" w:space="0"/>
            </w:tcBorders>
            <w:noWrap w:val="0"/>
            <w:vAlign w:val="center"/>
          </w:tcPr>
          <w:p w14:paraId="28FB760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服务标准</w:t>
            </w:r>
          </w:p>
        </w:tc>
      </w:tr>
      <w:tr w14:paraId="62266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122" w:type="dxa"/>
            <w:vMerge w:val="restart"/>
            <w:tcBorders>
              <w:top w:val="single" w:color="auto" w:sz="4" w:space="0"/>
              <w:left w:val="single" w:color="auto" w:sz="4" w:space="0"/>
              <w:bottom w:val="single" w:color="000000" w:sz="6" w:space="0"/>
              <w:right w:val="single" w:color="auto" w:sz="4" w:space="0"/>
            </w:tcBorders>
            <w:noWrap w:val="0"/>
            <w:vAlign w:val="center"/>
          </w:tcPr>
          <w:p w14:paraId="32C47A3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人员要求</w:t>
            </w:r>
          </w:p>
        </w:tc>
        <w:tc>
          <w:tcPr>
            <w:tcW w:w="841" w:type="dxa"/>
            <w:tcBorders>
              <w:top w:val="single" w:color="auto" w:sz="4" w:space="0"/>
              <w:left w:val="single" w:color="auto" w:sz="4" w:space="0"/>
              <w:bottom w:val="single" w:color="auto" w:sz="4" w:space="0"/>
              <w:right w:val="single" w:color="auto" w:sz="4" w:space="0"/>
            </w:tcBorders>
            <w:noWrap w:val="0"/>
            <w:vAlign w:val="center"/>
          </w:tcPr>
          <w:p w14:paraId="5D7B549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w:t>
            </w:r>
          </w:p>
        </w:tc>
        <w:tc>
          <w:tcPr>
            <w:tcW w:w="1122" w:type="dxa"/>
            <w:tcBorders>
              <w:top w:val="single" w:color="000000" w:sz="6" w:space="0"/>
              <w:left w:val="single" w:color="auto" w:sz="4" w:space="0"/>
              <w:bottom w:val="single" w:color="000000" w:sz="6" w:space="0"/>
              <w:right w:val="single" w:color="000000" w:sz="6" w:space="0"/>
            </w:tcBorders>
            <w:noWrap w:val="0"/>
            <w:vAlign w:val="center"/>
          </w:tcPr>
          <w:p w14:paraId="7743233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人员要求</w:t>
            </w:r>
          </w:p>
        </w:tc>
        <w:tc>
          <w:tcPr>
            <w:tcW w:w="7694" w:type="dxa"/>
            <w:tcBorders>
              <w:top w:val="single" w:color="000000" w:sz="6" w:space="0"/>
              <w:left w:val="single" w:color="000000" w:sz="6" w:space="0"/>
              <w:bottom w:val="single" w:color="000000" w:sz="6" w:space="0"/>
              <w:right w:val="single" w:color="000000" w:sz="6" w:space="0"/>
            </w:tcBorders>
            <w:noWrap w:val="0"/>
            <w:vAlign w:val="center"/>
          </w:tcPr>
          <w:p w14:paraId="3AF64D1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安保</w:t>
            </w:r>
            <w:r>
              <w:rPr>
                <w:rFonts w:hint="default" w:ascii="Times New Roman" w:hAnsi="Times New Roman" w:eastAsia="宋体" w:cs="Times New Roman"/>
                <w:color w:val="auto"/>
                <w:kern w:val="2"/>
                <w:sz w:val="21"/>
                <w:szCs w:val="21"/>
                <w:lang w:val="en-US" w:eastAsia="zh-CN" w:bidi="ar-SA"/>
              </w:rPr>
              <w:t>人员中，身体健康，工作认真负责。</w:t>
            </w:r>
          </w:p>
        </w:tc>
      </w:tr>
      <w:tr w14:paraId="59D1A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122" w:type="dxa"/>
            <w:vMerge w:val="continue"/>
            <w:tcBorders>
              <w:top w:val="single" w:color="auto" w:sz="4" w:space="0"/>
              <w:left w:val="single" w:color="auto" w:sz="4" w:space="0"/>
              <w:bottom w:val="single" w:color="000000" w:sz="6" w:space="0"/>
              <w:right w:val="single" w:color="auto" w:sz="4" w:space="0"/>
            </w:tcBorders>
            <w:noWrap w:val="0"/>
            <w:vAlign w:val="center"/>
          </w:tcPr>
          <w:p w14:paraId="54E5598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p>
        </w:tc>
        <w:tc>
          <w:tcPr>
            <w:tcW w:w="841" w:type="dxa"/>
            <w:tcBorders>
              <w:top w:val="single" w:color="auto" w:sz="4" w:space="0"/>
              <w:left w:val="single" w:color="auto" w:sz="4" w:space="0"/>
              <w:bottom w:val="single" w:color="auto" w:sz="4" w:space="0"/>
              <w:right w:val="single" w:color="auto" w:sz="4" w:space="0"/>
            </w:tcBorders>
            <w:noWrap w:val="0"/>
            <w:vAlign w:val="center"/>
          </w:tcPr>
          <w:p w14:paraId="305BD67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w:t>
            </w:r>
          </w:p>
        </w:tc>
        <w:tc>
          <w:tcPr>
            <w:tcW w:w="1122" w:type="dxa"/>
            <w:tcBorders>
              <w:top w:val="single" w:color="000000" w:sz="6" w:space="0"/>
              <w:left w:val="single" w:color="auto" w:sz="4" w:space="0"/>
              <w:bottom w:val="single" w:color="000000" w:sz="6" w:space="0"/>
              <w:right w:val="single" w:color="000000" w:sz="6" w:space="0"/>
            </w:tcBorders>
            <w:noWrap w:val="0"/>
            <w:vAlign w:val="center"/>
          </w:tcPr>
          <w:p w14:paraId="604366D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技能训练</w:t>
            </w:r>
          </w:p>
        </w:tc>
        <w:tc>
          <w:tcPr>
            <w:tcW w:w="7694" w:type="dxa"/>
            <w:tcBorders>
              <w:top w:val="single" w:color="000000" w:sz="6" w:space="0"/>
              <w:left w:val="single" w:color="000000" w:sz="6" w:space="0"/>
              <w:bottom w:val="single" w:color="000000" w:sz="6" w:space="0"/>
              <w:right w:val="single" w:color="000000" w:sz="6" w:space="0"/>
            </w:tcBorders>
            <w:noWrap w:val="0"/>
            <w:vAlign w:val="center"/>
          </w:tcPr>
          <w:p w14:paraId="7FDF252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安保</w:t>
            </w:r>
            <w:r>
              <w:rPr>
                <w:rFonts w:hint="default" w:ascii="Times New Roman" w:hAnsi="Times New Roman" w:eastAsia="宋体" w:cs="Times New Roman"/>
                <w:color w:val="auto"/>
                <w:kern w:val="2"/>
                <w:sz w:val="21"/>
                <w:szCs w:val="21"/>
                <w:lang w:val="en-US" w:eastAsia="zh-CN" w:bidi="ar-SA"/>
              </w:rPr>
              <w:t>人员接受过安全技能训练（专项培训、岗中持续培训）的比例为100%。</w:t>
            </w:r>
          </w:p>
        </w:tc>
      </w:tr>
      <w:tr w14:paraId="5BCD9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122" w:type="dxa"/>
            <w:vMerge w:val="continue"/>
            <w:tcBorders>
              <w:top w:val="single" w:color="auto" w:sz="4" w:space="0"/>
              <w:left w:val="single" w:color="auto" w:sz="4" w:space="0"/>
              <w:bottom w:val="single" w:color="000000" w:sz="6" w:space="0"/>
              <w:right w:val="single" w:color="auto" w:sz="4" w:space="0"/>
            </w:tcBorders>
            <w:noWrap w:val="0"/>
            <w:vAlign w:val="center"/>
          </w:tcPr>
          <w:p w14:paraId="3FC19D7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p>
        </w:tc>
        <w:tc>
          <w:tcPr>
            <w:tcW w:w="841" w:type="dxa"/>
            <w:tcBorders>
              <w:top w:val="single" w:color="auto" w:sz="4" w:space="0"/>
              <w:left w:val="single" w:color="000000" w:sz="6" w:space="0"/>
              <w:bottom w:val="single" w:color="000000" w:sz="6" w:space="0"/>
              <w:right w:val="single" w:color="000000" w:sz="6" w:space="0"/>
            </w:tcBorders>
            <w:noWrap w:val="0"/>
            <w:vAlign w:val="center"/>
          </w:tcPr>
          <w:p w14:paraId="4DE71A4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w:t>
            </w:r>
          </w:p>
        </w:tc>
        <w:tc>
          <w:tcPr>
            <w:tcW w:w="1122" w:type="dxa"/>
            <w:tcBorders>
              <w:top w:val="single" w:color="000000" w:sz="6" w:space="0"/>
              <w:left w:val="single" w:color="000000" w:sz="6" w:space="0"/>
              <w:bottom w:val="single" w:color="000000" w:sz="6" w:space="0"/>
              <w:right w:val="single" w:color="000000" w:sz="6" w:space="0"/>
            </w:tcBorders>
            <w:noWrap w:val="0"/>
            <w:vAlign w:val="center"/>
          </w:tcPr>
          <w:p w14:paraId="7FB286C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技能水平</w:t>
            </w:r>
          </w:p>
        </w:tc>
        <w:tc>
          <w:tcPr>
            <w:tcW w:w="7694" w:type="dxa"/>
            <w:tcBorders>
              <w:top w:val="single" w:color="000000" w:sz="6" w:space="0"/>
              <w:left w:val="single" w:color="000000" w:sz="6" w:space="0"/>
              <w:bottom w:val="single" w:color="000000" w:sz="6" w:space="0"/>
              <w:right w:val="single" w:color="000000" w:sz="6" w:space="0"/>
            </w:tcBorders>
            <w:noWrap w:val="0"/>
            <w:vAlign w:val="center"/>
          </w:tcPr>
          <w:p w14:paraId="412B9E1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有较强的安全防范能力，能正确使用各类消防、物防、技防设备和器材。</w:t>
            </w:r>
          </w:p>
        </w:tc>
      </w:tr>
      <w:tr w14:paraId="37B28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122" w:type="dxa"/>
            <w:vMerge w:val="continue"/>
            <w:tcBorders>
              <w:top w:val="single" w:color="auto" w:sz="4" w:space="0"/>
              <w:left w:val="single" w:color="auto" w:sz="4" w:space="0"/>
              <w:bottom w:val="single" w:color="000000" w:sz="6" w:space="0"/>
              <w:right w:val="single" w:color="auto" w:sz="4" w:space="0"/>
            </w:tcBorders>
            <w:noWrap w:val="0"/>
            <w:vAlign w:val="center"/>
          </w:tcPr>
          <w:p w14:paraId="4180B79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p>
        </w:tc>
        <w:tc>
          <w:tcPr>
            <w:tcW w:w="841" w:type="dxa"/>
            <w:tcBorders>
              <w:top w:val="single" w:color="000000" w:sz="6" w:space="0"/>
              <w:left w:val="single" w:color="000000" w:sz="6" w:space="0"/>
              <w:bottom w:val="single" w:color="000000" w:sz="6" w:space="0"/>
              <w:right w:val="single" w:color="000000" w:sz="6" w:space="0"/>
            </w:tcBorders>
            <w:noWrap w:val="0"/>
            <w:vAlign w:val="center"/>
          </w:tcPr>
          <w:p w14:paraId="5E0E46D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w:t>
            </w:r>
          </w:p>
        </w:tc>
        <w:tc>
          <w:tcPr>
            <w:tcW w:w="1122" w:type="dxa"/>
            <w:tcBorders>
              <w:top w:val="single" w:color="000000" w:sz="6" w:space="0"/>
              <w:left w:val="single" w:color="000000" w:sz="6" w:space="0"/>
              <w:bottom w:val="single" w:color="000000" w:sz="6" w:space="0"/>
              <w:right w:val="single" w:color="000000" w:sz="6" w:space="0"/>
            </w:tcBorders>
            <w:noWrap w:val="0"/>
            <w:vAlign w:val="center"/>
          </w:tcPr>
          <w:p w14:paraId="611D945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服装仪容</w:t>
            </w:r>
          </w:p>
        </w:tc>
        <w:tc>
          <w:tcPr>
            <w:tcW w:w="7694" w:type="dxa"/>
            <w:tcBorders>
              <w:top w:val="single" w:color="000000" w:sz="6" w:space="0"/>
              <w:left w:val="single" w:color="000000" w:sz="6" w:space="0"/>
              <w:bottom w:val="single" w:color="000000" w:sz="6" w:space="0"/>
              <w:right w:val="single" w:color="000000" w:sz="6" w:space="0"/>
            </w:tcBorders>
            <w:noWrap w:val="0"/>
            <w:vAlign w:val="center"/>
          </w:tcPr>
          <w:p w14:paraId="16D70C3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上岗时佩戴统一标志，穿戴统一服装，仪容仪表规范。</w:t>
            </w:r>
          </w:p>
        </w:tc>
      </w:tr>
      <w:tr w14:paraId="472E0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122" w:type="dxa"/>
            <w:vMerge w:val="continue"/>
            <w:tcBorders>
              <w:top w:val="single" w:color="auto" w:sz="4" w:space="0"/>
              <w:left w:val="single" w:color="auto" w:sz="4" w:space="0"/>
              <w:bottom w:val="single" w:color="000000" w:sz="6" w:space="0"/>
              <w:right w:val="single" w:color="auto" w:sz="4" w:space="0"/>
            </w:tcBorders>
            <w:noWrap w:val="0"/>
            <w:vAlign w:val="center"/>
          </w:tcPr>
          <w:p w14:paraId="428FF95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p>
        </w:tc>
        <w:tc>
          <w:tcPr>
            <w:tcW w:w="841" w:type="dxa"/>
            <w:tcBorders>
              <w:top w:val="single" w:color="000000" w:sz="6" w:space="0"/>
              <w:left w:val="single" w:color="000000" w:sz="6" w:space="0"/>
              <w:bottom w:val="single" w:color="000000" w:sz="6" w:space="0"/>
              <w:right w:val="single" w:color="000000" w:sz="6" w:space="0"/>
            </w:tcBorders>
            <w:noWrap w:val="0"/>
            <w:vAlign w:val="center"/>
          </w:tcPr>
          <w:p w14:paraId="5901A2C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w:t>
            </w:r>
          </w:p>
        </w:tc>
        <w:tc>
          <w:tcPr>
            <w:tcW w:w="1122" w:type="dxa"/>
            <w:tcBorders>
              <w:top w:val="single" w:color="000000" w:sz="6" w:space="0"/>
              <w:left w:val="single" w:color="000000" w:sz="6" w:space="0"/>
              <w:bottom w:val="single" w:color="000000" w:sz="6" w:space="0"/>
              <w:right w:val="single" w:color="000000" w:sz="6" w:space="0"/>
            </w:tcBorders>
            <w:noWrap w:val="0"/>
            <w:vAlign w:val="center"/>
          </w:tcPr>
          <w:p w14:paraId="6BB9DA7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器械配备</w:t>
            </w:r>
          </w:p>
        </w:tc>
        <w:tc>
          <w:tcPr>
            <w:tcW w:w="7694" w:type="dxa"/>
            <w:tcBorders>
              <w:top w:val="single" w:color="000000" w:sz="6" w:space="0"/>
              <w:left w:val="single" w:color="000000" w:sz="6" w:space="0"/>
              <w:bottom w:val="single" w:color="000000" w:sz="6" w:space="0"/>
              <w:right w:val="single" w:color="000000" w:sz="6" w:space="0"/>
            </w:tcBorders>
            <w:noWrap w:val="0"/>
            <w:vAlign w:val="center"/>
          </w:tcPr>
          <w:p w14:paraId="1712F70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配备对讲装置或必要的安全护卫器械。</w:t>
            </w:r>
          </w:p>
        </w:tc>
      </w:tr>
      <w:tr w14:paraId="09DC0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122" w:type="dxa"/>
            <w:vMerge w:val="restart"/>
            <w:tcBorders>
              <w:top w:val="single" w:color="000000" w:sz="6" w:space="0"/>
              <w:left w:val="single" w:color="000000" w:sz="6" w:space="0"/>
              <w:bottom w:val="single" w:color="000000" w:sz="6" w:space="0"/>
              <w:right w:val="single" w:color="000000" w:sz="6" w:space="0"/>
            </w:tcBorders>
            <w:noWrap w:val="0"/>
            <w:vAlign w:val="center"/>
          </w:tcPr>
          <w:p w14:paraId="4F1657C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门岗</w:t>
            </w:r>
          </w:p>
        </w:tc>
        <w:tc>
          <w:tcPr>
            <w:tcW w:w="841" w:type="dxa"/>
            <w:tcBorders>
              <w:top w:val="single" w:color="000000" w:sz="6" w:space="0"/>
              <w:left w:val="single" w:color="000000" w:sz="6" w:space="0"/>
              <w:bottom w:val="single" w:color="000000" w:sz="6" w:space="0"/>
              <w:right w:val="single" w:color="000000" w:sz="6" w:space="0"/>
            </w:tcBorders>
            <w:noWrap w:val="0"/>
            <w:vAlign w:val="center"/>
          </w:tcPr>
          <w:p w14:paraId="376752D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6</w:t>
            </w:r>
          </w:p>
        </w:tc>
        <w:tc>
          <w:tcPr>
            <w:tcW w:w="1122" w:type="dxa"/>
            <w:tcBorders>
              <w:top w:val="single" w:color="000000" w:sz="6" w:space="0"/>
              <w:left w:val="single" w:color="000000" w:sz="6" w:space="0"/>
              <w:bottom w:val="single" w:color="000000" w:sz="6" w:space="0"/>
              <w:right w:val="single" w:color="000000" w:sz="6" w:space="0"/>
            </w:tcBorders>
            <w:noWrap w:val="0"/>
            <w:vAlign w:val="center"/>
          </w:tcPr>
          <w:p w14:paraId="7B0D827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出入口值守</w:t>
            </w:r>
          </w:p>
        </w:tc>
        <w:tc>
          <w:tcPr>
            <w:tcW w:w="7694" w:type="dxa"/>
            <w:tcBorders>
              <w:top w:val="single" w:color="000000" w:sz="6" w:space="0"/>
              <w:left w:val="single" w:color="000000" w:sz="6" w:space="0"/>
              <w:bottom w:val="single" w:color="000000" w:sz="6" w:space="0"/>
              <w:right w:val="single" w:color="000000" w:sz="6" w:space="0"/>
            </w:tcBorders>
            <w:noWrap w:val="0"/>
            <w:vAlign w:val="center"/>
          </w:tcPr>
          <w:p w14:paraId="23748FB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正门及侧门</w:t>
            </w:r>
            <w:r>
              <w:rPr>
                <w:rFonts w:hint="default" w:ascii="Times New Roman" w:hAnsi="Times New Roman" w:eastAsia="宋体" w:cs="Times New Roman"/>
                <w:color w:val="auto"/>
                <w:kern w:val="2"/>
                <w:sz w:val="21"/>
                <w:szCs w:val="21"/>
                <w:lang w:val="en-US" w:eastAsia="zh-CN" w:bidi="ar-SA"/>
              </w:rPr>
              <w:t>出入口24小时有人值守，有交接班记录。</w:t>
            </w:r>
          </w:p>
        </w:tc>
      </w:tr>
      <w:tr w14:paraId="32DAE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1" w:hRule="atLeast"/>
          <w:jc w:val="center"/>
        </w:trPr>
        <w:tc>
          <w:tcPr>
            <w:tcW w:w="1122" w:type="dxa"/>
            <w:vMerge w:val="continue"/>
            <w:tcBorders>
              <w:top w:val="single" w:color="000000" w:sz="6" w:space="0"/>
              <w:left w:val="single" w:color="000000" w:sz="6" w:space="0"/>
              <w:bottom w:val="single" w:color="000000" w:sz="6" w:space="0"/>
              <w:right w:val="single" w:color="000000" w:sz="6" w:space="0"/>
            </w:tcBorders>
            <w:noWrap w:val="0"/>
            <w:vAlign w:val="center"/>
          </w:tcPr>
          <w:p w14:paraId="463B5C4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p>
        </w:tc>
        <w:tc>
          <w:tcPr>
            <w:tcW w:w="841" w:type="dxa"/>
            <w:tcBorders>
              <w:top w:val="single" w:color="000000" w:sz="6" w:space="0"/>
              <w:left w:val="single" w:color="000000" w:sz="6" w:space="0"/>
              <w:bottom w:val="single" w:color="000000" w:sz="6" w:space="0"/>
              <w:right w:val="single" w:color="000000" w:sz="6" w:space="0"/>
            </w:tcBorders>
            <w:noWrap w:val="0"/>
            <w:vAlign w:val="center"/>
          </w:tcPr>
          <w:p w14:paraId="08067AD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7</w:t>
            </w:r>
          </w:p>
        </w:tc>
        <w:tc>
          <w:tcPr>
            <w:tcW w:w="1122" w:type="dxa"/>
            <w:tcBorders>
              <w:top w:val="single" w:color="000000" w:sz="6" w:space="0"/>
              <w:left w:val="single" w:color="000000" w:sz="6" w:space="0"/>
              <w:bottom w:val="single" w:color="000000" w:sz="6" w:space="0"/>
              <w:right w:val="single" w:color="000000" w:sz="6" w:space="0"/>
            </w:tcBorders>
            <w:noWrap w:val="0"/>
            <w:vAlign w:val="center"/>
          </w:tcPr>
          <w:p w14:paraId="0CAF512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进出人员管理</w:t>
            </w:r>
          </w:p>
        </w:tc>
        <w:tc>
          <w:tcPr>
            <w:tcW w:w="7694" w:type="dxa"/>
            <w:tcBorders>
              <w:top w:val="single" w:color="000000" w:sz="6" w:space="0"/>
              <w:left w:val="single" w:color="000000" w:sz="6" w:space="0"/>
              <w:bottom w:val="single" w:color="000000" w:sz="6" w:space="0"/>
              <w:right w:val="single" w:color="000000" w:sz="6" w:space="0"/>
            </w:tcBorders>
            <w:noWrap w:val="0"/>
            <w:vAlign w:val="center"/>
          </w:tcPr>
          <w:p w14:paraId="074836CA">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（1）阻止小商小贩、外来人员随意进入办公区域。</w:t>
            </w:r>
          </w:p>
          <w:p w14:paraId="7B56D21E">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（2）对外来人员、送货人员进行登记，阻止未经许可的外来人员进入办公区域，对大件物品搬出有记录。</w:t>
            </w:r>
          </w:p>
        </w:tc>
      </w:tr>
      <w:tr w14:paraId="6AB92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0" w:hRule="atLeast"/>
          <w:jc w:val="center"/>
        </w:trPr>
        <w:tc>
          <w:tcPr>
            <w:tcW w:w="1122" w:type="dxa"/>
            <w:vMerge w:val="continue"/>
            <w:tcBorders>
              <w:top w:val="single" w:color="000000" w:sz="6" w:space="0"/>
              <w:left w:val="single" w:color="000000" w:sz="6" w:space="0"/>
              <w:bottom w:val="single" w:color="000000" w:sz="6" w:space="0"/>
              <w:right w:val="single" w:color="000000" w:sz="6" w:space="0"/>
            </w:tcBorders>
            <w:noWrap w:val="0"/>
            <w:vAlign w:val="center"/>
          </w:tcPr>
          <w:p w14:paraId="62669CA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p>
        </w:tc>
        <w:tc>
          <w:tcPr>
            <w:tcW w:w="841" w:type="dxa"/>
            <w:tcBorders>
              <w:top w:val="single" w:color="000000" w:sz="6" w:space="0"/>
              <w:left w:val="single" w:color="000000" w:sz="6" w:space="0"/>
              <w:bottom w:val="single" w:color="000000" w:sz="6" w:space="0"/>
              <w:right w:val="single" w:color="000000" w:sz="6" w:space="0"/>
            </w:tcBorders>
            <w:noWrap w:val="0"/>
            <w:vAlign w:val="center"/>
          </w:tcPr>
          <w:p w14:paraId="4063116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8</w:t>
            </w:r>
          </w:p>
        </w:tc>
        <w:tc>
          <w:tcPr>
            <w:tcW w:w="1122" w:type="dxa"/>
            <w:tcBorders>
              <w:top w:val="single" w:color="000000" w:sz="6" w:space="0"/>
              <w:left w:val="single" w:color="000000" w:sz="6" w:space="0"/>
              <w:bottom w:val="single" w:color="000000" w:sz="6" w:space="0"/>
              <w:right w:val="single" w:color="000000" w:sz="6" w:space="0"/>
            </w:tcBorders>
            <w:noWrap w:val="0"/>
            <w:vAlign w:val="center"/>
          </w:tcPr>
          <w:p w14:paraId="2580E77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车辆疏导</w:t>
            </w:r>
          </w:p>
        </w:tc>
        <w:tc>
          <w:tcPr>
            <w:tcW w:w="7694" w:type="dxa"/>
            <w:tcBorders>
              <w:top w:val="single" w:color="000000" w:sz="6" w:space="0"/>
              <w:left w:val="single" w:color="000000" w:sz="6" w:space="0"/>
              <w:bottom w:val="single" w:color="000000" w:sz="6" w:space="0"/>
              <w:right w:val="single" w:color="000000" w:sz="6" w:space="0"/>
            </w:tcBorders>
            <w:noWrap w:val="0"/>
            <w:vAlign w:val="center"/>
          </w:tcPr>
          <w:p w14:paraId="116F7610">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（1）对进出项目车辆进行管理、疏导，保持出入口道路畅通。</w:t>
            </w:r>
          </w:p>
          <w:p w14:paraId="2BFDE075">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（2）对大件物品搬出进行登记。</w:t>
            </w:r>
          </w:p>
        </w:tc>
      </w:tr>
      <w:tr w14:paraId="3CA28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1" w:hRule="atLeast"/>
          <w:jc w:val="center"/>
        </w:trPr>
        <w:tc>
          <w:tcPr>
            <w:tcW w:w="1122" w:type="dxa"/>
            <w:vMerge w:val="restart"/>
            <w:tcBorders>
              <w:top w:val="single" w:color="000000" w:sz="6" w:space="0"/>
              <w:left w:val="single" w:color="000000" w:sz="6" w:space="0"/>
              <w:bottom w:val="single" w:color="000000" w:sz="6" w:space="0"/>
              <w:right w:val="single" w:color="000000" w:sz="6" w:space="0"/>
            </w:tcBorders>
            <w:noWrap w:val="0"/>
            <w:vAlign w:val="center"/>
          </w:tcPr>
          <w:p w14:paraId="75718FB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巡逻岗</w:t>
            </w:r>
          </w:p>
        </w:tc>
        <w:tc>
          <w:tcPr>
            <w:tcW w:w="841" w:type="dxa"/>
            <w:tcBorders>
              <w:top w:val="single" w:color="000000" w:sz="6" w:space="0"/>
              <w:left w:val="single" w:color="000000" w:sz="6" w:space="0"/>
              <w:bottom w:val="single" w:color="000000" w:sz="6" w:space="0"/>
              <w:right w:val="single" w:color="000000" w:sz="6" w:space="0"/>
            </w:tcBorders>
            <w:noWrap w:val="0"/>
            <w:vAlign w:val="center"/>
          </w:tcPr>
          <w:p w14:paraId="23BA258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p>
          <w:p w14:paraId="3BF2C7F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w:t>
            </w:r>
          </w:p>
        </w:tc>
        <w:tc>
          <w:tcPr>
            <w:tcW w:w="1122" w:type="dxa"/>
            <w:tcBorders>
              <w:top w:val="single" w:color="000000" w:sz="6" w:space="0"/>
              <w:left w:val="single" w:color="000000" w:sz="6" w:space="0"/>
              <w:bottom w:val="single" w:color="000000" w:sz="6" w:space="0"/>
              <w:right w:val="single" w:color="000000" w:sz="6" w:space="0"/>
            </w:tcBorders>
            <w:noWrap w:val="0"/>
            <w:vAlign w:val="center"/>
          </w:tcPr>
          <w:p w14:paraId="3FDE689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巡逻要求</w:t>
            </w:r>
          </w:p>
        </w:tc>
        <w:tc>
          <w:tcPr>
            <w:tcW w:w="7694" w:type="dxa"/>
            <w:tcBorders>
              <w:top w:val="single" w:color="000000" w:sz="6" w:space="0"/>
              <w:left w:val="single" w:color="000000" w:sz="6" w:space="0"/>
              <w:bottom w:val="single" w:color="000000" w:sz="6" w:space="0"/>
              <w:right w:val="single" w:color="000000" w:sz="6" w:space="0"/>
            </w:tcBorders>
            <w:noWrap w:val="0"/>
            <w:vAlign w:val="center"/>
          </w:tcPr>
          <w:p w14:paraId="5986AF7E">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（1）日常巡逻严格按照规定执行，根据项目特点不得规定次数。</w:t>
            </w:r>
          </w:p>
          <w:p w14:paraId="60388EDC">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（2）重点部位加强巡逻，有巡逻记录。</w:t>
            </w:r>
          </w:p>
          <w:p w14:paraId="3D9FDA3E">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（3）接受业主（使用人）求助，回答业主（使用人）的询问。</w:t>
            </w:r>
          </w:p>
        </w:tc>
      </w:tr>
      <w:tr w14:paraId="2FA9F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6" w:hRule="atLeast"/>
          <w:jc w:val="center"/>
        </w:trPr>
        <w:tc>
          <w:tcPr>
            <w:tcW w:w="1122" w:type="dxa"/>
            <w:vMerge w:val="continue"/>
            <w:tcBorders>
              <w:top w:val="single" w:color="000000" w:sz="6" w:space="0"/>
              <w:left w:val="single" w:color="000000" w:sz="6" w:space="0"/>
              <w:bottom w:val="single" w:color="000000" w:sz="6" w:space="0"/>
              <w:right w:val="single" w:color="000000" w:sz="6" w:space="0"/>
            </w:tcBorders>
            <w:noWrap w:val="0"/>
            <w:vAlign w:val="center"/>
          </w:tcPr>
          <w:p w14:paraId="3E21E09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p>
        </w:tc>
        <w:tc>
          <w:tcPr>
            <w:tcW w:w="841" w:type="dxa"/>
            <w:tcBorders>
              <w:top w:val="single" w:color="000000" w:sz="6" w:space="0"/>
              <w:left w:val="single" w:color="000000" w:sz="6" w:space="0"/>
              <w:bottom w:val="single" w:color="000000" w:sz="6" w:space="0"/>
              <w:right w:val="single" w:color="000000" w:sz="6" w:space="0"/>
            </w:tcBorders>
            <w:noWrap w:val="0"/>
            <w:vAlign w:val="center"/>
          </w:tcPr>
          <w:p w14:paraId="5EE57B6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10</w:t>
            </w:r>
          </w:p>
        </w:tc>
        <w:tc>
          <w:tcPr>
            <w:tcW w:w="1122" w:type="dxa"/>
            <w:tcBorders>
              <w:top w:val="single" w:color="000000" w:sz="6" w:space="0"/>
              <w:left w:val="single" w:color="000000" w:sz="6" w:space="0"/>
              <w:bottom w:val="single" w:color="000000" w:sz="6" w:space="0"/>
              <w:right w:val="single" w:color="000000" w:sz="6" w:space="0"/>
            </w:tcBorders>
            <w:noWrap w:val="0"/>
            <w:vAlign w:val="center"/>
          </w:tcPr>
          <w:p w14:paraId="7F0EDF0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应急处理</w:t>
            </w:r>
          </w:p>
        </w:tc>
        <w:tc>
          <w:tcPr>
            <w:tcW w:w="7694" w:type="dxa"/>
            <w:tcBorders>
              <w:top w:val="single" w:color="000000" w:sz="6" w:space="0"/>
              <w:left w:val="single" w:color="000000" w:sz="6" w:space="0"/>
              <w:bottom w:val="single" w:color="000000" w:sz="6" w:space="0"/>
              <w:right w:val="single" w:color="000000" w:sz="6" w:space="0"/>
            </w:tcBorders>
            <w:noWrap w:val="0"/>
            <w:vAlign w:val="center"/>
          </w:tcPr>
          <w:p w14:paraId="459ED77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在遇到异常情况或突发事件时，采取相应的应对措施，及时报告物业服务中心和相关部门。</w:t>
            </w:r>
          </w:p>
        </w:tc>
      </w:tr>
      <w:tr w14:paraId="04EB1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122" w:type="dxa"/>
            <w:vMerge w:val="restart"/>
            <w:tcBorders>
              <w:top w:val="single" w:color="000000" w:sz="6" w:space="0"/>
              <w:left w:val="single" w:color="000000" w:sz="6" w:space="0"/>
              <w:bottom w:val="single" w:color="000000" w:sz="6" w:space="0"/>
              <w:right w:val="single" w:color="000000" w:sz="6" w:space="0"/>
            </w:tcBorders>
            <w:noWrap w:val="0"/>
            <w:vAlign w:val="center"/>
          </w:tcPr>
          <w:p w14:paraId="461B4B9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应急处置</w:t>
            </w:r>
          </w:p>
        </w:tc>
        <w:tc>
          <w:tcPr>
            <w:tcW w:w="841" w:type="dxa"/>
            <w:tcBorders>
              <w:top w:val="single" w:color="000000" w:sz="6" w:space="0"/>
              <w:left w:val="single" w:color="000000" w:sz="6" w:space="0"/>
              <w:bottom w:val="single" w:color="000000" w:sz="6" w:space="0"/>
              <w:right w:val="single" w:color="000000" w:sz="6" w:space="0"/>
            </w:tcBorders>
            <w:noWrap w:val="0"/>
            <w:vAlign w:val="center"/>
          </w:tcPr>
          <w:p w14:paraId="4812F7D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11</w:t>
            </w:r>
          </w:p>
        </w:tc>
        <w:tc>
          <w:tcPr>
            <w:tcW w:w="1122" w:type="dxa"/>
            <w:tcBorders>
              <w:top w:val="single" w:color="000000" w:sz="6" w:space="0"/>
              <w:left w:val="single" w:color="000000" w:sz="6" w:space="0"/>
              <w:bottom w:val="single" w:color="000000" w:sz="6" w:space="0"/>
              <w:right w:val="single" w:color="000000" w:sz="6" w:space="0"/>
            </w:tcBorders>
            <w:noWrap w:val="0"/>
            <w:vAlign w:val="center"/>
          </w:tcPr>
          <w:p w14:paraId="1DC7A40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技防设施</w:t>
            </w:r>
          </w:p>
        </w:tc>
        <w:tc>
          <w:tcPr>
            <w:tcW w:w="7694" w:type="dxa"/>
            <w:tcBorders>
              <w:top w:val="single" w:color="000000" w:sz="6" w:space="0"/>
              <w:left w:val="single" w:color="000000" w:sz="6" w:space="0"/>
              <w:bottom w:val="single" w:color="000000" w:sz="6" w:space="0"/>
              <w:right w:val="single" w:color="000000" w:sz="6" w:space="0"/>
            </w:tcBorders>
            <w:noWrap w:val="0"/>
            <w:vAlign w:val="center"/>
          </w:tcPr>
          <w:p w14:paraId="7E83BD0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配合甲方开展安检</w:t>
            </w:r>
            <w:r>
              <w:rPr>
                <w:rFonts w:hint="default" w:ascii="Times New Roman" w:hAnsi="Times New Roman" w:eastAsia="宋体" w:cs="Times New Roman"/>
                <w:color w:val="auto"/>
                <w:kern w:val="2"/>
                <w:sz w:val="21"/>
                <w:szCs w:val="21"/>
                <w:lang w:val="en-US" w:eastAsia="zh-CN" w:bidi="ar-SA"/>
              </w:rPr>
              <w:t>，</w:t>
            </w:r>
            <w:r>
              <w:rPr>
                <w:rFonts w:hint="eastAsia" w:ascii="Times New Roman" w:hAnsi="Times New Roman" w:eastAsia="宋体" w:cs="Times New Roman"/>
                <w:color w:val="auto"/>
                <w:kern w:val="2"/>
                <w:sz w:val="21"/>
                <w:szCs w:val="21"/>
                <w:lang w:val="en-US" w:eastAsia="zh-CN" w:bidi="ar-SA"/>
              </w:rPr>
              <w:t>相关</w:t>
            </w:r>
            <w:r>
              <w:rPr>
                <w:rFonts w:hint="default" w:ascii="Times New Roman" w:hAnsi="Times New Roman" w:eastAsia="宋体" w:cs="Times New Roman"/>
                <w:color w:val="auto"/>
                <w:kern w:val="2"/>
                <w:sz w:val="21"/>
                <w:szCs w:val="21"/>
                <w:lang w:val="en-US" w:eastAsia="zh-CN" w:bidi="ar-SA"/>
              </w:rPr>
              <w:t>设施</w:t>
            </w:r>
            <w:r>
              <w:rPr>
                <w:rFonts w:hint="eastAsia" w:ascii="Times New Roman" w:hAnsi="Times New Roman" w:eastAsia="宋体" w:cs="Times New Roman"/>
                <w:color w:val="auto"/>
                <w:kern w:val="2"/>
                <w:sz w:val="21"/>
                <w:szCs w:val="21"/>
                <w:lang w:val="en-US" w:eastAsia="zh-CN" w:bidi="ar-SA"/>
              </w:rPr>
              <w:t>设备会操作使用</w:t>
            </w:r>
            <w:r>
              <w:rPr>
                <w:rFonts w:hint="default" w:ascii="Times New Roman" w:hAnsi="Times New Roman" w:eastAsia="宋体" w:cs="Times New Roman"/>
                <w:color w:val="auto"/>
                <w:kern w:val="2"/>
                <w:sz w:val="21"/>
                <w:szCs w:val="21"/>
                <w:lang w:val="en-US" w:eastAsia="zh-CN" w:bidi="ar-SA"/>
              </w:rPr>
              <w:t>。</w:t>
            </w:r>
          </w:p>
        </w:tc>
      </w:tr>
      <w:tr w14:paraId="34F30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5" w:hRule="atLeast"/>
          <w:jc w:val="center"/>
        </w:trPr>
        <w:tc>
          <w:tcPr>
            <w:tcW w:w="1122" w:type="dxa"/>
            <w:vMerge w:val="continue"/>
            <w:tcBorders>
              <w:top w:val="single" w:color="000000" w:sz="6" w:space="0"/>
              <w:left w:val="single" w:color="000000" w:sz="6" w:space="0"/>
              <w:bottom w:val="single" w:color="000000" w:sz="6" w:space="0"/>
              <w:right w:val="single" w:color="000000" w:sz="6" w:space="0"/>
            </w:tcBorders>
            <w:noWrap w:val="0"/>
            <w:vAlign w:val="center"/>
          </w:tcPr>
          <w:p w14:paraId="1C241F5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p>
        </w:tc>
        <w:tc>
          <w:tcPr>
            <w:tcW w:w="841" w:type="dxa"/>
            <w:tcBorders>
              <w:top w:val="single" w:color="000000" w:sz="6" w:space="0"/>
              <w:left w:val="single" w:color="000000" w:sz="6" w:space="0"/>
              <w:bottom w:val="single" w:color="000000" w:sz="6" w:space="0"/>
              <w:right w:val="single" w:color="000000" w:sz="6" w:space="0"/>
            </w:tcBorders>
            <w:noWrap w:val="0"/>
            <w:vAlign w:val="center"/>
          </w:tcPr>
          <w:p w14:paraId="21AF73A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w:t>
            </w:r>
          </w:p>
        </w:tc>
        <w:tc>
          <w:tcPr>
            <w:tcW w:w="1122" w:type="dxa"/>
            <w:tcBorders>
              <w:top w:val="single" w:color="000000" w:sz="6" w:space="0"/>
              <w:left w:val="single" w:color="000000" w:sz="6" w:space="0"/>
              <w:bottom w:val="single" w:color="000000" w:sz="6" w:space="0"/>
              <w:right w:val="single" w:color="000000" w:sz="6" w:space="0"/>
            </w:tcBorders>
            <w:noWrap w:val="0"/>
            <w:vAlign w:val="center"/>
          </w:tcPr>
          <w:p w14:paraId="137486A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应急处理</w:t>
            </w:r>
          </w:p>
        </w:tc>
        <w:tc>
          <w:tcPr>
            <w:tcW w:w="7694" w:type="dxa"/>
            <w:tcBorders>
              <w:top w:val="single" w:color="000000" w:sz="6" w:space="0"/>
              <w:left w:val="single" w:color="000000" w:sz="6" w:space="0"/>
              <w:bottom w:val="single" w:color="000000" w:sz="6" w:space="0"/>
              <w:right w:val="single" w:color="000000" w:sz="6" w:space="0"/>
            </w:tcBorders>
            <w:noWrap w:val="0"/>
            <w:vAlign w:val="center"/>
          </w:tcPr>
          <w:p w14:paraId="22FFD719">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（1）有紧急事故处理预案</w:t>
            </w:r>
            <w:r>
              <w:rPr>
                <w:rFonts w:hint="eastAsia" w:ascii="Times New Roman" w:hAnsi="Times New Roman" w:eastAsia="宋体" w:cs="Times New Roman"/>
                <w:color w:val="auto"/>
                <w:kern w:val="2"/>
                <w:sz w:val="21"/>
                <w:szCs w:val="21"/>
                <w:lang w:val="en-US" w:eastAsia="zh-CN" w:bidi="ar-SA"/>
              </w:rPr>
              <w:t>，发现应急情况时，物业经理和安保人员须及时到位，尽力配合业主开展处置工作</w:t>
            </w:r>
            <w:r>
              <w:rPr>
                <w:rFonts w:hint="default" w:ascii="Times New Roman" w:hAnsi="Times New Roman" w:eastAsia="宋体" w:cs="Times New Roman"/>
                <w:color w:val="auto"/>
                <w:kern w:val="2"/>
                <w:sz w:val="21"/>
                <w:szCs w:val="21"/>
                <w:lang w:val="en-US" w:eastAsia="zh-CN" w:bidi="ar-SA"/>
              </w:rPr>
              <w:t>。</w:t>
            </w:r>
          </w:p>
          <w:p w14:paraId="71E7DD12">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（2）有火警、警情等紧急事件启动应急预案，并在</w:t>
            </w:r>
            <w:r>
              <w:rPr>
                <w:rFonts w:hint="eastAsia" w:ascii="Times New Roman" w:hAnsi="Times New Roman" w:eastAsia="宋体" w:cs="Times New Roman"/>
                <w:color w:val="auto"/>
                <w:kern w:val="2"/>
                <w:sz w:val="21"/>
                <w:szCs w:val="21"/>
                <w:lang w:val="en-US" w:eastAsia="zh-CN" w:bidi="ar-SA"/>
              </w:rPr>
              <w:t>值班室内</w:t>
            </w:r>
            <w:r>
              <w:rPr>
                <w:rFonts w:hint="default" w:ascii="Times New Roman" w:hAnsi="Times New Roman" w:eastAsia="宋体" w:cs="Times New Roman"/>
                <w:color w:val="auto"/>
                <w:kern w:val="2"/>
                <w:sz w:val="21"/>
                <w:szCs w:val="21"/>
                <w:lang w:val="en-US" w:eastAsia="zh-CN" w:bidi="ar-SA"/>
              </w:rPr>
              <w:t>上墙。</w:t>
            </w:r>
          </w:p>
        </w:tc>
      </w:tr>
      <w:tr w14:paraId="21B0D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122" w:type="dxa"/>
            <w:vMerge w:val="restart"/>
            <w:tcBorders>
              <w:top w:val="single" w:color="000000" w:sz="6" w:space="0"/>
              <w:left w:val="single" w:color="000000" w:sz="6" w:space="0"/>
              <w:bottom w:val="single" w:color="000000" w:sz="6" w:space="0"/>
              <w:right w:val="single" w:color="000000" w:sz="6" w:space="0"/>
            </w:tcBorders>
            <w:noWrap w:val="0"/>
            <w:vAlign w:val="center"/>
          </w:tcPr>
          <w:p w14:paraId="3B19A66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专项车辆管理</w:t>
            </w:r>
          </w:p>
        </w:tc>
        <w:tc>
          <w:tcPr>
            <w:tcW w:w="841" w:type="dxa"/>
            <w:tcBorders>
              <w:top w:val="single" w:color="000000" w:sz="6" w:space="0"/>
              <w:left w:val="single" w:color="000000" w:sz="6" w:space="0"/>
              <w:bottom w:val="single" w:color="000000" w:sz="6" w:space="0"/>
              <w:right w:val="single" w:color="000000" w:sz="6" w:space="0"/>
            </w:tcBorders>
            <w:noWrap w:val="0"/>
            <w:vAlign w:val="center"/>
          </w:tcPr>
          <w:p w14:paraId="1BB60BC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w:t>
            </w:r>
          </w:p>
        </w:tc>
        <w:tc>
          <w:tcPr>
            <w:tcW w:w="1122" w:type="dxa"/>
            <w:tcBorders>
              <w:top w:val="single" w:color="000000" w:sz="6" w:space="0"/>
              <w:left w:val="single" w:color="000000" w:sz="6" w:space="0"/>
              <w:bottom w:val="single" w:color="000000" w:sz="6" w:space="0"/>
              <w:right w:val="single" w:color="000000" w:sz="6" w:space="0"/>
            </w:tcBorders>
            <w:noWrap w:val="0"/>
            <w:vAlign w:val="center"/>
          </w:tcPr>
          <w:p w14:paraId="2FBEAB5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露天车位</w:t>
            </w:r>
          </w:p>
        </w:tc>
        <w:tc>
          <w:tcPr>
            <w:tcW w:w="7694" w:type="dxa"/>
            <w:tcBorders>
              <w:top w:val="single" w:color="000000" w:sz="6" w:space="0"/>
              <w:left w:val="single" w:color="000000" w:sz="6" w:space="0"/>
              <w:bottom w:val="single" w:color="000000" w:sz="6" w:space="0"/>
              <w:right w:val="single" w:color="000000" w:sz="6" w:space="0"/>
            </w:tcBorders>
            <w:noWrap w:val="0"/>
            <w:vAlign w:val="center"/>
          </w:tcPr>
          <w:p w14:paraId="2382B55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按车辆道路行驶要求设立指示牌，车辆基本停放在规定的范围内。</w:t>
            </w:r>
          </w:p>
        </w:tc>
      </w:tr>
      <w:tr w14:paraId="77105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2" w:hRule="atLeast"/>
          <w:jc w:val="center"/>
        </w:trPr>
        <w:tc>
          <w:tcPr>
            <w:tcW w:w="1122" w:type="dxa"/>
            <w:vMerge w:val="continue"/>
            <w:tcBorders>
              <w:top w:val="single" w:color="000000" w:sz="6" w:space="0"/>
              <w:left w:val="single" w:color="000000" w:sz="6" w:space="0"/>
              <w:bottom w:val="single" w:color="000000" w:sz="6" w:space="0"/>
              <w:right w:val="single" w:color="000000" w:sz="6" w:space="0"/>
            </w:tcBorders>
            <w:noWrap w:val="0"/>
            <w:vAlign w:val="center"/>
          </w:tcPr>
          <w:p w14:paraId="4D6587D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p>
        </w:tc>
        <w:tc>
          <w:tcPr>
            <w:tcW w:w="841" w:type="dxa"/>
            <w:tcBorders>
              <w:top w:val="single" w:color="000000" w:sz="6" w:space="0"/>
              <w:left w:val="single" w:color="000000" w:sz="6" w:space="0"/>
              <w:bottom w:val="single" w:color="000000" w:sz="6" w:space="0"/>
              <w:right w:val="single" w:color="000000" w:sz="6" w:space="0"/>
            </w:tcBorders>
            <w:noWrap w:val="0"/>
            <w:vAlign w:val="center"/>
          </w:tcPr>
          <w:p w14:paraId="4C290B7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14</w:t>
            </w:r>
          </w:p>
        </w:tc>
        <w:tc>
          <w:tcPr>
            <w:tcW w:w="1122" w:type="dxa"/>
            <w:tcBorders>
              <w:top w:val="single" w:color="000000" w:sz="6" w:space="0"/>
              <w:left w:val="single" w:color="000000" w:sz="6" w:space="0"/>
              <w:bottom w:val="single" w:color="000000" w:sz="6" w:space="0"/>
              <w:right w:val="single" w:color="000000" w:sz="6" w:space="0"/>
            </w:tcBorders>
            <w:noWrap w:val="0"/>
            <w:vAlign w:val="center"/>
          </w:tcPr>
          <w:p w14:paraId="0BF3A2F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车库</w:t>
            </w:r>
          </w:p>
        </w:tc>
        <w:tc>
          <w:tcPr>
            <w:tcW w:w="7694" w:type="dxa"/>
            <w:tcBorders>
              <w:top w:val="single" w:color="000000" w:sz="6" w:space="0"/>
              <w:left w:val="single" w:color="000000" w:sz="6" w:space="0"/>
              <w:bottom w:val="single" w:color="000000" w:sz="6" w:space="0"/>
              <w:right w:val="single" w:color="000000" w:sz="6" w:space="0"/>
            </w:tcBorders>
            <w:noWrap w:val="0"/>
            <w:vAlign w:val="center"/>
          </w:tcPr>
          <w:p w14:paraId="22612A4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车辆停放有序，地面、墙面有简易的车辆行驶指示牌和地标，备有必需的合格消防器材，有照明，通风良好，无易燃、易爆及危险物品存放。</w:t>
            </w:r>
          </w:p>
        </w:tc>
      </w:tr>
    </w:tbl>
    <w:p w14:paraId="2FB3454D">
      <w:pPr>
        <w:pStyle w:val="14"/>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right="0" w:rightChars="0" w:firstLine="640" w:firstLineChars="200"/>
        <w:jc w:val="left"/>
        <w:textAlignment w:val="baseline"/>
        <w:rPr>
          <w:rFonts w:hint="default" w:ascii="Times New Roman" w:hAnsi="Times New Roman" w:eastAsia="宋体" w:cs="Times New Roman"/>
          <w:color w:val="auto"/>
          <w:kern w:val="2"/>
          <w:sz w:val="32"/>
          <w:szCs w:val="32"/>
          <w:lang w:val="en-US" w:eastAsia="zh-CN" w:bidi="ar-SA"/>
        </w:rPr>
      </w:pPr>
      <w:r>
        <w:rPr>
          <w:rFonts w:hint="default" w:ascii="Times New Roman" w:hAnsi="Times New Roman" w:eastAsia="宋体" w:cs="Times New Roman"/>
          <w:color w:val="auto"/>
          <w:kern w:val="2"/>
          <w:sz w:val="32"/>
          <w:szCs w:val="32"/>
          <w:lang w:val="en-US" w:eastAsia="zh-CN" w:bidi="ar-SA"/>
        </w:rPr>
        <w:t>（三）公共</w:t>
      </w:r>
      <w:r>
        <w:rPr>
          <w:rFonts w:hint="eastAsia" w:ascii="Times New Roman" w:hAnsi="Times New Roman" w:eastAsia="宋体" w:cs="Times New Roman"/>
          <w:color w:val="auto"/>
          <w:kern w:val="2"/>
          <w:sz w:val="32"/>
          <w:szCs w:val="32"/>
          <w:lang w:val="en-US" w:eastAsia="zh-CN" w:bidi="ar-SA"/>
        </w:rPr>
        <w:t>和办公</w:t>
      </w:r>
      <w:r>
        <w:rPr>
          <w:rFonts w:hint="default" w:ascii="Times New Roman" w:hAnsi="Times New Roman" w:eastAsia="宋体" w:cs="Times New Roman"/>
          <w:color w:val="auto"/>
          <w:kern w:val="2"/>
          <w:sz w:val="32"/>
          <w:szCs w:val="32"/>
          <w:lang w:val="en-US" w:eastAsia="zh-CN" w:bidi="ar-SA"/>
        </w:rPr>
        <w:t>区域清洁卫生服务</w:t>
      </w:r>
      <w:r>
        <w:rPr>
          <w:rFonts w:hint="eastAsia" w:ascii="Times New Roman" w:hAnsi="Times New Roman" w:eastAsia="宋体" w:cs="Times New Roman"/>
          <w:color w:val="auto"/>
          <w:kern w:val="2"/>
          <w:sz w:val="32"/>
          <w:szCs w:val="32"/>
          <w:lang w:val="en-US" w:eastAsia="zh-CN" w:bidi="ar-SA"/>
        </w:rPr>
        <w:t>内容及</w:t>
      </w:r>
      <w:r>
        <w:rPr>
          <w:rFonts w:hint="default" w:ascii="Times New Roman" w:hAnsi="Times New Roman" w:eastAsia="宋体" w:cs="Times New Roman"/>
          <w:color w:val="auto"/>
          <w:kern w:val="2"/>
          <w:sz w:val="32"/>
          <w:szCs w:val="32"/>
          <w:lang w:val="en-US" w:eastAsia="zh-CN" w:bidi="ar-SA"/>
        </w:rPr>
        <w:t>标准</w:t>
      </w:r>
    </w:p>
    <w:tbl>
      <w:tblPr>
        <w:tblStyle w:val="25"/>
        <w:tblpPr w:leftFromText="180" w:rightFromText="180" w:vertAnchor="text" w:horzAnchor="page" w:tblpXSpec="center" w:tblpY="131"/>
        <w:tblOverlap w:val="never"/>
        <w:tblW w:w="1087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7"/>
        <w:gridCol w:w="991"/>
        <w:gridCol w:w="1702"/>
        <w:gridCol w:w="1211"/>
        <w:gridCol w:w="1063"/>
        <w:gridCol w:w="854"/>
        <w:gridCol w:w="4476"/>
      </w:tblGrid>
      <w:tr w14:paraId="6BB6A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568" w:type="dxa"/>
            <w:gridSpan w:val="2"/>
            <w:vMerge w:val="restart"/>
            <w:tcBorders>
              <w:top w:val="single" w:color="000000" w:sz="2" w:space="0"/>
              <w:left w:val="single" w:color="000000" w:sz="2" w:space="0"/>
              <w:bottom w:val="single" w:color="auto" w:sz="4" w:space="0"/>
              <w:right w:val="single" w:color="000000" w:sz="2" w:space="0"/>
            </w:tcBorders>
            <w:noWrap w:val="0"/>
            <w:vAlign w:val="center"/>
          </w:tcPr>
          <w:p w14:paraId="541AA76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清洁项目</w:t>
            </w:r>
          </w:p>
        </w:tc>
        <w:tc>
          <w:tcPr>
            <w:tcW w:w="4830" w:type="dxa"/>
            <w:gridSpan w:val="4"/>
            <w:tcBorders>
              <w:top w:val="single" w:color="000000" w:sz="2" w:space="0"/>
              <w:left w:val="single" w:color="000000" w:sz="2" w:space="0"/>
              <w:bottom w:val="single" w:color="000000" w:sz="6" w:space="0"/>
              <w:right w:val="single" w:color="000000" w:sz="2" w:space="0"/>
            </w:tcBorders>
            <w:noWrap w:val="0"/>
            <w:vAlign w:val="center"/>
          </w:tcPr>
          <w:p w14:paraId="2DA57A4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清洁工作内容</w:t>
            </w:r>
          </w:p>
        </w:tc>
        <w:tc>
          <w:tcPr>
            <w:tcW w:w="4476" w:type="dxa"/>
            <w:vMerge w:val="restart"/>
            <w:tcBorders>
              <w:top w:val="single" w:color="000000" w:sz="2" w:space="0"/>
              <w:left w:val="single" w:color="000000" w:sz="2" w:space="0"/>
              <w:bottom w:val="single" w:color="000000" w:sz="2" w:space="0"/>
              <w:right w:val="single" w:color="000000" w:sz="2" w:space="0"/>
            </w:tcBorders>
            <w:noWrap w:val="0"/>
            <w:vAlign w:val="center"/>
          </w:tcPr>
          <w:p w14:paraId="4BC58EE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清洁标准</w:t>
            </w:r>
          </w:p>
        </w:tc>
      </w:tr>
      <w:tr w14:paraId="59FEC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jc w:val="center"/>
        </w:trPr>
        <w:tc>
          <w:tcPr>
            <w:tcW w:w="1568" w:type="dxa"/>
            <w:gridSpan w:val="2"/>
            <w:vMerge w:val="continue"/>
            <w:tcBorders>
              <w:top w:val="single" w:color="000000" w:sz="2" w:space="0"/>
              <w:left w:val="single" w:color="000000" w:sz="2" w:space="0"/>
              <w:bottom w:val="single" w:color="auto" w:sz="4" w:space="0"/>
              <w:right w:val="single" w:color="000000" w:sz="2" w:space="0"/>
            </w:tcBorders>
            <w:noWrap w:val="0"/>
            <w:vAlign w:val="center"/>
          </w:tcPr>
          <w:p w14:paraId="58BFD4B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702" w:type="dxa"/>
            <w:tcBorders>
              <w:top w:val="single" w:color="000000" w:sz="6" w:space="0"/>
              <w:left w:val="single" w:color="000000" w:sz="6" w:space="0"/>
              <w:bottom w:val="single" w:color="000000" w:sz="6" w:space="0"/>
              <w:right w:val="single" w:color="000000" w:sz="6" w:space="0"/>
            </w:tcBorders>
            <w:noWrap w:val="0"/>
            <w:vAlign w:val="center"/>
          </w:tcPr>
          <w:p w14:paraId="73A41DF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每天</w:t>
            </w:r>
          </w:p>
        </w:tc>
        <w:tc>
          <w:tcPr>
            <w:tcW w:w="1211" w:type="dxa"/>
            <w:tcBorders>
              <w:top w:val="single" w:color="000000" w:sz="6" w:space="0"/>
              <w:left w:val="single" w:color="000000" w:sz="6" w:space="0"/>
              <w:bottom w:val="single" w:color="000000" w:sz="6" w:space="0"/>
              <w:right w:val="single" w:color="000000" w:sz="6" w:space="0"/>
            </w:tcBorders>
            <w:noWrap w:val="0"/>
            <w:vAlign w:val="center"/>
          </w:tcPr>
          <w:p w14:paraId="3BC9166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每周</w:t>
            </w:r>
          </w:p>
        </w:tc>
        <w:tc>
          <w:tcPr>
            <w:tcW w:w="1063" w:type="dxa"/>
            <w:tcBorders>
              <w:top w:val="single" w:color="000000" w:sz="6" w:space="0"/>
              <w:left w:val="single" w:color="000000" w:sz="6" w:space="0"/>
              <w:bottom w:val="single" w:color="000000" w:sz="6" w:space="0"/>
              <w:right w:val="single" w:color="000000" w:sz="6" w:space="0"/>
            </w:tcBorders>
            <w:noWrap w:val="0"/>
            <w:vAlign w:val="center"/>
          </w:tcPr>
          <w:p w14:paraId="1E9B683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每月</w:t>
            </w:r>
          </w:p>
        </w:tc>
        <w:tc>
          <w:tcPr>
            <w:tcW w:w="854" w:type="dxa"/>
            <w:tcBorders>
              <w:top w:val="single" w:color="000000" w:sz="6" w:space="0"/>
              <w:left w:val="single" w:color="000000" w:sz="6" w:space="0"/>
              <w:bottom w:val="single" w:color="000000" w:sz="6" w:space="0"/>
              <w:right w:val="single" w:color="000000" w:sz="6" w:space="0"/>
            </w:tcBorders>
            <w:noWrap w:val="0"/>
            <w:vAlign w:val="center"/>
          </w:tcPr>
          <w:p w14:paraId="163A627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每季</w:t>
            </w:r>
          </w:p>
        </w:tc>
        <w:tc>
          <w:tcPr>
            <w:tcW w:w="4476" w:type="dxa"/>
            <w:vMerge w:val="continue"/>
            <w:tcBorders>
              <w:top w:val="single" w:color="000000" w:sz="2" w:space="0"/>
              <w:left w:val="single" w:color="000000" w:sz="2" w:space="0"/>
              <w:bottom w:val="single" w:color="000000" w:sz="2" w:space="0"/>
              <w:right w:val="single" w:color="000000" w:sz="2" w:space="0"/>
            </w:tcBorders>
            <w:noWrap w:val="0"/>
            <w:vAlign w:val="center"/>
          </w:tcPr>
          <w:p w14:paraId="0ADE0B0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r>
      <w:tr w14:paraId="76B96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jc w:val="center"/>
        </w:trPr>
        <w:tc>
          <w:tcPr>
            <w:tcW w:w="577" w:type="dxa"/>
            <w:vMerge w:val="restart"/>
            <w:tcBorders>
              <w:top w:val="single" w:color="auto" w:sz="4" w:space="0"/>
              <w:left w:val="single" w:color="auto" w:sz="4" w:space="0"/>
              <w:right w:val="single" w:color="auto" w:sz="4" w:space="0"/>
            </w:tcBorders>
            <w:noWrap w:val="0"/>
            <w:vAlign w:val="center"/>
          </w:tcPr>
          <w:p w14:paraId="59998AF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办公楼、审判楼、执行指挥中心楼</w:t>
            </w:r>
            <w:r>
              <w:rPr>
                <w:rFonts w:hint="default" w:ascii="Times New Roman" w:hAnsi="Times New Roman" w:eastAsia="宋体" w:cs="Times New Roman"/>
                <w:color w:val="auto"/>
                <w:kern w:val="2"/>
                <w:sz w:val="21"/>
                <w:szCs w:val="24"/>
                <w:lang w:val="en-US" w:eastAsia="zh-CN" w:bidi="ar-SA"/>
              </w:rPr>
              <w:t>、</w:t>
            </w:r>
            <w:r>
              <w:rPr>
                <w:rFonts w:hint="eastAsia" w:ascii="Times New Roman" w:hAnsi="Times New Roman" w:eastAsia="宋体" w:cs="Times New Roman"/>
                <w:color w:val="auto"/>
                <w:kern w:val="2"/>
                <w:sz w:val="21"/>
                <w:szCs w:val="24"/>
                <w:lang w:val="en-US" w:eastAsia="zh-CN" w:bidi="ar-SA"/>
              </w:rPr>
              <w:t>综合楼、训练馆等</w:t>
            </w:r>
            <w:r>
              <w:rPr>
                <w:rFonts w:hint="default" w:ascii="Times New Roman" w:hAnsi="Times New Roman" w:eastAsia="宋体" w:cs="Times New Roman"/>
                <w:color w:val="auto"/>
                <w:kern w:val="2"/>
                <w:sz w:val="21"/>
                <w:szCs w:val="24"/>
                <w:lang w:val="en-US" w:eastAsia="zh-CN" w:bidi="ar-SA"/>
              </w:rPr>
              <w:t>公共</w:t>
            </w:r>
          </w:p>
          <w:p w14:paraId="650BDF6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区域</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638962D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镜子</w:t>
            </w:r>
          </w:p>
        </w:tc>
        <w:tc>
          <w:tcPr>
            <w:tcW w:w="1702" w:type="dxa"/>
            <w:tcBorders>
              <w:top w:val="single" w:color="000000" w:sz="6" w:space="0"/>
              <w:left w:val="single" w:color="auto" w:sz="4" w:space="0"/>
              <w:bottom w:val="single" w:color="000000" w:sz="6" w:space="0"/>
              <w:right w:val="single" w:color="000000" w:sz="6" w:space="0"/>
            </w:tcBorders>
            <w:noWrap w:val="0"/>
            <w:vAlign w:val="center"/>
          </w:tcPr>
          <w:p w14:paraId="668C443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清洁一次</w:t>
            </w:r>
          </w:p>
        </w:tc>
        <w:tc>
          <w:tcPr>
            <w:tcW w:w="1211" w:type="dxa"/>
            <w:tcBorders>
              <w:top w:val="single" w:color="000000" w:sz="6" w:space="0"/>
              <w:left w:val="single" w:color="000000" w:sz="6" w:space="0"/>
              <w:bottom w:val="single" w:color="000000" w:sz="6" w:space="0"/>
              <w:right w:val="single" w:color="000000" w:sz="6" w:space="0"/>
            </w:tcBorders>
            <w:noWrap w:val="0"/>
            <w:vAlign w:val="center"/>
          </w:tcPr>
          <w:p w14:paraId="11388B9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063" w:type="dxa"/>
            <w:tcBorders>
              <w:top w:val="single" w:color="000000" w:sz="6" w:space="0"/>
              <w:left w:val="single" w:color="000000" w:sz="6" w:space="0"/>
              <w:bottom w:val="single" w:color="000000" w:sz="6" w:space="0"/>
              <w:right w:val="single" w:color="000000" w:sz="6" w:space="0"/>
            </w:tcBorders>
            <w:noWrap w:val="0"/>
            <w:vAlign w:val="center"/>
          </w:tcPr>
          <w:p w14:paraId="53F17DC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54" w:type="dxa"/>
            <w:tcBorders>
              <w:top w:val="single" w:color="000000" w:sz="6" w:space="0"/>
              <w:left w:val="single" w:color="000000" w:sz="6" w:space="0"/>
              <w:bottom w:val="single" w:color="000000" w:sz="6" w:space="0"/>
              <w:right w:val="single" w:color="000000" w:sz="6" w:space="0"/>
            </w:tcBorders>
            <w:noWrap w:val="0"/>
            <w:vAlign w:val="center"/>
          </w:tcPr>
          <w:p w14:paraId="3D4270C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4476" w:type="dxa"/>
            <w:tcBorders>
              <w:top w:val="single" w:color="000000" w:sz="2" w:space="0"/>
              <w:left w:val="single" w:color="000000" w:sz="6" w:space="0"/>
              <w:bottom w:val="single" w:color="000000" w:sz="2" w:space="0"/>
              <w:right w:val="single" w:color="000000" w:sz="2" w:space="0"/>
            </w:tcBorders>
            <w:noWrap w:val="0"/>
            <w:vAlign w:val="center"/>
          </w:tcPr>
          <w:p w14:paraId="5FFD009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无污渍、手印、灰尘</w:t>
            </w:r>
          </w:p>
        </w:tc>
      </w:tr>
      <w:tr w14:paraId="73E8C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4" w:hRule="atLeast"/>
          <w:jc w:val="center"/>
        </w:trPr>
        <w:tc>
          <w:tcPr>
            <w:tcW w:w="577" w:type="dxa"/>
            <w:vMerge w:val="continue"/>
            <w:tcBorders>
              <w:left w:val="single" w:color="auto" w:sz="4" w:space="0"/>
              <w:right w:val="single" w:color="auto" w:sz="4" w:space="0"/>
            </w:tcBorders>
            <w:noWrap w:val="0"/>
            <w:vAlign w:val="center"/>
          </w:tcPr>
          <w:p w14:paraId="26CDC23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3A03AA3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大理石地</w:t>
            </w:r>
          </w:p>
          <w:p w14:paraId="5AE754D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面、瓷砖</w:t>
            </w:r>
          </w:p>
          <w:p w14:paraId="3F01EDB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地板</w:t>
            </w:r>
          </w:p>
        </w:tc>
        <w:tc>
          <w:tcPr>
            <w:tcW w:w="1702" w:type="dxa"/>
            <w:tcBorders>
              <w:top w:val="single" w:color="000000" w:sz="6" w:space="0"/>
              <w:left w:val="single" w:color="auto" w:sz="4" w:space="0"/>
              <w:bottom w:val="single" w:color="000000" w:sz="2" w:space="0"/>
              <w:right w:val="single" w:color="000000" w:sz="2" w:space="0"/>
            </w:tcBorders>
            <w:noWrap w:val="0"/>
            <w:vAlign w:val="center"/>
          </w:tcPr>
          <w:p w14:paraId="7CC5EE1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每天清扫两次</w:t>
            </w:r>
          </w:p>
        </w:tc>
        <w:tc>
          <w:tcPr>
            <w:tcW w:w="1211" w:type="dxa"/>
            <w:tcBorders>
              <w:top w:val="single" w:color="000000" w:sz="6" w:space="0"/>
              <w:left w:val="single" w:color="000000" w:sz="2" w:space="0"/>
              <w:bottom w:val="single" w:color="000000" w:sz="2" w:space="0"/>
              <w:right w:val="single" w:color="000000" w:sz="2" w:space="0"/>
            </w:tcBorders>
            <w:noWrap w:val="0"/>
            <w:vAlign w:val="center"/>
          </w:tcPr>
          <w:p w14:paraId="22606AE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大理石地面</w:t>
            </w:r>
          </w:p>
          <w:p w14:paraId="0E0D8D1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拖洗保洁三</w:t>
            </w:r>
          </w:p>
          <w:p w14:paraId="3902396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次</w:t>
            </w:r>
          </w:p>
        </w:tc>
        <w:tc>
          <w:tcPr>
            <w:tcW w:w="1063" w:type="dxa"/>
            <w:tcBorders>
              <w:top w:val="single" w:color="000000" w:sz="6" w:space="0"/>
              <w:left w:val="single" w:color="000000" w:sz="2" w:space="0"/>
              <w:bottom w:val="single" w:color="000000" w:sz="2" w:space="0"/>
              <w:right w:val="single" w:color="000000" w:sz="2" w:space="0"/>
            </w:tcBorders>
            <w:noWrap w:val="0"/>
            <w:vAlign w:val="center"/>
          </w:tcPr>
          <w:p w14:paraId="65D5661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4" w:type="dxa"/>
            <w:tcBorders>
              <w:top w:val="single" w:color="000000" w:sz="6" w:space="0"/>
              <w:left w:val="single" w:color="000000" w:sz="2" w:space="0"/>
              <w:bottom w:val="single" w:color="000000" w:sz="2" w:space="0"/>
              <w:right w:val="single" w:color="000000" w:sz="2" w:space="0"/>
            </w:tcBorders>
            <w:noWrap w:val="0"/>
            <w:vAlign w:val="center"/>
          </w:tcPr>
          <w:p w14:paraId="58B862F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76" w:type="dxa"/>
            <w:tcBorders>
              <w:top w:val="single" w:color="000000" w:sz="2" w:space="0"/>
              <w:left w:val="single" w:color="000000" w:sz="2" w:space="0"/>
              <w:bottom w:val="single" w:color="000000" w:sz="2" w:space="0"/>
              <w:right w:val="single" w:color="000000" w:sz="2" w:space="0"/>
            </w:tcBorders>
            <w:noWrap w:val="0"/>
            <w:vAlign w:val="center"/>
          </w:tcPr>
          <w:p w14:paraId="118183F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随时保持干净，无污渍、尘渍、痰渍、垃圾，地板明洁如镜、光亮如新，根据项目情况安排抛光打蜡</w:t>
            </w:r>
          </w:p>
        </w:tc>
      </w:tr>
      <w:tr w14:paraId="3CAD3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577" w:type="dxa"/>
            <w:vMerge w:val="continue"/>
            <w:tcBorders>
              <w:left w:val="single" w:color="auto" w:sz="4" w:space="0"/>
              <w:right w:val="single" w:color="auto" w:sz="4" w:space="0"/>
            </w:tcBorders>
            <w:noWrap w:val="0"/>
            <w:vAlign w:val="center"/>
          </w:tcPr>
          <w:p w14:paraId="319E2B8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91" w:type="dxa"/>
            <w:tcBorders>
              <w:top w:val="single" w:color="auto" w:sz="4" w:space="0"/>
              <w:left w:val="single" w:color="000000" w:sz="2" w:space="0"/>
              <w:bottom w:val="single" w:color="000000" w:sz="2" w:space="0"/>
              <w:right w:val="single" w:color="000000" w:sz="2" w:space="0"/>
            </w:tcBorders>
            <w:noWrap w:val="0"/>
            <w:vAlign w:val="center"/>
          </w:tcPr>
          <w:p w14:paraId="483A213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大理石墙面、柱面</w:t>
            </w:r>
          </w:p>
        </w:tc>
        <w:tc>
          <w:tcPr>
            <w:tcW w:w="1702" w:type="dxa"/>
            <w:tcBorders>
              <w:top w:val="single" w:color="000000" w:sz="2" w:space="0"/>
              <w:left w:val="single" w:color="000000" w:sz="2" w:space="0"/>
              <w:bottom w:val="single" w:color="000000" w:sz="2" w:space="0"/>
              <w:right w:val="single" w:color="000000" w:sz="2" w:space="0"/>
            </w:tcBorders>
            <w:noWrap w:val="0"/>
            <w:vAlign w:val="center"/>
          </w:tcPr>
          <w:p w14:paraId="2CC2BEB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保洁，清抹水平面一次</w:t>
            </w:r>
          </w:p>
        </w:tc>
        <w:tc>
          <w:tcPr>
            <w:tcW w:w="1211" w:type="dxa"/>
            <w:tcBorders>
              <w:top w:val="single" w:color="000000" w:sz="2" w:space="0"/>
              <w:left w:val="single" w:color="000000" w:sz="2" w:space="0"/>
              <w:bottom w:val="single" w:color="000000" w:sz="2" w:space="0"/>
              <w:right w:val="single" w:color="000000" w:sz="2" w:space="0"/>
            </w:tcBorders>
            <w:noWrap w:val="0"/>
            <w:vAlign w:val="center"/>
          </w:tcPr>
          <w:p w14:paraId="2DB67F6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清抹墙身一次</w:t>
            </w:r>
          </w:p>
        </w:tc>
        <w:tc>
          <w:tcPr>
            <w:tcW w:w="1063" w:type="dxa"/>
            <w:tcBorders>
              <w:top w:val="single" w:color="000000" w:sz="2" w:space="0"/>
              <w:left w:val="single" w:color="000000" w:sz="2" w:space="0"/>
              <w:bottom w:val="single" w:color="000000" w:sz="2" w:space="0"/>
              <w:right w:val="single" w:color="000000" w:sz="2" w:space="0"/>
            </w:tcBorders>
            <w:noWrap w:val="0"/>
            <w:vAlign w:val="center"/>
          </w:tcPr>
          <w:p w14:paraId="70CFC97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4" w:type="dxa"/>
            <w:tcBorders>
              <w:top w:val="single" w:color="000000" w:sz="2" w:space="0"/>
              <w:left w:val="single" w:color="000000" w:sz="2" w:space="0"/>
              <w:bottom w:val="single" w:color="000000" w:sz="2" w:space="0"/>
              <w:right w:val="single" w:color="000000" w:sz="2" w:space="0"/>
            </w:tcBorders>
            <w:noWrap w:val="0"/>
            <w:vAlign w:val="center"/>
          </w:tcPr>
          <w:p w14:paraId="229F32D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76" w:type="dxa"/>
            <w:tcBorders>
              <w:top w:val="single" w:color="000000" w:sz="2" w:space="0"/>
              <w:left w:val="single" w:color="000000" w:sz="2" w:space="0"/>
              <w:bottom w:val="single" w:color="000000" w:sz="2" w:space="0"/>
              <w:right w:val="single" w:color="000000" w:sz="2" w:space="0"/>
            </w:tcBorders>
            <w:noWrap w:val="0"/>
            <w:vAlign w:val="center"/>
          </w:tcPr>
          <w:p w14:paraId="59A15A9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无尘渍、污渍，发现污渍随时清洁</w:t>
            </w:r>
          </w:p>
        </w:tc>
      </w:tr>
      <w:tr w14:paraId="4C847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jc w:val="center"/>
        </w:trPr>
        <w:tc>
          <w:tcPr>
            <w:tcW w:w="577" w:type="dxa"/>
            <w:vMerge w:val="continue"/>
            <w:tcBorders>
              <w:left w:val="single" w:color="auto" w:sz="4" w:space="0"/>
              <w:right w:val="single" w:color="auto" w:sz="4" w:space="0"/>
            </w:tcBorders>
            <w:noWrap w:val="0"/>
            <w:vAlign w:val="center"/>
          </w:tcPr>
          <w:p w14:paraId="7E3B72E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91" w:type="dxa"/>
            <w:tcBorders>
              <w:top w:val="single" w:color="000000" w:sz="2" w:space="0"/>
              <w:left w:val="single" w:color="000000" w:sz="2" w:space="0"/>
              <w:bottom w:val="single" w:color="000000" w:sz="2" w:space="0"/>
              <w:right w:val="single" w:color="000000" w:sz="2" w:space="0"/>
            </w:tcBorders>
            <w:noWrap w:val="0"/>
            <w:vAlign w:val="center"/>
          </w:tcPr>
          <w:p w14:paraId="3FFE671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玻璃门</w:t>
            </w:r>
          </w:p>
          <w:p w14:paraId="4C20B53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（大门）</w:t>
            </w:r>
          </w:p>
        </w:tc>
        <w:tc>
          <w:tcPr>
            <w:tcW w:w="1702" w:type="dxa"/>
            <w:tcBorders>
              <w:top w:val="single" w:color="000000" w:sz="2" w:space="0"/>
              <w:left w:val="single" w:color="000000" w:sz="2" w:space="0"/>
              <w:bottom w:val="single" w:color="000000" w:sz="2" w:space="0"/>
              <w:right w:val="single" w:color="000000" w:sz="2" w:space="0"/>
            </w:tcBorders>
            <w:noWrap w:val="0"/>
            <w:vAlign w:val="center"/>
          </w:tcPr>
          <w:p w14:paraId="48B7ED7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随时清抹</w:t>
            </w:r>
          </w:p>
        </w:tc>
        <w:tc>
          <w:tcPr>
            <w:tcW w:w="1211" w:type="dxa"/>
            <w:tcBorders>
              <w:top w:val="single" w:color="000000" w:sz="2" w:space="0"/>
              <w:left w:val="single" w:color="000000" w:sz="2" w:space="0"/>
              <w:bottom w:val="single" w:color="000000" w:sz="2" w:space="0"/>
              <w:right w:val="single" w:color="000000" w:sz="2" w:space="0"/>
            </w:tcBorders>
            <w:noWrap w:val="0"/>
            <w:vAlign w:val="center"/>
          </w:tcPr>
          <w:p w14:paraId="1EC7CCA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用玻璃清洁剂清刮2次</w:t>
            </w:r>
          </w:p>
        </w:tc>
        <w:tc>
          <w:tcPr>
            <w:tcW w:w="1063" w:type="dxa"/>
            <w:tcBorders>
              <w:top w:val="single" w:color="000000" w:sz="2" w:space="0"/>
              <w:left w:val="single" w:color="000000" w:sz="2" w:space="0"/>
              <w:bottom w:val="single" w:color="000000" w:sz="2" w:space="0"/>
              <w:right w:val="single" w:color="000000" w:sz="2" w:space="0"/>
            </w:tcBorders>
            <w:noWrap w:val="0"/>
            <w:vAlign w:val="center"/>
          </w:tcPr>
          <w:p w14:paraId="2E223C7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4" w:type="dxa"/>
            <w:tcBorders>
              <w:top w:val="single" w:color="000000" w:sz="2" w:space="0"/>
              <w:left w:val="single" w:color="000000" w:sz="2" w:space="0"/>
              <w:bottom w:val="single" w:color="000000" w:sz="2" w:space="0"/>
              <w:right w:val="single" w:color="000000" w:sz="2" w:space="0"/>
            </w:tcBorders>
            <w:noWrap w:val="0"/>
            <w:vAlign w:val="center"/>
          </w:tcPr>
          <w:p w14:paraId="1405433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76" w:type="dxa"/>
            <w:tcBorders>
              <w:top w:val="single" w:color="000000" w:sz="2" w:space="0"/>
              <w:left w:val="single" w:color="000000" w:sz="2" w:space="0"/>
              <w:bottom w:val="single" w:color="000000" w:sz="2" w:space="0"/>
              <w:right w:val="single" w:color="000000" w:sz="2" w:space="0"/>
            </w:tcBorders>
            <w:noWrap w:val="0"/>
            <w:vAlign w:val="center"/>
          </w:tcPr>
          <w:p w14:paraId="564028A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无手印、污渍，发现污渍随时清洁</w:t>
            </w:r>
            <w:r>
              <w:rPr>
                <w:rFonts w:hint="eastAsia" w:ascii="Times New Roman" w:hAnsi="Times New Roman" w:eastAsia="宋体"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保持光亮、干净</w:t>
            </w:r>
          </w:p>
        </w:tc>
      </w:tr>
      <w:tr w14:paraId="5D4F3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577" w:type="dxa"/>
            <w:vMerge w:val="continue"/>
            <w:tcBorders>
              <w:left w:val="single" w:color="auto" w:sz="4" w:space="0"/>
              <w:right w:val="single" w:color="auto" w:sz="4" w:space="0"/>
            </w:tcBorders>
            <w:noWrap w:val="0"/>
            <w:vAlign w:val="center"/>
          </w:tcPr>
          <w:p w14:paraId="0360F1C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91" w:type="dxa"/>
            <w:tcBorders>
              <w:top w:val="single" w:color="000000" w:sz="2" w:space="0"/>
              <w:left w:val="single" w:color="000000" w:sz="2" w:space="0"/>
              <w:bottom w:val="single" w:color="000000" w:sz="2" w:space="0"/>
              <w:right w:val="single" w:color="000000" w:sz="2" w:space="0"/>
            </w:tcBorders>
            <w:noWrap w:val="0"/>
            <w:vAlign w:val="center"/>
          </w:tcPr>
          <w:p w14:paraId="1966DF7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天花板</w:t>
            </w:r>
          </w:p>
        </w:tc>
        <w:tc>
          <w:tcPr>
            <w:tcW w:w="1702" w:type="dxa"/>
            <w:tcBorders>
              <w:top w:val="single" w:color="000000" w:sz="2" w:space="0"/>
              <w:left w:val="single" w:color="000000" w:sz="2" w:space="0"/>
              <w:bottom w:val="single" w:color="000000" w:sz="2" w:space="0"/>
              <w:right w:val="single" w:color="000000" w:sz="2" w:space="0"/>
            </w:tcBorders>
            <w:noWrap w:val="0"/>
            <w:vAlign w:val="center"/>
          </w:tcPr>
          <w:p w14:paraId="219EB1A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1" w:type="dxa"/>
            <w:tcBorders>
              <w:top w:val="single" w:color="000000" w:sz="2" w:space="0"/>
              <w:left w:val="single" w:color="000000" w:sz="2" w:space="0"/>
              <w:bottom w:val="single" w:color="000000" w:sz="2" w:space="0"/>
              <w:right w:val="single" w:color="000000" w:sz="2" w:space="0"/>
            </w:tcBorders>
            <w:noWrap w:val="0"/>
            <w:vAlign w:val="center"/>
          </w:tcPr>
          <w:p w14:paraId="24D13D3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清洁一次</w:t>
            </w:r>
          </w:p>
        </w:tc>
        <w:tc>
          <w:tcPr>
            <w:tcW w:w="1063" w:type="dxa"/>
            <w:tcBorders>
              <w:top w:val="single" w:color="000000" w:sz="2" w:space="0"/>
              <w:left w:val="single" w:color="000000" w:sz="2" w:space="0"/>
              <w:bottom w:val="single" w:color="000000" w:sz="2" w:space="0"/>
              <w:right w:val="single" w:color="000000" w:sz="2" w:space="0"/>
            </w:tcBorders>
            <w:noWrap w:val="0"/>
            <w:vAlign w:val="center"/>
          </w:tcPr>
          <w:p w14:paraId="7A6798A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每月除尘一次</w:t>
            </w:r>
          </w:p>
        </w:tc>
        <w:tc>
          <w:tcPr>
            <w:tcW w:w="854" w:type="dxa"/>
            <w:tcBorders>
              <w:top w:val="single" w:color="000000" w:sz="2" w:space="0"/>
              <w:left w:val="single" w:color="000000" w:sz="2" w:space="0"/>
              <w:bottom w:val="single" w:color="000000" w:sz="2" w:space="0"/>
              <w:right w:val="single" w:color="000000" w:sz="2" w:space="0"/>
            </w:tcBorders>
            <w:noWrap w:val="0"/>
            <w:vAlign w:val="center"/>
          </w:tcPr>
          <w:p w14:paraId="075D2EE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4476" w:type="dxa"/>
            <w:tcBorders>
              <w:top w:val="single" w:color="000000" w:sz="2" w:space="0"/>
              <w:left w:val="single" w:color="000000" w:sz="2" w:space="0"/>
              <w:bottom w:val="single" w:color="000000" w:sz="2" w:space="0"/>
              <w:right w:val="single" w:color="000000" w:sz="2" w:space="0"/>
            </w:tcBorders>
            <w:noWrap w:val="0"/>
            <w:vAlign w:val="center"/>
          </w:tcPr>
          <w:p w14:paraId="05D7EB5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无灰尘，无蜘蛛网等</w:t>
            </w:r>
          </w:p>
        </w:tc>
      </w:tr>
      <w:tr w14:paraId="24ADB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577" w:type="dxa"/>
            <w:vMerge w:val="continue"/>
            <w:tcBorders>
              <w:left w:val="single" w:color="auto" w:sz="4" w:space="0"/>
              <w:right w:val="single" w:color="auto" w:sz="4" w:space="0"/>
            </w:tcBorders>
            <w:noWrap w:val="0"/>
            <w:vAlign w:val="center"/>
          </w:tcPr>
          <w:p w14:paraId="2C29266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91" w:type="dxa"/>
            <w:tcBorders>
              <w:top w:val="single" w:color="000000" w:sz="2" w:space="0"/>
              <w:left w:val="single" w:color="000000" w:sz="2" w:space="0"/>
              <w:bottom w:val="single" w:color="000000" w:sz="2" w:space="0"/>
              <w:right w:val="single" w:color="000000" w:sz="2" w:space="0"/>
            </w:tcBorders>
            <w:noWrap w:val="0"/>
            <w:vAlign w:val="center"/>
          </w:tcPr>
          <w:p w14:paraId="6C03A42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灯饰、风口</w:t>
            </w:r>
          </w:p>
        </w:tc>
        <w:tc>
          <w:tcPr>
            <w:tcW w:w="1702" w:type="dxa"/>
            <w:tcBorders>
              <w:top w:val="single" w:color="000000" w:sz="2" w:space="0"/>
              <w:left w:val="single" w:color="000000" w:sz="2" w:space="0"/>
              <w:bottom w:val="single" w:color="000000" w:sz="2" w:space="0"/>
              <w:right w:val="single" w:color="000000" w:sz="2" w:space="0"/>
            </w:tcBorders>
            <w:noWrap w:val="0"/>
            <w:vAlign w:val="center"/>
          </w:tcPr>
          <w:p w14:paraId="6AFAB5D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1" w:type="dxa"/>
            <w:tcBorders>
              <w:top w:val="single" w:color="000000" w:sz="2" w:space="0"/>
              <w:left w:val="single" w:color="000000" w:sz="2" w:space="0"/>
              <w:bottom w:val="single" w:color="000000" w:sz="2" w:space="0"/>
              <w:right w:val="single" w:color="000000" w:sz="2" w:space="0"/>
            </w:tcBorders>
            <w:noWrap w:val="0"/>
            <w:vAlign w:val="center"/>
          </w:tcPr>
          <w:p w14:paraId="5999825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3" w:type="dxa"/>
            <w:tcBorders>
              <w:top w:val="single" w:color="000000" w:sz="2" w:space="0"/>
              <w:left w:val="single" w:color="000000" w:sz="2" w:space="0"/>
              <w:bottom w:val="single" w:color="000000" w:sz="2" w:space="0"/>
              <w:right w:val="single" w:color="000000" w:sz="2" w:space="0"/>
            </w:tcBorders>
            <w:noWrap w:val="0"/>
            <w:vAlign w:val="center"/>
          </w:tcPr>
          <w:p w14:paraId="637FE70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清抹一次</w:t>
            </w:r>
          </w:p>
        </w:tc>
        <w:tc>
          <w:tcPr>
            <w:tcW w:w="854" w:type="dxa"/>
            <w:tcBorders>
              <w:top w:val="single" w:color="000000" w:sz="2" w:space="0"/>
              <w:left w:val="single" w:color="000000" w:sz="2" w:space="0"/>
              <w:bottom w:val="single" w:color="000000" w:sz="2" w:space="0"/>
              <w:right w:val="single" w:color="000000" w:sz="2" w:space="0"/>
            </w:tcBorders>
            <w:noWrap w:val="0"/>
            <w:vAlign w:val="center"/>
          </w:tcPr>
          <w:p w14:paraId="7EC4C12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4476" w:type="dxa"/>
            <w:tcBorders>
              <w:top w:val="single" w:color="000000" w:sz="2" w:space="0"/>
              <w:left w:val="single" w:color="000000" w:sz="2" w:space="0"/>
              <w:bottom w:val="single" w:color="000000" w:sz="2" w:space="0"/>
              <w:right w:val="single" w:color="000000" w:sz="2" w:space="0"/>
            </w:tcBorders>
            <w:noWrap w:val="0"/>
            <w:vAlign w:val="center"/>
          </w:tcPr>
          <w:p w14:paraId="5E8F5C9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无蛛丝、尘渍，发现污渍随时清洁</w:t>
            </w:r>
          </w:p>
        </w:tc>
      </w:tr>
      <w:tr w14:paraId="16007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jc w:val="center"/>
        </w:trPr>
        <w:tc>
          <w:tcPr>
            <w:tcW w:w="577" w:type="dxa"/>
            <w:vMerge w:val="continue"/>
            <w:tcBorders>
              <w:left w:val="single" w:color="auto" w:sz="4" w:space="0"/>
              <w:right w:val="single" w:color="auto" w:sz="4" w:space="0"/>
            </w:tcBorders>
            <w:noWrap w:val="0"/>
            <w:vAlign w:val="center"/>
          </w:tcPr>
          <w:p w14:paraId="758E2B5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91" w:type="dxa"/>
            <w:tcBorders>
              <w:top w:val="single" w:color="000000" w:sz="2" w:space="0"/>
              <w:left w:val="single" w:color="000000" w:sz="2" w:space="0"/>
              <w:bottom w:val="single" w:color="000000" w:sz="2" w:space="0"/>
              <w:right w:val="single" w:color="000000" w:sz="2" w:space="0"/>
            </w:tcBorders>
            <w:noWrap w:val="0"/>
            <w:vAlign w:val="center"/>
          </w:tcPr>
          <w:p w14:paraId="56249DC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门窗</w:t>
            </w:r>
          </w:p>
        </w:tc>
        <w:tc>
          <w:tcPr>
            <w:tcW w:w="1702" w:type="dxa"/>
            <w:tcBorders>
              <w:top w:val="single" w:color="000000" w:sz="2" w:space="0"/>
              <w:left w:val="single" w:color="000000" w:sz="2" w:space="0"/>
              <w:bottom w:val="single" w:color="000000" w:sz="2" w:space="0"/>
              <w:right w:val="single" w:color="000000" w:sz="2" w:space="0"/>
            </w:tcBorders>
            <w:noWrap w:val="0"/>
            <w:vAlign w:val="center"/>
          </w:tcPr>
          <w:p w14:paraId="1058E08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211" w:type="dxa"/>
            <w:tcBorders>
              <w:top w:val="single" w:color="000000" w:sz="2" w:space="0"/>
              <w:left w:val="single" w:color="000000" w:sz="2" w:space="0"/>
              <w:bottom w:val="single" w:color="000000" w:sz="2" w:space="0"/>
              <w:right w:val="single" w:color="000000" w:sz="2" w:space="0"/>
            </w:tcBorders>
            <w:noWrap w:val="0"/>
            <w:vAlign w:val="center"/>
          </w:tcPr>
          <w:p w14:paraId="1BF0938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清洁一次</w:t>
            </w:r>
          </w:p>
        </w:tc>
        <w:tc>
          <w:tcPr>
            <w:tcW w:w="1063" w:type="dxa"/>
            <w:tcBorders>
              <w:top w:val="single" w:color="000000" w:sz="2" w:space="0"/>
              <w:left w:val="single" w:color="000000" w:sz="2" w:space="0"/>
              <w:bottom w:val="single" w:color="000000" w:sz="2" w:space="0"/>
              <w:right w:val="single" w:color="000000" w:sz="2" w:space="0"/>
            </w:tcBorders>
            <w:noWrap w:val="0"/>
            <w:vAlign w:val="center"/>
          </w:tcPr>
          <w:p w14:paraId="0D6DF13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54" w:type="dxa"/>
            <w:tcBorders>
              <w:top w:val="single" w:color="000000" w:sz="2" w:space="0"/>
              <w:left w:val="single" w:color="000000" w:sz="2" w:space="0"/>
              <w:bottom w:val="single" w:color="000000" w:sz="2" w:space="0"/>
              <w:right w:val="single" w:color="000000" w:sz="2" w:space="0"/>
            </w:tcBorders>
            <w:noWrap w:val="0"/>
            <w:vAlign w:val="center"/>
          </w:tcPr>
          <w:p w14:paraId="66BC1B5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4476" w:type="dxa"/>
            <w:tcBorders>
              <w:top w:val="single" w:color="000000" w:sz="2" w:space="0"/>
              <w:left w:val="single" w:color="000000" w:sz="2" w:space="0"/>
              <w:bottom w:val="single" w:color="000000" w:sz="2" w:space="0"/>
              <w:right w:val="single" w:color="000000" w:sz="2" w:space="0"/>
            </w:tcBorders>
            <w:noWrap w:val="0"/>
            <w:vAlign w:val="center"/>
          </w:tcPr>
          <w:p w14:paraId="15DA6AA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无尘渍，发现污渍随时清洁</w:t>
            </w:r>
          </w:p>
        </w:tc>
      </w:tr>
      <w:tr w14:paraId="31812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jc w:val="center"/>
        </w:trPr>
        <w:tc>
          <w:tcPr>
            <w:tcW w:w="577" w:type="dxa"/>
            <w:vMerge w:val="continue"/>
            <w:tcBorders>
              <w:left w:val="single" w:color="auto" w:sz="4" w:space="0"/>
              <w:right w:val="single" w:color="auto" w:sz="4" w:space="0"/>
            </w:tcBorders>
            <w:noWrap w:val="0"/>
            <w:vAlign w:val="center"/>
          </w:tcPr>
          <w:p w14:paraId="60BE82E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91" w:type="dxa"/>
            <w:tcBorders>
              <w:top w:val="single" w:color="000000" w:sz="2" w:space="0"/>
              <w:left w:val="single" w:color="000000" w:sz="2" w:space="0"/>
              <w:bottom w:val="single" w:color="000000" w:sz="2" w:space="0"/>
              <w:right w:val="single" w:color="000000" w:sz="2" w:space="0"/>
            </w:tcBorders>
            <w:noWrap w:val="0"/>
            <w:vAlign w:val="center"/>
          </w:tcPr>
          <w:p w14:paraId="35BBDE0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诉讼服务大厅</w:t>
            </w:r>
          </w:p>
        </w:tc>
        <w:tc>
          <w:tcPr>
            <w:tcW w:w="1702" w:type="dxa"/>
            <w:tcBorders>
              <w:top w:val="single" w:color="000000" w:sz="2" w:space="0"/>
              <w:left w:val="single" w:color="000000" w:sz="2" w:space="0"/>
              <w:bottom w:val="single" w:color="000000" w:sz="2" w:space="0"/>
              <w:right w:val="single" w:color="000000" w:sz="2" w:space="0"/>
            </w:tcBorders>
            <w:noWrap w:val="0"/>
            <w:vAlign w:val="center"/>
          </w:tcPr>
          <w:p w14:paraId="183E818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清洁一次</w:t>
            </w:r>
          </w:p>
        </w:tc>
        <w:tc>
          <w:tcPr>
            <w:tcW w:w="1211" w:type="dxa"/>
            <w:tcBorders>
              <w:top w:val="single" w:color="000000" w:sz="2" w:space="0"/>
              <w:left w:val="single" w:color="000000" w:sz="2" w:space="0"/>
              <w:bottom w:val="single" w:color="000000" w:sz="2" w:space="0"/>
              <w:right w:val="single" w:color="000000" w:sz="2" w:space="0"/>
            </w:tcBorders>
            <w:noWrap w:val="0"/>
            <w:vAlign w:val="center"/>
          </w:tcPr>
          <w:p w14:paraId="32DF23E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063" w:type="dxa"/>
            <w:tcBorders>
              <w:top w:val="single" w:color="000000" w:sz="2" w:space="0"/>
              <w:left w:val="single" w:color="000000" w:sz="2" w:space="0"/>
              <w:bottom w:val="single" w:color="000000" w:sz="2" w:space="0"/>
              <w:right w:val="single" w:color="000000" w:sz="2" w:space="0"/>
            </w:tcBorders>
            <w:noWrap w:val="0"/>
            <w:vAlign w:val="center"/>
          </w:tcPr>
          <w:p w14:paraId="7FB3377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54" w:type="dxa"/>
            <w:tcBorders>
              <w:top w:val="single" w:color="000000" w:sz="2" w:space="0"/>
              <w:left w:val="single" w:color="000000" w:sz="2" w:space="0"/>
              <w:bottom w:val="single" w:color="000000" w:sz="2" w:space="0"/>
              <w:right w:val="single" w:color="000000" w:sz="2" w:space="0"/>
            </w:tcBorders>
            <w:noWrap w:val="0"/>
            <w:vAlign w:val="center"/>
          </w:tcPr>
          <w:p w14:paraId="490C059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4476" w:type="dxa"/>
            <w:tcBorders>
              <w:top w:val="single" w:color="000000" w:sz="2" w:space="0"/>
              <w:left w:val="single" w:color="000000" w:sz="2" w:space="0"/>
              <w:bottom w:val="single" w:color="000000" w:sz="2" w:space="0"/>
              <w:right w:val="single" w:color="000000" w:sz="2" w:space="0"/>
            </w:tcBorders>
            <w:noWrap w:val="0"/>
            <w:vAlign w:val="center"/>
          </w:tcPr>
          <w:p w14:paraId="30729B8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墙面、台、沙发</w:t>
            </w:r>
            <w:r>
              <w:rPr>
                <w:rFonts w:hint="eastAsia" w:ascii="Times New Roman" w:hAnsi="Times New Roman" w:eastAsia="宋体"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不锈钢</w:t>
            </w:r>
            <w:r>
              <w:rPr>
                <w:rFonts w:hint="eastAsia" w:ascii="Times New Roman" w:hAnsi="Times New Roman" w:eastAsia="宋体" w:cs="Times New Roman"/>
                <w:color w:val="auto"/>
                <w:kern w:val="2"/>
                <w:sz w:val="21"/>
                <w:szCs w:val="24"/>
                <w:lang w:val="en-US" w:eastAsia="zh-CN" w:bidi="ar-SA"/>
              </w:rPr>
              <w:t>用品</w:t>
            </w:r>
            <w:r>
              <w:rPr>
                <w:rFonts w:hint="default" w:ascii="Times New Roman" w:hAnsi="Times New Roman" w:eastAsia="宋体" w:cs="Times New Roman"/>
                <w:color w:val="auto"/>
                <w:kern w:val="2"/>
                <w:sz w:val="21"/>
                <w:szCs w:val="24"/>
                <w:lang w:val="en-US" w:eastAsia="zh-CN" w:bidi="ar-SA"/>
              </w:rPr>
              <w:t>等保持光亮整洁、无灰尘</w:t>
            </w:r>
            <w:r>
              <w:rPr>
                <w:rFonts w:hint="eastAsia" w:ascii="Times New Roman" w:hAnsi="Times New Roman" w:eastAsia="宋体"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烟灰缸内烟头存放量不超6个</w:t>
            </w:r>
          </w:p>
        </w:tc>
      </w:tr>
      <w:tr w14:paraId="6F4CE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jc w:val="center"/>
        </w:trPr>
        <w:tc>
          <w:tcPr>
            <w:tcW w:w="577" w:type="dxa"/>
            <w:vMerge w:val="continue"/>
            <w:tcBorders>
              <w:left w:val="single" w:color="auto" w:sz="4" w:space="0"/>
              <w:right w:val="single" w:color="auto" w:sz="4" w:space="0"/>
            </w:tcBorders>
            <w:noWrap w:val="0"/>
            <w:vAlign w:val="center"/>
          </w:tcPr>
          <w:p w14:paraId="3EDE127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91" w:type="dxa"/>
            <w:tcBorders>
              <w:top w:val="single" w:color="000000" w:sz="2" w:space="0"/>
              <w:left w:val="single" w:color="000000" w:sz="2" w:space="0"/>
              <w:bottom w:val="single" w:color="000000" w:sz="2" w:space="0"/>
              <w:right w:val="single" w:color="000000" w:sz="2" w:space="0"/>
            </w:tcBorders>
            <w:noWrap w:val="0"/>
            <w:vAlign w:val="center"/>
          </w:tcPr>
          <w:p w14:paraId="7EEE5DA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空气</w:t>
            </w:r>
          </w:p>
        </w:tc>
        <w:tc>
          <w:tcPr>
            <w:tcW w:w="1702" w:type="dxa"/>
            <w:tcBorders>
              <w:top w:val="single" w:color="000000" w:sz="2" w:space="0"/>
              <w:left w:val="single" w:color="000000" w:sz="2" w:space="0"/>
              <w:bottom w:val="single" w:color="000000" w:sz="2" w:space="0"/>
              <w:right w:val="single" w:color="000000" w:sz="2" w:space="0"/>
            </w:tcBorders>
            <w:noWrap w:val="0"/>
            <w:vAlign w:val="center"/>
          </w:tcPr>
          <w:p w14:paraId="430BE7E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1" w:type="dxa"/>
            <w:tcBorders>
              <w:top w:val="single" w:color="000000" w:sz="2" w:space="0"/>
              <w:left w:val="single" w:color="000000" w:sz="2" w:space="0"/>
              <w:bottom w:val="single" w:color="000000" w:sz="2" w:space="0"/>
              <w:right w:val="single" w:color="000000" w:sz="2" w:space="0"/>
            </w:tcBorders>
            <w:noWrap w:val="0"/>
            <w:vAlign w:val="center"/>
          </w:tcPr>
          <w:p w14:paraId="4C5B378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3" w:type="dxa"/>
            <w:tcBorders>
              <w:top w:val="single" w:color="000000" w:sz="2" w:space="0"/>
              <w:left w:val="single" w:color="000000" w:sz="2" w:space="0"/>
              <w:bottom w:val="single" w:color="000000" w:sz="2" w:space="0"/>
              <w:right w:val="single" w:color="000000" w:sz="2" w:space="0"/>
            </w:tcBorders>
            <w:noWrap w:val="0"/>
            <w:vAlign w:val="center"/>
          </w:tcPr>
          <w:p w14:paraId="364558CF">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4" w:type="dxa"/>
            <w:tcBorders>
              <w:top w:val="single" w:color="000000" w:sz="2" w:space="0"/>
              <w:left w:val="single" w:color="000000" w:sz="2" w:space="0"/>
              <w:bottom w:val="single" w:color="000000" w:sz="2" w:space="0"/>
              <w:right w:val="single" w:color="000000" w:sz="2" w:space="0"/>
            </w:tcBorders>
            <w:noWrap w:val="0"/>
            <w:vAlign w:val="center"/>
          </w:tcPr>
          <w:p w14:paraId="68203A8F">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76" w:type="dxa"/>
            <w:tcBorders>
              <w:top w:val="single" w:color="000000" w:sz="2" w:space="0"/>
              <w:left w:val="single" w:color="000000" w:sz="2" w:space="0"/>
              <w:bottom w:val="single" w:color="000000" w:sz="2" w:space="0"/>
              <w:right w:val="single" w:color="000000" w:sz="2" w:space="0"/>
            </w:tcBorders>
            <w:noWrap w:val="0"/>
            <w:vAlign w:val="center"/>
          </w:tcPr>
          <w:p w14:paraId="55BFEA4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保持空气无异味</w:t>
            </w:r>
          </w:p>
        </w:tc>
      </w:tr>
      <w:tr w14:paraId="39E4D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jc w:val="center"/>
        </w:trPr>
        <w:tc>
          <w:tcPr>
            <w:tcW w:w="577" w:type="dxa"/>
            <w:vMerge w:val="continue"/>
            <w:tcBorders>
              <w:left w:val="single" w:color="auto" w:sz="4" w:space="0"/>
              <w:right w:val="single" w:color="auto" w:sz="4" w:space="0"/>
            </w:tcBorders>
            <w:noWrap w:val="0"/>
            <w:vAlign w:val="center"/>
          </w:tcPr>
          <w:p w14:paraId="70CCDFC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91" w:type="dxa"/>
            <w:tcBorders>
              <w:top w:val="single" w:color="000000" w:sz="2" w:space="0"/>
              <w:left w:val="single" w:color="000000" w:sz="2" w:space="0"/>
              <w:bottom w:val="single" w:color="000000" w:sz="2" w:space="0"/>
              <w:right w:val="single" w:color="000000" w:sz="2" w:space="0"/>
            </w:tcBorders>
            <w:noWrap w:val="0"/>
            <w:vAlign w:val="center"/>
          </w:tcPr>
          <w:p w14:paraId="238152B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指示牌、信报箱和悬挂牌等</w:t>
            </w:r>
          </w:p>
        </w:tc>
        <w:tc>
          <w:tcPr>
            <w:tcW w:w="1702" w:type="dxa"/>
            <w:tcBorders>
              <w:top w:val="single" w:color="000000" w:sz="2" w:space="0"/>
              <w:left w:val="single" w:color="000000" w:sz="2" w:space="0"/>
              <w:bottom w:val="single" w:color="000000" w:sz="2" w:space="0"/>
              <w:right w:val="single" w:color="000000" w:sz="2" w:space="0"/>
            </w:tcBorders>
            <w:noWrap w:val="0"/>
            <w:vAlign w:val="center"/>
          </w:tcPr>
          <w:p w14:paraId="01777D0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1" w:type="dxa"/>
            <w:tcBorders>
              <w:top w:val="single" w:color="000000" w:sz="2" w:space="0"/>
              <w:left w:val="single" w:color="000000" w:sz="2" w:space="0"/>
              <w:bottom w:val="single" w:color="000000" w:sz="2" w:space="0"/>
              <w:right w:val="single" w:color="000000" w:sz="2" w:space="0"/>
            </w:tcBorders>
            <w:noWrap w:val="0"/>
            <w:vAlign w:val="center"/>
          </w:tcPr>
          <w:p w14:paraId="354FE78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清抹一次</w:t>
            </w:r>
          </w:p>
        </w:tc>
        <w:tc>
          <w:tcPr>
            <w:tcW w:w="1063" w:type="dxa"/>
            <w:tcBorders>
              <w:top w:val="single" w:color="000000" w:sz="2" w:space="0"/>
              <w:left w:val="single" w:color="000000" w:sz="2" w:space="0"/>
              <w:bottom w:val="single" w:color="000000" w:sz="2" w:space="0"/>
              <w:right w:val="single" w:color="000000" w:sz="2" w:space="0"/>
            </w:tcBorders>
            <w:noWrap w:val="0"/>
            <w:vAlign w:val="center"/>
          </w:tcPr>
          <w:p w14:paraId="59FD949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4" w:type="dxa"/>
            <w:tcBorders>
              <w:top w:val="single" w:color="000000" w:sz="2" w:space="0"/>
              <w:left w:val="single" w:color="000000" w:sz="2" w:space="0"/>
              <w:bottom w:val="single" w:color="000000" w:sz="2" w:space="0"/>
              <w:right w:val="single" w:color="000000" w:sz="2" w:space="0"/>
            </w:tcBorders>
            <w:noWrap w:val="0"/>
            <w:vAlign w:val="center"/>
          </w:tcPr>
          <w:p w14:paraId="2CCC821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76" w:type="dxa"/>
            <w:tcBorders>
              <w:top w:val="single" w:color="000000" w:sz="2" w:space="0"/>
              <w:left w:val="single" w:color="000000" w:sz="2" w:space="0"/>
              <w:bottom w:val="single" w:color="000000" w:sz="2" w:space="0"/>
              <w:right w:val="single" w:color="000000" w:sz="2" w:space="0"/>
            </w:tcBorders>
            <w:noWrap w:val="0"/>
            <w:vAlign w:val="center"/>
          </w:tcPr>
          <w:p w14:paraId="4900497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无尘渍，发现污渍随时清洁</w:t>
            </w:r>
          </w:p>
        </w:tc>
      </w:tr>
      <w:tr w14:paraId="3F92D3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jc w:val="center"/>
        </w:trPr>
        <w:tc>
          <w:tcPr>
            <w:tcW w:w="577" w:type="dxa"/>
            <w:vMerge w:val="continue"/>
            <w:tcBorders>
              <w:left w:val="single" w:color="auto" w:sz="4" w:space="0"/>
              <w:right w:val="single" w:color="auto" w:sz="4" w:space="0"/>
            </w:tcBorders>
            <w:noWrap w:val="0"/>
            <w:vAlign w:val="center"/>
          </w:tcPr>
          <w:p w14:paraId="33402CF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91" w:type="dxa"/>
            <w:tcBorders>
              <w:top w:val="single" w:color="000000" w:sz="2" w:space="0"/>
              <w:left w:val="single" w:color="000000" w:sz="2" w:space="0"/>
              <w:bottom w:val="single" w:color="000000" w:sz="2" w:space="0"/>
              <w:right w:val="single" w:color="000000" w:sz="2" w:space="0"/>
            </w:tcBorders>
            <w:noWrap w:val="0"/>
            <w:vAlign w:val="center"/>
          </w:tcPr>
          <w:p w14:paraId="23AA70C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花盆、花槽、绿植</w:t>
            </w:r>
          </w:p>
        </w:tc>
        <w:tc>
          <w:tcPr>
            <w:tcW w:w="1702" w:type="dxa"/>
            <w:tcBorders>
              <w:top w:val="single" w:color="000000" w:sz="2" w:space="0"/>
              <w:left w:val="single" w:color="000000" w:sz="2" w:space="0"/>
              <w:bottom w:val="single" w:color="000000" w:sz="2" w:space="0"/>
              <w:right w:val="single" w:color="000000" w:sz="2" w:space="0"/>
            </w:tcBorders>
            <w:noWrap w:val="0"/>
            <w:vAlign w:val="center"/>
          </w:tcPr>
          <w:p w14:paraId="55D9210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清除杂物一次</w:t>
            </w:r>
          </w:p>
        </w:tc>
        <w:tc>
          <w:tcPr>
            <w:tcW w:w="1211" w:type="dxa"/>
            <w:tcBorders>
              <w:top w:val="single" w:color="000000" w:sz="2" w:space="0"/>
              <w:left w:val="single" w:color="000000" w:sz="2" w:space="0"/>
              <w:bottom w:val="single" w:color="000000" w:sz="2" w:space="0"/>
              <w:right w:val="single" w:color="000000" w:sz="2" w:space="0"/>
            </w:tcBorders>
            <w:noWrap w:val="0"/>
            <w:vAlign w:val="center"/>
          </w:tcPr>
          <w:p w14:paraId="3579031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清抹一次</w:t>
            </w:r>
          </w:p>
        </w:tc>
        <w:tc>
          <w:tcPr>
            <w:tcW w:w="1063" w:type="dxa"/>
            <w:tcBorders>
              <w:top w:val="single" w:color="000000" w:sz="2" w:space="0"/>
              <w:left w:val="single" w:color="000000" w:sz="2" w:space="0"/>
              <w:bottom w:val="single" w:color="000000" w:sz="2" w:space="0"/>
              <w:right w:val="single" w:color="000000" w:sz="2" w:space="0"/>
            </w:tcBorders>
            <w:noWrap w:val="0"/>
            <w:vAlign w:val="center"/>
          </w:tcPr>
          <w:p w14:paraId="64C31C2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4" w:type="dxa"/>
            <w:tcBorders>
              <w:top w:val="single" w:color="000000" w:sz="2" w:space="0"/>
              <w:left w:val="single" w:color="000000" w:sz="2" w:space="0"/>
              <w:bottom w:val="single" w:color="000000" w:sz="2" w:space="0"/>
              <w:right w:val="single" w:color="000000" w:sz="2" w:space="0"/>
            </w:tcBorders>
            <w:noWrap w:val="0"/>
            <w:vAlign w:val="center"/>
          </w:tcPr>
          <w:p w14:paraId="29BA761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76" w:type="dxa"/>
            <w:tcBorders>
              <w:top w:val="single" w:color="000000" w:sz="2" w:space="0"/>
              <w:left w:val="single" w:color="000000" w:sz="2" w:space="0"/>
              <w:bottom w:val="single" w:color="000000" w:sz="2" w:space="0"/>
              <w:right w:val="single" w:color="000000" w:sz="2" w:space="0"/>
            </w:tcBorders>
            <w:noWrap w:val="0"/>
            <w:vAlign w:val="center"/>
          </w:tcPr>
          <w:p w14:paraId="2630687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无尘渍、杂物，发现污渍随时清洁；对领导办公室、会议室、办公公共区域绿植进行日常养护</w:t>
            </w:r>
          </w:p>
        </w:tc>
      </w:tr>
      <w:tr w14:paraId="320F9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7" w:hRule="atLeast"/>
          <w:jc w:val="center"/>
        </w:trPr>
        <w:tc>
          <w:tcPr>
            <w:tcW w:w="577" w:type="dxa"/>
            <w:vMerge w:val="continue"/>
            <w:tcBorders>
              <w:left w:val="single" w:color="auto" w:sz="4" w:space="0"/>
              <w:right w:val="single" w:color="auto" w:sz="4" w:space="0"/>
            </w:tcBorders>
            <w:noWrap w:val="0"/>
            <w:vAlign w:val="center"/>
          </w:tcPr>
          <w:p w14:paraId="2C6FC42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91" w:type="dxa"/>
            <w:tcBorders>
              <w:top w:val="single" w:color="000000" w:sz="2" w:space="0"/>
              <w:left w:val="single" w:color="000000" w:sz="2" w:space="0"/>
              <w:bottom w:val="single" w:color="000000" w:sz="2" w:space="0"/>
              <w:right w:val="single" w:color="000000" w:sz="2" w:space="0"/>
            </w:tcBorders>
            <w:noWrap w:val="0"/>
            <w:vAlign w:val="center"/>
          </w:tcPr>
          <w:p w14:paraId="2BFC391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烟灰筒、废纸筒</w:t>
            </w:r>
          </w:p>
        </w:tc>
        <w:tc>
          <w:tcPr>
            <w:tcW w:w="1702" w:type="dxa"/>
            <w:tcBorders>
              <w:top w:val="single" w:color="000000" w:sz="2" w:space="0"/>
              <w:left w:val="single" w:color="000000" w:sz="2" w:space="0"/>
              <w:bottom w:val="single" w:color="000000" w:sz="2" w:space="0"/>
              <w:right w:val="single" w:color="000000" w:sz="2" w:space="0"/>
            </w:tcBorders>
            <w:noWrap w:val="0"/>
            <w:vAlign w:val="center"/>
          </w:tcPr>
          <w:p w14:paraId="014B709E">
            <w:pPr>
              <w:pStyle w:val="14"/>
              <w:keepNext w:val="0"/>
              <w:keepLines w:val="0"/>
              <w:widowControl w:val="0"/>
              <w:numPr>
                <w:ilvl w:val="0"/>
                <w:numId w:val="0"/>
              </w:numPr>
              <w:suppressLineNumbers w:val="0"/>
              <w:adjustRightInd w:val="0"/>
              <w:spacing w:before="0" w:beforeAutospacing="0" w:after="0" w:afterAutospacing="0"/>
              <w:ind w:right="33" w:rightChars="0"/>
              <w:jc w:val="both"/>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清倒垃圾一次、清抹筒盖、垃圾筒、</w:t>
            </w:r>
          </w:p>
          <w:p w14:paraId="05DD62A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垃圾缸一次</w:t>
            </w:r>
          </w:p>
        </w:tc>
        <w:tc>
          <w:tcPr>
            <w:tcW w:w="1211" w:type="dxa"/>
            <w:tcBorders>
              <w:top w:val="single" w:color="000000" w:sz="2" w:space="0"/>
              <w:left w:val="single" w:color="000000" w:sz="2" w:space="0"/>
              <w:bottom w:val="single" w:color="000000" w:sz="2" w:space="0"/>
              <w:right w:val="single" w:color="000000" w:sz="2" w:space="0"/>
            </w:tcBorders>
            <w:noWrap w:val="0"/>
            <w:vAlign w:val="center"/>
          </w:tcPr>
          <w:p w14:paraId="615DC43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整体清洁一次</w:t>
            </w:r>
          </w:p>
        </w:tc>
        <w:tc>
          <w:tcPr>
            <w:tcW w:w="1063" w:type="dxa"/>
            <w:tcBorders>
              <w:top w:val="single" w:color="000000" w:sz="2" w:space="0"/>
              <w:left w:val="single" w:color="000000" w:sz="2" w:space="0"/>
              <w:bottom w:val="single" w:color="000000" w:sz="2" w:space="0"/>
              <w:right w:val="single" w:color="000000" w:sz="2" w:space="0"/>
            </w:tcBorders>
            <w:noWrap w:val="0"/>
            <w:vAlign w:val="center"/>
          </w:tcPr>
          <w:p w14:paraId="29C5116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4" w:type="dxa"/>
            <w:tcBorders>
              <w:top w:val="single" w:color="000000" w:sz="2" w:space="0"/>
              <w:left w:val="single" w:color="000000" w:sz="2" w:space="0"/>
              <w:bottom w:val="single" w:color="000000" w:sz="2" w:space="0"/>
              <w:right w:val="single" w:color="000000" w:sz="2" w:space="0"/>
            </w:tcBorders>
            <w:noWrap w:val="0"/>
            <w:vAlign w:val="center"/>
          </w:tcPr>
          <w:p w14:paraId="02B6224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76" w:type="dxa"/>
            <w:tcBorders>
              <w:top w:val="single" w:color="000000" w:sz="2" w:space="0"/>
              <w:left w:val="single" w:color="000000" w:sz="2" w:space="0"/>
              <w:bottom w:val="single" w:color="000000" w:sz="2" w:space="0"/>
              <w:right w:val="single" w:color="000000" w:sz="2" w:space="0"/>
            </w:tcBorders>
            <w:noWrap w:val="0"/>
            <w:vAlign w:val="center"/>
          </w:tcPr>
          <w:p w14:paraId="49FE702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无污渍、痰渍、烟灰清理各废纸娄更换垃圾袋每天一次；保证大堂垃圾桶不能给超过一半，垃圾袋及时更换；（耗材甲方提供）；垃圾筒内壁及筒后墙面保持无污迹</w:t>
            </w:r>
          </w:p>
        </w:tc>
      </w:tr>
      <w:tr w14:paraId="611BE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jc w:val="center"/>
        </w:trPr>
        <w:tc>
          <w:tcPr>
            <w:tcW w:w="577" w:type="dxa"/>
            <w:vMerge w:val="continue"/>
            <w:tcBorders>
              <w:left w:val="single" w:color="auto" w:sz="4" w:space="0"/>
              <w:right w:val="single" w:color="auto" w:sz="4" w:space="0"/>
            </w:tcBorders>
            <w:noWrap w:val="0"/>
            <w:vAlign w:val="center"/>
          </w:tcPr>
          <w:p w14:paraId="127C29F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91" w:type="dxa"/>
            <w:tcBorders>
              <w:top w:val="single" w:color="000000" w:sz="2" w:space="0"/>
              <w:left w:val="single" w:color="000000" w:sz="2" w:space="0"/>
              <w:bottom w:val="single" w:color="000000" w:sz="2" w:space="0"/>
              <w:right w:val="single" w:color="000000" w:sz="2" w:space="0"/>
            </w:tcBorders>
            <w:noWrap w:val="0"/>
            <w:vAlign w:val="center"/>
          </w:tcPr>
          <w:p w14:paraId="1CAAE602">
            <w:pPr>
              <w:pStyle w:val="14"/>
              <w:keepNext w:val="0"/>
              <w:keepLines w:val="0"/>
              <w:widowControl w:val="0"/>
              <w:numPr>
                <w:ilvl w:val="0"/>
                <w:numId w:val="0"/>
              </w:numPr>
              <w:suppressLineNumbers w:val="0"/>
              <w:adjustRightInd w:val="0"/>
              <w:spacing w:before="0" w:beforeAutospacing="0" w:after="0" w:afterAutospacing="0"/>
              <w:ind w:right="33" w:rightChars="0"/>
              <w:jc w:val="both"/>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楼道、扶手</w:t>
            </w:r>
          </w:p>
        </w:tc>
        <w:tc>
          <w:tcPr>
            <w:tcW w:w="1702" w:type="dxa"/>
            <w:tcBorders>
              <w:top w:val="single" w:color="000000" w:sz="2" w:space="0"/>
              <w:left w:val="single" w:color="000000" w:sz="2" w:space="0"/>
              <w:bottom w:val="single" w:color="000000" w:sz="2" w:space="0"/>
              <w:right w:val="single" w:color="000000" w:sz="2" w:space="0"/>
            </w:tcBorders>
            <w:noWrap w:val="0"/>
            <w:vAlign w:val="center"/>
          </w:tcPr>
          <w:p w14:paraId="43CD8BD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办公室楼道</w:t>
            </w:r>
            <w:r>
              <w:rPr>
                <w:rFonts w:hint="eastAsia" w:ascii="Times New Roman" w:hAnsi="Times New Roman" w:eastAsia="宋体" w:cs="Times New Roman"/>
                <w:color w:val="auto"/>
                <w:kern w:val="2"/>
                <w:sz w:val="21"/>
                <w:szCs w:val="24"/>
                <w:lang w:val="en-US" w:eastAsia="zh-CN" w:bidi="ar-SA"/>
              </w:rPr>
              <w:t>清洁</w:t>
            </w:r>
            <w:r>
              <w:rPr>
                <w:rFonts w:hint="default" w:ascii="Times New Roman" w:hAnsi="Times New Roman" w:eastAsia="宋体" w:cs="Times New Roman"/>
                <w:color w:val="auto"/>
                <w:kern w:val="2"/>
                <w:sz w:val="21"/>
                <w:szCs w:val="24"/>
                <w:lang w:val="en-US" w:eastAsia="zh-CN" w:bidi="ar-SA"/>
              </w:rPr>
              <w:t>一次，楼道扶手</w:t>
            </w:r>
            <w:r>
              <w:rPr>
                <w:rFonts w:hint="eastAsia" w:ascii="Times New Roman" w:hAnsi="Times New Roman" w:eastAsia="宋体" w:cs="Times New Roman"/>
                <w:color w:val="auto"/>
                <w:kern w:val="2"/>
                <w:sz w:val="21"/>
                <w:szCs w:val="24"/>
                <w:lang w:val="en-US" w:eastAsia="zh-CN" w:bidi="ar-SA"/>
              </w:rPr>
              <w:t>清洁</w:t>
            </w:r>
            <w:r>
              <w:rPr>
                <w:rFonts w:hint="default" w:ascii="Times New Roman" w:hAnsi="Times New Roman" w:eastAsia="宋体" w:cs="Times New Roman"/>
                <w:color w:val="auto"/>
                <w:kern w:val="2"/>
                <w:sz w:val="21"/>
                <w:szCs w:val="24"/>
                <w:lang w:val="en-US" w:eastAsia="zh-CN" w:bidi="ar-SA"/>
              </w:rPr>
              <w:t>一次</w:t>
            </w:r>
          </w:p>
        </w:tc>
        <w:tc>
          <w:tcPr>
            <w:tcW w:w="1211" w:type="dxa"/>
            <w:tcBorders>
              <w:top w:val="single" w:color="000000" w:sz="2" w:space="0"/>
              <w:left w:val="single" w:color="000000" w:sz="2" w:space="0"/>
              <w:bottom w:val="single" w:color="000000" w:sz="2" w:space="0"/>
              <w:right w:val="single" w:color="000000" w:sz="2" w:space="0"/>
            </w:tcBorders>
            <w:noWrap w:val="0"/>
            <w:vAlign w:val="center"/>
          </w:tcPr>
          <w:p w14:paraId="0BC1DCD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3" w:type="dxa"/>
            <w:tcBorders>
              <w:top w:val="single" w:color="000000" w:sz="2" w:space="0"/>
              <w:left w:val="single" w:color="000000" w:sz="2" w:space="0"/>
              <w:bottom w:val="single" w:color="000000" w:sz="2" w:space="0"/>
              <w:right w:val="single" w:color="000000" w:sz="2" w:space="0"/>
            </w:tcBorders>
            <w:noWrap w:val="0"/>
            <w:vAlign w:val="center"/>
          </w:tcPr>
          <w:p w14:paraId="4CD8A80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每月清洗保养一次</w:t>
            </w:r>
          </w:p>
        </w:tc>
        <w:tc>
          <w:tcPr>
            <w:tcW w:w="854" w:type="dxa"/>
            <w:tcBorders>
              <w:top w:val="single" w:color="000000" w:sz="2" w:space="0"/>
              <w:left w:val="single" w:color="000000" w:sz="2" w:space="0"/>
              <w:bottom w:val="single" w:color="000000" w:sz="2" w:space="0"/>
              <w:right w:val="single" w:color="000000" w:sz="2" w:space="0"/>
            </w:tcBorders>
            <w:noWrap w:val="0"/>
            <w:vAlign w:val="center"/>
          </w:tcPr>
          <w:p w14:paraId="54A893A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76" w:type="dxa"/>
            <w:tcBorders>
              <w:top w:val="single" w:color="000000" w:sz="2" w:space="0"/>
              <w:left w:val="single" w:color="000000" w:sz="2" w:space="0"/>
              <w:bottom w:val="single" w:color="000000" w:sz="2" w:space="0"/>
              <w:right w:val="single" w:color="000000" w:sz="2" w:space="0"/>
            </w:tcBorders>
            <w:noWrap w:val="0"/>
            <w:vAlign w:val="center"/>
          </w:tcPr>
          <w:p w14:paraId="0139E2B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地面、梯级，无污渍、手印、灰尘；扶手、护栏干净，纸巾擦拭没有明细脏污；楼梯间顶面无蜘蛛网、灰尘</w:t>
            </w:r>
          </w:p>
        </w:tc>
      </w:tr>
      <w:tr w14:paraId="4BD3B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5" w:hRule="atLeast"/>
          <w:jc w:val="center"/>
        </w:trPr>
        <w:tc>
          <w:tcPr>
            <w:tcW w:w="577" w:type="dxa"/>
            <w:vMerge w:val="continue"/>
            <w:tcBorders>
              <w:left w:val="single" w:color="auto" w:sz="4" w:space="0"/>
              <w:right w:val="single" w:color="auto" w:sz="4" w:space="0"/>
            </w:tcBorders>
            <w:noWrap w:val="0"/>
            <w:vAlign w:val="center"/>
          </w:tcPr>
          <w:p w14:paraId="1D734E2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91" w:type="dxa"/>
            <w:tcBorders>
              <w:top w:val="single" w:color="000000" w:sz="2" w:space="0"/>
              <w:left w:val="single" w:color="000000" w:sz="2" w:space="0"/>
              <w:bottom w:val="single" w:color="000000" w:sz="2" w:space="0"/>
              <w:right w:val="single" w:color="000000" w:sz="2" w:space="0"/>
            </w:tcBorders>
            <w:noWrap w:val="0"/>
            <w:vAlign w:val="center"/>
          </w:tcPr>
          <w:p w14:paraId="063EF3F9">
            <w:pPr>
              <w:pStyle w:val="14"/>
              <w:keepNext w:val="0"/>
              <w:keepLines w:val="0"/>
              <w:widowControl w:val="0"/>
              <w:numPr>
                <w:ilvl w:val="0"/>
                <w:numId w:val="0"/>
              </w:numPr>
              <w:suppressLineNumbers w:val="0"/>
              <w:adjustRightInd w:val="0"/>
              <w:spacing w:before="0" w:beforeAutospacing="0" w:after="0" w:afterAutospacing="0"/>
              <w:ind w:left="0" w:leftChars="0" w:right="33" w:rightChars="0" w:firstLine="0" w:firstLine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地脚线、瓷砖地面、水泥地面</w:t>
            </w:r>
          </w:p>
        </w:tc>
        <w:tc>
          <w:tcPr>
            <w:tcW w:w="1702" w:type="dxa"/>
            <w:tcBorders>
              <w:top w:val="single" w:color="000000" w:sz="2" w:space="0"/>
              <w:left w:val="single" w:color="000000" w:sz="2" w:space="0"/>
              <w:bottom w:val="single" w:color="000000" w:sz="2" w:space="0"/>
              <w:right w:val="single" w:color="000000" w:sz="2" w:space="0"/>
            </w:tcBorders>
            <w:noWrap w:val="0"/>
            <w:vAlign w:val="center"/>
          </w:tcPr>
          <w:p w14:paraId="318C8F72">
            <w:pPr>
              <w:keepNext w:val="0"/>
              <w:keepLines w:val="0"/>
              <w:widowControl w:val="0"/>
              <w:numPr>
                <w:ilvl w:val="0"/>
                <w:numId w:val="0"/>
              </w:numPr>
              <w:suppressLineNumbers w:val="0"/>
              <w:adjustRightInd w:val="0"/>
              <w:spacing w:before="0" w:beforeAutospacing="0" w:after="0" w:afterAutospacing="0"/>
              <w:ind w:left="0" w:leftChars="0" w:right="33" w:rightChars="0" w:firstLine="0" w:firstLine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1" w:type="dxa"/>
            <w:tcBorders>
              <w:top w:val="single" w:color="000000" w:sz="2" w:space="0"/>
              <w:left w:val="single" w:color="000000" w:sz="2" w:space="0"/>
              <w:bottom w:val="single" w:color="000000" w:sz="2" w:space="0"/>
              <w:right w:val="single" w:color="000000" w:sz="2" w:space="0"/>
            </w:tcBorders>
            <w:noWrap w:val="0"/>
            <w:vAlign w:val="center"/>
          </w:tcPr>
          <w:p w14:paraId="17399201">
            <w:pPr>
              <w:keepNext w:val="0"/>
              <w:keepLines w:val="0"/>
              <w:widowControl w:val="0"/>
              <w:numPr>
                <w:ilvl w:val="0"/>
                <w:numId w:val="0"/>
              </w:numPr>
              <w:suppressLineNumbers w:val="0"/>
              <w:adjustRightInd w:val="0"/>
              <w:spacing w:before="0" w:beforeAutospacing="0" w:after="0" w:afterAutospacing="0"/>
              <w:ind w:left="0" w:leftChars="0" w:right="33" w:rightChars="0" w:firstLine="0" w:firstLine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3" w:type="dxa"/>
            <w:tcBorders>
              <w:top w:val="single" w:color="000000" w:sz="2" w:space="0"/>
              <w:left w:val="single" w:color="000000" w:sz="2" w:space="0"/>
              <w:bottom w:val="single" w:color="000000" w:sz="2" w:space="0"/>
              <w:right w:val="single" w:color="000000" w:sz="2" w:space="0"/>
            </w:tcBorders>
            <w:noWrap w:val="0"/>
            <w:vAlign w:val="center"/>
          </w:tcPr>
          <w:p w14:paraId="0F455689">
            <w:pPr>
              <w:pStyle w:val="14"/>
              <w:keepNext w:val="0"/>
              <w:keepLines w:val="0"/>
              <w:widowControl w:val="0"/>
              <w:numPr>
                <w:ilvl w:val="0"/>
                <w:numId w:val="0"/>
              </w:numPr>
              <w:suppressLineNumbers w:val="0"/>
              <w:adjustRightInd w:val="0"/>
              <w:spacing w:before="0" w:beforeAutospacing="0" w:after="0" w:afterAutospacing="0"/>
              <w:ind w:left="0" w:leftChars="0" w:right="33" w:rightChars="0" w:firstLine="0" w:firstLine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每月清洗保养一次</w:t>
            </w:r>
          </w:p>
        </w:tc>
        <w:tc>
          <w:tcPr>
            <w:tcW w:w="854" w:type="dxa"/>
            <w:tcBorders>
              <w:top w:val="single" w:color="000000" w:sz="2" w:space="0"/>
              <w:left w:val="single" w:color="000000" w:sz="2" w:space="0"/>
              <w:bottom w:val="single" w:color="000000" w:sz="2" w:space="0"/>
              <w:right w:val="single" w:color="000000" w:sz="2" w:space="0"/>
            </w:tcBorders>
            <w:noWrap w:val="0"/>
            <w:vAlign w:val="center"/>
          </w:tcPr>
          <w:p w14:paraId="74984C31">
            <w:pPr>
              <w:pStyle w:val="14"/>
              <w:keepNext w:val="0"/>
              <w:keepLines w:val="0"/>
              <w:widowControl w:val="0"/>
              <w:numPr>
                <w:ilvl w:val="0"/>
                <w:numId w:val="0"/>
              </w:numPr>
              <w:suppressLineNumbers w:val="0"/>
              <w:adjustRightInd w:val="0"/>
              <w:spacing w:before="0" w:beforeAutospacing="0" w:after="0" w:afterAutospacing="0"/>
              <w:ind w:left="0" w:leftChars="0" w:right="33" w:rightChars="0" w:firstLine="0" w:firstLine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76" w:type="dxa"/>
            <w:tcBorders>
              <w:top w:val="single" w:color="000000" w:sz="2" w:space="0"/>
              <w:left w:val="single" w:color="000000" w:sz="2" w:space="0"/>
              <w:bottom w:val="single" w:color="000000" w:sz="2" w:space="0"/>
              <w:right w:val="single" w:color="000000" w:sz="2" w:space="0"/>
            </w:tcBorders>
            <w:noWrap w:val="0"/>
            <w:vAlign w:val="center"/>
          </w:tcPr>
          <w:p w14:paraId="7E7E63F4">
            <w:pPr>
              <w:pStyle w:val="14"/>
              <w:keepNext w:val="0"/>
              <w:keepLines w:val="0"/>
              <w:widowControl w:val="0"/>
              <w:numPr>
                <w:ilvl w:val="0"/>
                <w:numId w:val="0"/>
              </w:numPr>
              <w:suppressLineNumbers w:val="0"/>
              <w:adjustRightInd w:val="0"/>
              <w:spacing w:before="0" w:beforeAutospacing="0" w:after="0" w:afterAutospacing="0"/>
              <w:ind w:left="0" w:leftChars="0" w:right="33" w:rightChars="0" w:firstLine="0" w:firstLine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地脚线、瓷砖地面干净无灰尘、无污渍；水泥地面目视干净无杂物、污迹</w:t>
            </w:r>
          </w:p>
        </w:tc>
      </w:tr>
      <w:tr w14:paraId="32ADC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jc w:val="center"/>
        </w:trPr>
        <w:tc>
          <w:tcPr>
            <w:tcW w:w="577" w:type="dxa"/>
            <w:vMerge w:val="continue"/>
            <w:tcBorders>
              <w:left w:val="single" w:color="auto" w:sz="4" w:space="0"/>
              <w:bottom w:val="single" w:color="000000" w:sz="2" w:space="0"/>
              <w:right w:val="single" w:color="auto" w:sz="4" w:space="0"/>
            </w:tcBorders>
            <w:noWrap w:val="0"/>
            <w:vAlign w:val="center"/>
          </w:tcPr>
          <w:p w14:paraId="1D282FA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91" w:type="dxa"/>
            <w:tcBorders>
              <w:top w:val="single" w:color="000000" w:sz="2" w:space="0"/>
              <w:left w:val="single" w:color="000000" w:sz="2" w:space="0"/>
              <w:bottom w:val="single" w:color="000000" w:sz="2" w:space="0"/>
              <w:right w:val="single" w:color="000000" w:sz="2" w:space="0"/>
            </w:tcBorders>
            <w:noWrap w:val="0"/>
            <w:vAlign w:val="center"/>
          </w:tcPr>
          <w:p w14:paraId="239531B8">
            <w:pPr>
              <w:pStyle w:val="14"/>
              <w:keepNext w:val="0"/>
              <w:keepLines w:val="0"/>
              <w:widowControl w:val="0"/>
              <w:numPr>
                <w:ilvl w:val="0"/>
                <w:numId w:val="0"/>
              </w:numPr>
              <w:suppressLineNumbers w:val="0"/>
              <w:adjustRightInd w:val="0"/>
              <w:spacing w:before="0" w:beforeAutospacing="0" w:after="0" w:afterAutospacing="0"/>
              <w:ind w:left="0" w:leftChars="0" w:right="33" w:rightChars="0" w:firstLine="0" w:firstLine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不锈钢及宣传栏</w:t>
            </w:r>
          </w:p>
        </w:tc>
        <w:tc>
          <w:tcPr>
            <w:tcW w:w="1702" w:type="dxa"/>
            <w:tcBorders>
              <w:top w:val="single" w:color="000000" w:sz="2" w:space="0"/>
              <w:left w:val="single" w:color="000000" w:sz="2" w:space="0"/>
              <w:bottom w:val="single" w:color="000000" w:sz="2" w:space="0"/>
              <w:right w:val="single" w:color="000000" w:sz="2" w:space="0"/>
            </w:tcBorders>
            <w:noWrap w:val="0"/>
            <w:vAlign w:val="center"/>
          </w:tcPr>
          <w:p w14:paraId="62ECB4B1">
            <w:pPr>
              <w:pStyle w:val="14"/>
              <w:keepNext w:val="0"/>
              <w:keepLines w:val="0"/>
              <w:widowControl w:val="0"/>
              <w:numPr>
                <w:ilvl w:val="0"/>
                <w:numId w:val="0"/>
              </w:numPr>
              <w:suppressLineNumbers w:val="0"/>
              <w:adjustRightInd w:val="0"/>
              <w:spacing w:before="0" w:beforeAutospacing="0" w:after="0" w:afterAutospacing="0"/>
              <w:ind w:left="0" w:leftChars="0" w:right="33" w:rightChars="0" w:firstLine="0" w:firstLine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1" w:type="dxa"/>
            <w:tcBorders>
              <w:top w:val="single" w:color="000000" w:sz="2" w:space="0"/>
              <w:left w:val="single" w:color="000000" w:sz="2" w:space="0"/>
              <w:bottom w:val="single" w:color="000000" w:sz="2" w:space="0"/>
              <w:right w:val="single" w:color="000000" w:sz="2" w:space="0"/>
            </w:tcBorders>
            <w:noWrap w:val="0"/>
            <w:vAlign w:val="center"/>
          </w:tcPr>
          <w:p w14:paraId="15464B05">
            <w:pPr>
              <w:pStyle w:val="14"/>
              <w:keepNext w:val="0"/>
              <w:keepLines w:val="0"/>
              <w:widowControl w:val="0"/>
              <w:numPr>
                <w:ilvl w:val="0"/>
                <w:numId w:val="0"/>
              </w:numPr>
              <w:suppressLineNumbers w:val="0"/>
              <w:adjustRightInd w:val="0"/>
              <w:spacing w:before="0" w:beforeAutospacing="0" w:after="0" w:afterAutospacing="0"/>
              <w:ind w:left="0" w:leftChars="0" w:right="33" w:rightChars="0" w:firstLine="0" w:firstLine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每周清洁一次</w:t>
            </w:r>
          </w:p>
        </w:tc>
        <w:tc>
          <w:tcPr>
            <w:tcW w:w="1063" w:type="dxa"/>
            <w:tcBorders>
              <w:top w:val="single" w:color="000000" w:sz="2" w:space="0"/>
              <w:left w:val="single" w:color="000000" w:sz="2" w:space="0"/>
              <w:bottom w:val="single" w:color="000000" w:sz="2" w:space="0"/>
              <w:right w:val="single" w:color="000000" w:sz="2" w:space="0"/>
            </w:tcBorders>
            <w:noWrap w:val="0"/>
            <w:vAlign w:val="center"/>
          </w:tcPr>
          <w:p w14:paraId="719721D7">
            <w:pPr>
              <w:keepNext w:val="0"/>
              <w:keepLines w:val="0"/>
              <w:widowControl w:val="0"/>
              <w:numPr>
                <w:ilvl w:val="0"/>
                <w:numId w:val="0"/>
              </w:numPr>
              <w:suppressLineNumbers w:val="0"/>
              <w:adjustRightInd w:val="0"/>
              <w:spacing w:before="0" w:beforeAutospacing="0" w:after="0" w:afterAutospacing="0"/>
              <w:ind w:left="0" w:leftChars="0" w:right="33" w:rightChars="0" w:firstLine="0" w:firstLine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4" w:type="dxa"/>
            <w:tcBorders>
              <w:top w:val="single" w:color="000000" w:sz="2" w:space="0"/>
              <w:left w:val="single" w:color="000000" w:sz="2" w:space="0"/>
              <w:bottom w:val="single" w:color="000000" w:sz="2" w:space="0"/>
              <w:right w:val="single" w:color="000000" w:sz="2" w:space="0"/>
            </w:tcBorders>
            <w:noWrap w:val="0"/>
            <w:vAlign w:val="center"/>
          </w:tcPr>
          <w:p w14:paraId="1E779AAF">
            <w:pPr>
              <w:keepNext w:val="0"/>
              <w:keepLines w:val="0"/>
              <w:widowControl w:val="0"/>
              <w:numPr>
                <w:ilvl w:val="0"/>
                <w:numId w:val="0"/>
              </w:numPr>
              <w:suppressLineNumbers w:val="0"/>
              <w:adjustRightInd w:val="0"/>
              <w:spacing w:before="0" w:beforeAutospacing="0" w:after="0" w:afterAutospacing="0"/>
              <w:ind w:left="0" w:leftChars="0" w:right="33" w:rightChars="0" w:firstLine="0" w:firstLine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76" w:type="dxa"/>
            <w:tcBorders>
              <w:top w:val="single" w:color="000000" w:sz="2" w:space="0"/>
              <w:left w:val="single" w:color="000000" w:sz="2" w:space="0"/>
              <w:bottom w:val="single" w:color="000000" w:sz="2" w:space="0"/>
              <w:right w:val="single" w:color="000000" w:sz="2" w:space="0"/>
            </w:tcBorders>
            <w:noWrap w:val="0"/>
            <w:vAlign w:val="top"/>
          </w:tcPr>
          <w:p w14:paraId="517825AA">
            <w:pPr>
              <w:pStyle w:val="14"/>
              <w:keepNext w:val="0"/>
              <w:keepLines w:val="0"/>
              <w:widowControl w:val="0"/>
              <w:numPr>
                <w:ilvl w:val="0"/>
                <w:numId w:val="0"/>
              </w:numPr>
              <w:suppressLineNumbers w:val="0"/>
              <w:adjustRightInd w:val="0"/>
              <w:spacing w:before="0" w:beforeAutospacing="0" w:after="0" w:afterAutospacing="0"/>
              <w:ind w:left="0" w:leftChars="0" w:right="33" w:rightChars="0" w:firstLine="0" w:firstLine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不锈钢表面无手印、灰尘、污迹；用纸巾擦拭无明显污尘</w:t>
            </w:r>
          </w:p>
        </w:tc>
      </w:tr>
    </w:tbl>
    <w:tbl>
      <w:tblPr>
        <w:tblStyle w:val="25"/>
        <w:tblW w:w="1087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0"/>
        <w:gridCol w:w="987"/>
        <w:gridCol w:w="1700"/>
        <w:gridCol w:w="1213"/>
        <w:gridCol w:w="1062"/>
        <w:gridCol w:w="850"/>
        <w:gridCol w:w="1105"/>
        <w:gridCol w:w="3375"/>
      </w:tblGrid>
      <w:tr w14:paraId="47AE2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jc w:val="center"/>
        </w:trPr>
        <w:tc>
          <w:tcPr>
            <w:tcW w:w="580" w:type="dxa"/>
            <w:vMerge w:val="restart"/>
            <w:tcBorders>
              <w:top w:val="single" w:color="000000" w:sz="2" w:space="0"/>
              <w:left w:val="single" w:color="000000" w:sz="2" w:space="0"/>
              <w:bottom w:val="single" w:color="000000" w:sz="2" w:space="0"/>
              <w:right w:val="single" w:color="000000" w:sz="2" w:space="0"/>
            </w:tcBorders>
            <w:noWrap w:val="0"/>
            <w:vAlign w:val="center"/>
          </w:tcPr>
          <w:p w14:paraId="3D85E3B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办公</w:t>
            </w:r>
          </w:p>
          <w:p w14:paraId="4B7168D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区域</w:t>
            </w:r>
          </w:p>
        </w:tc>
        <w:tc>
          <w:tcPr>
            <w:tcW w:w="987" w:type="dxa"/>
            <w:vMerge w:val="restart"/>
            <w:tcBorders>
              <w:top w:val="single" w:color="000000" w:sz="2" w:space="0"/>
              <w:left w:val="single" w:color="000000" w:sz="2" w:space="0"/>
              <w:bottom w:val="single" w:color="000000" w:sz="2" w:space="0"/>
              <w:right w:val="single" w:color="000000" w:sz="2" w:space="0"/>
            </w:tcBorders>
            <w:noWrap w:val="0"/>
            <w:vAlign w:val="center"/>
          </w:tcPr>
          <w:p w14:paraId="3201117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领导办公室</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5A81C1C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每天保洁一次，特</w:t>
            </w:r>
          </w:p>
          <w:p w14:paraId="16D953F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殊情况根据需要进行保洁</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2A0E7816">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42CC7A9D">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2DB38EA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每季度</w:t>
            </w:r>
          </w:p>
          <w:p w14:paraId="050ED27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大清洁</w:t>
            </w:r>
          </w:p>
          <w:p w14:paraId="498114F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一次</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3C3E708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无纸屑、污渍、办公场所保持干净整洁、办公桌面保持无积尘</w:t>
            </w:r>
          </w:p>
        </w:tc>
      </w:tr>
      <w:tr w14:paraId="1D3B1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jc w:val="center"/>
        </w:trPr>
        <w:tc>
          <w:tcPr>
            <w:tcW w:w="580" w:type="dxa"/>
            <w:vMerge w:val="continue"/>
            <w:tcBorders>
              <w:top w:val="single" w:color="000000" w:sz="2" w:space="0"/>
              <w:left w:val="single" w:color="000000" w:sz="2" w:space="0"/>
              <w:bottom w:val="single" w:color="000000" w:sz="2" w:space="0"/>
              <w:right w:val="single" w:color="000000" w:sz="2" w:space="0"/>
            </w:tcBorders>
            <w:noWrap w:val="0"/>
            <w:vAlign w:val="center"/>
          </w:tcPr>
          <w:p w14:paraId="1E146EB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vMerge w:val="continue"/>
            <w:tcBorders>
              <w:top w:val="single" w:color="000000" w:sz="2" w:space="0"/>
              <w:left w:val="single" w:color="000000" w:sz="2" w:space="0"/>
              <w:bottom w:val="single" w:color="000000" w:sz="2" w:space="0"/>
              <w:right w:val="single" w:color="000000" w:sz="2" w:space="0"/>
            </w:tcBorders>
            <w:noWrap w:val="0"/>
            <w:vAlign w:val="center"/>
          </w:tcPr>
          <w:p w14:paraId="359A09A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305" w:type="dxa"/>
            <w:gridSpan w:val="6"/>
            <w:tcBorders>
              <w:top w:val="single" w:color="000000" w:sz="2" w:space="0"/>
              <w:left w:val="single" w:color="000000" w:sz="2" w:space="0"/>
              <w:bottom w:val="single" w:color="000000" w:sz="2" w:space="0"/>
              <w:right w:val="single" w:color="000000" w:sz="2" w:space="0"/>
            </w:tcBorders>
            <w:noWrap w:val="0"/>
            <w:vAlign w:val="center"/>
          </w:tcPr>
          <w:p w14:paraId="146DD24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说明：每天保洁员用半干抹布抹办公台面、柜面、门扇、隔板及各种电器设备外表一次，保证上述区域整洁干净。工作时不弄脏、不翻阅台面上的各项文件。</w:t>
            </w:r>
          </w:p>
        </w:tc>
      </w:tr>
      <w:tr w14:paraId="62B16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jc w:val="center"/>
        </w:trPr>
        <w:tc>
          <w:tcPr>
            <w:tcW w:w="580" w:type="dxa"/>
            <w:vMerge w:val="continue"/>
            <w:tcBorders>
              <w:top w:val="single" w:color="000000" w:sz="2" w:space="0"/>
              <w:left w:val="single" w:color="000000" w:sz="2" w:space="0"/>
              <w:bottom w:val="single" w:color="000000" w:sz="2" w:space="0"/>
              <w:right w:val="single" w:color="000000" w:sz="2" w:space="0"/>
            </w:tcBorders>
            <w:noWrap w:val="0"/>
            <w:vAlign w:val="center"/>
          </w:tcPr>
          <w:p w14:paraId="13C2210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14:paraId="0C86C0B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会议室</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6F8BB80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会议前后各保洁一次</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32AD2D1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无会议</w:t>
            </w:r>
            <w:r>
              <w:rPr>
                <w:rFonts w:hint="eastAsia" w:ascii="Times New Roman" w:hAnsi="Times New Roman" w:eastAsia="宋体" w:cs="Times New Roman"/>
                <w:color w:val="auto"/>
                <w:kern w:val="2"/>
                <w:sz w:val="21"/>
                <w:szCs w:val="24"/>
                <w:lang w:val="en-US" w:eastAsia="zh-CN" w:bidi="ar-SA"/>
              </w:rPr>
              <w:t>时</w:t>
            </w:r>
            <w:r>
              <w:rPr>
                <w:rFonts w:hint="default" w:ascii="Times New Roman" w:hAnsi="Times New Roman" w:eastAsia="宋体" w:cs="Times New Roman"/>
                <w:color w:val="auto"/>
                <w:kern w:val="2"/>
                <w:sz w:val="21"/>
                <w:szCs w:val="24"/>
                <w:lang w:val="en-US" w:eastAsia="zh-CN" w:bidi="ar-SA"/>
              </w:rPr>
              <w:t>清抹、清洁－</w:t>
            </w:r>
          </w:p>
          <w:p w14:paraId="66801EF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次</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1B0735B8">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34D81447">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46B973A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无果皮、纸屑、杂物等，会议桌无积尘</w:t>
            </w:r>
          </w:p>
        </w:tc>
      </w:tr>
      <w:tr w14:paraId="55DBF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jc w:val="center"/>
        </w:trPr>
        <w:tc>
          <w:tcPr>
            <w:tcW w:w="580" w:type="dxa"/>
            <w:vMerge w:val="continue"/>
            <w:tcBorders>
              <w:top w:val="single" w:color="000000" w:sz="2" w:space="0"/>
              <w:left w:val="single" w:color="000000" w:sz="2" w:space="0"/>
              <w:bottom w:val="single" w:color="000000" w:sz="2" w:space="0"/>
              <w:right w:val="single" w:color="000000" w:sz="2" w:space="0"/>
            </w:tcBorders>
            <w:noWrap w:val="0"/>
            <w:vAlign w:val="center"/>
          </w:tcPr>
          <w:p w14:paraId="24FA682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14:paraId="04D207F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法庭、羁押室</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6DE4E42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使用前后各保洁一次</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10ED9CE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无使用</w:t>
            </w:r>
            <w:r>
              <w:rPr>
                <w:rFonts w:hint="eastAsia" w:ascii="Times New Roman" w:hAnsi="Times New Roman" w:eastAsia="宋体" w:cs="Times New Roman"/>
                <w:color w:val="auto"/>
                <w:kern w:val="2"/>
                <w:sz w:val="21"/>
                <w:szCs w:val="24"/>
                <w:lang w:val="en-US" w:eastAsia="zh-CN" w:bidi="ar-SA"/>
              </w:rPr>
              <w:t>时</w:t>
            </w:r>
            <w:r>
              <w:rPr>
                <w:rFonts w:hint="default" w:ascii="Times New Roman" w:hAnsi="Times New Roman" w:eastAsia="宋体" w:cs="Times New Roman"/>
                <w:color w:val="auto"/>
                <w:kern w:val="2"/>
                <w:sz w:val="21"/>
                <w:szCs w:val="24"/>
                <w:lang w:val="en-US" w:eastAsia="zh-CN" w:bidi="ar-SA"/>
              </w:rPr>
              <w:t>清洁一次</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6E3715F6">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1F872186">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51E49E2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无果皮、纸屑、杂物等，会议桌无积尘</w:t>
            </w:r>
          </w:p>
        </w:tc>
      </w:tr>
      <w:tr w14:paraId="236BE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jc w:val="center"/>
        </w:trPr>
        <w:tc>
          <w:tcPr>
            <w:tcW w:w="580" w:type="dxa"/>
            <w:vMerge w:val="continue"/>
            <w:tcBorders>
              <w:top w:val="single" w:color="000000" w:sz="2" w:space="0"/>
              <w:left w:val="single" w:color="000000" w:sz="2" w:space="0"/>
              <w:bottom w:val="single" w:color="000000" w:sz="2" w:space="0"/>
              <w:right w:val="single" w:color="000000" w:sz="2" w:space="0"/>
            </w:tcBorders>
            <w:noWrap w:val="0"/>
            <w:vAlign w:val="center"/>
          </w:tcPr>
          <w:p w14:paraId="41B6E80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14:paraId="226D8BD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沙发、会议桌</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4AF0284A">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168886D6">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7276124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保养打蜡一次</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17A6879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557F8D9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保持沙发洁净</w:t>
            </w:r>
          </w:p>
        </w:tc>
      </w:tr>
      <w:tr w14:paraId="5D982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jc w:val="center"/>
        </w:trPr>
        <w:tc>
          <w:tcPr>
            <w:tcW w:w="580" w:type="dxa"/>
            <w:vMerge w:val="continue"/>
            <w:tcBorders>
              <w:top w:val="single" w:color="000000" w:sz="2" w:space="0"/>
              <w:left w:val="single" w:color="000000" w:sz="2" w:space="0"/>
              <w:bottom w:val="single" w:color="000000" w:sz="2" w:space="0"/>
              <w:right w:val="single" w:color="000000" w:sz="2" w:space="0"/>
            </w:tcBorders>
            <w:noWrap w:val="0"/>
            <w:vAlign w:val="center"/>
          </w:tcPr>
          <w:p w14:paraId="1C03E87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14:paraId="2F32F16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玻璃门窗</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570D344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04AE49A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清洁一次</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16D475F5">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7932F9F5">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4D77AEC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目视无明显污迹、手印</w:t>
            </w:r>
          </w:p>
        </w:tc>
      </w:tr>
      <w:tr w14:paraId="107B5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580" w:type="dxa"/>
            <w:vMerge w:val="continue"/>
            <w:tcBorders>
              <w:top w:val="single" w:color="000000" w:sz="2" w:space="0"/>
              <w:left w:val="single" w:color="000000" w:sz="2" w:space="0"/>
              <w:bottom w:val="single" w:color="000000" w:sz="2" w:space="0"/>
              <w:right w:val="single" w:color="000000" w:sz="2" w:space="0"/>
            </w:tcBorders>
            <w:noWrap w:val="0"/>
            <w:vAlign w:val="center"/>
          </w:tcPr>
          <w:p w14:paraId="66D035C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14:paraId="1B6C260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各种设施</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3F5B175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5E9072E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清洁一次</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481C8F8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1270E3D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347D7B2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表面洁净、无灰尘、无污迹</w:t>
            </w:r>
          </w:p>
        </w:tc>
      </w:tr>
      <w:tr w14:paraId="13605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jc w:val="center"/>
        </w:trPr>
        <w:tc>
          <w:tcPr>
            <w:tcW w:w="580" w:type="dxa"/>
            <w:vMerge w:val="continue"/>
            <w:tcBorders>
              <w:top w:val="single" w:color="000000" w:sz="2" w:space="0"/>
              <w:left w:val="single" w:color="000000" w:sz="2" w:space="0"/>
              <w:bottom w:val="single" w:color="000000" w:sz="2" w:space="0"/>
              <w:right w:val="single" w:color="000000" w:sz="2" w:space="0"/>
            </w:tcBorders>
            <w:noWrap w:val="0"/>
            <w:vAlign w:val="center"/>
          </w:tcPr>
          <w:p w14:paraId="2FCFE13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14:paraId="61CDD44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室内空气</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043E5FA6">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327B4CA1">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103149FA">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7EA327B0">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31AC6BF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室内空气清新无异味</w:t>
            </w:r>
          </w:p>
        </w:tc>
      </w:tr>
      <w:tr w14:paraId="389CE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580" w:type="dxa"/>
            <w:vMerge w:val="continue"/>
            <w:tcBorders>
              <w:top w:val="single" w:color="000000" w:sz="2" w:space="0"/>
              <w:left w:val="single" w:color="000000" w:sz="2" w:space="0"/>
              <w:bottom w:val="single" w:color="000000" w:sz="2" w:space="0"/>
              <w:right w:val="single" w:color="000000" w:sz="2" w:space="0"/>
            </w:tcBorders>
            <w:noWrap w:val="0"/>
            <w:vAlign w:val="center"/>
          </w:tcPr>
          <w:p w14:paraId="14570BB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14:paraId="2C15002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地面</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760B0DF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清洁一次</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05DCC351">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3472281F">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761EE815">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67F007F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地面洁净、无污渍、无垃圾</w:t>
            </w:r>
          </w:p>
        </w:tc>
      </w:tr>
      <w:tr w14:paraId="1C57E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jc w:val="center"/>
        </w:trPr>
        <w:tc>
          <w:tcPr>
            <w:tcW w:w="580" w:type="dxa"/>
            <w:vMerge w:val="continue"/>
            <w:tcBorders>
              <w:top w:val="single" w:color="000000" w:sz="2" w:space="0"/>
              <w:left w:val="single" w:color="000000" w:sz="2" w:space="0"/>
              <w:bottom w:val="single" w:color="000000" w:sz="2" w:space="0"/>
              <w:right w:val="single" w:color="000000" w:sz="2" w:space="0"/>
            </w:tcBorders>
            <w:noWrap w:val="0"/>
            <w:vAlign w:val="center"/>
          </w:tcPr>
          <w:p w14:paraId="35A2B3A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14:paraId="75B240D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玻璃、镜面</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3E16118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清洁一次</w:t>
            </w:r>
            <w:r>
              <w:rPr>
                <w:rFonts w:hint="eastAsia" w:ascii="Times New Roman" w:hAnsi="Times New Roman" w:eastAsia="宋体" w:cs="Times New Roman"/>
                <w:color w:val="auto"/>
                <w:kern w:val="2"/>
                <w:sz w:val="21"/>
                <w:szCs w:val="24"/>
                <w:lang w:val="en-US" w:eastAsia="zh-CN" w:bidi="ar-SA"/>
              </w:rPr>
              <w:t>，必要时</w:t>
            </w:r>
            <w:r>
              <w:rPr>
                <w:rFonts w:hint="default" w:ascii="Times New Roman" w:hAnsi="Times New Roman" w:eastAsia="宋体" w:cs="Times New Roman"/>
                <w:color w:val="auto"/>
                <w:kern w:val="2"/>
                <w:sz w:val="21"/>
                <w:szCs w:val="24"/>
                <w:lang w:val="en-US" w:eastAsia="zh-CN" w:bidi="ar-SA"/>
              </w:rPr>
              <w:t>用玻璃清洁剂清刮</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528CF6D0">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250B90C8">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175C4F96">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532F225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镜面明亮、无手印、水迹</w:t>
            </w:r>
          </w:p>
        </w:tc>
      </w:tr>
      <w:tr w14:paraId="192F7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jc w:val="center"/>
        </w:trPr>
        <w:tc>
          <w:tcPr>
            <w:tcW w:w="580" w:type="dxa"/>
            <w:vMerge w:val="continue"/>
            <w:tcBorders>
              <w:top w:val="single" w:color="000000" w:sz="2" w:space="0"/>
              <w:left w:val="single" w:color="000000" w:sz="2" w:space="0"/>
              <w:bottom w:val="single" w:color="000000" w:sz="2" w:space="0"/>
              <w:right w:val="single" w:color="000000" w:sz="2" w:space="0"/>
            </w:tcBorders>
            <w:noWrap w:val="0"/>
            <w:vAlign w:val="center"/>
          </w:tcPr>
          <w:p w14:paraId="398FFB8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14:paraId="17043A8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灯具摆设品</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619C97C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519DE36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清洁一次</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6755FE92">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46869798">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0706B7A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用纸巾擦拭无明显灰尘、污迹</w:t>
            </w:r>
          </w:p>
        </w:tc>
      </w:tr>
      <w:tr w14:paraId="7EC1D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jc w:val="center"/>
        </w:trPr>
        <w:tc>
          <w:tcPr>
            <w:tcW w:w="580" w:type="dxa"/>
            <w:vMerge w:val="restart"/>
            <w:tcBorders>
              <w:top w:val="single" w:color="000000" w:sz="2" w:space="0"/>
              <w:left w:val="single" w:color="000000" w:sz="2" w:space="0"/>
              <w:bottom w:val="single" w:color="000000" w:sz="2" w:space="0"/>
              <w:right w:val="single" w:color="000000" w:sz="2" w:space="0"/>
            </w:tcBorders>
            <w:noWrap w:val="0"/>
            <w:vAlign w:val="center"/>
          </w:tcPr>
          <w:p w14:paraId="50520BF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电梯内部分</w:t>
            </w:r>
          </w:p>
        </w:tc>
        <w:tc>
          <w:tcPr>
            <w:tcW w:w="987" w:type="dxa"/>
            <w:tcBorders>
              <w:top w:val="single" w:color="000000" w:sz="2" w:space="0"/>
              <w:left w:val="single" w:color="000000" w:sz="2" w:space="0"/>
              <w:bottom w:val="single" w:color="000000" w:sz="2" w:space="0"/>
              <w:right w:val="single" w:color="000000" w:sz="2" w:space="0"/>
            </w:tcBorders>
            <w:noWrap w:val="0"/>
            <w:vAlign w:val="center"/>
          </w:tcPr>
          <w:p w14:paraId="4E43249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电梯门按</w:t>
            </w:r>
          </w:p>
          <w:p w14:paraId="5ABB312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钮、门框</w:t>
            </w:r>
          </w:p>
          <w:p w14:paraId="44915C0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不锈钢</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421BC33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用毛巾配合不锈</w:t>
            </w:r>
          </w:p>
          <w:p w14:paraId="4C65C99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钢清洁剂随时清</w:t>
            </w:r>
          </w:p>
          <w:p w14:paraId="0B84490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抹污渍、手印</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2935462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4731DA9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每月对电梯门壁保养一次</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04D1631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42212B2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p w14:paraId="042E28C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无手印、污渍，保持不锈钢表面亮丽的金属光泽</w:t>
            </w:r>
          </w:p>
        </w:tc>
      </w:tr>
      <w:tr w14:paraId="6A4B3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jc w:val="center"/>
        </w:trPr>
        <w:tc>
          <w:tcPr>
            <w:tcW w:w="580" w:type="dxa"/>
            <w:vMerge w:val="continue"/>
            <w:tcBorders>
              <w:top w:val="single" w:color="000000" w:sz="2" w:space="0"/>
              <w:left w:val="single" w:color="000000" w:sz="2" w:space="0"/>
              <w:bottom w:val="single" w:color="000000" w:sz="2" w:space="0"/>
              <w:right w:val="single" w:color="000000" w:sz="2" w:space="0"/>
            </w:tcBorders>
            <w:noWrap w:val="0"/>
            <w:vAlign w:val="center"/>
          </w:tcPr>
          <w:p w14:paraId="2015B62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14:paraId="492D14E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电梯间灯饰、按钮</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189D604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随时清抹污渍、手印</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7DB82820">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05B4A73F">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01DF9802">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13CC827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无手印、污渍</w:t>
            </w:r>
          </w:p>
        </w:tc>
      </w:tr>
      <w:tr w14:paraId="07CC3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0" w:hRule="atLeast"/>
          <w:jc w:val="center"/>
        </w:trPr>
        <w:tc>
          <w:tcPr>
            <w:tcW w:w="580" w:type="dxa"/>
            <w:vMerge w:val="restart"/>
            <w:tcBorders>
              <w:top w:val="nil"/>
              <w:left w:val="single" w:color="000000" w:sz="2" w:space="0"/>
              <w:bottom w:val="single" w:color="auto" w:sz="4" w:space="0"/>
              <w:right w:val="single" w:color="000000" w:sz="2" w:space="0"/>
            </w:tcBorders>
            <w:noWrap w:val="0"/>
            <w:vAlign w:val="center"/>
          </w:tcPr>
          <w:p w14:paraId="0B694FE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14:paraId="3F32AE5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电梯轿箱</w:t>
            </w:r>
          </w:p>
          <w:p w14:paraId="465C568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不锈钢壁面</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0028593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干毛巾配合不锈</w:t>
            </w:r>
          </w:p>
          <w:p w14:paraId="1F9799B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钢清洁剂随时清</w:t>
            </w:r>
          </w:p>
          <w:p w14:paraId="4684390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抹污渍，手印，喷空气清新剂二次</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606F184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除渍并上不锈钢油二次</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3084CD4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轿箱顶部每月清洁</w:t>
            </w:r>
          </w:p>
          <w:p w14:paraId="1A0CF31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二次</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16F73CC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3A21D95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无手印、污渍，保持不锈钢亮丽的金属光泽</w:t>
            </w:r>
          </w:p>
        </w:tc>
      </w:tr>
      <w:tr w14:paraId="5BE7B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jc w:val="center"/>
        </w:trPr>
        <w:tc>
          <w:tcPr>
            <w:tcW w:w="580" w:type="dxa"/>
            <w:vMerge w:val="continue"/>
            <w:tcBorders>
              <w:top w:val="nil"/>
              <w:left w:val="single" w:color="000000" w:sz="2" w:space="0"/>
              <w:bottom w:val="single" w:color="auto" w:sz="4" w:space="0"/>
              <w:right w:val="single" w:color="000000" w:sz="2" w:space="0"/>
            </w:tcBorders>
            <w:noWrap w:val="0"/>
            <w:vAlign w:val="center"/>
          </w:tcPr>
          <w:p w14:paraId="5062A46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14:paraId="14A1EA4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地板</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2527B7B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地面每天清扫拖抹二次，地垫更换</w:t>
            </w:r>
          </w:p>
          <w:p w14:paraId="0084317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一次</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30400558">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1B6C9ED4">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5D3E4B96">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2C5ADF2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保持干净，无污渍、痰渍等</w:t>
            </w:r>
          </w:p>
        </w:tc>
      </w:tr>
      <w:tr w14:paraId="6EE7C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jc w:val="center"/>
        </w:trPr>
        <w:tc>
          <w:tcPr>
            <w:tcW w:w="580" w:type="dxa"/>
            <w:vMerge w:val="continue"/>
            <w:tcBorders>
              <w:top w:val="nil"/>
              <w:left w:val="single" w:color="000000" w:sz="2" w:space="0"/>
              <w:bottom w:val="single" w:color="auto" w:sz="4" w:space="0"/>
              <w:right w:val="single" w:color="000000" w:sz="2" w:space="0"/>
            </w:tcBorders>
            <w:noWrap w:val="0"/>
            <w:vAlign w:val="center"/>
          </w:tcPr>
          <w:p w14:paraId="2BF23B8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14:paraId="226C26D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电梯</w:t>
            </w:r>
            <w:r>
              <w:rPr>
                <w:rFonts w:hint="eastAsia" w:ascii="Times New Roman" w:hAnsi="Times New Roman" w:eastAsia="宋体" w:cs="Times New Roman"/>
                <w:color w:val="auto"/>
                <w:kern w:val="2"/>
                <w:sz w:val="21"/>
                <w:szCs w:val="24"/>
                <w:lang w:val="en-US" w:eastAsia="zh-CN" w:bidi="ar-SA"/>
              </w:rPr>
              <w:t>地垫</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1DDB16E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每日及时更换</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178C0C9D">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及时清理</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49AA8C0B">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3FC8E3CA">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7C53CC9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无灰尘，无泥沙，无</w:t>
            </w:r>
            <w:r>
              <w:rPr>
                <w:rFonts w:hint="default" w:ascii="Times New Roman" w:hAnsi="Times New Roman" w:eastAsia="宋体" w:cs="Times New Roman"/>
                <w:color w:val="auto"/>
                <w:kern w:val="2"/>
                <w:sz w:val="21"/>
                <w:szCs w:val="24"/>
                <w:lang w:val="en-US" w:eastAsia="zh-CN" w:bidi="ar-SA"/>
              </w:rPr>
              <w:t>污渍</w:t>
            </w:r>
          </w:p>
        </w:tc>
      </w:tr>
      <w:tr w14:paraId="03B36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jc w:val="center"/>
        </w:trPr>
        <w:tc>
          <w:tcPr>
            <w:tcW w:w="580" w:type="dxa"/>
            <w:vMerge w:val="restart"/>
            <w:tcBorders>
              <w:top w:val="single" w:color="auto" w:sz="4" w:space="0"/>
              <w:left w:val="single" w:color="auto" w:sz="4" w:space="0"/>
              <w:bottom w:val="single" w:color="auto" w:sz="4" w:space="0"/>
              <w:right w:val="single" w:color="auto" w:sz="4" w:space="0"/>
            </w:tcBorders>
            <w:noWrap w:val="0"/>
            <w:vAlign w:val="center"/>
          </w:tcPr>
          <w:p w14:paraId="00E0425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男女洗手间</w:t>
            </w:r>
          </w:p>
        </w:tc>
        <w:tc>
          <w:tcPr>
            <w:tcW w:w="987" w:type="dxa"/>
            <w:tcBorders>
              <w:top w:val="single" w:color="000000" w:sz="2" w:space="0"/>
              <w:left w:val="single" w:color="auto" w:sz="4" w:space="0"/>
              <w:bottom w:val="single" w:color="000000" w:sz="2" w:space="0"/>
              <w:right w:val="single" w:color="000000" w:sz="2" w:space="0"/>
            </w:tcBorders>
            <w:noWrap w:val="0"/>
            <w:vAlign w:val="center"/>
          </w:tcPr>
          <w:p w14:paraId="4E68B0C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瓷砖墙身</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751A449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保洁</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03AEAD4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清洗二次、除污渍</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6250D037">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4BC9522A">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6124EBB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干净、无污渍</w:t>
            </w:r>
          </w:p>
        </w:tc>
      </w:tr>
      <w:tr w14:paraId="5A496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jc w:val="center"/>
        </w:trPr>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14:paraId="2AE299D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auto" w:sz="4" w:space="0"/>
              <w:bottom w:val="single" w:color="000000" w:sz="2" w:space="0"/>
              <w:right w:val="single" w:color="000000" w:sz="2" w:space="0"/>
            </w:tcBorders>
            <w:noWrap w:val="0"/>
            <w:vAlign w:val="center"/>
          </w:tcPr>
          <w:p w14:paraId="411499D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瓷砖地面</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37CA53E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用清洁剂拖地并随时保持干净</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282A100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用洁厕灵清洗二次并拖抹干净</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714EA953">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53D99AB0">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4156B8F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无污渍、纸屑、水渍和积水</w:t>
            </w:r>
          </w:p>
        </w:tc>
      </w:tr>
      <w:tr w14:paraId="1097B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jc w:val="center"/>
        </w:trPr>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14:paraId="31A6F9C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auto" w:sz="4" w:space="0"/>
              <w:bottom w:val="single" w:color="000000" w:sz="2" w:space="0"/>
              <w:right w:val="single" w:color="000000" w:sz="2" w:space="0"/>
            </w:tcBorders>
            <w:noWrap w:val="0"/>
            <w:vAlign w:val="center"/>
          </w:tcPr>
          <w:p w14:paraId="35DCBC0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洗手间门</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3DF88C6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保洁2次</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7F614BE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用清洁剂洗抹二次</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714E205A">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5662901A">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7A87C25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无污渍</w:t>
            </w:r>
          </w:p>
        </w:tc>
      </w:tr>
      <w:tr w14:paraId="09683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7" w:hRule="atLeast"/>
          <w:jc w:val="center"/>
        </w:trPr>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14:paraId="1F5DC79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auto" w:sz="4" w:space="0"/>
              <w:bottom w:val="single" w:color="000000" w:sz="2" w:space="0"/>
              <w:right w:val="single" w:color="000000" w:sz="2" w:space="0"/>
            </w:tcBorders>
            <w:noWrap w:val="0"/>
            <w:vAlign w:val="center"/>
          </w:tcPr>
          <w:p w14:paraId="76AECDB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洗手间玻璃镜面</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1DCA004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随时清抹、保持无污渍、水渍</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1791E97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用玻璃清洁剂清刮一次</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662B9359">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58DA6935">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799739A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无水渍、污渍、手印</w:t>
            </w:r>
          </w:p>
        </w:tc>
      </w:tr>
      <w:tr w14:paraId="21D3B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jc w:val="center"/>
        </w:trPr>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14:paraId="58E102C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auto" w:sz="4" w:space="0"/>
              <w:bottom w:val="single" w:color="000000" w:sz="2" w:space="0"/>
              <w:right w:val="single" w:color="000000" w:sz="2" w:space="0"/>
            </w:tcBorders>
            <w:noWrap w:val="0"/>
            <w:vAlign w:val="center"/>
          </w:tcPr>
          <w:p w14:paraId="5CCC246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纸巾更换</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23FB46E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每天2次（甲方提供）</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338F5107">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40561EC0">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1AB50731">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4C0BC7F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保持纸巾供应</w:t>
            </w:r>
          </w:p>
        </w:tc>
      </w:tr>
      <w:tr w14:paraId="00C0CB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jc w:val="center"/>
        </w:trPr>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14:paraId="68CB99B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auto" w:sz="4" w:space="0"/>
              <w:bottom w:val="single" w:color="000000" w:sz="2" w:space="0"/>
              <w:right w:val="single" w:color="000000" w:sz="2" w:space="0"/>
            </w:tcBorders>
            <w:noWrap w:val="0"/>
            <w:vAlign w:val="center"/>
          </w:tcPr>
          <w:p w14:paraId="5121565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小便器、</w:t>
            </w:r>
            <w:r>
              <w:rPr>
                <w:rFonts w:hint="eastAsia" w:ascii="Times New Roman" w:hAnsi="Times New Roman" w:eastAsia="宋体" w:cs="Times New Roman"/>
                <w:color w:val="auto"/>
                <w:kern w:val="2"/>
                <w:sz w:val="21"/>
                <w:szCs w:val="24"/>
                <w:lang w:val="en-US" w:eastAsia="zh-CN" w:bidi="ar-SA"/>
              </w:rPr>
              <w:t>蹲</w:t>
            </w:r>
            <w:r>
              <w:rPr>
                <w:rFonts w:hint="default" w:ascii="Times New Roman" w:hAnsi="Times New Roman" w:eastAsia="宋体" w:cs="Times New Roman"/>
                <w:color w:val="auto"/>
                <w:kern w:val="2"/>
                <w:sz w:val="21"/>
                <w:szCs w:val="24"/>
                <w:lang w:val="en-US" w:eastAsia="zh-CN" w:bidi="ar-SA"/>
              </w:rPr>
              <w:t>厕、洗手盆</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412A2DF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用清洁剂清洗并</w:t>
            </w:r>
          </w:p>
          <w:p w14:paraId="7F1D8F4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放除臭香球，洗手盆清洁一次</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4EEC210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用强力除渍剂去除尿垢、黄斑等</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78FE26A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用消毒水清洁消毒二次</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0FB023C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2833C11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无臭，无垢，保持瓷器的明洁如新</w:t>
            </w:r>
          </w:p>
        </w:tc>
      </w:tr>
      <w:tr w14:paraId="6B4A4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jc w:val="center"/>
        </w:trPr>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14:paraId="21F66EA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auto" w:sz="4" w:space="0"/>
              <w:bottom w:val="single" w:color="000000" w:sz="2" w:space="0"/>
              <w:right w:val="single" w:color="000000" w:sz="2" w:space="0"/>
            </w:tcBorders>
            <w:noWrap w:val="0"/>
            <w:vAlign w:val="center"/>
          </w:tcPr>
          <w:p w14:paraId="4B5F760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洗手间隔断板</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3A3FF5F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保洁</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7C98F51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用清洁剂洗抹一次，保持干净</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44517647">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73D54BBC">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7282832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无污渍</w:t>
            </w:r>
          </w:p>
        </w:tc>
      </w:tr>
      <w:tr w14:paraId="45A2A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jc w:val="center"/>
        </w:trPr>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14:paraId="32ADA4F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auto" w:sz="4" w:space="0"/>
              <w:bottom w:val="single" w:color="000000" w:sz="2" w:space="0"/>
              <w:right w:val="single" w:color="000000" w:sz="2" w:space="0"/>
            </w:tcBorders>
            <w:noWrap w:val="0"/>
            <w:vAlign w:val="center"/>
          </w:tcPr>
          <w:p w14:paraId="61D4A7B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洗手间灯饰</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1BF5F1B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保洁</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13CAC86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4140192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用毛巾抹擦灯饰</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266EC6B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780A5BF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无蛛丝、灰尘</w:t>
            </w:r>
          </w:p>
        </w:tc>
      </w:tr>
      <w:tr w14:paraId="0017E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14:paraId="2FBC888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auto" w:sz="4" w:space="0"/>
              <w:bottom w:val="single" w:color="000000" w:sz="2" w:space="0"/>
              <w:right w:val="single" w:color="000000" w:sz="2" w:space="0"/>
            </w:tcBorders>
            <w:noWrap w:val="0"/>
            <w:vAlign w:val="center"/>
          </w:tcPr>
          <w:p w14:paraId="717EBDA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室内气味</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56330341">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66CA7BE0">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3DD77B57">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6495FCFA">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193CA2B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室内无异味、臭味</w:t>
            </w:r>
          </w:p>
        </w:tc>
      </w:tr>
      <w:tr w14:paraId="3D05B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jc w:val="center"/>
        </w:trPr>
        <w:tc>
          <w:tcPr>
            <w:tcW w:w="580" w:type="dxa"/>
            <w:tcBorders>
              <w:top w:val="single" w:color="auto" w:sz="4" w:space="0"/>
              <w:left w:val="single" w:color="000000" w:sz="2" w:space="0"/>
              <w:bottom w:val="single" w:color="000000" w:sz="2" w:space="0"/>
              <w:right w:val="single" w:color="000000" w:sz="2" w:space="0"/>
            </w:tcBorders>
            <w:noWrap w:val="0"/>
            <w:vAlign w:val="center"/>
          </w:tcPr>
          <w:p w14:paraId="6137B23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14:paraId="7D4347D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天花、墙角</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29A8A90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190D260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清洁一次</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45965E1E">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0BE4CF96">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54ED277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目视无灰尘、蜘蛛网</w:t>
            </w:r>
          </w:p>
        </w:tc>
      </w:tr>
      <w:tr w14:paraId="23B75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jc w:val="center"/>
        </w:trPr>
        <w:tc>
          <w:tcPr>
            <w:tcW w:w="580" w:type="dxa"/>
            <w:vMerge w:val="restart"/>
            <w:tcBorders>
              <w:top w:val="single" w:color="000000" w:sz="2" w:space="0"/>
              <w:left w:val="single" w:color="000000" w:sz="2" w:space="0"/>
              <w:bottom w:val="single" w:color="000000" w:sz="2" w:space="0"/>
              <w:right w:val="single" w:color="000000" w:sz="2" w:space="0"/>
            </w:tcBorders>
            <w:noWrap w:val="0"/>
            <w:vAlign w:val="center"/>
          </w:tcPr>
          <w:p w14:paraId="3E6692B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室外庭院部分</w:t>
            </w:r>
          </w:p>
        </w:tc>
        <w:tc>
          <w:tcPr>
            <w:tcW w:w="987" w:type="dxa"/>
            <w:tcBorders>
              <w:top w:val="single" w:color="000000" w:sz="2" w:space="0"/>
              <w:left w:val="single" w:color="000000" w:sz="2" w:space="0"/>
              <w:bottom w:val="single" w:color="000000" w:sz="2" w:space="0"/>
              <w:right w:val="single" w:color="000000" w:sz="2" w:space="0"/>
            </w:tcBorders>
            <w:noWrap w:val="0"/>
            <w:vAlign w:val="center"/>
          </w:tcPr>
          <w:p w14:paraId="4343859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地面</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5954BBE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清扫一次、并随时</w:t>
            </w:r>
          </w:p>
          <w:p w14:paraId="19A31C1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保持干净、清除杂</w:t>
            </w:r>
          </w:p>
          <w:p w14:paraId="5579366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物</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1FCE7CE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3F5CB94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用水清洗一次</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693B4F5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0F6ADC4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无果皮、纸屑、烟蒂、痰渍等</w:t>
            </w:r>
          </w:p>
        </w:tc>
      </w:tr>
      <w:tr w14:paraId="6BC90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jc w:val="center"/>
        </w:trPr>
        <w:tc>
          <w:tcPr>
            <w:tcW w:w="580" w:type="dxa"/>
            <w:vMerge w:val="continue"/>
            <w:tcBorders>
              <w:top w:val="single" w:color="000000" w:sz="2" w:space="0"/>
              <w:left w:val="single" w:color="000000" w:sz="2" w:space="0"/>
              <w:bottom w:val="single" w:color="000000" w:sz="2" w:space="0"/>
              <w:right w:val="single" w:color="000000" w:sz="2" w:space="0"/>
            </w:tcBorders>
            <w:noWrap w:val="0"/>
            <w:vAlign w:val="center"/>
          </w:tcPr>
          <w:p w14:paraId="42AE26D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14:paraId="433E9F3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花池、绿化带</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0B458B1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清除果皮、纸屑、烟蒂等杂物</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1EE5DEF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清洗花池一次</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20F7C783">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671396BA">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5FC4240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无杂物</w:t>
            </w:r>
          </w:p>
        </w:tc>
      </w:tr>
      <w:tr w14:paraId="15477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1" w:hRule="atLeast"/>
          <w:jc w:val="center"/>
        </w:trPr>
        <w:tc>
          <w:tcPr>
            <w:tcW w:w="580" w:type="dxa"/>
            <w:vMerge w:val="continue"/>
            <w:tcBorders>
              <w:top w:val="single" w:color="000000" w:sz="2" w:space="0"/>
              <w:left w:val="single" w:color="000000" w:sz="2" w:space="0"/>
              <w:bottom w:val="single" w:color="000000" w:sz="2" w:space="0"/>
              <w:right w:val="single" w:color="000000" w:sz="2" w:space="0"/>
            </w:tcBorders>
            <w:noWrap w:val="0"/>
            <w:vAlign w:val="center"/>
          </w:tcPr>
          <w:p w14:paraId="1DC3D8C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14:paraId="349CF0B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道路清洁</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00D52276">
            <w:pPr>
              <w:pStyle w:val="14"/>
              <w:keepNext w:val="0"/>
              <w:keepLines w:val="0"/>
              <w:widowControl w:val="0"/>
              <w:numPr>
                <w:ilvl w:val="0"/>
                <w:numId w:val="0"/>
              </w:numPr>
              <w:suppressLineNumbers w:val="0"/>
              <w:adjustRightInd w:val="0"/>
              <w:spacing w:before="0" w:beforeAutospacing="0" w:after="0" w:afterAutospacing="0"/>
              <w:ind w:right="33" w:rightChars="0"/>
              <w:jc w:val="both"/>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每天</w:t>
            </w:r>
            <w:r>
              <w:rPr>
                <w:rFonts w:hint="default" w:ascii="Times New Roman" w:hAnsi="Times New Roman" w:eastAsia="宋体" w:cs="Times New Roman"/>
                <w:color w:val="auto"/>
                <w:kern w:val="2"/>
                <w:sz w:val="21"/>
                <w:szCs w:val="24"/>
                <w:lang w:val="en-US" w:eastAsia="zh-CN" w:bidi="ar-SA"/>
              </w:rPr>
              <w:t>7：30之前完成道路、场地清扫；</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2D5D77F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4273971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421B2B2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7EEA763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持道路清洁、干净，无污泥、纸屑、果皮和树枝、落叶、垃圾等，雨水井盖板保持完好；道路路面见本色、洁净度高、目测无明显浮尘，且路面果皮、纸屑、塑膜及其他杂物滞留时间不超过1小时；路面本色呈现率≥95%；果皮、纸屑、塑膜、烟蒂及其他杂物每500M²不超过3件</w:t>
            </w:r>
          </w:p>
        </w:tc>
      </w:tr>
      <w:tr w14:paraId="36F52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580" w:type="dxa"/>
            <w:vMerge w:val="restart"/>
            <w:tcBorders>
              <w:top w:val="single" w:color="000000" w:sz="2" w:space="0"/>
              <w:left w:val="single" w:color="000000" w:sz="2" w:space="0"/>
              <w:bottom w:val="single" w:color="000000" w:sz="2" w:space="0"/>
              <w:right w:val="single" w:color="000000" w:sz="2" w:space="0"/>
            </w:tcBorders>
            <w:noWrap w:val="0"/>
            <w:vAlign w:val="center"/>
          </w:tcPr>
          <w:p w14:paraId="0BB1F1C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楼梯间部分</w:t>
            </w:r>
          </w:p>
        </w:tc>
        <w:tc>
          <w:tcPr>
            <w:tcW w:w="987" w:type="dxa"/>
            <w:tcBorders>
              <w:top w:val="single" w:color="000000" w:sz="2" w:space="0"/>
              <w:left w:val="single" w:color="000000" w:sz="2" w:space="0"/>
              <w:bottom w:val="single" w:color="000000" w:sz="2" w:space="0"/>
              <w:right w:val="single" w:color="000000" w:sz="2" w:space="0"/>
            </w:tcBorders>
            <w:noWrap w:val="0"/>
            <w:vAlign w:val="center"/>
          </w:tcPr>
          <w:p w14:paraId="30DA998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墙身</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2615C1AE">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4319F1A0">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549FF84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清扫一次并保洁</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789335E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2D00547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无蛛丝</w:t>
            </w:r>
          </w:p>
        </w:tc>
      </w:tr>
      <w:tr w14:paraId="34AFE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5" w:hRule="atLeast"/>
          <w:jc w:val="center"/>
        </w:trPr>
        <w:tc>
          <w:tcPr>
            <w:tcW w:w="580" w:type="dxa"/>
            <w:vMerge w:val="continue"/>
            <w:tcBorders>
              <w:top w:val="single" w:color="000000" w:sz="2" w:space="0"/>
              <w:left w:val="single" w:color="000000" w:sz="2" w:space="0"/>
              <w:bottom w:val="single" w:color="000000" w:sz="2" w:space="0"/>
              <w:right w:val="single" w:color="000000" w:sz="2" w:space="0"/>
            </w:tcBorders>
            <w:noWrap w:val="0"/>
            <w:vAlign w:val="center"/>
          </w:tcPr>
          <w:p w14:paraId="1BBD608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14:paraId="104C585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地面及楼梯</w:t>
            </w:r>
            <w:r>
              <w:rPr>
                <w:rFonts w:hint="eastAsia" w:ascii="Times New Roman" w:hAnsi="Times New Roman" w:eastAsia="宋体" w:cs="Times New Roman"/>
                <w:color w:val="auto"/>
                <w:kern w:val="2"/>
                <w:sz w:val="21"/>
                <w:szCs w:val="24"/>
                <w:lang w:val="en-US" w:eastAsia="zh-CN" w:bidi="ar-SA"/>
              </w:rPr>
              <w:t>阶梯</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4282742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清扫一次、保持干净</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5C1B918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用清洁剂清洗地面、</w:t>
            </w:r>
            <w:r>
              <w:rPr>
                <w:rFonts w:hint="eastAsia" w:ascii="Times New Roman" w:hAnsi="Times New Roman" w:eastAsia="宋体" w:cs="Times New Roman"/>
                <w:color w:val="auto"/>
                <w:kern w:val="2"/>
                <w:sz w:val="21"/>
                <w:szCs w:val="24"/>
                <w:lang w:val="en-US" w:eastAsia="zh-CN" w:bidi="ar-SA"/>
              </w:rPr>
              <w:t>楼梯阶梯</w:t>
            </w:r>
            <w:r>
              <w:rPr>
                <w:rFonts w:hint="default" w:ascii="Times New Roman" w:hAnsi="Times New Roman" w:eastAsia="宋体" w:cs="Times New Roman"/>
                <w:color w:val="auto"/>
                <w:kern w:val="2"/>
                <w:sz w:val="21"/>
                <w:szCs w:val="24"/>
                <w:lang w:val="en-US" w:eastAsia="zh-CN" w:bidi="ar-SA"/>
              </w:rPr>
              <w:t>保持干净</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784A9B98">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30AA0E1F">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128BDC6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无纸屑、污渍、保持干净</w:t>
            </w:r>
          </w:p>
        </w:tc>
      </w:tr>
      <w:tr w14:paraId="5FDB9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jc w:val="center"/>
        </w:trPr>
        <w:tc>
          <w:tcPr>
            <w:tcW w:w="580" w:type="dxa"/>
            <w:vMerge w:val="continue"/>
            <w:tcBorders>
              <w:top w:val="single" w:color="000000" w:sz="2" w:space="0"/>
              <w:left w:val="single" w:color="000000" w:sz="2" w:space="0"/>
              <w:bottom w:val="single" w:color="000000" w:sz="2" w:space="0"/>
              <w:right w:val="single" w:color="000000" w:sz="2" w:space="0"/>
            </w:tcBorders>
            <w:noWrap w:val="0"/>
            <w:vAlign w:val="center"/>
          </w:tcPr>
          <w:p w14:paraId="29DD6B6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14:paraId="5839771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消防栓、防火门</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2934FF1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保洁</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03F433B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用清洁剂清抹一次、保持干净</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66666666">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0F42D990">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7DB6A47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无污渍</w:t>
            </w:r>
          </w:p>
        </w:tc>
      </w:tr>
      <w:tr w14:paraId="266DA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jc w:val="center"/>
        </w:trPr>
        <w:tc>
          <w:tcPr>
            <w:tcW w:w="580" w:type="dxa"/>
            <w:vMerge w:val="restart"/>
            <w:tcBorders>
              <w:top w:val="single" w:color="000000" w:sz="2" w:space="0"/>
              <w:left w:val="single" w:color="000000" w:sz="2" w:space="0"/>
              <w:bottom w:val="single" w:color="000000" w:sz="2" w:space="0"/>
              <w:right w:val="single" w:color="000000" w:sz="2" w:space="0"/>
            </w:tcBorders>
            <w:noWrap w:val="0"/>
            <w:vAlign w:val="center"/>
          </w:tcPr>
          <w:p w14:paraId="37E6AFC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停车场部分</w:t>
            </w:r>
          </w:p>
        </w:tc>
        <w:tc>
          <w:tcPr>
            <w:tcW w:w="987" w:type="dxa"/>
            <w:tcBorders>
              <w:top w:val="single" w:color="000000" w:sz="2" w:space="0"/>
              <w:left w:val="single" w:color="000000" w:sz="2" w:space="0"/>
              <w:bottom w:val="single" w:color="000000" w:sz="2" w:space="0"/>
              <w:right w:val="single" w:color="000000" w:sz="2" w:space="0"/>
            </w:tcBorders>
            <w:noWrap w:val="0"/>
            <w:vAlign w:val="center"/>
          </w:tcPr>
          <w:p w14:paraId="30DB976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地面</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126B04E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清扫一次，随时清扫</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796398C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大清扫一次</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55D58F3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582FAEA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大清扫一次</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480E8F7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无纸屑、杂物</w:t>
            </w:r>
          </w:p>
        </w:tc>
      </w:tr>
      <w:tr w14:paraId="6573A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580" w:type="dxa"/>
            <w:vMerge w:val="continue"/>
            <w:tcBorders>
              <w:top w:val="single" w:color="000000" w:sz="2" w:space="0"/>
              <w:left w:val="single" w:color="000000" w:sz="2" w:space="0"/>
              <w:bottom w:val="single" w:color="000000" w:sz="2" w:space="0"/>
              <w:right w:val="single" w:color="000000" w:sz="2" w:space="0"/>
            </w:tcBorders>
            <w:noWrap w:val="0"/>
            <w:vAlign w:val="center"/>
          </w:tcPr>
          <w:p w14:paraId="2110BA2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14:paraId="50354B6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指示牌</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4569FC7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28E4DB9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清抹一次</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65B16A0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60AA9B5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10EBDD8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无污渍</w:t>
            </w:r>
          </w:p>
        </w:tc>
      </w:tr>
      <w:tr w14:paraId="3B2F2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jc w:val="center"/>
        </w:trPr>
        <w:tc>
          <w:tcPr>
            <w:tcW w:w="580" w:type="dxa"/>
            <w:vMerge w:val="continue"/>
            <w:tcBorders>
              <w:top w:val="single" w:color="000000" w:sz="2" w:space="0"/>
              <w:left w:val="single" w:color="000000" w:sz="2" w:space="0"/>
              <w:bottom w:val="single" w:color="000000" w:sz="2" w:space="0"/>
              <w:right w:val="single" w:color="000000" w:sz="2" w:space="0"/>
            </w:tcBorders>
            <w:noWrap w:val="0"/>
            <w:vAlign w:val="center"/>
          </w:tcPr>
          <w:p w14:paraId="32B733E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2" w:space="0"/>
              <w:left w:val="single" w:color="000000" w:sz="2" w:space="0"/>
              <w:bottom w:val="single" w:color="000000" w:sz="2" w:space="0"/>
              <w:right w:val="single" w:color="000000" w:sz="2" w:space="0"/>
            </w:tcBorders>
            <w:noWrap w:val="0"/>
            <w:vAlign w:val="center"/>
          </w:tcPr>
          <w:p w14:paraId="7CC7C92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墙身及天花</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390333DB">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1D7082AA">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4B9FA09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清扫蛛丝、灰尘</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459C427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5189F48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无蛛丝、灰尘</w:t>
            </w:r>
          </w:p>
        </w:tc>
      </w:tr>
      <w:tr w14:paraId="763B2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jc w:val="center"/>
        </w:trPr>
        <w:tc>
          <w:tcPr>
            <w:tcW w:w="1567" w:type="dxa"/>
            <w:gridSpan w:val="2"/>
            <w:tcBorders>
              <w:top w:val="single" w:color="000000" w:sz="2" w:space="0"/>
              <w:left w:val="single" w:color="000000" w:sz="2" w:space="0"/>
              <w:bottom w:val="single" w:color="000000" w:sz="2" w:space="0"/>
              <w:right w:val="single" w:color="000000" w:sz="2" w:space="0"/>
            </w:tcBorders>
            <w:noWrap w:val="0"/>
            <w:vAlign w:val="center"/>
          </w:tcPr>
          <w:p w14:paraId="02EE38B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监控房、保安室、</w:t>
            </w:r>
          </w:p>
          <w:p w14:paraId="203BB76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配电</w:t>
            </w:r>
            <w:r>
              <w:rPr>
                <w:rFonts w:hint="default" w:ascii="Times New Roman" w:hAnsi="Times New Roman" w:eastAsia="宋体" w:cs="Times New Roman"/>
                <w:color w:val="auto"/>
                <w:kern w:val="2"/>
                <w:sz w:val="21"/>
                <w:szCs w:val="24"/>
                <w:lang w:val="en-US" w:eastAsia="zh-CN" w:bidi="ar-SA"/>
              </w:rPr>
              <w:t>房、物业办公室</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64A7A74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保洁一次</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5E978D2B">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0CA93D90">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52818954">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5739127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无杂物</w:t>
            </w:r>
          </w:p>
        </w:tc>
      </w:tr>
      <w:tr w14:paraId="52975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9" w:hRule="atLeast"/>
          <w:jc w:val="center"/>
        </w:trPr>
        <w:tc>
          <w:tcPr>
            <w:tcW w:w="1567" w:type="dxa"/>
            <w:gridSpan w:val="2"/>
            <w:tcBorders>
              <w:top w:val="single" w:color="000000" w:sz="2" w:space="0"/>
              <w:left w:val="single" w:color="000000" w:sz="2" w:space="0"/>
              <w:bottom w:val="single" w:color="000000" w:sz="2" w:space="0"/>
              <w:right w:val="single" w:color="000000" w:sz="2" w:space="0"/>
            </w:tcBorders>
            <w:noWrap w:val="0"/>
            <w:vAlign w:val="center"/>
          </w:tcPr>
          <w:p w14:paraId="754BFE7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垃圾收集清理服务</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434EE98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每天早上定期收</w:t>
            </w:r>
          </w:p>
          <w:p w14:paraId="7FF002E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集各楼层、各办公</w:t>
            </w:r>
          </w:p>
          <w:p w14:paraId="41A2E27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室垃圾送达垃圾</w:t>
            </w:r>
          </w:p>
          <w:p w14:paraId="11DC602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中转处</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24D18C1A">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2" w:space="0"/>
              <w:left w:val="single" w:color="000000" w:sz="2" w:space="0"/>
              <w:bottom w:val="single" w:color="000000" w:sz="2" w:space="0"/>
              <w:right w:val="single" w:color="000000" w:sz="2" w:space="0"/>
            </w:tcBorders>
            <w:noWrap w:val="0"/>
            <w:vAlign w:val="center"/>
          </w:tcPr>
          <w:p w14:paraId="3D2FEE79">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center"/>
          </w:tcPr>
          <w:p w14:paraId="47811D2B">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2" w:space="0"/>
              <w:left w:val="single" w:color="000000" w:sz="2" w:space="0"/>
              <w:bottom w:val="single" w:color="000000" w:sz="2" w:space="0"/>
              <w:right w:val="single" w:color="000000" w:sz="2" w:space="0"/>
            </w:tcBorders>
            <w:noWrap w:val="0"/>
            <w:vAlign w:val="center"/>
          </w:tcPr>
          <w:p w14:paraId="0FEEA59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无大量垃圾存放</w:t>
            </w:r>
          </w:p>
        </w:tc>
      </w:tr>
      <w:tr w14:paraId="5557B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567" w:type="dxa"/>
            <w:gridSpan w:val="2"/>
            <w:tcBorders>
              <w:top w:val="single" w:color="000000" w:sz="2" w:space="0"/>
              <w:left w:val="single" w:color="000000" w:sz="2" w:space="0"/>
              <w:bottom w:val="single" w:color="000000" w:sz="2" w:space="0"/>
              <w:right w:val="single" w:color="000000" w:sz="2" w:space="0"/>
            </w:tcBorders>
            <w:noWrap w:val="0"/>
            <w:vAlign w:val="center"/>
          </w:tcPr>
          <w:p w14:paraId="05268F8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沟渠</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645DFB3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64462A8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清扫一次</w:t>
            </w:r>
          </w:p>
        </w:tc>
        <w:tc>
          <w:tcPr>
            <w:tcW w:w="1912" w:type="dxa"/>
            <w:gridSpan w:val="2"/>
            <w:tcBorders>
              <w:top w:val="single" w:color="000000" w:sz="2" w:space="0"/>
              <w:left w:val="single" w:color="000000" w:sz="2" w:space="0"/>
              <w:bottom w:val="single" w:color="000000" w:sz="2" w:space="0"/>
              <w:right w:val="single" w:color="000000" w:sz="2" w:space="0"/>
            </w:tcBorders>
            <w:noWrap w:val="0"/>
            <w:vAlign w:val="center"/>
          </w:tcPr>
          <w:p w14:paraId="72032606">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105" w:type="dxa"/>
            <w:tcBorders>
              <w:top w:val="single" w:color="000000" w:sz="2" w:space="0"/>
              <w:left w:val="single" w:color="000000" w:sz="2" w:space="0"/>
              <w:bottom w:val="single" w:color="000000" w:sz="2" w:space="0"/>
              <w:right w:val="single" w:color="000000" w:sz="2" w:space="0"/>
            </w:tcBorders>
            <w:noWrap w:val="0"/>
            <w:vAlign w:val="center"/>
          </w:tcPr>
          <w:p w14:paraId="7BAD8424">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3375" w:type="dxa"/>
            <w:tcBorders>
              <w:top w:val="single" w:color="000000" w:sz="2" w:space="0"/>
              <w:left w:val="single" w:color="000000" w:sz="2" w:space="0"/>
              <w:bottom w:val="single" w:color="000000" w:sz="2" w:space="0"/>
              <w:right w:val="single" w:color="000000" w:sz="2" w:space="0"/>
            </w:tcBorders>
            <w:noWrap w:val="0"/>
            <w:vAlign w:val="center"/>
          </w:tcPr>
          <w:p w14:paraId="4AA631F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沟渠畅通、无堵塞、无蚊蝇滋生</w:t>
            </w:r>
          </w:p>
        </w:tc>
      </w:tr>
      <w:tr w14:paraId="72294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1567" w:type="dxa"/>
            <w:gridSpan w:val="2"/>
            <w:tcBorders>
              <w:top w:val="single" w:color="000000" w:sz="2" w:space="0"/>
              <w:left w:val="single" w:color="000000" w:sz="2" w:space="0"/>
              <w:bottom w:val="single" w:color="000000" w:sz="2" w:space="0"/>
              <w:right w:val="single" w:color="000000" w:sz="2" w:space="0"/>
            </w:tcBorders>
            <w:noWrap w:val="0"/>
            <w:vAlign w:val="center"/>
          </w:tcPr>
          <w:p w14:paraId="3350450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污水、雨水井</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500AB2FA">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36AC919E">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912" w:type="dxa"/>
            <w:gridSpan w:val="2"/>
            <w:tcBorders>
              <w:top w:val="single" w:color="000000" w:sz="2" w:space="0"/>
              <w:left w:val="single" w:color="000000" w:sz="2" w:space="0"/>
              <w:bottom w:val="single" w:color="000000" w:sz="2" w:space="0"/>
              <w:right w:val="single" w:color="000000" w:sz="2" w:space="0"/>
            </w:tcBorders>
            <w:noWrap w:val="0"/>
            <w:vAlign w:val="center"/>
          </w:tcPr>
          <w:p w14:paraId="46C834B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定期清理</w:t>
            </w:r>
          </w:p>
        </w:tc>
        <w:tc>
          <w:tcPr>
            <w:tcW w:w="1105" w:type="dxa"/>
            <w:tcBorders>
              <w:top w:val="single" w:color="000000" w:sz="2" w:space="0"/>
              <w:left w:val="single" w:color="000000" w:sz="2" w:space="0"/>
              <w:bottom w:val="single" w:color="000000" w:sz="2" w:space="0"/>
              <w:right w:val="single" w:color="000000" w:sz="2" w:space="0"/>
            </w:tcBorders>
            <w:noWrap w:val="0"/>
            <w:vAlign w:val="center"/>
          </w:tcPr>
          <w:p w14:paraId="1F6BD52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3375" w:type="dxa"/>
            <w:tcBorders>
              <w:top w:val="single" w:color="000000" w:sz="2" w:space="0"/>
              <w:left w:val="single" w:color="000000" w:sz="2" w:space="0"/>
              <w:bottom w:val="single" w:color="000000" w:sz="2" w:space="0"/>
              <w:right w:val="single" w:color="000000" w:sz="2" w:space="0"/>
            </w:tcBorders>
            <w:noWrap w:val="0"/>
            <w:vAlign w:val="center"/>
          </w:tcPr>
          <w:p w14:paraId="4A1A767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无堵塞</w:t>
            </w:r>
          </w:p>
        </w:tc>
      </w:tr>
      <w:tr w14:paraId="09AF4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jc w:val="center"/>
        </w:trPr>
        <w:tc>
          <w:tcPr>
            <w:tcW w:w="1567" w:type="dxa"/>
            <w:gridSpan w:val="2"/>
            <w:tcBorders>
              <w:top w:val="single" w:color="000000" w:sz="2" w:space="0"/>
              <w:left w:val="single" w:color="000000" w:sz="2" w:space="0"/>
              <w:bottom w:val="single" w:color="000000" w:sz="2" w:space="0"/>
              <w:right w:val="single" w:color="000000" w:sz="2" w:space="0"/>
            </w:tcBorders>
            <w:noWrap w:val="0"/>
            <w:vAlign w:val="center"/>
          </w:tcPr>
          <w:p w14:paraId="048B4CC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化粪池</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0C8C7EC7">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13F2D274">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912" w:type="dxa"/>
            <w:gridSpan w:val="2"/>
            <w:tcBorders>
              <w:top w:val="single" w:color="000000" w:sz="2" w:space="0"/>
              <w:left w:val="single" w:color="000000" w:sz="2" w:space="0"/>
              <w:bottom w:val="single" w:color="000000" w:sz="2" w:space="0"/>
              <w:right w:val="single" w:color="000000" w:sz="2" w:space="0"/>
            </w:tcBorders>
            <w:noWrap w:val="0"/>
            <w:vAlign w:val="center"/>
          </w:tcPr>
          <w:p w14:paraId="4CD0F01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计划性、定期清理</w:t>
            </w:r>
          </w:p>
        </w:tc>
        <w:tc>
          <w:tcPr>
            <w:tcW w:w="1105" w:type="dxa"/>
            <w:tcBorders>
              <w:top w:val="single" w:color="000000" w:sz="2" w:space="0"/>
              <w:left w:val="single" w:color="000000" w:sz="2" w:space="0"/>
              <w:bottom w:val="single" w:color="000000" w:sz="2" w:space="0"/>
              <w:right w:val="single" w:color="000000" w:sz="2" w:space="0"/>
            </w:tcBorders>
            <w:noWrap w:val="0"/>
            <w:vAlign w:val="center"/>
          </w:tcPr>
          <w:p w14:paraId="0B86AAE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3375" w:type="dxa"/>
            <w:tcBorders>
              <w:top w:val="single" w:color="000000" w:sz="2" w:space="0"/>
              <w:left w:val="single" w:color="000000" w:sz="2" w:space="0"/>
              <w:bottom w:val="single" w:color="000000" w:sz="2" w:space="0"/>
              <w:right w:val="single" w:color="000000" w:sz="2" w:space="0"/>
            </w:tcBorders>
            <w:noWrap w:val="0"/>
            <w:vAlign w:val="center"/>
          </w:tcPr>
          <w:p w14:paraId="6F481F4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及时疏通，保证管道畅通</w:t>
            </w:r>
          </w:p>
        </w:tc>
      </w:tr>
      <w:tr w14:paraId="15CC3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jc w:val="center"/>
        </w:trPr>
        <w:tc>
          <w:tcPr>
            <w:tcW w:w="1567" w:type="dxa"/>
            <w:gridSpan w:val="2"/>
            <w:tcBorders>
              <w:top w:val="single" w:color="000000" w:sz="2" w:space="0"/>
              <w:left w:val="single" w:color="000000" w:sz="2" w:space="0"/>
              <w:bottom w:val="single" w:color="000000" w:sz="2" w:space="0"/>
              <w:right w:val="single" w:color="000000" w:sz="2" w:space="0"/>
            </w:tcBorders>
            <w:noWrap w:val="0"/>
            <w:vAlign w:val="center"/>
          </w:tcPr>
          <w:p w14:paraId="7B104A3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蓄水池</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7578F67B">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2F681CBD">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912" w:type="dxa"/>
            <w:gridSpan w:val="2"/>
            <w:tcBorders>
              <w:top w:val="single" w:color="000000" w:sz="2" w:space="0"/>
              <w:left w:val="single" w:color="000000" w:sz="2" w:space="0"/>
              <w:bottom w:val="single" w:color="000000" w:sz="2" w:space="0"/>
              <w:right w:val="single" w:color="000000" w:sz="2" w:space="0"/>
            </w:tcBorders>
            <w:noWrap w:val="0"/>
            <w:vAlign w:val="center"/>
          </w:tcPr>
          <w:p w14:paraId="3D137D6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105" w:type="dxa"/>
            <w:tcBorders>
              <w:top w:val="single" w:color="000000" w:sz="2" w:space="0"/>
              <w:left w:val="single" w:color="000000" w:sz="2" w:space="0"/>
              <w:bottom w:val="single" w:color="000000" w:sz="2" w:space="0"/>
              <w:right w:val="single" w:color="000000" w:sz="2" w:space="0"/>
            </w:tcBorders>
            <w:noWrap w:val="0"/>
            <w:vAlign w:val="center"/>
          </w:tcPr>
          <w:p w14:paraId="6B8117D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定期清理</w:t>
            </w:r>
          </w:p>
        </w:tc>
        <w:tc>
          <w:tcPr>
            <w:tcW w:w="3375" w:type="dxa"/>
            <w:tcBorders>
              <w:top w:val="single" w:color="000000" w:sz="2" w:space="0"/>
              <w:left w:val="single" w:color="000000" w:sz="2" w:space="0"/>
              <w:bottom w:val="single" w:color="000000" w:sz="2" w:space="0"/>
              <w:right w:val="single" w:color="000000" w:sz="2" w:space="0"/>
            </w:tcBorders>
            <w:noWrap w:val="0"/>
            <w:vAlign w:val="center"/>
          </w:tcPr>
          <w:p w14:paraId="47402C1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无浑浊水体、无异味、无藻类等肉眼可见物</w:t>
            </w:r>
          </w:p>
        </w:tc>
      </w:tr>
      <w:tr w14:paraId="15471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567" w:type="dxa"/>
            <w:gridSpan w:val="2"/>
            <w:tcBorders>
              <w:top w:val="single" w:color="000000" w:sz="2" w:space="0"/>
              <w:left w:val="single" w:color="000000" w:sz="2" w:space="0"/>
              <w:bottom w:val="single" w:color="000000" w:sz="2" w:space="0"/>
              <w:right w:val="single" w:color="000000" w:sz="2" w:space="0"/>
            </w:tcBorders>
            <w:noWrap w:val="0"/>
            <w:vAlign w:val="center"/>
          </w:tcPr>
          <w:p w14:paraId="1394550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空置房间</w:t>
            </w:r>
          </w:p>
        </w:tc>
        <w:tc>
          <w:tcPr>
            <w:tcW w:w="1700" w:type="dxa"/>
            <w:tcBorders>
              <w:top w:val="single" w:color="000000" w:sz="2" w:space="0"/>
              <w:left w:val="single" w:color="000000" w:sz="2" w:space="0"/>
              <w:bottom w:val="single" w:color="000000" w:sz="2" w:space="0"/>
              <w:right w:val="single" w:color="000000" w:sz="2" w:space="0"/>
            </w:tcBorders>
            <w:noWrap w:val="0"/>
            <w:vAlign w:val="center"/>
          </w:tcPr>
          <w:p w14:paraId="7CEFBC23">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213" w:type="dxa"/>
            <w:tcBorders>
              <w:top w:val="single" w:color="000000" w:sz="2" w:space="0"/>
              <w:left w:val="single" w:color="000000" w:sz="2" w:space="0"/>
              <w:bottom w:val="single" w:color="000000" w:sz="2" w:space="0"/>
              <w:right w:val="single" w:color="000000" w:sz="2" w:space="0"/>
            </w:tcBorders>
            <w:noWrap w:val="0"/>
            <w:vAlign w:val="center"/>
          </w:tcPr>
          <w:p w14:paraId="5D2C621E">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912" w:type="dxa"/>
            <w:gridSpan w:val="2"/>
            <w:tcBorders>
              <w:top w:val="single" w:color="000000" w:sz="2" w:space="0"/>
              <w:left w:val="single" w:color="000000" w:sz="2" w:space="0"/>
              <w:bottom w:val="single" w:color="000000" w:sz="2" w:space="0"/>
              <w:right w:val="single" w:color="000000" w:sz="2" w:space="0"/>
            </w:tcBorders>
            <w:noWrap w:val="0"/>
            <w:vAlign w:val="center"/>
          </w:tcPr>
          <w:p w14:paraId="4C5FEEE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eastAsia" w:ascii="Times New Roman" w:hAnsi="Times New Roman" w:eastAsia="宋体" w:cs="Times New Roman"/>
                <w:color w:val="auto"/>
                <w:kern w:val="2"/>
                <w:sz w:val="21"/>
                <w:szCs w:val="24"/>
                <w:lang w:val="en-US" w:eastAsia="zh-CN" w:bidi="ar-SA"/>
              </w:rPr>
            </w:pPr>
          </w:p>
        </w:tc>
        <w:tc>
          <w:tcPr>
            <w:tcW w:w="1105" w:type="dxa"/>
            <w:tcBorders>
              <w:top w:val="single" w:color="000000" w:sz="2" w:space="0"/>
              <w:left w:val="single" w:color="000000" w:sz="2" w:space="0"/>
              <w:bottom w:val="single" w:color="000000" w:sz="2" w:space="0"/>
              <w:right w:val="single" w:color="000000" w:sz="2" w:space="0"/>
            </w:tcBorders>
            <w:noWrap w:val="0"/>
            <w:vAlign w:val="center"/>
          </w:tcPr>
          <w:p w14:paraId="41FBBE7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定期清理</w:t>
            </w:r>
          </w:p>
        </w:tc>
        <w:tc>
          <w:tcPr>
            <w:tcW w:w="3375" w:type="dxa"/>
            <w:tcBorders>
              <w:top w:val="single" w:color="000000" w:sz="2" w:space="0"/>
              <w:left w:val="single" w:color="000000" w:sz="2" w:space="0"/>
              <w:bottom w:val="single" w:color="000000" w:sz="2" w:space="0"/>
              <w:right w:val="single" w:color="000000" w:sz="2" w:space="0"/>
            </w:tcBorders>
            <w:noWrap w:val="0"/>
            <w:vAlign w:val="center"/>
          </w:tcPr>
          <w:p w14:paraId="420BDC1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无蛛丝</w:t>
            </w:r>
            <w:r>
              <w:rPr>
                <w:rFonts w:hint="eastAsia" w:ascii="Times New Roman" w:hAnsi="Times New Roman" w:eastAsia="宋体" w:cs="Times New Roman"/>
                <w:color w:val="auto"/>
                <w:kern w:val="2"/>
                <w:sz w:val="21"/>
                <w:szCs w:val="24"/>
                <w:lang w:val="en-US" w:eastAsia="zh-CN" w:bidi="ar-SA"/>
              </w:rPr>
              <w:t>、无</w:t>
            </w:r>
            <w:r>
              <w:rPr>
                <w:rFonts w:hint="default" w:ascii="Times New Roman" w:hAnsi="Times New Roman" w:eastAsia="宋体" w:cs="Times New Roman"/>
                <w:color w:val="auto"/>
                <w:kern w:val="2"/>
                <w:sz w:val="21"/>
                <w:szCs w:val="24"/>
                <w:lang w:val="en-US" w:eastAsia="zh-CN" w:bidi="ar-SA"/>
              </w:rPr>
              <w:t>灰尘</w:t>
            </w:r>
            <w:r>
              <w:rPr>
                <w:rFonts w:hint="eastAsia" w:ascii="Times New Roman" w:hAnsi="Times New Roman" w:eastAsia="宋体" w:cs="Times New Roman"/>
                <w:color w:val="auto"/>
                <w:kern w:val="2"/>
                <w:sz w:val="21"/>
                <w:szCs w:val="24"/>
                <w:lang w:val="en-US" w:eastAsia="zh-CN" w:bidi="ar-SA"/>
              </w:rPr>
              <w:t>、无垃圾</w:t>
            </w:r>
          </w:p>
        </w:tc>
      </w:tr>
      <w:tr w14:paraId="3A3E1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jc w:val="center"/>
        </w:trPr>
        <w:tc>
          <w:tcPr>
            <w:tcW w:w="1567" w:type="dxa"/>
            <w:gridSpan w:val="2"/>
            <w:tcBorders>
              <w:top w:val="single" w:color="000000" w:sz="2" w:space="0"/>
              <w:left w:val="single" w:color="000000" w:sz="2" w:space="0"/>
              <w:bottom w:val="single" w:color="000000" w:sz="4" w:space="0"/>
              <w:right w:val="single" w:color="000000" w:sz="2" w:space="0"/>
            </w:tcBorders>
            <w:noWrap w:val="0"/>
            <w:vAlign w:val="center"/>
          </w:tcPr>
          <w:p w14:paraId="30E009C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电梯机房</w:t>
            </w:r>
          </w:p>
        </w:tc>
        <w:tc>
          <w:tcPr>
            <w:tcW w:w="1700" w:type="dxa"/>
            <w:tcBorders>
              <w:top w:val="single" w:color="000000" w:sz="2" w:space="0"/>
              <w:left w:val="single" w:color="000000" w:sz="2" w:space="0"/>
              <w:bottom w:val="single" w:color="000000" w:sz="4" w:space="0"/>
              <w:right w:val="single" w:color="000000" w:sz="2" w:space="0"/>
            </w:tcBorders>
            <w:noWrap w:val="0"/>
            <w:vAlign w:val="center"/>
          </w:tcPr>
          <w:p w14:paraId="084EE4B0">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3" w:type="dxa"/>
            <w:tcBorders>
              <w:top w:val="single" w:color="000000" w:sz="2" w:space="0"/>
              <w:left w:val="single" w:color="000000" w:sz="2" w:space="0"/>
              <w:bottom w:val="single" w:color="000000" w:sz="4" w:space="0"/>
              <w:right w:val="single" w:color="000000" w:sz="2" w:space="0"/>
            </w:tcBorders>
            <w:noWrap w:val="0"/>
            <w:vAlign w:val="center"/>
          </w:tcPr>
          <w:p w14:paraId="4B95673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清扫一次</w:t>
            </w:r>
          </w:p>
        </w:tc>
        <w:tc>
          <w:tcPr>
            <w:tcW w:w="1912" w:type="dxa"/>
            <w:gridSpan w:val="2"/>
            <w:tcBorders>
              <w:top w:val="single" w:color="000000" w:sz="2" w:space="0"/>
              <w:left w:val="single" w:color="000000" w:sz="2" w:space="0"/>
              <w:bottom w:val="single" w:color="000000" w:sz="4" w:space="0"/>
              <w:right w:val="single" w:color="000000" w:sz="2" w:space="0"/>
            </w:tcBorders>
            <w:noWrap w:val="0"/>
            <w:vAlign w:val="center"/>
          </w:tcPr>
          <w:p w14:paraId="145F9C0C">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105" w:type="dxa"/>
            <w:tcBorders>
              <w:top w:val="single" w:color="000000" w:sz="2" w:space="0"/>
              <w:left w:val="single" w:color="000000" w:sz="2" w:space="0"/>
              <w:bottom w:val="single" w:color="000000" w:sz="4" w:space="0"/>
              <w:right w:val="single" w:color="000000" w:sz="2" w:space="0"/>
            </w:tcBorders>
            <w:noWrap w:val="0"/>
            <w:vAlign w:val="center"/>
          </w:tcPr>
          <w:p w14:paraId="1EB949B7">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3375" w:type="dxa"/>
            <w:tcBorders>
              <w:top w:val="single" w:color="000000" w:sz="2" w:space="0"/>
              <w:left w:val="single" w:color="000000" w:sz="2" w:space="0"/>
              <w:bottom w:val="single" w:color="000000" w:sz="4" w:space="0"/>
              <w:right w:val="single" w:color="000000" w:sz="2" w:space="0"/>
            </w:tcBorders>
            <w:noWrap w:val="0"/>
            <w:vAlign w:val="center"/>
          </w:tcPr>
          <w:p w14:paraId="3D25238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无杂物</w:t>
            </w:r>
          </w:p>
        </w:tc>
      </w:tr>
      <w:tr w14:paraId="2B240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80" w:type="dxa"/>
            <w:vMerge w:val="restart"/>
            <w:tcBorders>
              <w:top w:val="single" w:color="auto" w:sz="4" w:space="0"/>
              <w:left w:val="single" w:color="auto" w:sz="4" w:space="0"/>
              <w:bottom w:val="single" w:color="auto" w:sz="4" w:space="0"/>
              <w:right w:val="single" w:color="auto" w:sz="4" w:space="0"/>
            </w:tcBorders>
            <w:noWrap w:val="0"/>
            <w:vAlign w:val="center"/>
          </w:tcPr>
          <w:p w14:paraId="3C35D6D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广场、四周道、公共场地</w:t>
            </w:r>
          </w:p>
        </w:tc>
        <w:tc>
          <w:tcPr>
            <w:tcW w:w="987" w:type="dxa"/>
            <w:tcBorders>
              <w:top w:val="single" w:color="000000" w:sz="4" w:space="0"/>
              <w:left w:val="single" w:color="auto" w:sz="4" w:space="0"/>
              <w:bottom w:val="single" w:color="000000" w:sz="4" w:space="0"/>
              <w:right w:val="single" w:color="000000" w:sz="4" w:space="0"/>
            </w:tcBorders>
            <w:noWrap w:val="0"/>
            <w:vAlign w:val="center"/>
          </w:tcPr>
          <w:p w14:paraId="352E6C1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地面、道路、车场</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EBAC8F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清扫二次并保洁</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546DD7AA">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1D5D6AC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用水清洗一次</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3BE4C4D">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4" w:space="0"/>
              <w:left w:val="single" w:color="000000" w:sz="4" w:space="0"/>
              <w:bottom w:val="single" w:color="000000" w:sz="4" w:space="0"/>
              <w:right w:val="single" w:color="000000" w:sz="4" w:space="0"/>
            </w:tcBorders>
            <w:noWrap w:val="0"/>
            <w:vAlign w:val="center"/>
          </w:tcPr>
          <w:p w14:paraId="5F6D921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保持干净，无纸屑、果皮、杂物等</w:t>
            </w:r>
          </w:p>
        </w:tc>
      </w:tr>
      <w:tr w14:paraId="42F0C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jc w:val="center"/>
        </w:trPr>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14:paraId="582FD75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4" w:space="0"/>
              <w:left w:val="single" w:color="auto" w:sz="4" w:space="0"/>
              <w:bottom w:val="single" w:color="000000" w:sz="4" w:space="0"/>
              <w:right w:val="single" w:color="000000" w:sz="4" w:space="0"/>
            </w:tcBorders>
            <w:noWrap w:val="0"/>
            <w:vAlign w:val="center"/>
          </w:tcPr>
          <w:p w14:paraId="630FB51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绿化带</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4A9FAA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清除纸屑、果皮、烟蒂等</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05ED46FF">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6AE15ED2">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30D6372">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4" w:space="0"/>
              <w:left w:val="single" w:color="000000" w:sz="4" w:space="0"/>
              <w:bottom w:val="single" w:color="000000" w:sz="4" w:space="0"/>
              <w:right w:val="single" w:color="000000" w:sz="4" w:space="0"/>
            </w:tcBorders>
            <w:noWrap w:val="0"/>
            <w:vAlign w:val="center"/>
          </w:tcPr>
          <w:p w14:paraId="1F032CE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无纸屑、塑料袋等</w:t>
            </w:r>
          </w:p>
        </w:tc>
      </w:tr>
      <w:tr w14:paraId="02181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jc w:val="center"/>
        </w:trPr>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14:paraId="2A7E2CA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4" w:space="0"/>
              <w:left w:val="single" w:color="auto" w:sz="4" w:space="0"/>
              <w:bottom w:val="single" w:color="000000" w:sz="4" w:space="0"/>
              <w:right w:val="single" w:color="000000" w:sz="4" w:space="0"/>
            </w:tcBorders>
            <w:noWrap w:val="0"/>
            <w:vAlign w:val="center"/>
          </w:tcPr>
          <w:p w14:paraId="43264C4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旗杆基座</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6F0829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22FB8DB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清抹一次</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0DE455A8">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2BA9C2FE">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4" w:space="0"/>
              <w:left w:val="single" w:color="000000" w:sz="4" w:space="0"/>
              <w:bottom w:val="single" w:color="000000" w:sz="4" w:space="0"/>
              <w:right w:val="single" w:color="000000" w:sz="4" w:space="0"/>
            </w:tcBorders>
            <w:noWrap w:val="0"/>
            <w:vAlign w:val="center"/>
          </w:tcPr>
          <w:p w14:paraId="7720CAF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无灰尘、蛛丝</w:t>
            </w:r>
          </w:p>
        </w:tc>
      </w:tr>
      <w:tr w14:paraId="3E6BD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jc w:val="center"/>
        </w:trPr>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14:paraId="3755F26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4" w:space="0"/>
              <w:left w:val="single" w:color="auto" w:sz="4" w:space="0"/>
              <w:bottom w:val="single" w:color="000000" w:sz="4" w:space="0"/>
              <w:right w:val="single" w:color="000000" w:sz="4" w:space="0"/>
            </w:tcBorders>
            <w:noWrap w:val="0"/>
            <w:vAlign w:val="center"/>
          </w:tcPr>
          <w:p w14:paraId="20C0266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垃圾桶</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CA1595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清倒垃圾一次，清抹表面一次</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118F470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洗刷二次</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2DF7285D">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83524AB">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4" w:space="0"/>
              <w:left w:val="single" w:color="000000" w:sz="4" w:space="0"/>
              <w:bottom w:val="single" w:color="000000" w:sz="4" w:space="0"/>
              <w:right w:val="single" w:color="000000" w:sz="4" w:space="0"/>
            </w:tcBorders>
            <w:noWrap w:val="0"/>
            <w:vAlign w:val="center"/>
          </w:tcPr>
          <w:p w14:paraId="160641A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干净，无渍、无异味</w:t>
            </w:r>
          </w:p>
        </w:tc>
      </w:tr>
      <w:tr w14:paraId="01F1D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14:paraId="070167A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4" w:space="0"/>
              <w:left w:val="single" w:color="auto" w:sz="4" w:space="0"/>
              <w:bottom w:val="single" w:color="000000" w:sz="4" w:space="0"/>
              <w:right w:val="single" w:color="000000" w:sz="4" w:space="0"/>
            </w:tcBorders>
            <w:noWrap w:val="0"/>
            <w:vAlign w:val="center"/>
          </w:tcPr>
          <w:p w14:paraId="797BE2B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路灯、园林灯等</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74AF46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6403B7C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清抹一次</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667AC13C">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2E36195">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4" w:space="0"/>
              <w:left w:val="single" w:color="000000" w:sz="4" w:space="0"/>
              <w:bottom w:val="single" w:color="000000" w:sz="4" w:space="0"/>
              <w:right w:val="single" w:color="000000" w:sz="4" w:space="0"/>
            </w:tcBorders>
            <w:noWrap w:val="0"/>
            <w:vAlign w:val="center"/>
          </w:tcPr>
          <w:p w14:paraId="286C79F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无灰尘、蛛丝</w:t>
            </w:r>
          </w:p>
        </w:tc>
      </w:tr>
      <w:tr w14:paraId="441AB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jc w:val="center"/>
        </w:trPr>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14:paraId="7889AA2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4" w:space="0"/>
              <w:left w:val="single" w:color="auto" w:sz="4" w:space="0"/>
              <w:bottom w:val="single" w:color="000000" w:sz="4" w:space="0"/>
              <w:right w:val="single" w:color="000000" w:sz="4" w:space="0"/>
            </w:tcBorders>
            <w:noWrap w:val="0"/>
            <w:vAlign w:val="center"/>
          </w:tcPr>
          <w:p w14:paraId="7DADE3F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标识牌</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6AFA2A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保洁</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170F7F5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清抹一次</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74BED9B6">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3B55428">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4" w:space="0"/>
              <w:left w:val="single" w:color="000000" w:sz="4" w:space="0"/>
              <w:bottom w:val="single" w:color="000000" w:sz="4" w:space="0"/>
              <w:right w:val="single" w:color="000000" w:sz="4" w:space="0"/>
            </w:tcBorders>
            <w:noWrap w:val="0"/>
            <w:vAlign w:val="center"/>
          </w:tcPr>
          <w:p w14:paraId="74D8089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无灰尘、蛛丝</w:t>
            </w:r>
          </w:p>
        </w:tc>
      </w:tr>
      <w:tr w14:paraId="75096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14:paraId="522A9F8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987" w:type="dxa"/>
            <w:tcBorders>
              <w:top w:val="single" w:color="000000" w:sz="4" w:space="0"/>
              <w:left w:val="single" w:color="auto" w:sz="4" w:space="0"/>
              <w:bottom w:val="single" w:color="000000" w:sz="4" w:space="0"/>
              <w:right w:val="single" w:color="000000" w:sz="4" w:space="0"/>
            </w:tcBorders>
            <w:noWrap w:val="0"/>
            <w:vAlign w:val="center"/>
          </w:tcPr>
          <w:p w14:paraId="4F8FE18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花池、花槽</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D64A87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清除果皮、纸屑、烟蒂等杂物</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783C721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清洗花池、花槽外边一次</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42567FE0">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5850B208">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4" w:space="0"/>
              <w:left w:val="single" w:color="000000" w:sz="4" w:space="0"/>
              <w:bottom w:val="single" w:color="000000" w:sz="4" w:space="0"/>
              <w:right w:val="single" w:color="000000" w:sz="4" w:space="0"/>
            </w:tcBorders>
            <w:noWrap w:val="0"/>
            <w:vAlign w:val="center"/>
          </w:tcPr>
          <w:p w14:paraId="04BC761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无杂物</w:t>
            </w:r>
          </w:p>
        </w:tc>
      </w:tr>
      <w:tr w14:paraId="6A15C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jc w:val="center"/>
        </w:trPr>
        <w:tc>
          <w:tcPr>
            <w:tcW w:w="1567" w:type="dxa"/>
            <w:gridSpan w:val="2"/>
            <w:tcBorders>
              <w:top w:val="single" w:color="000000" w:sz="4" w:space="0"/>
              <w:left w:val="single" w:color="000000" w:sz="4" w:space="0"/>
              <w:bottom w:val="single" w:color="000000" w:sz="4" w:space="0"/>
              <w:right w:val="single" w:color="000000" w:sz="4" w:space="0"/>
            </w:tcBorders>
            <w:noWrap w:val="0"/>
            <w:vAlign w:val="center"/>
          </w:tcPr>
          <w:p w14:paraId="2C0D11E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天面、平台</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2F1F51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4EAB297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清扫二次</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24C42C4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55F55B86">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c>
          <w:tcPr>
            <w:tcW w:w="4480" w:type="dxa"/>
            <w:gridSpan w:val="2"/>
            <w:tcBorders>
              <w:top w:val="single" w:color="000000" w:sz="4" w:space="0"/>
              <w:left w:val="single" w:color="000000" w:sz="4" w:space="0"/>
              <w:bottom w:val="single" w:color="000000" w:sz="4" w:space="0"/>
              <w:right w:val="single" w:color="000000" w:sz="4" w:space="0"/>
            </w:tcBorders>
            <w:noWrap w:val="0"/>
            <w:vAlign w:val="center"/>
          </w:tcPr>
          <w:p w14:paraId="57D92209">
            <w:pPr>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w:t>
            </w:r>
          </w:p>
        </w:tc>
      </w:tr>
      <w:tr w14:paraId="3E519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1567" w:type="dxa"/>
            <w:gridSpan w:val="2"/>
            <w:tcBorders>
              <w:top w:val="single" w:color="000000" w:sz="4" w:space="0"/>
              <w:left w:val="single" w:color="000000" w:sz="4" w:space="0"/>
              <w:bottom w:val="single" w:color="000000" w:sz="4" w:space="0"/>
              <w:right w:val="single" w:color="000000" w:sz="4" w:space="0"/>
            </w:tcBorders>
            <w:noWrap w:val="0"/>
            <w:vAlign w:val="center"/>
          </w:tcPr>
          <w:p w14:paraId="6D20524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外墙、玻璃幕墙、玻璃屋顶</w:t>
            </w:r>
          </w:p>
        </w:tc>
        <w:tc>
          <w:tcPr>
            <w:tcW w:w="9305" w:type="dxa"/>
            <w:gridSpan w:val="6"/>
            <w:tcBorders>
              <w:top w:val="single" w:color="000000" w:sz="4" w:space="0"/>
              <w:left w:val="single" w:color="000000" w:sz="4" w:space="0"/>
              <w:bottom w:val="single" w:color="000000" w:sz="4" w:space="0"/>
              <w:right w:val="single" w:color="000000" w:sz="4" w:space="0"/>
            </w:tcBorders>
            <w:noWrap w:val="0"/>
            <w:vAlign w:val="center"/>
          </w:tcPr>
          <w:p w14:paraId="61A526E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每年全面清洗一次</w:t>
            </w:r>
          </w:p>
        </w:tc>
      </w:tr>
      <w:tr w14:paraId="05B67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1567" w:type="dxa"/>
            <w:gridSpan w:val="2"/>
            <w:tcBorders>
              <w:top w:val="single" w:color="000000" w:sz="4" w:space="0"/>
              <w:left w:val="single" w:color="000000" w:sz="4" w:space="0"/>
              <w:bottom w:val="single" w:color="000000" w:sz="4" w:space="0"/>
              <w:right w:val="single" w:color="000000" w:sz="4" w:space="0"/>
            </w:tcBorders>
            <w:noWrap w:val="0"/>
            <w:vAlign w:val="center"/>
          </w:tcPr>
          <w:p w14:paraId="7CB0347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不定期项目</w:t>
            </w:r>
          </w:p>
        </w:tc>
        <w:tc>
          <w:tcPr>
            <w:tcW w:w="9305" w:type="dxa"/>
            <w:gridSpan w:val="6"/>
            <w:tcBorders>
              <w:top w:val="single" w:color="000000" w:sz="4" w:space="0"/>
              <w:left w:val="single" w:color="000000" w:sz="4" w:space="0"/>
              <w:bottom w:val="single" w:color="000000" w:sz="4" w:space="0"/>
              <w:right w:val="single" w:color="000000" w:sz="4" w:space="0"/>
            </w:tcBorders>
            <w:noWrap w:val="0"/>
            <w:vAlign w:val="center"/>
          </w:tcPr>
          <w:p w14:paraId="3F25A5C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清扫积水、清理乱堆放物品、</w:t>
            </w:r>
            <w:r>
              <w:rPr>
                <w:rFonts w:hint="eastAsia" w:ascii="Times New Roman" w:hAnsi="Times New Roman" w:eastAsia="宋体" w:cs="Times New Roman"/>
                <w:color w:val="auto"/>
                <w:kern w:val="2"/>
                <w:sz w:val="21"/>
                <w:szCs w:val="24"/>
                <w:lang w:val="en-US" w:eastAsia="zh-CN" w:bidi="ar-SA"/>
              </w:rPr>
              <w:t>清理单位周边小广告</w:t>
            </w:r>
            <w:r>
              <w:rPr>
                <w:rFonts w:hint="default" w:ascii="Times New Roman" w:hAnsi="Times New Roman" w:eastAsia="宋体" w:cs="Times New Roman"/>
                <w:color w:val="auto"/>
                <w:kern w:val="2"/>
                <w:sz w:val="21"/>
                <w:szCs w:val="24"/>
                <w:lang w:val="en-US" w:eastAsia="zh-CN" w:bidi="ar-SA"/>
              </w:rPr>
              <w:t>，清运装修垃圾。</w:t>
            </w:r>
          </w:p>
        </w:tc>
      </w:tr>
      <w:tr w14:paraId="2AEE8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jc w:val="center"/>
        </w:trPr>
        <w:tc>
          <w:tcPr>
            <w:tcW w:w="10872" w:type="dxa"/>
            <w:gridSpan w:val="8"/>
            <w:tcBorders>
              <w:top w:val="single" w:color="000000" w:sz="4" w:space="0"/>
              <w:left w:val="single" w:color="000000" w:sz="4" w:space="0"/>
              <w:bottom w:val="single" w:color="000000" w:sz="4" w:space="0"/>
              <w:right w:val="single" w:color="000000" w:sz="4" w:space="0"/>
            </w:tcBorders>
            <w:noWrap w:val="0"/>
            <w:vAlign w:val="top"/>
          </w:tcPr>
          <w:p w14:paraId="3D7E36FE">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备注：</w:t>
            </w:r>
          </w:p>
          <w:p w14:paraId="689B27B5">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1.办公区拖地必须保持干爽。刚擦过地、地面积水或天气返潮时，放置警示牌，以防人员滑倒；</w:t>
            </w:r>
          </w:p>
          <w:p w14:paraId="6E06C6E4">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2.保洁工具使用完毕整齐存放在不显眼的位置或存放在工具房（箱）内</w:t>
            </w:r>
            <w:r>
              <w:rPr>
                <w:rFonts w:hint="eastAsia" w:ascii="Times New Roman" w:hAnsi="Times New Roman" w:eastAsia="宋体" w:cs="Times New Roman"/>
                <w:color w:val="auto"/>
                <w:kern w:val="2"/>
                <w:sz w:val="21"/>
                <w:szCs w:val="24"/>
                <w:lang w:val="en-US" w:eastAsia="zh-CN" w:bidi="ar-SA"/>
              </w:rPr>
              <w:t>；</w:t>
            </w:r>
          </w:p>
          <w:p w14:paraId="478F5167">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3.保洁拖把及抹布根据不同的使用场所和用途以颜色或标识区分</w:t>
            </w:r>
            <w:r>
              <w:rPr>
                <w:rFonts w:hint="eastAsia" w:ascii="Times New Roman" w:hAnsi="Times New Roman" w:eastAsia="宋体" w:cs="Times New Roman"/>
                <w:color w:val="auto"/>
                <w:kern w:val="2"/>
                <w:sz w:val="21"/>
                <w:szCs w:val="24"/>
                <w:lang w:val="en-US" w:eastAsia="zh-CN" w:bidi="ar-SA"/>
              </w:rPr>
              <w:t>；</w:t>
            </w:r>
          </w:p>
          <w:p w14:paraId="35B7280F">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4.废品回收不随处乱放</w:t>
            </w:r>
            <w:r>
              <w:rPr>
                <w:rFonts w:hint="eastAsia" w:ascii="Times New Roman" w:hAnsi="Times New Roman" w:eastAsia="宋体"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占用楼道或楼梯间</w:t>
            </w:r>
            <w:r>
              <w:rPr>
                <w:rFonts w:hint="eastAsia" w:ascii="Times New Roman" w:hAnsi="Times New Roman" w:eastAsia="宋体"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造成安全隐患</w:t>
            </w:r>
            <w:r>
              <w:rPr>
                <w:rFonts w:hint="eastAsia" w:ascii="Times New Roman" w:hAnsi="Times New Roman" w:eastAsia="宋体" w:cs="Times New Roman"/>
                <w:color w:val="auto"/>
                <w:kern w:val="2"/>
                <w:sz w:val="21"/>
                <w:szCs w:val="24"/>
                <w:lang w:val="en-US" w:eastAsia="zh-CN" w:bidi="ar-SA"/>
              </w:rPr>
              <w:t>；</w:t>
            </w:r>
          </w:p>
          <w:p w14:paraId="5BBFAC80">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5.如遇重要接待或重大活动按特定保洁要求执行</w:t>
            </w:r>
            <w:r>
              <w:rPr>
                <w:rFonts w:hint="eastAsia" w:ascii="Times New Roman" w:hAnsi="Times New Roman" w:eastAsia="宋体" w:cs="Times New Roman"/>
                <w:color w:val="auto"/>
                <w:kern w:val="2"/>
                <w:sz w:val="21"/>
                <w:szCs w:val="24"/>
                <w:lang w:val="en-US" w:eastAsia="zh-CN" w:bidi="ar-SA"/>
              </w:rPr>
              <w:t>；</w:t>
            </w:r>
          </w:p>
          <w:p w14:paraId="13F45A87">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6.文件销毁及碎纸工作严格按照厂区碎纸间管理规定执行</w:t>
            </w:r>
            <w:r>
              <w:rPr>
                <w:rFonts w:hint="eastAsia" w:ascii="Times New Roman" w:hAnsi="Times New Roman" w:eastAsia="宋体" w:cs="Times New Roman"/>
                <w:color w:val="auto"/>
                <w:kern w:val="2"/>
                <w:sz w:val="21"/>
                <w:szCs w:val="24"/>
                <w:lang w:val="en-US" w:eastAsia="zh-CN" w:bidi="ar-SA"/>
              </w:rPr>
              <w:t>；</w:t>
            </w:r>
          </w:p>
          <w:p w14:paraId="28D8AE1F">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7.公共环境清洁包括服务范围内的广场、停车场、边坡、水沟等区域的清洁。</w:t>
            </w:r>
          </w:p>
        </w:tc>
      </w:tr>
    </w:tbl>
    <w:p w14:paraId="3A226D75">
      <w:pPr>
        <w:pStyle w:val="14"/>
        <w:widowControl w:val="0"/>
        <w:numPr>
          <w:ilvl w:val="0"/>
          <w:numId w:val="0"/>
        </w:numPr>
        <w:adjustRightInd w:val="0"/>
        <w:ind w:right="33" w:rightChars="0" w:firstLine="640" w:firstLineChars="200"/>
        <w:jc w:val="left"/>
        <w:textAlignment w:val="baseline"/>
        <w:rPr>
          <w:rFonts w:hint="default" w:ascii="Times New Roman" w:hAnsi="Times New Roman" w:eastAsia="宋体" w:cs="Times New Roman"/>
          <w:color w:val="auto"/>
          <w:kern w:val="2"/>
          <w:sz w:val="32"/>
          <w:szCs w:val="32"/>
          <w:lang w:val="en-US" w:eastAsia="zh-CN" w:bidi="ar-SA"/>
        </w:rPr>
      </w:pPr>
      <w:r>
        <w:rPr>
          <w:rFonts w:hint="default" w:ascii="Times New Roman" w:hAnsi="Times New Roman" w:eastAsia="宋体" w:cs="Times New Roman"/>
          <w:color w:val="auto"/>
          <w:kern w:val="2"/>
          <w:sz w:val="32"/>
          <w:szCs w:val="32"/>
          <w:lang w:val="en-US" w:eastAsia="zh-CN" w:bidi="ar-SA"/>
        </w:rPr>
        <w:t>（四）会务服务</w:t>
      </w:r>
      <w:r>
        <w:rPr>
          <w:rFonts w:hint="eastAsia" w:ascii="Times New Roman" w:hAnsi="Times New Roman" w:eastAsia="宋体" w:cs="Times New Roman"/>
          <w:color w:val="auto"/>
          <w:kern w:val="2"/>
          <w:sz w:val="32"/>
          <w:szCs w:val="32"/>
          <w:lang w:val="en-US" w:eastAsia="zh-CN" w:bidi="ar-SA"/>
        </w:rPr>
        <w:t>内容及标准</w:t>
      </w:r>
    </w:p>
    <w:tbl>
      <w:tblPr>
        <w:tblStyle w:val="25"/>
        <w:tblW w:w="108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1"/>
        <w:gridCol w:w="1560"/>
        <w:gridCol w:w="8182"/>
      </w:tblGrid>
      <w:tr w14:paraId="618DE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7" w:hRule="atLeast"/>
          <w:jc w:val="center"/>
        </w:trPr>
        <w:tc>
          <w:tcPr>
            <w:tcW w:w="1131" w:type="dxa"/>
            <w:tcBorders>
              <w:top w:val="single" w:color="auto" w:sz="4" w:space="0"/>
              <w:left w:val="single" w:color="auto" w:sz="4" w:space="0"/>
              <w:bottom w:val="single" w:color="auto" w:sz="4" w:space="0"/>
              <w:right w:val="single" w:color="auto" w:sz="4" w:space="0"/>
            </w:tcBorders>
            <w:noWrap w:val="0"/>
            <w:vAlign w:val="center"/>
          </w:tcPr>
          <w:p w14:paraId="466300D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服务项目</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71889D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内容</w:t>
            </w:r>
          </w:p>
        </w:tc>
        <w:tc>
          <w:tcPr>
            <w:tcW w:w="8182" w:type="dxa"/>
            <w:tcBorders>
              <w:top w:val="single" w:color="000000" w:sz="6" w:space="0"/>
              <w:left w:val="single" w:color="auto" w:sz="4" w:space="0"/>
              <w:bottom w:val="single" w:color="000000" w:sz="6" w:space="0"/>
              <w:right w:val="single" w:color="000000" w:sz="6" w:space="0"/>
            </w:tcBorders>
            <w:noWrap w:val="0"/>
            <w:vAlign w:val="center"/>
          </w:tcPr>
          <w:p w14:paraId="4D1A95E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服务标准</w:t>
            </w:r>
          </w:p>
        </w:tc>
      </w:tr>
      <w:tr w14:paraId="53A29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restart"/>
            <w:tcBorders>
              <w:top w:val="single" w:color="auto" w:sz="4" w:space="0"/>
              <w:left w:val="single" w:color="000000" w:sz="6" w:space="0"/>
              <w:bottom w:val="single" w:color="000000" w:sz="6" w:space="0"/>
              <w:right w:val="single" w:color="000000" w:sz="6" w:space="0"/>
            </w:tcBorders>
            <w:noWrap w:val="0"/>
            <w:vAlign w:val="center"/>
          </w:tcPr>
          <w:p w14:paraId="3BEED14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人员要求</w:t>
            </w:r>
          </w:p>
        </w:tc>
        <w:tc>
          <w:tcPr>
            <w:tcW w:w="1560" w:type="dxa"/>
            <w:tcBorders>
              <w:top w:val="single" w:color="auto" w:sz="4" w:space="0"/>
              <w:left w:val="single" w:color="000000" w:sz="6" w:space="0"/>
              <w:bottom w:val="single" w:color="000000" w:sz="6" w:space="0"/>
              <w:right w:val="single" w:color="000000" w:sz="6" w:space="0"/>
            </w:tcBorders>
            <w:noWrap w:val="0"/>
            <w:vAlign w:val="center"/>
          </w:tcPr>
          <w:p w14:paraId="706DE22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人员要求</w:t>
            </w:r>
          </w:p>
        </w:tc>
        <w:tc>
          <w:tcPr>
            <w:tcW w:w="8182" w:type="dxa"/>
            <w:tcBorders>
              <w:top w:val="single" w:color="000000" w:sz="6" w:space="0"/>
              <w:left w:val="single" w:color="000000" w:sz="6" w:space="0"/>
              <w:bottom w:val="single" w:color="000000" w:sz="6" w:space="0"/>
              <w:right w:val="single" w:color="000000" w:sz="6" w:space="0"/>
            </w:tcBorders>
            <w:noWrap w:val="0"/>
            <w:vAlign w:val="center"/>
          </w:tcPr>
          <w:p w14:paraId="63FF73D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学历：</w:t>
            </w:r>
            <w:r>
              <w:rPr>
                <w:rFonts w:hint="eastAsia" w:ascii="Times New Roman" w:hAnsi="Times New Roman" w:eastAsia="宋体" w:cs="Times New Roman"/>
                <w:color w:val="auto"/>
                <w:kern w:val="2"/>
                <w:sz w:val="21"/>
                <w:szCs w:val="24"/>
                <w:lang w:val="en-US" w:eastAsia="zh-CN" w:bidi="ar-SA"/>
              </w:rPr>
              <w:t>初中</w:t>
            </w:r>
            <w:r>
              <w:rPr>
                <w:rFonts w:hint="default" w:ascii="Times New Roman" w:hAnsi="Times New Roman" w:eastAsia="宋体" w:cs="Times New Roman"/>
                <w:color w:val="auto"/>
                <w:kern w:val="2"/>
                <w:sz w:val="21"/>
                <w:szCs w:val="24"/>
                <w:lang w:val="en-US" w:eastAsia="zh-CN" w:bidi="ar-SA"/>
              </w:rPr>
              <w:t>以上文化程度</w:t>
            </w:r>
            <w:r>
              <w:rPr>
                <w:rFonts w:hint="eastAsia" w:ascii="Times New Roman" w:hAnsi="Times New Roman" w:eastAsia="宋体" w:cs="Times New Roman"/>
                <w:color w:val="auto"/>
                <w:kern w:val="2"/>
                <w:sz w:val="21"/>
                <w:szCs w:val="24"/>
                <w:lang w:val="en-US" w:eastAsia="zh-CN" w:bidi="ar-SA"/>
              </w:rPr>
              <w:t>。</w:t>
            </w:r>
          </w:p>
        </w:tc>
      </w:tr>
      <w:tr w14:paraId="268DD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12" w:space="0"/>
              <w:left w:val="single" w:color="000000" w:sz="6" w:space="0"/>
              <w:bottom w:val="single" w:color="000000" w:sz="6" w:space="0"/>
              <w:right w:val="single" w:color="000000" w:sz="6" w:space="0"/>
            </w:tcBorders>
            <w:noWrap w:val="0"/>
            <w:vAlign w:val="center"/>
          </w:tcPr>
          <w:p w14:paraId="076F9C2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63EA23B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技能训练</w:t>
            </w:r>
          </w:p>
        </w:tc>
        <w:tc>
          <w:tcPr>
            <w:tcW w:w="8182" w:type="dxa"/>
            <w:tcBorders>
              <w:top w:val="single" w:color="000000" w:sz="6" w:space="0"/>
              <w:left w:val="single" w:color="000000" w:sz="6" w:space="0"/>
              <w:bottom w:val="single" w:color="000000" w:sz="6" w:space="0"/>
              <w:right w:val="single" w:color="000000" w:sz="6" w:space="0"/>
            </w:tcBorders>
            <w:noWrap w:val="0"/>
            <w:vAlign w:val="center"/>
          </w:tcPr>
          <w:p w14:paraId="25A6420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物业管理、</w:t>
            </w:r>
            <w:r>
              <w:rPr>
                <w:rFonts w:hint="default" w:ascii="Times New Roman" w:hAnsi="Times New Roman" w:eastAsia="宋体" w:cs="Times New Roman"/>
                <w:color w:val="auto"/>
                <w:kern w:val="2"/>
                <w:sz w:val="21"/>
                <w:szCs w:val="24"/>
                <w:lang w:val="en-US" w:eastAsia="zh-CN" w:bidi="ar-SA"/>
              </w:rPr>
              <w:t>酒店</w:t>
            </w:r>
            <w:r>
              <w:rPr>
                <w:rFonts w:hint="eastAsia" w:ascii="Times New Roman" w:hAnsi="Times New Roman" w:eastAsia="宋体" w:cs="Times New Roman"/>
                <w:color w:val="auto"/>
                <w:kern w:val="2"/>
                <w:sz w:val="21"/>
                <w:szCs w:val="24"/>
                <w:lang w:val="en-US" w:eastAsia="zh-CN" w:bidi="ar-SA"/>
              </w:rPr>
              <w:t>、旅游</w:t>
            </w:r>
            <w:r>
              <w:rPr>
                <w:rFonts w:hint="default" w:ascii="Times New Roman" w:hAnsi="Times New Roman" w:eastAsia="宋体" w:cs="Times New Roman"/>
                <w:color w:val="auto"/>
                <w:kern w:val="2"/>
                <w:sz w:val="21"/>
                <w:szCs w:val="24"/>
                <w:lang w:val="en-US" w:eastAsia="zh-CN" w:bidi="ar-SA"/>
              </w:rPr>
              <w:t>或者从事相关服务工作者优先</w:t>
            </w:r>
            <w:r>
              <w:rPr>
                <w:rFonts w:hint="eastAsia" w:ascii="Times New Roman" w:hAnsi="Times New Roman" w:eastAsia="宋体" w:cs="Times New Roman"/>
                <w:color w:val="auto"/>
                <w:kern w:val="2"/>
                <w:sz w:val="21"/>
                <w:szCs w:val="24"/>
                <w:lang w:val="en-US" w:eastAsia="zh-CN" w:bidi="ar-SA"/>
              </w:rPr>
              <w:t>。</w:t>
            </w:r>
          </w:p>
        </w:tc>
      </w:tr>
      <w:tr w14:paraId="7BFBC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12" w:space="0"/>
              <w:left w:val="single" w:color="000000" w:sz="6" w:space="0"/>
              <w:bottom w:val="single" w:color="000000" w:sz="6" w:space="0"/>
              <w:right w:val="single" w:color="000000" w:sz="6" w:space="0"/>
            </w:tcBorders>
            <w:noWrap w:val="0"/>
            <w:vAlign w:val="center"/>
          </w:tcPr>
          <w:p w14:paraId="42DDCCD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346F109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技能水平</w:t>
            </w:r>
          </w:p>
        </w:tc>
        <w:tc>
          <w:tcPr>
            <w:tcW w:w="8182" w:type="dxa"/>
            <w:tcBorders>
              <w:top w:val="single" w:color="000000" w:sz="6" w:space="0"/>
              <w:left w:val="single" w:color="000000" w:sz="6" w:space="0"/>
              <w:bottom w:val="single" w:color="000000" w:sz="6" w:space="0"/>
              <w:right w:val="single" w:color="000000" w:sz="6" w:space="0"/>
            </w:tcBorders>
            <w:noWrap w:val="0"/>
            <w:vAlign w:val="center"/>
          </w:tcPr>
          <w:p w14:paraId="654BF1D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能正常、顺畅沟通，对会议设备均能熟练操作。</w:t>
            </w:r>
          </w:p>
        </w:tc>
      </w:tr>
      <w:tr w14:paraId="1E725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restart"/>
            <w:tcBorders>
              <w:top w:val="single" w:color="000000" w:sz="6" w:space="0"/>
              <w:left w:val="single" w:color="000000" w:sz="6" w:space="0"/>
              <w:bottom w:val="single" w:color="000000" w:sz="2" w:space="0"/>
              <w:right w:val="single" w:color="000000" w:sz="6" w:space="0"/>
            </w:tcBorders>
            <w:noWrap w:val="0"/>
            <w:vAlign w:val="center"/>
          </w:tcPr>
          <w:p w14:paraId="1F63128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会务服务标准</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3434459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着装要求</w:t>
            </w:r>
          </w:p>
        </w:tc>
        <w:tc>
          <w:tcPr>
            <w:tcW w:w="8182" w:type="dxa"/>
            <w:tcBorders>
              <w:top w:val="single" w:color="000000" w:sz="6" w:space="0"/>
              <w:left w:val="single" w:color="000000" w:sz="6" w:space="0"/>
              <w:bottom w:val="single" w:color="000000" w:sz="6" w:space="0"/>
              <w:right w:val="single" w:color="000000" w:sz="6" w:space="0"/>
            </w:tcBorders>
            <w:noWrap w:val="0"/>
            <w:vAlign w:val="center"/>
          </w:tcPr>
          <w:p w14:paraId="7F96E96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工作时间内一律着本岗位规定制服及相关饰物、胸牌，并保持干净、平整，无明显污迹、破损。正确佩戴工牌。保持个人卫生清洁，统一穿着深色平底鞋。</w:t>
            </w:r>
          </w:p>
        </w:tc>
      </w:tr>
      <w:tr w14:paraId="1CF07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6" w:space="0"/>
              <w:left w:val="single" w:color="000000" w:sz="6" w:space="0"/>
              <w:bottom w:val="single" w:color="000000" w:sz="2" w:space="0"/>
              <w:right w:val="single" w:color="000000" w:sz="6" w:space="0"/>
            </w:tcBorders>
            <w:noWrap w:val="0"/>
            <w:vAlign w:val="center"/>
          </w:tcPr>
          <w:p w14:paraId="1E644FE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restart"/>
            <w:tcBorders>
              <w:top w:val="single" w:color="000000" w:sz="6" w:space="0"/>
              <w:left w:val="single" w:color="000000" w:sz="6" w:space="0"/>
              <w:bottom w:val="single" w:color="000000" w:sz="6" w:space="0"/>
              <w:right w:val="single" w:color="000000" w:sz="6" w:space="0"/>
            </w:tcBorders>
            <w:noWrap w:val="0"/>
            <w:vAlign w:val="center"/>
          </w:tcPr>
          <w:p w14:paraId="36FE075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工作细节</w:t>
            </w:r>
          </w:p>
        </w:tc>
        <w:tc>
          <w:tcPr>
            <w:tcW w:w="8182" w:type="dxa"/>
            <w:tcBorders>
              <w:top w:val="single" w:color="000000" w:sz="6" w:space="0"/>
              <w:left w:val="single" w:color="000000" w:sz="6" w:space="0"/>
              <w:bottom w:val="single" w:color="000000" w:sz="6" w:space="0"/>
              <w:right w:val="single" w:color="000000" w:sz="6" w:space="0"/>
            </w:tcBorders>
            <w:noWrap w:val="0"/>
            <w:vAlign w:val="center"/>
          </w:tcPr>
          <w:p w14:paraId="2DFE145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在服务过程中，如遇客户迎面而来，应暂时停止工作，主动让路，并微笑问好“您好”。</w:t>
            </w:r>
          </w:p>
        </w:tc>
      </w:tr>
      <w:tr w14:paraId="58F93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6" w:space="0"/>
              <w:left w:val="single" w:color="000000" w:sz="6" w:space="0"/>
              <w:bottom w:val="single" w:color="000000" w:sz="2" w:space="0"/>
              <w:right w:val="single" w:color="000000" w:sz="6" w:space="0"/>
            </w:tcBorders>
            <w:noWrap w:val="0"/>
            <w:vAlign w:val="center"/>
          </w:tcPr>
          <w:p w14:paraId="028132F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noWrap w:val="0"/>
            <w:vAlign w:val="center"/>
          </w:tcPr>
          <w:p w14:paraId="5F62AAB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6" w:space="0"/>
              <w:left w:val="single" w:color="000000" w:sz="6" w:space="0"/>
              <w:bottom w:val="single" w:color="000000" w:sz="6" w:space="0"/>
              <w:right w:val="single" w:color="000000" w:sz="6" w:space="0"/>
            </w:tcBorders>
            <w:noWrap w:val="0"/>
            <w:vAlign w:val="center"/>
          </w:tcPr>
          <w:p w14:paraId="787224E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服务时遇到客户询问问题，要立刻停止工作，耐心仔细地回答客户提问。</w:t>
            </w:r>
          </w:p>
        </w:tc>
      </w:tr>
      <w:tr w14:paraId="01243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6" w:space="0"/>
              <w:left w:val="single" w:color="000000" w:sz="6" w:space="0"/>
              <w:bottom w:val="single" w:color="000000" w:sz="2" w:space="0"/>
              <w:right w:val="single" w:color="000000" w:sz="6" w:space="0"/>
            </w:tcBorders>
            <w:noWrap w:val="0"/>
            <w:vAlign w:val="center"/>
          </w:tcPr>
          <w:p w14:paraId="7DD853A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noWrap w:val="0"/>
            <w:vAlign w:val="center"/>
          </w:tcPr>
          <w:p w14:paraId="39D5A94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6" w:space="0"/>
              <w:left w:val="single" w:color="000000" w:sz="6" w:space="0"/>
              <w:bottom w:val="single" w:color="000000" w:sz="6" w:space="0"/>
              <w:right w:val="single" w:color="000000" w:sz="6" w:space="0"/>
            </w:tcBorders>
            <w:noWrap w:val="0"/>
            <w:vAlign w:val="center"/>
          </w:tcPr>
          <w:p w14:paraId="57B26C3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休息日保持电话畅通，甲方如因工作需要，应在接到电话通知后30分钟到达服务地点。</w:t>
            </w:r>
          </w:p>
        </w:tc>
      </w:tr>
      <w:tr w14:paraId="7ECBC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6" w:space="0"/>
              <w:left w:val="single" w:color="000000" w:sz="6" w:space="0"/>
              <w:bottom w:val="single" w:color="000000" w:sz="2" w:space="0"/>
              <w:right w:val="single" w:color="000000" w:sz="6" w:space="0"/>
            </w:tcBorders>
            <w:noWrap w:val="0"/>
            <w:vAlign w:val="center"/>
          </w:tcPr>
          <w:p w14:paraId="0DD2D49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noWrap w:val="0"/>
            <w:vAlign w:val="center"/>
          </w:tcPr>
          <w:p w14:paraId="65A6EEA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6" w:space="0"/>
              <w:left w:val="single" w:color="000000" w:sz="6" w:space="0"/>
              <w:bottom w:val="single" w:color="000000" w:sz="6" w:space="0"/>
              <w:right w:val="single" w:color="000000" w:sz="6" w:space="0"/>
            </w:tcBorders>
            <w:noWrap w:val="0"/>
            <w:vAlign w:val="center"/>
          </w:tcPr>
          <w:p w14:paraId="353DA80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严格遵守甲方相关制度，做好保密工作，不打听也不传播会议内容；会议材料由甲方相关人员负责处理，服从甲方负责人安排。</w:t>
            </w:r>
          </w:p>
        </w:tc>
      </w:tr>
      <w:tr w14:paraId="2909F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restart"/>
            <w:tcBorders>
              <w:top w:val="single" w:color="auto" w:sz="4" w:space="0"/>
              <w:left w:val="single" w:color="auto" w:sz="4" w:space="0"/>
              <w:right w:val="single" w:color="auto" w:sz="4" w:space="0"/>
            </w:tcBorders>
            <w:noWrap w:val="0"/>
            <w:vAlign w:val="center"/>
          </w:tcPr>
          <w:p w14:paraId="30AAE8A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会议室摆台准备</w:t>
            </w:r>
          </w:p>
        </w:tc>
        <w:tc>
          <w:tcPr>
            <w:tcW w:w="1560" w:type="dxa"/>
            <w:tcBorders>
              <w:top w:val="single" w:color="000000" w:sz="2" w:space="0"/>
              <w:left w:val="single" w:color="auto" w:sz="4" w:space="0"/>
              <w:bottom w:val="single" w:color="000000" w:sz="2" w:space="0"/>
              <w:right w:val="single" w:color="000000" w:sz="6" w:space="0"/>
            </w:tcBorders>
            <w:noWrap w:val="0"/>
            <w:vAlign w:val="center"/>
          </w:tcPr>
          <w:p w14:paraId="7DD6376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准备用具</w:t>
            </w:r>
          </w:p>
        </w:tc>
        <w:tc>
          <w:tcPr>
            <w:tcW w:w="8182" w:type="dxa"/>
            <w:tcBorders>
              <w:top w:val="single" w:color="000000" w:sz="6" w:space="0"/>
              <w:left w:val="single" w:color="000000" w:sz="6" w:space="0"/>
              <w:bottom w:val="single" w:color="000000" w:sz="6" w:space="0"/>
              <w:right w:val="single" w:color="000000" w:sz="6" w:space="0"/>
            </w:tcBorders>
            <w:noWrap w:val="0"/>
            <w:vAlign w:val="center"/>
          </w:tcPr>
          <w:p w14:paraId="6B86E94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配合办公室</w:t>
            </w:r>
            <w:r>
              <w:rPr>
                <w:rFonts w:hint="default" w:ascii="Times New Roman" w:hAnsi="Times New Roman" w:eastAsia="宋体" w:cs="Times New Roman"/>
                <w:color w:val="auto"/>
                <w:kern w:val="2"/>
                <w:sz w:val="21"/>
                <w:szCs w:val="24"/>
                <w:lang w:val="en-US" w:eastAsia="zh-CN" w:bidi="ar-SA"/>
              </w:rPr>
              <w:t>打印会议所需的台卡，按会议清单准备各种用品和</w:t>
            </w:r>
            <w:r>
              <w:rPr>
                <w:rFonts w:hint="eastAsia" w:ascii="Times New Roman" w:hAnsi="Times New Roman" w:eastAsia="宋体" w:cs="Times New Roman"/>
                <w:color w:val="auto"/>
                <w:kern w:val="2"/>
                <w:sz w:val="21"/>
                <w:szCs w:val="24"/>
                <w:lang w:val="en-US" w:eastAsia="zh-CN" w:bidi="ar-SA"/>
              </w:rPr>
              <w:t>物资</w:t>
            </w:r>
            <w:r>
              <w:rPr>
                <w:rFonts w:hint="default" w:ascii="Times New Roman" w:hAnsi="Times New Roman" w:eastAsia="宋体" w:cs="Times New Roman"/>
                <w:color w:val="auto"/>
                <w:kern w:val="2"/>
                <w:sz w:val="21"/>
                <w:szCs w:val="24"/>
                <w:lang w:val="en-US" w:eastAsia="zh-CN" w:bidi="ar-SA"/>
              </w:rPr>
              <w:t>。</w:t>
            </w:r>
          </w:p>
        </w:tc>
      </w:tr>
      <w:tr w14:paraId="582D0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14:paraId="74892B6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tcBorders>
              <w:top w:val="single" w:color="000000" w:sz="2" w:space="0"/>
              <w:left w:val="single" w:color="auto" w:sz="4" w:space="0"/>
              <w:bottom w:val="single" w:color="000000" w:sz="6" w:space="0"/>
              <w:right w:val="single" w:color="000000" w:sz="6" w:space="0"/>
            </w:tcBorders>
            <w:noWrap w:val="0"/>
            <w:vAlign w:val="center"/>
          </w:tcPr>
          <w:p w14:paraId="67CDBE5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确定台型</w:t>
            </w:r>
          </w:p>
        </w:tc>
        <w:tc>
          <w:tcPr>
            <w:tcW w:w="8182" w:type="dxa"/>
            <w:tcBorders>
              <w:top w:val="single" w:color="000000" w:sz="6" w:space="0"/>
              <w:left w:val="single" w:color="000000" w:sz="6" w:space="0"/>
              <w:bottom w:val="single" w:color="000000" w:sz="6" w:space="0"/>
              <w:right w:val="single" w:color="000000" w:sz="6" w:space="0"/>
            </w:tcBorders>
            <w:noWrap w:val="0"/>
            <w:vAlign w:val="center"/>
          </w:tcPr>
          <w:p w14:paraId="2FE98A5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根据</w:t>
            </w:r>
            <w:r>
              <w:rPr>
                <w:rFonts w:hint="eastAsia" w:ascii="Times New Roman" w:hAnsi="Times New Roman" w:eastAsia="宋体" w:cs="Times New Roman"/>
                <w:color w:val="auto"/>
                <w:kern w:val="2"/>
                <w:sz w:val="21"/>
                <w:szCs w:val="24"/>
                <w:lang w:val="en-US" w:eastAsia="zh-CN" w:bidi="ar-SA"/>
              </w:rPr>
              <w:t>办公室或者会议主办部门</w:t>
            </w:r>
            <w:r>
              <w:rPr>
                <w:rFonts w:hint="default" w:ascii="Times New Roman" w:hAnsi="Times New Roman" w:eastAsia="宋体" w:cs="Times New Roman"/>
                <w:color w:val="auto"/>
                <w:kern w:val="2"/>
                <w:sz w:val="21"/>
                <w:szCs w:val="24"/>
                <w:lang w:val="en-US" w:eastAsia="zh-CN" w:bidi="ar-SA"/>
              </w:rPr>
              <w:t>的人数和要求，确定</w:t>
            </w:r>
            <w:r>
              <w:rPr>
                <w:rFonts w:hint="eastAsia" w:ascii="Times New Roman" w:hAnsi="Times New Roman" w:eastAsia="宋体" w:cs="Times New Roman"/>
                <w:color w:val="auto"/>
                <w:kern w:val="2"/>
                <w:sz w:val="21"/>
                <w:szCs w:val="24"/>
                <w:lang w:val="en-US" w:eastAsia="zh-CN" w:bidi="ar-SA"/>
              </w:rPr>
              <w:t>会议室和</w:t>
            </w:r>
            <w:r>
              <w:rPr>
                <w:rFonts w:hint="default" w:ascii="Times New Roman" w:hAnsi="Times New Roman" w:eastAsia="宋体" w:cs="Times New Roman"/>
                <w:color w:val="auto"/>
                <w:kern w:val="2"/>
                <w:sz w:val="21"/>
                <w:szCs w:val="24"/>
                <w:lang w:val="en-US" w:eastAsia="zh-CN" w:bidi="ar-SA"/>
              </w:rPr>
              <w:t>台型。</w:t>
            </w:r>
          </w:p>
        </w:tc>
      </w:tr>
      <w:tr w14:paraId="7ABFD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14:paraId="06F0098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restart"/>
            <w:tcBorders>
              <w:top w:val="single" w:color="000000" w:sz="6" w:space="0"/>
              <w:left w:val="single" w:color="auto" w:sz="4" w:space="0"/>
              <w:bottom w:val="single" w:color="000000" w:sz="6" w:space="0"/>
              <w:right w:val="single" w:color="000000" w:sz="6" w:space="0"/>
            </w:tcBorders>
            <w:noWrap w:val="0"/>
            <w:vAlign w:val="center"/>
          </w:tcPr>
          <w:p w14:paraId="5F7A38B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摆台</w:t>
            </w:r>
          </w:p>
        </w:tc>
        <w:tc>
          <w:tcPr>
            <w:tcW w:w="8182" w:type="dxa"/>
            <w:tcBorders>
              <w:top w:val="single" w:color="000000" w:sz="6" w:space="0"/>
              <w:left w:val="single" w:color="000000" w:sz="6" w:space="0"/>
              <w:bottom w:val="single" w:color="000000" w:sz="2" w:space="0"/>
              <w:right w:val="single" w:color="000000" w:sz="6" w:space="0"/>
            </w:tcBorders>
            <w:noWrap w:val="0"/>
            <w:vAlign w:val="center"/>
          </w:tcPr>
          <w:p w14:paraId="6066B1A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首先摆好桌椅，距离相等对称，前看侧看都在一条直线上；</w:t>
            </w:r>
          </w:p>
        </w:tc>
      </w:tr>
      <w:tr w14:paraId="6F7BA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14:paraId="5DA9CBF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auto" w:sz="4" w:space="0"/>
              <w:bottom w:val="single" w:color="000000" w:sz="6" w:space="0"/>
              <w:right w:val="single" w:color="000000" w:sz="6" w:space="0"/>
            </w:tcBorders>
            <w:noWrap w:val="0"/>
            <w:vAlign w:val="center"/>
          </w:tcPr>
          <w:p w14:paraId="713C958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14:paraId="401CA79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台面要干净，平整</w:t>
            </w:r>
            <w:r>
              <w:rPr>
                <w:rFonts w:hint="eastAsia" w:ascii="Times New Roman" w:hAnsi="Times New Roman" w:eastAsia="宋体" w:cs="Times New Roman"/>
                <w:color w:val="auto"/>
                <w:kern w:val="2"/>
                <w:sz w:val="21"/>
                <w:szCs w:val="24"/>
                <w:lang w:val="en-US" w:eastAsia="zh-CN" w:bidi="ar-SA"/>
              </w:rPr>
              <w:t>，无手印，无灰尘</w:t>
            </w:r>
            <w:r>
              <w:rPr>
                <w:rFonts w:hint="default" w:ascii="Times New Roman" w:hAnsi="Times New Roman" w:eastAsia="宋体" w:cs="Times New Roman"/>
                <w:color w:val="auto"/>
                <w:kern w:val="2"/>
                <w:sz w:val="21"/>
                <w:szCs w:val="24"/>
                <w:lang w:val="en-US" w:eastAsia="zh-CN" w:bidi="ar-SA"/>
              </w:rPr>
              <w:t>；</w:t>
            </w:r>
          </w:p>
        </w:tc>
      </w:tr>
      <w:tr w14:paraId="4A3D2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14:paraId="220B0A3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auto" w:sz="4" w:space="0"/>
              <w:bottom w:val="single" w:color="000000" w:sz="6" w:space="0"/>
              <w:right w:val="single" w:color="000000" w:sz="6" w:space="0"/>
            </w:tcBorders>
            <w:noWrap w:val="0"/>
            <w:vAlign w:val="center"/>
          </w:tcPr>
          <w:p w14:paraId="67E24BE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6" w:space="0"/>
              <w:right w:val="single" w:color="000000" w:sz="6" w:space="0"/>
            </w:tcBorders>
            <w:noWrap w:val="0"/>
            <w:vAlign w:val="center"/>
          </w:tcPr>
          <w:p w14:paraId="5051D7B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有</w:t>
            </w:r>
            <w:r>
              <w:rPr>
                <w:rFonts w:hint="default" w:ascii="Times New Roman" w:hAnsi="Times New Roman" w:eastAsia="宋体" w:cs="Times New Roman"/>
                <w:color w:val="auto"/>
                <w:kern w:val="2"/>
                <w:sz w:val="21"/>
                <w:szCs w:val="24"/>
                <w:lang w:val="en-US" w:eastAsia="zh-CN" w:bidi="ar-SA"/>
              </w:rPr>
              <w:t>垫碟或杯垫</w:t>
            </w:r>
            <w:r>
              <w:rPr>
                <w:rFonts w:hint="eastAsia" w:ascii="Times New Roman" w:hAnsi="Times New Roman" w:eastAsia="宋体" w:cs="Times New Roman"/>
                <w:color w:val="auto"/>
                <w:kern w:val="2"/>
                <w:sz w:val="21"/>
                <w:szCs w:val="24"/>
                <w:lang w:val="en-US" w:eastAsia="zh-CN" w:bidi="ar-SA"/>
              </w:rPr>
              <w:t>时</w:t>
            </w:r>
            <w:r>
              <w:rPr>
                <w:rFonts w:hint="default" w:ascii="Times New Roman" w:hAnsi="Times New Roman" w:eastAsia="宋体" w:cs="Times New Roman"/>
                <w:color w:val="auto"/>
                <w:kern w:val="2"/>
                <w:sz w:val="21"/>
                <w:szCs w:val="24"/>
                <w:lang w:val="en-US" w:eastAsia="zh-CN" w:bidi="ar-SA"/>
              </w:rPr>
              <w:t>，茶杯放在</w:t>
            </w:r>
            <w:r>
              <w:rPr>
                <w:rFonts w:hint="eastAsia" w:ascii="Times New Roman" w:hAnsi="Times New Roman" w:eastAsia="宋体" w:cs="Times New Roman"/>
                <w:color w:val="auto"/>
                <w:kern w:val="2"/>
                <w:sz w:val="21"/>
                <w:szCs w:val="24"/>
                <w:lang w:val="en-US" w:eastAsia="zh-CN" w:bidi="ar-SA"/>
              </w:rPr>
              <w:t>其</w:t>
            </w:r>
            <w:r>
              <w:rPr>
                <w:rFonts w:hint="default" w:ascii="Times New Roman" w:hAnsi="Times New Roman" w:eastAsia="宋体" w:cs="Times New Roman"/>
                <w:color w:val="auto"/>
                <w:kern w:val="2"/>
                <w:sz w:val="21"/>
                <w:szCs w:val="24"/>
                <w:lang w:val="en-US" w:eastAsia="zh-CN" w:bidi="ar-SA"/>
              </w:rPr>
              <w:t>上，杯把向右成45度角（如果摆放纸笔，要求将纸摆放在距下桌沿1厘米正对椅背处，笔尖朝上成45度角。</w:t>
            </w:r>
          </w:p>
        </w:tc>
      </w:tr>
      <w:tr w14:paraId="4C43C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14:paraId="5E947C3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tcBorders>
              <w:top w:val="single" w:color="000000" w:sz="6" w:space="0"/>
              <w:left w:val="single" w:color="auto" w:sz="4" w:space="0"/>
              <w:bottom w:val="single" w:color="000000" w:sz="6" w:space="0"/>
              <w:right w:val="single" w:color="000000" w:sz="6" w:space="0"/>
            </w:tcBorders>
            <w:noWrap w:val="0"/>
            <w:vAlign w:val="center"/>
          </w:tcPr>
          <w:p w14:paraId="27EBA7B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摆放其它</w:t>
            </w:r>
            <w:r>
              <w:rPr>
                <w:rFonts w:hint="eastAsia" w:ascii="Times New Roman" w:hAnsi="Times New Roman" w:eastAsia="宋体" w:cs="Times New Roman"/>
                <w:color w:val="auto"/>
                <w:kern w:val="2"/>
                <w:sz w:val="21"/>
                <w:szCs w:val="24"/>
                <w:lang w:val="en-US" w:eastAsia="zh-CN" w:bidi="ar-SA"/>
              </w:rPr>
              <w:t>物资</w:t>
            </w:r>
          </w:p>
        </w:tc>
        <w:tc>
          <w:tcPr>
            <w:tcW w:w="8182" w:type="dxa"/>
            <w:tcBorders>
              <w:top w:val="single" w:color="000000" w:sz="6" w:space="0"/>
              <w:left w:val="single" w:color="000000" w:sz="6" w:space="0"/>
              <w:bottom w:val="single" w:color="000000" w:sz="6" w:space="0"/>
              <w:right w:val="single" w:color="000000" w:sz="6" w:space="0"/>
            </w:tcBorders>
            <w:noWrap w:val="0"/>
            <w:vAlign w:val="center"/>
          </w:tcPr>
          <w:p w14:paraId="723FE6F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按照会议承办部门的</w:t>
            </w:r>
            <w:r>
              <w:rPr>
                <w:rFonts w:hint="default" w:ascii="Times New Roman" w:hAnsi="Times New Roman" w:eastAsia="宋体" w:cs="Times New Roman"/>
                <w:color w:val="auto"/>
                <w:kern w:val="2"/>
                <w:sz w:val="21"/>
                <w:szCs w:val="24"/>
                <w:lang w:val="en-US" w:eastAsia="zh-CN" w:bidi="ar-SA"/>
              </w:rPr>
              <w:t>要求将所需</w:t>
            </w:r>
            <w:r>
              <w:rPr>
                <w:rFonts w:hint="eastAsia" w:ascii="Times New Roman" w:hAnsi="Times New Roman" w:eastAsia="宋体" w:cs="Times New Roman"/>
                <w:color w:val="auto"/>
                <w:kern w:val="2"/>
                <w:sz w:val="21"/>
                <w:szCs w:val="24"/>
                <w:lang w:val="en-US" w:eastAsia="zh-CN" w:bidi="ar-SA"/>
              </w:rPr>
              <w:t>物资</w:t>
            </w:r>
            <w:r>
              <w:rPr>
                <w:rFonts w:hint="default" w:ascii="Times New Roman" w:hAnsi="Times New Roman" w:eastAsia="宋体" w:cs="Times New Roman"/>
                <w:color w:val="auto"/>
                <w:kern w:val="2"/>
                <w:sz w:val="21"/>
                <w:szCs w:val="24"/>
                <w:lang w:val="en-US" w:eastAsia="zh-CN" w:bidi="ar-SA"/>
              </w:rPr>
              <w:t>摆放就位</w:t>
            </w:r>
            <w:r>
              <w:rPr>
                <w:rFonts w:hint="eastAsia" w:ascii="Times New Roman" w:hAnsi="Times New Roman" w:eastAsia="宋体" w:cs="Times New Roman"/>
                <w:color w:val="auto"/>
                <w:kern w:val="2"/>
                <w:sz w:val="21"/>
                <w:szCs w:val="24"/>
                <w:lang w:val="en-US" w:eastAsia="zh-CN" w:bidi="ar-SA"/>
              </w:rPr>
              <w:t>。</w:t>
            </w:r>
          </w:p>
        </w:tc>
      </w:tr>
      <w:tr w14:paraId="01219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14:paraId="7CF8C52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restart"/>
            <w:tcBorders>
              <w:top w:val="single" w:color="000000" w:sz="6" w:space="0"/>
              <w:left w:val="single" w:color="auto" w:sz="4" w:space="0"/>
              <w:bottom w:val="single" w:color="000000" w:sz="6" w:space="0"/>
              <w:right w:val="single" w:color="000000" w:sz="6" w:space="0"/>
            </w:tcBorders>
            <w:noWrap w:val="0"/>
            <w:vAlign w:val="center"/>
          </w:tcPr>
          <w:p w14:paraId="652632D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检查</w:t>
            </w:r>
          </w:p>
        </w:tc>
        <w:tc>
          <w:tcPr>
            <w:tcW w:w="8182" w:type="dxa"/>
            <w:tcBorders>
              <w:top w:val="single" w:color="000000" w:sz="6" w:space="0"/>
              <w:left w:val="single" w:color="000000" w:sz="6" w:space="0"/>
              <w:bottom w:val="single" w:color="000000" w:sz="2" w:space="0"/>
              <w:right w:val="single" w:color="000000" w:sz="6" w:space="0"/>
            </w:tcBorders>
            <w:noWrap w:val="0"/>
            <w:vAlign w:val="center"/>
          </w:tcPr>
          <w:p w14:paraId="40B2F33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检查台型是否符合要求；台面是否整洁；各种用具是否干净、齐全，摆放符合要求；</w:t>
            </w:r>
          </w:p>
        </w:tc>
      </w:tr>
      <w:tr w14:paraId="61AFD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14:paraId="5E59652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auto" w:sz="4" w:space="0"/>
              <w:bottom w:val="single" w:color="000000" w:sz="6" w:space="0"/>
              <w:right w:val="single" w:color="000000" w:sz="6" w:space="0"/>
            </w:tcBorders>
            <w:noWrap w:val="0"/>
            <w:vAlign w:val="center"/>
          </w:tcPr>
          <w:p w14:paraId="567E7F6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14:paraId="6F84554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每天检查会议室</w:t>
            </w:r>
            <w:r>
              <w:rPr>
                <w:rFonts w:hint="eastAsia" w:ascii="Times New Roman" w:hAnsi="Times New Roman" w:eastAsia="宋体" w:cs="Times New Roman"/>
                <w:color w:val="auto"/>
                <w:kern w:val="2"/>
                <w:sz w:val="21"/>
                <w:szCs w:val="24"/>
                <w:lang w:val="en-US" w:eastAsia="zh-CN" w:bidi="ar-SA"/>
              </w:rPr>
              <w:t>空调、灯光以及其他</w:t>
            </w:r>
            <w:r>
              <w:rPr>
                <w:rFonts w:hint="default" w:ascii="Times New Roman" w:hAnsi="Times New Roman" w:eastAsia="宋体" w:cs="Times New Roman"/>
                <w:color w:val="auto"/>
                <w:kern w:val="2"/>
                <w:sz w:val="21"/>
                <w:szCs w:val="24"/>
                <w:lang w:val="en-US" w:eastAsia="zh-CN" w:bidi="ar-SA"/>
              </w:rPr>
              <w:t>设备状况，确保完好可用，发现问题及时报修。</w:t>
            </w:r>
          </w:p>
        </w:tc>
      </w:tr>
      <w:tr w14:paraId="3E9B2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14:paraId="688C3C1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restart"/>
            <w:tcBorders>
              <w:top w:val="single" w:color="000000" w:sz="6" w:space="0"/>
              <w:left w:val="single" w:color="auto" w:sz="4" w:space="0"/>
              <w:bottom w:val="single" w:color="auto" w:sz="4" w:space="0"/>
              <w:right w:val="single" w:color="000000" w:sz="6" w:space="0"/>
            </w:tcBorders>
            <w:noWrap w:val="0"/>
            <w:vAlign w:val="center"/>
          </w:tcPr>
          <w:p w14:paraId="4EDD906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准备工作</w:t>
            </w:r>
          </w:p>
        </w:tc>
        <w:tc>
          <w:tcPr>
            <w:tcW w:w="8182" w:type="dxa"/>
            <w:tcBorders>
              <w:top w:val="single" w:color="000000" w:sz="2" w:space="0"/>
              <w:left w:val="single" w:color="000000" w:sz="6" w:space="0"/>
              <w:bottom w:val="single" w:color="000000" w:sz="2" w:space="0"/>
              <w:right w:val="single" w:color="000000" w:sz="6" w:space="0"/>
            </w:tcBorders>
            <w:noWrap w:val="0"/>
            <w:vAlign w:val="center"/>
          </w:tcPr>
          <w:p w14:paraId="4ED8EC1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会议开始前半小时，根据</w:t>
            </w:r>
            <w:r>
              <w:rPr>
                <w:rFonts w:hint="eastAsia" w:ascii="Times New Roman" w:hAnsi="Times New Roman" w:eastAsia="宋体" w:cs="Times New Roman"/>
                <w:color w:val="auto"/>
                <w:kern w:val="2"/>
                <w:sz w:val="21"/>
                <w:szCs w:val="24"/>
                <w:lang w:val="en-US" w:eastAsia="zh-CN" w:bidi="ar-SA"/>
              </w:rPr>
              <w:t>会议</w:t>
            </w:r>
            <w:r>
              <w:rPr>
                <w:rFonts w:hint="default" w:ascii="Times New Roman" w:hAnsi="Times New Roman" w:eastAsia="宋体" w:cs="Times New Roman"/>
                <w:color w:val="auto"/>
                <w:kern w:val="2"/>
                <w:sz w:val="21"/>
                <w:szCs w:val="24"/>
                <w:lang w:val="en-US" w:eastAsia="zh-CN" w:bidi="ar-SA"/>
              </w:rPr>
              <w:t>要求备好相关饮品</w:t>
            </w:r>
            <w:r>
              <w:rPr>
                <w:rFonts w:hint="eastAsia" w:ascii="Times New Roman" w:hAnsi="Times New Roman" w:eastAsia="宋体"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开水</w:t>
            </w:r>
            <w:r>
              <w:rPr>
                <w:rFonts w:hint="eastAsia" w:ascii="Times New Roman" w:hAnsi="Times New Roman" w:eastAsia="宋体" w:cs="Times New Roman"/>
                <w:color w:val="auto"/>
                <w:kern w:val="2"/>
                <w:sz w:val="21"/>
                <w:szCs w:val="24"/>
                <w:lang w:val="en-US" w:eastAsia="zh-CN" w:bidi="ar-SA"/>
              </w:rPr>
              <w:t>或茶水</w:t>
            </w:r>
            <w:r>
              <w:rPr>
                <w:rFonts w:hint="default" w:ascii="Times New Roman" w:hAnsi="Times New Roman" w:eastAsia="宋体" w:cs="Times New Roman"/>
                <w:color w:val="auto"/>
                <w:kern w:val="2"/>
                <w:sz w:val="21"/>
                <w:szCs w:val="24"/>
                <w:lang w:val="en-US" w:eastAsia="zh-CN" w:bidi="ar-SA"/>
              </w:rPr>
              <w:t>；</w:t>
            </w:r>
          </w:p>
        </w:tc>
      </w:tr>
      <w:tr w14:paraId="1B065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14:paraId="4C1A435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auto" w:sz="4" w:space="0"/>
              <w:bottom w:val="single" w:color="auto" w:sz="4" w:space="0"/>
              <w:right w:val="single" w:color="000000" w:sz="6" w:space="0"/>
            </w:tcBorders>
            <w:noWrap w:val="0"/>
            <w:vAlign w:val="center"/>
          </w:tcPr>
          <w:p w14:paraId="3AB4CD7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14:paraId="586CE50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将会议室门打开，调节好室温（夏季：22－26度</w:t>
            </w:r>
            <w:r>
              <w:rPr>
                <w:rFonts w:hint="eastAsia" w:ascii="Times New Roman" w:hAnsi="Times New Roman" w:eastAsia="宋体"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冬季：18－24度）；</w:t>
            </w:r>
          </w:p>
        </w:tc>
      </w:tr>
      <w:tr w14:paraId="6BB5A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14:paraId="4F0B2ED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auto" w:sz="4" w:space="0"/>
              <w:bottom w:val="single" w:color="auto" w:sz="4" w:space="0"/>
              <w:right w:val="single" w:color="000000" w:sz="6" w:space="0"/>
            </w:tcBorders>
            <w:noWrap w:val="0"/>
            <w:vAlign w:val="center"/>
          </w:tcPr>
          <w:p w14:paraId="300DC03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14:paraId="6E46B32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会前再次检查空调、灯光以及其他</w:t>
            </w:r>
            <w:r>
              <w:rPr>
                <w:rFonts w:hint="default" w:ascii="Times New Roman" w:hAnsi="Times New Roman" w:eastAsia="宋体" w:cs="Times New Roman"/>
                <w:color w:val="auto"/>
                <w:kern w:val="2"/>
                <w:sz w:val="21"/>
                <w:szCs w:val="24"/>
                <w:lang w:val="en-US" w:eastAsia="zh-CN" w:bidi="ar-SA"/>
              </w:rPr>
              <w:t>设备状况</w:t>
            </w:r>
            <w:r>
              <w:rPr>
                <w:rFonts w:hint="eastAsia" w:ascii="Times New Roman" w:hAnsi="Times New Roman" w:eastAsia="宋体" w:cs="Times New Roman"/>
                <w:color w:val="auto"/>
                <w:kern w:val="2"/>
                <w:sz w:val="21"/>
                <w:szCs w:val="24"/>
                <w:lang w:val="en-US" w:eastAsia="zh-CN" w:bidi="ar-SA"/>
              </w:rPr>
              <w:t>；</w:t>
            </w:r>
          </w:p>
        </w:tc>
      </w:tr>
      <w:tr w14:paraId="27677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14:paraId="159EECC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auto" w:sz="4" w:space="0"/>
              <w:bottom w:val="single" w:color="auto" w:sz="4" w:space="0"/>
              <w:right w:val="single" w:color="000000" w:sz="6" w:space="0"/>
            </w:tcBorders>
            <w:noWrap w:val="0"/>
            <w:vAlign w:val="center"/>
          </w:tcPr>
          <w:p w14:paraId="6FBD79D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14:paraId="33B86A5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根据</w:t>
            </w:r>
            <w:r>
              <w:rPr>
                <w:rFonts w:hint="eastAsia" w:ascii="Times New Roman" w:hAnsi="Times New Roman" w:eastAsia="宋体" w:cs="Times New Roman"/>
                <w:color w:val="auto"/>
                <w:kern w:val="2"/>
                <w:sz w:val="21"/>
                <w:szCs w:val="24"/>
                <w:lang w:val="en-US" w:eastAsia="zh-CN" w:bidi="ar-SA"/>
              </w:rPr>
              <w:t>会议组织部门的要求，落实其他工作。</w:t>
            </w:r>
          </w:p>
        </w:tc>
      </w:tr>
      <w:tr w14:paraId="67D87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14:paraId="19F47D4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14:paraId="0A8A1A3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会议服务</w:t>
            </w:r>
          </w:p>
        </w:tc>
        <w:tc>
          <w:tcPr>
            <w:tcW w:w="8182" w:type="dxa"/>
            <w:tcBorders>
              <w:top w:val="single" w:color="000000" w:sz="2" w:space="0"/>
              <w:left w:val="single" w:color="auto" w:sz="4" w:space="0"/>
              <w:bottom w:val="single" w:color="000000" w:sz="2" w:space="0"/>
              <w:right w:val="single" w:color="000000" w:sz="6" w:space="0"/>
            </w:tcBorders>
            <w:noWrap w:val="0"/>
            <w:vAlign w:val="center"/>
          </w:tcPr>
          <w:p w14:paraId="6D57E33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与会人入座前将茶沏好，并注意倒水顺序</w:t>
            </w:r>
            <w:r>
              <w:rPr>
                <w:rFonts w:hint="eastAsia" w:ascii="Times New Roman" w:hAnsi="Times New Roman" w:eastAsia="宋体"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先宾后主，先主持后一般，从左至右；大型会议从第一排开始倒水，一人负责一行或一区，避免从主席台前反复穿过；</w:t>
            </w:r>
          </w:p>
        </w:tc>
      </w:tr>
      <w:tr w14:paraId="68BB8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9" w:hRule="atLeast"/>
          <w:jc w:val="center"/>
        </w:trPr>
        <w:tc>
          <w:tcPr>
            <w:tcW w:w="1131" w:type="dxa"/>
            <w:vMerge w:val="continue"/>
            <w:tcBorders>
              <w:left w:val="single" w:color="auto" w:sz="4" w:space="0"/>
              <w:right w:val="single" w:color="auto" w:sz="4" w:space="0"/>
            </w:tcBorders>
            <w:noWrap w:val="0"/>
            <w:textDirection w:val="tbRlV"/>
            <w:vAlign w:val="center"/>
          </w:tcPr>
          <w:p w14:paraId="2BC3AFB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237E07A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auto" w:sz="4" w:space="0"/>
              <w:bottom w:val="single" w:color="000000" w:sz="2" w:space="0"/>
              <w:right w:val="single" w:color="000000" w:sz="6" w:space="0"/>
            </w:tcBorders>
            <w:noWrap w:val="0"/>
            <w:vAlign w:val="center"/>
          </w:tcPr>
          <w:p w14:paraId="3D15DDD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拿暖瓶</w:t>
            </w:r>
            <w:r>
              <w:rPr>
                <w:rFonts w:hint="eastAsia" w:ascii="Times New Roman" w:hAnsi="Times New Roman" w:eastAsia="宋体" w:cs="Times New Roman"/>
                <w:color w:val="auto"/>
                <w:kern w:val="2"/>
                <w:sz w:val="21"/>
                <w:szCs w:val="24"/>
                <w:lang w:val="en-US" w:eastAsia="zh-CN" w:bidi="ar-SA"/>
              </w:rPr>
              <w:t>（保温壶）</w:t>
            </w:r>
            <w:r>
              <w:rPr>
                <w:rFonts w:hint="default" w:ascii="Times New Roman" w:hAnsi="Times New Roman" w:eastAsia="宋体" w:cs="Times New Roman"/>
                <w:color w:val="auto"/>
                <w:kern w:val="2"/>
                <w:sz w:val="21"/>
                <w:szCs w:val="24"/>
                <w:lang w:val="en-US" w:eastAsia="zh-CN" w:bidi="ar-SA"/>
              </w:rPr>
              <w:t>倒水时，须左手拿壶，右手托壶于胸前，走路要稳，步子要轻，动作协调；从桌后倒水时，侧身用右手中指无名指夹住杯盖，大拇指</w:t>
            </w:r>
            <w:r>
              <w:rPr>
                <w:rFonts w:hint="eastAsia" w:ascii="Times New Roman" w:hAnsi="Times New Roman" w:eastAsia="宋体"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食指拿起杯把并后退一步，与宾客保持尺外距离，倒水以八成满为宜，斟完后，上前一步将茶放回原处，盖好杯盖</w:t>
            </w:r>
            <w:r>
              <w:rPr>
                <w:rFonts w:hint="eastAsia" w:ascii="Times New Roman" w:hAnsi="Times New Roman" w:eastAsia="宋体"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面带微笑，伸手示意，或说：“请用茶”，然后进行下一位；</w:t>
            </w:r>
          </w:p>
        </w:tc>
      </w:tr>
      <w:tr w14:paraId="701C5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14:paraId="5C9D240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2392484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auto" w:sz="4" w:space="0"/>
              <w:bottom w:val="single" w:color="000000" w:sz="2" w:space="0"/>
              <w:right w:val="single" w:color="000000" w:sz="6" w:space="0"/>
            </w:tcBorders>
            <w:noWrap w:val="0"/>
            <w:vAlign w:val="center"/>
          </w:tcPr>
          <w:p w14:paraId="3F6D6E9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从会议桌前倒水时左右手的动作相反</w:t>
            </w:r>
            <w:r>
              <w:rPr>
                <w:rFonts w:hint="eastAsia" w:ascii="Times New Roman" w:hAnsi="Times New Roman" w:eastAsia="宋体" w:cs="Times New Roman"/>
                <w:color w:val="auto"/>
                <w:kern w:val="2"/>
                <w:sz w:val="21"/>
                <w:szCs w:val="24"/>
                <w:lang w:val="en-US" w:eastAsia="zh-CN" w:bidi="ar-SA"/>
              </w:rPr>
              <w:t>；</w:t>
            </w:r>
          </w:p>
        </w:tc>
      </w:tr>
      <w:tr w14:paraId="7E447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14:paraId="4B45E9A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569641C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auto" w:sz="4" w:space="0"/>
              <w:bottom w:val="single" w:color="000000" w:sz="2" w:space="0"/>
              <w:right w:val="single" w:color="000000" w:sz="6" w:space="0"/>
            </w:tcBorders>
            <w:noWrap w:val="0"/>
            <w:vAlign w:val="center"/>
          </w:tcPr>
          <w:p w14:paraId="66FAB6D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会议正式开始前5分钟一切工作就绪（具体情况可灵活掌握）；</w:t>
            </w:r>
          </w:p>
        </w:tc>
      </w:tr>
      <w:tr w14:paraId="31212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14:paraId="16F884F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13AE188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auto" w:sz="4" w:space="0"/>
              <w:bottom w:val="single" w:color="000000" w:sz="2" w:space="0"/>
              <w:right w:val="single" w:color="000000" w:sz="6" w:space="0"/>
            </w:tcBorders>
            <w:noWrap w:val="0"/>
            <w:vAlign w:val="center"/>
          </w:tcPr>
          <w:p w14:paraId="32859DC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会议中间休息时，服务员必须及时清理台面；</w:t>
            </w:r>
          </w:p>
        </w:tc>
      </w:tr>
      <w:tr w14:paraId="1A6FE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14:paraId="744FF84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4B50EDF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auto" w:sz="4" w:space="0"/>
              <w:bottom w:val="single" w:color="000000" w:sz="2" w:space="0"/>
              <w:right w:val="single" w:color="000000" w:sz="6" w:space="0"/>
            </w:tcBorders>
            <w:noWrap w:val="0"/>
            <w:vAlign w:val="center"/>
          </w:tcPr>
          <w:p w14:paraId="29C583B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会议进行期间，不得离岗，发现问题，要及时采取补救措施；</w:t>
            </w:r>
          </w:p>
        </w:tc>
      </w:tr>
      <w:tr w14:paraId="05CA0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14:paraId="03D6405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0F03A16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auto" w:sz="4" w:space="0"/>
              <w:bottom w:val="single" w:color="000000" w:sz="2" w:space="0"/>
              <w:right w:val="single" w:color="000000" w:sz="6" w:space="0"/>
            </w:tcBorders>
            <w:noWrap w:val="0"/>
            <w:vAlign w:val="center"/>
          </w:tcPr>
          <w:p w14:paraId="7028622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给与会人员提供上茶等服务时，必须要有手势示意。</w:t>
            </w:r>
          </w:p>
        </w:tc>
      </w:tr>
      <w:tr w14:paraId="3C28E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14:paraId="07F2399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restart"/>
            <w:tcBorders>
              <w:top w:val="single" w:color="auto" w:sz="4" w:space="0"/>
              <w:left w:val="single" w:color="auto" w:sz="4" w:space="0"/>
              <w:right w:val="single" w:color="000000" w:sz="6" w:space="0"/>
            </w:tcBorders>
            <w:noWrap w:val="0"/>
            <w:vAlign w:val="center"/>
          </w:tcPr>
          <w:p w14:paraId="370A9A5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清理会场</w:t>
            </w:r>
          </w:p>
        </w:tc>
        <w:tc>
          <w:tcPr>
            <w:tcW w:w="8182" w:type="dxa"/>
            <w:tcBorders>
              <w:top w:val="single" w:color="000000" w:sz="2" w:space="0"/>
              <w:left w:val="single" w:color="000000" w:sz="6" w:space="0"/>
              <w:bottom w:val="single" w:color="000000" w:sz="2" w:space="0"/>
              <w:right w:val="single" w:color="000000" w:sz="6" w:space="0"/>
            </w:tcBorders>
            <w:noWrap w:val="0"/>
            <w:vAlign w:val="center"/>
          </w:tcPr>
          <w:p w14:paraId="50B4211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散会后，服务员要先对会场进行仔细查巡，发现与会人是否有遗忘物品和文件，会议室设备有无破损</w:t>
            </w:r>
            <w:r>
              <w:rPr>
                <w:rFonts w:hint="eastAsia" w:ascii="Times New Roman" w:hAnsi="Times New Roman" w:eastAsia="宋体"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丢失，并能及时将所拾物品交还给与会人或上交，发现问题及时汇报；</w:t>
            </w:r>
          </w:p>
        </w:tc>
      </w:tr>
      <w:tr w14:paraId="0FEBD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textDirection w:val="tbRlV"/>
            <w:vAlign w:val="center"/>
          </w:tcPr>
          <w:p w14:paraId="1DD60F4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left w:val="single" w:color="auto" w:sz="4" w:space="0"/>
              <w:right w:val="single" w:color="000000" w:sz="6" w:space="0"/>
            </w:tcBorders>
            <w:noWrap w:val="0"/>
            <w:vAlign w:val="center"/>
          </w:tcPr>
          <w:p w14:paraId="4B7A415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14:paraId="57329C7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待与会人走完后方可撤台，并将桌椅恢复原型，摆放整齐</w:t>
            </w:r>
            <w:r>
              <w:rPr>
                <w:rFonts w:hint="eastAsia" w:ascii="Times New Roman" w:hAnsi="Times New Roman" w:eastAsia="宋体" w:cs="Times New Roman"/>
                <w:color w:val="auto"/>
                <w:kern w:val="2"/>
                <w:sz w:val="21"/>
                <w:szCs w:val="24"/>
                <w:lang w:val="en-US" w:eastAsia="zh-CN" w:bidi="ar-SA"/>
              </w:rPr>
              <w:t>，关闭空调和灯光</w:t>
            </w:r>
            <w:r>
              <w:rPr>
                <w:rFonts w:hint="default" w:ascii="Times New Roman" w:hAnsi="Times New Roman" w:eastAsia="宋体" w:cs="Times New Roman"/>
                <w:color w:val="auto"/>
                <w:kern w:val="2"/>
                <w:sz w:val="21"/>
                <w:szCs w:val="24"/>
                <w:lang w:val="en-US" w:eastAsia="zh-CN" w:bidi="ar-SA"/>
              </w:rPr>
              <w:t>；</w:t>
            </w:r>
          </w:p>
        </w:tc>
      </w:tr>
      <w:tr w14:paraId="69426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right w:val="single" w:color="auto" w:sz="4" w:space="0"/>
            </w:tcBorders>
            <w:noWrap w:val="0"/>
            <w:vAlign w:val="center"/>
          </w:tcPr>
          <w:p w14:paraId="79D593A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left w:val="single" w:color="auto" w:sz="4" w:space="0"/>
              <w:right w:val="single" w:color="000000" w:sz="6" w:space="0"/>
            </w:tcBorders>
            <w:noWrap w:val="0"/>
            <w:vAlign w:val="center"/>
          </w:tcPr>
          <w:p w14:paraId="27DE793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14:paraId="4B8DC7C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彻底检查会议场所内外有无烟头等隐患，填写好当班服务日记表；</w:t>
            </w:r>
          </w:p>
        </w:tc>
      </w:tr>
      <w:tr w14:paraId="4CB5F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left w:val="single" w:color="auto" w:sz="4" w:space="0"/>
              <w:bottom w:val="single" w:color="000000" w:sz="6" w:space="0"/>
              <w:right w:val="single" w:color="auto" w:sz="4" w:space="0"/>
            </w:tcBorders>
            <w:noWrap w:val="0"/>
            <w:vAlign w:val="center"/>
          </w:tcPr>
          <w:p w14:paraId="50620AC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left w:val="single" w:color="auto" w:sz="4" w:space="0"/>
              <w:bottom w:val="single" w:color="000000" w:sz="6" w:space="0"/>
              <w:right w:val="single" w:color="000000" w:sz="6" w:space="0"/>
            </w:tcBorders>
            <w:noWrap w:val="0"/>
            <w:vAlign w:val="center"/>
          </w:tcPr>
          <w:p w14:paraId="561A8DD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14:paraId="79595DC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主动与主办单位负责人联系，征求意见，保持良好的服务关系。</w:t>
            </w:r>
          </w:p>
        </w:tc>
      </w:tr>
      <w:tr w14:paraId="26D87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restart"/>
            <w:tcBorders>
              <w:top w:val="single" w:color="000000" w:sz="6" w:space="0"/>
              <w:left w:val="single" w:color="000000" w:sz="6" w:space="0"/>
              <w:bottom w:val="single" w:color="000000" w:sz="2" w:space="0"/>
              <w:right w:val="single" w:color="000000" w:sz="6" w:space="0"/>
            </w:tcBorders>
            <w:noWrap w:val="0"/>
            <w:vAlign w:val="center"/>
          </w:tcPr>
          <w:p w14:paraId="0F5716B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后勤保障</w:t>
            </w:r>
          </w:p>
        </w:tc>
        <w:tc>
          <w:tcPr>
            <w:tcW w:w="1560" w:type="dxa"/>
            <w:vMerge w:val="restart"/>
            <w:tcBorders>
              <w:top w:val="single" w:color="000000" w:sz="6" w:space="0"/>
              <w:left w:val="single" w:color="000000" w:sz="6" w:space="0"/>
              <w:bottom w:val="single" w:color="000000" w:sz="6" w:space="0"/>
              <w:right w:val="single" w:color="000000" w:sz="6" w:space="0"/>
            </w:tcBorders>
            <w:noWrap w:val="0"/>
            <w:vAlign w:val="center"/>
          </w:tcPr>
          <w:p w14:paraId="64BDF7D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茶具清洁消毒</w:t>
            </w:r>
          </w:p>
        </w:tc>
        <w:tc>
          <w:tcPr>
            <w:tcW w:w="8182" w:type="dxa"/>
            <w:tcBorders>
              <w:top w:val="single" w:color="000000" w:sz="2" w:space="0"/>
              <w:left w:val="single" w:color="000000" w:sz="6" w:space="0"/>
              <w:bottom w:val="single" w:color="000000" w:sz="2" w:space="0"/>
              <w:right w:val="single" w:color="000000" w:sz="6" w:space="0"/>
            </w:tcBorders>
            <w:noWrap w:val="0"/>
            <w:vAlign w:val="center"/>
          </w:tcPr>
          <w:p w14:paraId="726A0CA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必须把茶杯内剩余的茶叶倒入指定的垃圾篓里，避免污染；</w:t>
            </w:r>
          </w:p>
        </w:tc>
      </w:tr>
      <w:tr w14:paraId="79CC4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6" w:space="0"/>
              <w:left w:val="single" w:color="000000" w:sz="6" w:space="0"/>
              <w:bottom w:val="single" w:color="000000" w:sz="2" w:space="0"/>
              <w:right w:val="single" w:color="000000" w:sz="6" w:space="0"/>
            </w:tcBorders>
            <w:noWrap w:val="0"/>
            <w:vAlign w:val="center"/>
          </w:tcPr>
          <w:p w14:paraId="11E85D8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noWrap w:val="0"/>
            <w:vAlign w:val="center"/>
          </w:tcPr>
          <w:p w14:paraId="4282E07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6" w:space="0"/>
              <w:right w:val="single" w:color="000000" w:sz="6" w:space="0"/>
            </w:tcBorders>
            <w:noWrap w:val="0"/>
            <w:vAlign w:val="center"/>
          </w:tcPr>
          <w:p w14:paraId="486B67D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需先用无磷洗洁精按产品说明书的配比方法进行洗刷茶具，再用清水冲洗干净；</w:t>
            </w:r>
          </w:p>
        </w:tc>
      </w:tr>
      <w:tr w14:paraId="16B53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6" w:space="0"/>
              <w:left w:val="single" w:color="000000" w:sz="6" w:space="0"/>
              <w:bottom w:val="single" w:color="000000" w:sz="2" w:space="0"/>
              <w:right w:val="single" w:color="000000" w:sz="6" w:space="0"/>
            </w:tcBorders>
            <w:noWrap w:val="0"/>
            <w:vAlign w:val="center"/>
          </w:tcPr>
          <w:p w14:paraId="6853BB8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noWrap w:val="0"/>
            <w:vAlign w:val="center"/>
          </w:tcPr>
          <w:p w14:paraId="5828B5C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6" w:space="0"/>
              <w:left w:val="single" w:color="000000" w:sz="6" w:space="0"/>
              <w:bottom w:val="single" w:color="000000" w:sz="2" w:space="0"/>
              <w:right w:val="single" w:color="000000" w:sz="6" w:space="0"/>
            </w:tcBorders>
            <w:noWrap w:val="0"/>
            <w:vAlign w:val="center"/>
          </w:tcPr>
          <w:p w14:paraId="7748545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把已洗干净并擦干的茶杯放到消毒柜内框架上进行高温或臭氧消毒；使用消毒柜时要严格按照电器说明书操作；</w:t>
            </w:r>
          </w:p>
        </w:tc>
      </w:tr>
      <w:tr w14:paraId="7B37D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6" w:space="0"/>
              <w:left w:val="single" w:color="000000" w:sz="6" w:space="0"/>
              <w:bottom w:val="single" w:color="000000" w:sz="2" w:space="0"/>
              <w:right w:val="single" w:color="000000" w:sz="6" w:space="0"/>
            </w:tcBorders>
            <w:noWrap w:val="0"/>
            <w:vAlign w:val="center"/>
          </w:tcPr>
          <w:p w14:paraId="5DFFD1D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noWrap w:val="0"/>
            <w:vAlign w:val="center"/>
          </w:tcPr>
          <w:p w14:paraId="115E15C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14:paraId="6DBAA9A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消毒工作自动结束20分钟后才能打开柜门，以免臭氧泄露或烫伤；</w:t>
            </w:r>
          </w:p>
        </w:tc>
      </w:tr>
      <w:tr w14:paraId="2D8C8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6" w:space="0"/>
              <w:left w:val="single" w:color="000000" w:sz="6" w:space="0"/>
              <w:bottom w:val="single" w:color="000000" w:sz="2" w:space="0"/>
              <w:right w:val="single" w:color="000000" w:sz="6" w:space="0"/>
            </w:tcBorders>
            <w:noWrap w:val="0"/>
            <w:vAlign w:val="center"/>
          </w:tcPr>
          <w:p w14:paraId="32B220C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noWrap w:val="0"/>
            <w:vAlign w:val="center"/>
          </w:tcPr>
          <w:p w14:paraId="393A6C3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14:paraId="6C5F3C8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禁止把塑料物品或附带塑料物品放入消毒柜内进行消毒，以避免引起线路短路或电器火灾。</w:t>
            </w:r>
          </w:p>
        </w:tc>
      </w:tr>
      <w:tr w14:paraId="1800B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restart"/>
            <w:tcBorders>
              <w:top w:val="single" w:color="000000" w:sz="2" w:space="0"/>
              <w:left w:val="single" w:color="000000" w:sz="6" w:space="0"/>
              <w:bottom w:val="single" w:color="000000" w:sz="6" w:space="0"/>
              <w:right w:val="single" w:color="000000" w:sz="6" w:space="0"/>
            </w:tcBorders>
            <w:noWrap w:val="0"/>
            <w:vAlign w:val="center"/>
          </w:tcPr>
          <w:p w14:paraId="5D30F73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其他</w:t>
            </w:r>
          </w:p>
        </w:tc>
        <w:tc>
          <w:tcPr>
            <w:tcW w:w="1560" w:type="dxa"/>
            <w:vMerge w:val="restart"/>
            <w:tcBorders>
              <w:top w:val="single" w:color="000000" w:sz="6" w:space="0"/>
              <w:left w:val="single" w:color="000000" w:sz="6" w:space="0"/>
              <w:bottom w:val="single" w:color="000000" w:sz="6" w:space="0"/>
              <w:right w:val="single" w:color="000000" w:sz="6" w:space="0"/>
            </w:tcBorders>
            <w:noWrap w:val="0"/>
            <w:vAlign w:val="center"/>
          </w:tcPr>
          <w:p w14:paraId="5800378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要求</w:t>
            </w:r>
          </w:p>
        </w:tc>
        <w:tc>
          <w:tcPr>
            <w:tcW w:w="8182" w:type="dxa"/>
            <w:tcBorders>
              <w:top w:val="single" w:color="000000" w:sz="2" w:space="0"/>
              <w:left w:val="single" w:color="000000" w:sz="6" w:space="0"/>
              <w:bottom w:val="single" w:color="000000" w:sz="2" w:space="0"/>
              <w:right w:val="single" w:color="000000" w:sz="6" w:space="0"/>
            </w:tcBorders>
            <w:noWrap w:val="0"/>
            <w:vAlign w:val="center"/>
          </w:tcPr>
          <w:p w14:paraId="1AEBF63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遵守劳动纪律、规章制度、服务规范和执行操作规程；</w:t>
            </w:r>
          </w:p>
        </w:tc>
      </w:tr>
      <w:tr w14:paraId="1C7FA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2" w:space="0"/>
              <w:left w:val="single" w:color="000000" w:sz="6" w:space="0"/>
              <w:bottom w:val="single" w:color="000000" w:sz="6" w:space="0"/>
              <w:right w:val="single" w:color="000000" w:sz="6" w:space="0"/>
            </w:tcBorders>
            <w:noWrap w:val="0"/>
            <w:vAlign w:val="center"/>
          </w:tcPr>
          <w:p w14:paraId="01073F8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noWrap w:val="0"/>
            <w:vAlign w:val="center"/>
          </w:tcPr>
          <w:p w14:paraId="4BB8742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14:paraId="7B82514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认真贯彻落实</w:t>
            </w:r>
            <w:r>
              <w:rPr>
                <w:rFonts w:hint="eastAsia" w:ascii="Times New Roman" w:hAnsi="Times New Roman" w:eastAsia="宋体" w:cs="Times New Roman"/>
                <w:color w:val="auto"/>
                <w:kern w:val="2"/>
                <w:sz w:val="21"/>
                <w:szCs w:val="24"/>
                <w:lang w:val="en-US" w:eastAsia="zh-CN" w:bidi="ar-SA"/>
              </w:rPr>
              <w:t>办公室和</w:t>
            </w:r>
            <w:r>
              <w:rPr>
                <w:rFonts w:hint="default" w:ascii="Times New Roman" w:hAnsi="Times New Roman" w:eastAsia="宋体" w:cs="Times New Roman"/>
                <w:color w:val="auto"/>
                <w:kern w:val="2"/>
                <w:sz w:val="21"/>
                <w:szCs w:val="24"/>
                <w:lang w:val="en-US" w:eastAsia="zh-CN" w:bidi="ar-SA"/>
              </w:rPr>
              <w:t>物业</w:t>
            </w:r>
            <w:r>
              <w:rPr>
                <w:rFonts w:hint="eastAsia" w:ascii="Times New Roman" w:hAnsi="Times New Roman" w:eastAsia="宋体" w:cs="Times New Roman"/>
                <w:color w:val="auto"/>
                <w:kern w:val="2"/>
                <w:sz w:val="21"/>
                <w:szCs w:val="24"/>
                <w:lang w:val="en-US" w:eastAsia="zh-CN" w:bidi="ar-SA"/>
              </w:rPr>
              <w:t>经理</w:t>
            </w:r>
            <w:r>
              <w:rPr>
                <w:rFonts w:hint="default" w:ascii="Times New Roman" w:hAnsi="Times New Roman" w:eastAsia="宋体" w:cs="Times New Roman"/>
                <w:color w:val="auto"/>
                <w:kern w:val="2"/>
                <w:sz w:val="21"/>
                <w:szCs w:val="24"/>
                <w:lang w:val="en-US" w:eastAsia="zh-CN" w:bidi="ar-SA"/>
              </w:rPr>
              <w:t>布置的各项工作任务，负责所辖会议室的服务质量；</w:t>
            </w:r>
          </w:p>
        </w:tc>
      </w:tr>
      <w:tr w14:paraId="43C79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2" w:space="0"/>
              <w:left w:val="single" w:color="000000" w:sz="6" w:space="0"/>
              <w:bottom w:val="single" w:color="000000" w:sz="6" w:space="0"/>
              <w:right w:val="single" w:color="000000" w:sz="6" w:space="0"/>
            </w:tcBorders>
            <w:noWrap w:val="0"/>
            <w:vAlign w:val="center"/>
          </w:tcPr>
          <w:p w14:paraId="4FA384B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noWrap w:val="0"/>
            <w:vAlign w:val="center"/>
          </w:tcPr>
          <w:p w14:paraId="331DF13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14:paraId="248F9D6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按服务合同要求，完成所辖范围内的会议服务工作；</w:t>
            </w:r>
          </w:p>
        </w:tc>
      </w:tr>
      <w:tr w14:paraId="72851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2" w:space="0"/>
              <w:left w:val="single" w:color="000000" w:sz="6" w:space="0"/>
              <w:bottom w:val="single" w:color="000000" w:sz="6" w:space="0"/>
              <w:right w:val="single" w:color="000000" w:sz="6" w:space="0"/>
            </w:tcBorders>
            <w:noWrap w:val="0"/>
            <w:vAlign w:val="center"/>
          </w:tcPr>
          <w:p w14:paraId="4A1C1A6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noWrap w:val="0"/>
            <w:vAlign w:val="center"/>
          </w:tcPr>
          <w:p w14:paraId="26ADD12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14:paraId="04245C9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负责会议用品、清洁用品及其它配备物品的保管和使用；</w:t>
            </w:r>
          </w:p>
        </w:tc>
      </w:tr>
      <w:tr w14:paraId="1F40F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2" w:space="0"/>
              <w:left w:val="single" w:color="000000" w:sz="6" w:space="0"/>
              <w:bottom w:val="single" w:color="000000" w:sz="6" w:space="0"/>
              <w:right w:val="single" w:color="000000" w:sz="6" w:space="0"/>
            </w:tcBorders>
            <w:noWrap w:val="0"/>
            <w:vAlign w:val="center"/>
          </w:tcPr>
          <w:p w14:paraId="46BE076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noWrap w:val="0"/>
            <w:vAlign w:val="center"/>
          </w:tcPr>
          <w:p w14:paraId="6A9CB70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14:paraId="727343C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每天检查会议室的</w:t>
            </w:r>
            <w:r>
              <w:rPr>
                <w:rFonts w:hint="eastAsia" w:ascii="Times New Roman" w:hAnsi="Times New Roman" w:eastAsia="宋体" w:cs="Times New Roman"/>
                <w:color w:val="auto"/>
                <w:kern w:val="2"/>
                <w:sz w:val="21"/>
                <w:szCs w:val="24"/>
                <w:lang w:val="en-US" w:eastAsia="zh-CN" w:bidi="ar-SA"/>
              </w:rPr>
              <w:t>使用</w:t>
            </w:r>
            <w:r>
              <w:rPr>
                <w:rFonts w:hint="default" w:ascii="Times New Roman" w:hAnsi="Times New Roman" w:eastAsia="宋体" w:cs="Times New Roman"/>
                <w:color w:val="auto"/>
                <w:kern w:val="2"/>
                <w:sz w:val="21"/>
                <w:szCs w:val="24"/>
                <w:lang w:val="en-US" w:eastAsia="zh-CN" w:bidi="ar-SA"/>
              </w:rPr>
              <w:t>情况，如设施设备有损坏的及时报</w:t>
            </w:r>
            <w:r>
              <w:rPr>
                <w:rFonts w:hint="eastAsia" w:ascii="Times New Roman" w:hAnsi="Times New Roman" w:eastAsia="宋体" w:cs="Times New Roman"/>
                <w:color w:val="auto"/>
                <w:kern w:val="2"/>
                <w:sz w:val="21"/>
                <w:szCs w:val="24"/>
                <w:lang w:val="en-US" w:eastAsia="zh-CN" w:bidi="ar-SA"/>
              </w:rPr>
              <w:t>物业经理</w:t>
            </w:r>
            <w:r>
              <w:rPr>
                <w:rFonts w:hint="default" w:ascii="Times New Roman" w:hAnsi="Times New Roman" w:eastAsia="宋体" w:cs="Times New Roman"/>
                <w:color w:val="auto"/>
                <w:kern w:val="2"/>
                <w:sz w:val="21"/>
                <w:szCs w:val="24"/>
                <w:lang w:val="en-US" w:eastAsia="zh-CN" w:bidi="ar-SA"/>
              </w:rPr>
              <w:t>；</w:t>
            </w:r>
          </w:p>
        </w:tc>
      </w:tr>
      <w:tr w14:paraId="2540C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2" w:space="0"/>
              <w:left w:val="single" w:color="000000" w:sz="6" w:space="0"/>
              <w:bottom w:val="single" w:color="000000" w:sz="6" w:space="0"/>
              <w:right w:val="single" w:color="000000" w:sz="6" w:space="0"/>
            </w:tcBorders>
            <w:noWrap w:val="0"/>
            <w:vAlign w:val="center"/>
          </w:tcPr>
          <w:p w14:paraId="78037CB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noWrap w:val="0"/>
            <w:vAlign w:val="center"/>
          </w:tcPr>
          <w:p w14:paraId="47E4DC9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14:paraId="73B395A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每日听取</w:t>
            </w:r>
            <w:r>
              <w:rPr>
                <w:rFonts w:hint="eastAsia" w:ascii="Times New Roman" w:hAnsi="Times New Roman" w:eastAsia="宋体" w:cs="Times New Roman"/>
                <w:color w:val="auto"/>
                <w:kern w:val="2"/>
                <w:sz w:val="21"/>
                <w:szCs w:val="24"/>
                <w:lang w:val="en-US" w:eastAsia="zh-CN" w:bidi="ar-SA"/>
              </w:rPr>
              <w:t>办公室</w:t>
            </w:r>
            <w:r>
              <w:rPr>
                <w:rFonts w:hint="default" w:ascii="Times New Roman" w:hAnsi="Times New Roman" w:eastAsia="宋体" w:cs="Times New Roman"/>
                <w:color w:val="auto"/>
                <w:kern w:val="2"/>
                <w:sz w:val="21"/>
                <w:szCs w:val="24"/>
                <w:lang w:val="en-US" w:eastAsia="zh-CN" w:bidi="ar-SA"/>
              </w:rPr>
              <w:t>所安排的会议并做好相应的记录；</w:t>
            </w:r>
          </w:p>
        </w:tc>
      </w:tr>
      <w:tr w14:paraId="4FF3F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2" w:space="0"/>
              <w:left w:val="single" w:color="000000" w:sz="6" w:space="0"/>
              <w:bottom w:val="single" w:color="000000" w:sz="6" w:space="0"/>
              <w:right w:val="single" w:color="000000" w:sz="6" w:space="0"/>
            </w:tcBorders>
            <w:noWrap w:val="0"/>
            <w:vAlign w:val="center"/>
          </w:tcPr>
          <w:p w14:paraId="5FF55F5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noWrap w:val="0"/>
            <w:vAlign w:val="center"/>
          </w:tcPr>
          <w:p w14:paraId="34B90AA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14:paraId="6D2350C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每月对会议室使用情况进行统计，报</w:t>
            </w:r>
            <w:r>
              <w:rPr>
                <w:rFonts w:hint="eastAsia" w:ascii="Times New Roman" w:hAnsi="Times New Roman" w:eastAsia="宋体" w:cs="Times New Roman"/>
                <w:color w:val="auto"/>
                <w:kern w:val="2"/>
                <w:sz w:val="21"/>
                <w:szCs w:val="24"/>
                <w:lang w:val="en-US" w:eastAsia="zh-CN" w:bidi="ar-SA"/>
              </w:rPr>
              <w:t>物业经理留档</w:t>
            </w:r>
            <w:r>
              <w:rPr>
                <w:rFonts w:hint="default" w:ascii="Times New Roman" w:hAnsi="Times New Roman" w:eastAsia="宋体" w:cs="Times New Roman"/>
                <w:color w:val="auto"/>
                <w:kern w:val="2"/>
                <w:sz w:val="21"/>
                <w:szCs w:val="24"/>
                <w:lang w:val="en-US" w:eastAsia="zh-CN" w:bidi="ar-SA"/>
              </w:rPr>
              <w:t>；</w:t>
            </w:r>
          </w:p>
        </w:tc>
      </w:tr>
      <w:tr w14:paraId="2F47C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2" w:space="0"/>
              <w:left w:val="single" w:color="000000" w:sz="6" w:space="0"/>
              <w:bottom w:val="single" w:color="000000" w:sz="6" w:space="0"/>
              <w:right w:val="single" w:color="000000" w:sz="6" w:space="0"/>
            </w:tcBorders>
            <w:noWrap w:val="0"/>
            <w:vAlign w:val="center"/>
          </w:tcPr>
          <w:p w14:paraId="34FB4CF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noWrap w:val="0"/>
            <w:vAlign w:val="center"/>
          </w:tcPr>
          <w:p w14:paraId="20E08C6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14:paraId="76CADF4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负责每天检查会议室等服务区域的室内设备、设施有无故障，发现问题应及时报修；</w:t>
            </w:r>
          </w:p>
        </w:tc>
      </w:tr>
      <w:tr w14:paraId="359A9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2" w:space="0"/>
              <w:left w:val="single" w:color="000000" w:sz="6" w:space="0"/>
              <w:bottom w:val="single" w:color="000000" w:sz="6" w:space="0"/>
              <w:right w:val="single" w:color="000000" w:sz="6" w:space="0"/>
            </w:tcBorders>
            <w:noWrap w:val="0"/>
            <w:vAlign w:val="center"/>
          </w:tcPr>
          <w:p w14:paraId="785183A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noWrap w:val="0"/>
            <w:vAlign w:val="center"/>
          </w:tcPr>
          <w:p w14:paraId="242DEF5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noWrap w:val="0"/>
            <w:vAlign w:val="center"/>
          </w:tcPr>
          <w:p w14:paraId="59369BF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在清理会议室时，如发现有与会人遗留的物品或资料时，应及时归还或与会务负责人联系，由会务负责人负责处理</w:t>
            </w:r>
            <w:r>
              <w:rPr>
                <w:rFonts w:hint="eastAsia" w:ascii="Times New Roman" w:hAnsi="Times New Roman" w:eastAsia="宋体" w:cs="Times New Roman"/>
                <w:color w:val="auto"/>
                <w:kern w:val="2"/>
                <w:sz w:val="21"/>
                <w:szCs w:val="24"/>
                <w:lang w:val="en-US" w:eastAsia="zh-CN" w:bidi="ar-SA"/>
              </w:rPr>
              <w:t>；</w:t>
            </w:r>
          </w:p>
        </w:tc>
      </w:tr>
      <w:tr w14:paraId="40312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131" w:type="dxa"/>
            <w:vMerge w:val="continue"/>
            <w:tcBorders>
              <w:top w:val="single" w:color="000000" w:sz="2" w:space="0"/>
              <w:left w:val="single" w:color="000000" w:sz="6" w:space="0"/>
              <w:bottom w:val="single" w:color="000000" w:sz="6" w:space="0"/>
              <w:right w:val="single" w:color="000000" w:sz="6" w:space="0"/>
            </w:tcBorders>
            <w:noWrap w:val="0"/>
            <w:vAlign w:val="center"/>
          </w:tcPr>
          <w:p w14:paraId="6EDD2B6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noWrap w:val="0"/>
            <w:vAlign w:val="center"/>
          </w:tcPr>
          <w:p w14:paraId="4C042F8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8182" w:type="dxa"/>
            <w:tcBorders>
              <w:top w:val="single" w:color="000000" w:sz="2" w:space="0"/>
              <w:left w:val="single" w:color="000000" w:sz="6" w:space="0"/>
              <w:bottom w:val="single" w:color="000000" w:sz="6" w:space="0"/>
              <w:right w:val="single" w:color="000000" w:sz="6" w:space="0"/>
            </w:tcBorders>
            <w:noWrap w:val="0"/>
            <w:vAlign w:val="center"/>
          </w:tcPr>
          <w:p w14:paraId="20C64FA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会议结束后，对使用过的资料、文件，按会议组织人员或保密要求处理。</w:t>
            </w:r>
          </w:p>
        </w:tc>
      </w:tr>
    </w:tbl>
    <w:p w14:paraId="2F41AD40">
      <w:pPr>
        <w:pStyle w:val="14"/>
        <w:widowControl w:val="0"/>
        <w:numPr>
          <w:ilvl w:val="0"/>
          <w:numId w:val="0"/>
        </w:numPr>
        <w:adjustRightInd w:val="0"/>
        <w:ind w:right="33" w:rightChars="0" w:firstLine="640" w:firstLineChars="200"/>
        <w:jc w:val="left"/>
        <w:textAlignment w:val="baseline"/>
        <w:rPr>
          <w:rFonts w:hint="default" w:ascii="Times New Roman" w:hAnsi="Times New Roman" w:eastAsia="宋体" w:cs="Times New Roman"/>
          <w:color w:val="auto"/>
          <w:kern w:val="2"/>
          <w:sz w:val="32"/>
          <w:szCs w:val="32"/>
          <w:lang w:val="en-US" w:eastAsia="zh-CN" w:bidi="ar-SA"/>
        </w:rPr>
      </w:pPr>
      <w:r>
        <w:rPr>
          <w:rFonts w:hint="default" w:ascii="Times New Roman" w:hAnsi="Times New Roman" w:eastAsia="宋体" w:cs="Times New Roman"/>
          <w:color w:val="auto"/>
          <w:kern w:val="2"/>
          <w:sz w:val="32"/>
          <w:szCs w:val="32"/>
          <w:lang w:val="en-US" w:eastAsia="zh-CN" w:bidi="ar-SA"/>
        </w:rPr>
        <w:t>（五）公共部位维护</w:t>
      </w:r>
      <w:r>
        <w:rPr>
          <w:rFonts w:hint="eastAsia" w:ascii="Times New Roman" w:hAnsi="Times New Roman" w:eastAsia="宋体" w:cs="Times New Roman"/>
          <w:color w:val="auto"/>
          <w:kern w:val="2"/>
          <w:sz w:val="32"/>
          <w:szCs w:val="32"/>
          <w:lang w:val="en-US" w:eastAsia="zh-CN" w:bidi="ar-SA"/>
        </w:rPr>
        <w:t>内容及</w:t>
      </w:r>
      <w:r>
        <w:rPr>
          <w:rFonts w:hint="default" w:ascii="Times New Roman" w:hAnsi="Times New Roman" w:eastAsia="宋体" w:cs="Times New Roman"/>
          <w:color w:val="auto"/>
          <w:kern w:val="2"/>
          <w:sz w:val="32"/>
          <w:szCs w:val="32"/>
          <w:lang w:val="en-US" w:eastAsia="zh-CN" w:bidi="ar-SA"/>
        </w:rPr>
        <w:t>标准</w:t>
      </w:r>
    </w:p>
    <w:tbl>
      <w:tblPr>
        <w:tblStyle w:val="25"/>
        <w:tblW w:w="108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82"/>
        <w:gridCol w:w="1129"/>
        <w:gridCol w:w="1934"/>
        <w:gridCol w:w="6774"/>
      </w:tblGrid>
      <w:tr w14:paraId="378EF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982" w:type="dxa"/>
            <w:tcBorders>
              <w:top w:val="single" w:color="auto" w:sz="4" w:space="0"/>
              <w:left w:val="single" w:color="auto" w:sz="4" w:space="0"/>
              <w:bottom w:val="single" w:color="auto" w:sz="4" w:space="0"/>
              <w:right w:val="single" w:color="auto" w:sz="4" w:space="0"/>
            </w:tcBorders>
            <w:noWrap w:val="0"/>
            <w:vAlign w:val="center"/>
          </w:tcPr>
          <w:p w14:paraId="44A81D2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服务项目</w:t>
            </w:r>
          </w:p>
        </w:tc>
        <w:tc>
          <w:tcPr>
            <w:tcW w:w="1129" w:type="dxa"/>
            <w:tcBorders>
              <w:top w:val="single" w:color="auto" w:sz="4" w:space="0"/>
              <w:left w:val="single" w:color="auto" w:sz="4" w:space="0"/>
              <w:bottom w:val="single" w:color="auto" w:sz="4" w:space="0"/>
              <w:right w:val="single" w:color="auto" w:sz="4" w:space="0"/>
            </w:tcBorders>
            <w:noWrap w:val="0"/>
            <w:vAlign w:val="center"/>
          </w:tcPr>
          <w:p w14:paraId="603438B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序号</w:t>
            </w:r>
          </w:p>
        </w:tc>
        <w:tc>
          <w:tcPr>
            <w:tcW w:w="1934" w:type="dxa"/>
            <w:tcBorders>
              <w:top w:val="single" w:color="auto" w:sz="4" w:space="0"/>
              <w:left w:val="single" w:color="auto" w:sz="4" w:space="0"/>
              <w:bottom w:val="single" w:color="auto" w:sz="4" w:space="0"/>
              <w:right w:val="single" w:color="auto" w:sz="4" w:space="0"/>
            </w:tcBorders>
            <w:noWrap w:val="0"/>
            <w:vAlign w:val="center"/>
          </w:tcPr>
          <w:p w14:paraId="40967B0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内容</w:t>
            </w:r>
          </w:p>
        </w:tc>
        <w:tc>
          <w:tcPr>
            <w:tcW w:w="6774" w:type="dxa"/>
            <w:tcBorders>
              <w:top w:val="single" w:color="auto" w:sz="4" w:space="0"/>
              <w:left w:val="single" w:color="auto" w:sz="4" w:space="0"/>
              <w:bottom w:val="single" w:color="auto" w:sz="4" w:space="0"/>
              <w:right w:val="single" w:color="auto" w:sz="4" w:space="0"/>
            </w:tcBorders>
            <w:noWrap w:val="0"/>
            <w:vAlign w:val="center"/>
          </w:tcPr>
          <w:p w14:paraId="4A49253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服务标准</w:t>
            </w:r>
          </w:p>
        </w:tc>
      </w:tr>
      <w:tr w14:paraId="70614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982" w:type="dxa"/>
            <w:vMerge w:val="restart"/>
            <w:tcBorders>
              <w:top w:val="single" w:color="auto" w:sz="4" w:space="0"/>
              <w:left w:val="single" w:color="auto" w:sz="4" w:space="0"/>
              <w:bottom w:val="single" w:color="000000" w:sz="6" w:space="0"/>
              <w:right w:val="single" w:color="auto" w:sz="4" w:space="0"/>
            </w:tcBorders>
            <w:noWrap w:val="0"/>
            <w:vAlign w:val="center"/>
          </w:tcPr>
          <w:p w14:paraId="66C6EE0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公共部位</w:t>
            </w:r>
          </w:p>
        </w:tc>
        <w:tc>
          <w:tcPr>
            <w:tcW w:w="1129" w:type="dxa"/>
            <w:tcBorders>
              <w:top w:val="single" w:color="auto" w:sz="4" w:space="0"/>
              <w:left w:val="single" w:color="auto" w:sz="4" w:space="0"/>
              <w:bottom w:val="single" w:color="auto" w:sz="4" w:space="0"/>
              <w:right w:val="single" w:color="auto" w:sz="4" w:space="0"/>
            </w:tcBorders>
            <w:noWrap w:val="0"/>
            <w:vAlign w:val="center"/>
          </w:tcPr>
          <w:p w14:paraId="52399C9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w:t>
            </w:r>
          </w:p>
        </w:tc>
        <w:tc>
          <w:tcPr>
            <w:tcW w:w="1934" w:type="dxa"/>
            <w:tcBorders>
              <w:top w:val="single" w:color="auto" w:sz="4" w:space="0"/>
              <w:left w:val="single" w:color="auto" w:sz="4" w:space="0"/>
              <w:bottom w:val="single" w:color="auto" w:sz="4" w:space="0"/>
              <w:right w:val="single" w:color="auto" w:sz="4" w:space="0"/>
            </w:tcBorders>
            <w:noWrap w:val="0"/>
            <w:vAlign w:val="center"/>
          </w:tcPr>
          <w:p w14:paraId="35F3E24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房屋结构</w:t>
            </w:r>
          </w:p>
        </w:tc>
        <w:tc>
          <w:tcPr>
            <w:tcW w:w="6774" w:type="dxa"/>
            <w:tcBorders>
              <w:top w:val="single" w:color="auto" w:sz="4" w:space="0"/>
              <w:left w:val="single" w:color="auto" w:sz="4" w:space="0"/>
              <w:bottom w:val="single" w:color="auto" w:sz="4" w:space="0"/>
              <w:right w:val="single" w:color="auto" w:sz="4" w:space="0"/>
            </w:tcBorders>
            <w:noWrap w:val="0"/>
            <w:vAlign w:val="center"/>
          </w:tcPr>
          <w:p w14:paraId="2BD2E62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每年两次以上对房屋结构、涉及使用安全的部位进行检查并有记录，发现损坏及时告知相关业主、使用人并安排专项维修。</w:t>
            </w:r>
          </w:p>
        </w:tc>
      </w:tr>
      <w:tr w14:paraId="19B8B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982" w:type="dxa"/>
            <w:vMerge w:val="continue"/>
            <w:tcBorders>
              <w:top w:val="single" w:color="auto" w:sz="4" w:space="0"/>
              <w:left w:val="single" w:color="auto" w:sz="4" w:space="0"/>
              <w:bottom w:val="single" w:color="000000" w:sz="6" w:space="0"/>
              <w:right w:val="single" w:color="auto" w:sz="4" w:space="0"/>
            </w:tcBorders>
            <w:noWrap w:val="0"/>
            <w:textDirection w:val="tbRlV"/>
            <w:vAlign w:val="center"/>
          </w:tcPr>
          <w:p w14:paraId="68B8083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129" w:type="dxa"/>
            <w:tcBorders>
              <w:top w:val="single" w:color="auto" w:sz="4" w:space="0"/>
              <w:left w:val="single" w:color="auto" w:sz="4" w:space="0"/>
              <w:bottom w:val="single" w:color="000000" w:sz="6" w:space="0"/>
              <w:right w:val="single" w:color="000000" w:sz="6" w:space="0"/>
            </w:tcBorders>
            <w:noWrap w:val="0"/>
            <w:vAlign w:val="center"/>
          </w:tcPr>
          <w:p w14:paraId="4F69905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w:t>
            </w:r>
          </w:p>
        </w:tc>
        <w:tc>
          <w:tcPr>
            <w:tcW w:w="1934" w:type="dxa"/>
            <w:tcBorders>
              <w:top w:val="single" w:color="auto" w:sz="4" w:space="0"/>
              <w:left w:val="single" w:color="000000" w:sz="6" w:space="0"/>
              <w:bottom w:val="single" w:color="000000" w:sz="6" w:space="0"/>
              <w:right w:val="single" w:color="000000" w:sz="6" w:space="0"/>
            </w:tcBorders>
            <w:noWrap w:val="0"/>
            <w:vAlign w:val="center"/>
          </w:tcPr>
          <w:p w14:paraId="432EBD3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门窗</w:t>
            </w:r>
          </w:p>
        </w:tc>
        <w:tc>
          <w:tcPr>
            <w:tcW w:w="6774" w:type="dxa"/>
            <w:tcBorders>
              <w:top w:val="single" w:color="auto" w:sz="4" w:space="0"/>
              <w:left w:val="single" w:color="000000" w:sz="6" w:space="0"/>
              <w:bottom w:val="single" w:color="000000" w:sz="6" w:space="0"/>
              <w:right w:val="single" w:color="000000" w:sz="6" w:space="0"/>
            </w:tcBorders>
            <w:noWrap w:val="0"/>
            <w:vAlign w:val="center"/>
          </w:tcPr>
          <w:p w14:paraId="733B14D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每日一次巡视楼内公共部位门窗，保持玻璃、门窗配件完好，开闭正常。</w:t>
            </w:r>
          </w:p>
        </w:tc>
      </w:tr>
      <w:tr w14:paraId="2EE58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982" w:type="dxa"/>
            <w:vMerge w:val="continue"/>
            <w:tcBorders>
              <w:top w:val="single" w:color="auto" w:sz="4" w:space="0"/>
              <w:left w:val="single" w:color="auto" w:sz="4" w:space="0"/>
              <w:bottom w:val="single" w:color="000000" w:sz="6" w:space="0"/>
              <w:right w:val="single" w:color="auto" w:sz="4" w:space="0"/>
            </w:tcBorders>
            <w:noWrap w:val="0"/>
            <w:textDirection w:val="tbRlV"/>
            <w:vAlign w:val="center"/>
          </w:tcPr>
          <w:p w14:paraId="762CB96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129" w:type="dxa"/>
            <w:tcBorders>
              <w:top w:val="single" w:color="000000" w:sz="6" w:space="0"/>
              <w:left w:val="single" w:color="auto" w:sz="4" w:space="0"/>
              <w:bottom w:val="single" w:color="000000" w:sz="6" w:space="0"/>
              <w:right w:val="single" w:color="000000" w:sz="6" w:space="0"/>
            </w:tcBorders>
            <w:noWrap w:val="0"/>
            <w:vAlign w:val="center"/>
          </w:tcPr>
          <w:p w14:paraId="13C5796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3</w:t>
            </w:r>
          </w:p>
        </w:tc>
        <w:tc>
          <w:tcPr>
            <w:tcW w:w="1934" w:type="dxa"/>
            <w:tcBorders>
              <w:top w:val="single" w:color="000000" w:sz="6" w:space="0"/>
              <w:left w:val="single" w:color="000000" w:sz="6" w:space="0"/>
              <w:bottom w:val="single" w:color="000000" w:sz="6" w:space="0"/>
              <w:right w:val="single" w:color="000000" w:sz="6" w:space="0"/>
            </w:tcBorders>
            <w:noWrap w:val="0"/>
            <w:vAlign w:val="center"/>
          </w:tcPr>
          <w:p w14:paraId="48DCC9F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屋顶</w:t>
            </w:r>
          </w:p>
        </w:tc>
        <w:tc>
          <w:tcPr>
            <w:tcW w:w="6774" w:type="dxa"/>
            <w:tcBorders>
              <w:top w:val="single" w:color="000000" w:sz="6" w:space="0"/>
              <w:left w:val="single" w:color="000000" w:sz="6" w:space="0"/>
              <w:bottom w:val="single" w:color="000000" w:sz="6" w:space="0"/>
              <w:right w:val="single" w:color="000000" w:sz="6" w:space="0"/>
            </w:tcBorders>
            <w:noWrap w:val="0"/>
            <w:vAlign w:val="center"/>
          </w:tcPr>
          <w:p w14:paraId="633C8DF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每年检查</w:t>
            </w:r>
            <w:r>
              <w:rPr>
                <w:rFonts w:hint="eastAsia" w:ascii="Times New Roman" w:hAnsi="Times New Roman" w:eastAsia="宋体" w:cs="Times New Roman"/>
                <w:color w:val="auto"/>
                <w:kern w:val="2"/>
                <w:sz w:val="21"/>
                <w:szCs w:val="24"/>
                <w:lang w:val="en-US" w:eastAsia="zh-CN" w:bidi="ar-SA"/>
              </w:rPr>
              <w:t>至少两</w:t>
            </w:r>
            <w:r>
              <w:rPr>
                <w:rFonts w:hint="default" w:ascii="Times New Roman" w:hAnsi="Times New Roman" w:eastAsia="宋体" w:cs="Times New Roman"/>
                <w:color w:val="auto"/>
                <w:kern w:val="2"/>
                <w:sz w:val="21"/>
                <w:szCs w:val="24"/>
                <w:lang w:val="en-US" w:eastAsia="zh-CN" w:bidi="ar-SA"/>
              </w:rPr>
              <w:t>次，发现屋顶防水层碎裂、隔热板断裂缺损和屋面瓦破碎应及时告知相关业主、使用人并安排专项维修（台风、暴雨到来前增加检查1次）。</w:t>
            </w:r>
          </w:p>
        </w:tc>
      </w:tr>
      <w:tr w14:paraId="6FD3B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982" w:type="dxa"/>
            <w:vMerge w:val="continue"/>
            <w:tcBorders>
              <w:top w:val="single" w:color="auto" w:sz="4" w:space="0"/>
              <w:left w:val="single" w:color="auto" w:sz="4" w:space="0"/>
              <w:bottom w:val="single" w:color="000000" w:sz="6" w:space="0"/>
              <w:right w:val="single" w:color="auto" w:sz="4" w:space="0"/>
            </w:tcBorders>
            <w:noWrap w:val="0"/>
            <w:textDirection w:val="tbRlV"/>
            <w:vAlign w:val="center"/>
          </w:tcPr>
          <w:p w14:paraId="09893D9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129" w:type="dxa"/>
            <w:tcBorders>
              <w:top w:val="single" w:color="000000" w:sz="6" w:space="0"/>
              <w:left w:val="single" w:color="auto" w:sz="4" w:space="0"/>
              <w:bottom w:val="single" w:color="000000" w:sz="6" w:space="0"/>
              <w:right w:val="single" w:color="000000" w:sz="6" w:space="0"/>
            </w:tcBorders>
            <w:noWrap w:val="0"/>
            <w:vAlign w:val="center"/>
          </w:tcPr>
          <w:p w14:paraId="6CB1046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4</w:t>
            </w:r>
          </w:p>
        </w:tc>
        <w:tc>
          <w:tcPr>
            <w:tcW w:w="1934" w:type="dxa"/>
            <w:tcBorders>
              <w:top w:val="single" w:color="000000" w:sz="6" w:space="0"/>
              <w:left w:val="single" w:color="000000" w:sz="6" w:space="0"/>
              <w:bottom w:val="single" w:color="000000" w:sz="6" w:space="0"/>
              <w:right w:val="single" w:color="000000" w:sz="6" w:space="0"/>
            </w:tcBorders>
            <w:noWrap w:val="0"/>
            <w:vAlign w:val="center"/>
          </w:tcPr>
          <w:p w14:paraId="0D09FCC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道路、路面、侧石、窨井盖</w:t>
            </w:r>
          </w:p>
        </w:tc>
        <w:tc>
          <w:tcPr>
            <w:tcW w:w="6774" w:type="dxa"/>
            <w:tcBorders>
              <w:top w:val="single" w:color="000000" w:sz="6" w:space="0"/>
              <w:left w:val="single" w:color="000000" w:sz="6" w:space="0"/>
              <w:bottom w:val="single" w:color="000000" w:sz="6" w:space="0"/>
              <w:right w:val="single" w:color="000000" w:sz="6" w:space="0"/>
            </w:tcBorders>
            <w:noWrap w:val="0"/>
            <w:vAlign w:val="center"/>
          </w:tcPr>
          <w:p w14:paraId="00DA4E2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每周一次对道路、路面、侧石、窨井盖等设施进行巡检，发现损坏及时告知相关业主、使用人并安排专项维修，井盖不缺损，能正常使用。</w:t>
            </w:r>
          </w:p>
        </w:tc>
      </w:tr>
      <w:tr w14:paraId="1E8C8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982" w:type="dxa"/>
            <w:vMerge w:val="continue"/>
            <w:tcBorders>
              <w:top w:val="single" w:color="auto" w:sz="4" w:space="0"/>
              <w:left w:val="single" w:color="auto" w:sz="4" w:space="0"/>
              <w:bottom w:val="single" w:color="000000" w:sz="6" w:space="0"/>
              <w:right w:val="single" w:color="auto" w:sz="4" w:space="0"/>
            </w:tcBorders>
            <w:noWrap w:val="0"/>
            <w:textDirection w:val="tbRlV"/>
            <w:vAlign w:val="center"/>
          </w:tcPr>
          <w:p w14:paraId="1C9FEC0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129" w:type="dxa"/>
            <w:tcBorders>
              <w:top w:val="single" w:color="000000" w:sz="6" w:space="0"/>
              <w:left w:val="single" w:color="auto" w:sz="4" w:space="0"/>
              <w:bottom w:val="single" w:color="000000" w:sz="6" w:space="0"/>
              <w:right w:val="single" w:color="000000" w:sz="6" w:space="0"/>
            </w:tcBorders>
            <w:noWrap w:val="0"/>
            <w:vAlign w:val="center"/>
          </w:tcPr>
          <w:p w14:paraId="002F8F3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p w14:paraId="30148A3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5</w:t>
            </w:r>
          </w:p>
        </w:tc>
        <w:tc>
          <w:tcPr>
            <w:tcW w:w="1934" w:type="dxa"/>
            <w:tcBorders>
              <w:top w:val="single" w:color="000000" w:sz="6" w:space="0"/>
              <w:left w:val="single" w:color="000000" w:sz="6" w:space="0"/>
              <w:bottom w:val="single" w:color="000000" w:sz="6" w:space="0"/>
              <w:right w:val="single" w:color="000000" w:sz="6" w:space="0"/>
            </w:tcBorders>
            <w:noWrap w:val="0"/>
            <w:vAlign w:val="center"/>
          </w:tcPr>
          <w:p w14:paraId="01BDA35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屋面泄水沟、楼外排水管道及化粪池</w:t>
            </w:r>
          </w:p>
        </w:tc>
        <w:tc>
          <w:tcPr>
            <w:tcW w:w="6774" w:type="dxa"/>
            <w:tcBorders>
              <w:top w:val="single" w:color="000000" w:sz="6" w:space="0"/>
              <w:left w:val="single" w:color="000000" w:sz="6" w:space="0"/>
              <w:bottom w:val="single" w:color="000000" w:sz="6" w:space="0"/>
              <w:right w:val="single" w:color="000000" w:sz="6" w:space="0"/>
            </w:tcBorders>
            <w:noWrap w:val="0"/>
            <w:vAlign w:val="center"/>
          </w:tcPr>
          <w:p w14:paraId="08847AE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每月一次对屋面泄水沟、楼外排水管道清扫、疏通一次；化粪池每年清理两次，保证化粪池出入口畅通，每月二次清扫明沟内的泥沙等垃圾。预计台风到来前，应及时检查。</w:t>
            </w:r>
          </w:p>
        </w:tc>
      </w:tr>
      <w:tr w14:paraId="3C202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982" w:type="dxa"/>
            <w:vMerge w:val="continue"/>
            <w:tcBorders>
              <w:top w:val="single" w:color="auto" w:sz="4" w:space="0"/>
              <w:left w:val="single" w:color="auto" w:sz="4" w:space="0"/>
              <w:bottom w:val="single" w:color="000000" w:sz="6" w:space="0"/>
              <w:right w:val="single" w:color="auto" w:sz="4" w:space="0"/>
            </w:tcBorders>
            <w:noWrap w:val="0"/>
            <w:textDirection w:val="tbRlV"/>
            <w:vAlign w:val="center"/>
          </w:tcPr>
          <w:p w14:paraId="77EB254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129" w:type="dxa"/>
            <w:tcBorders>
              <w:top w:val="single" w:color="000000" w:sz="6" w:space="0"/>
              <w:left w:val="single" w:color="auto" w:sz="4" w:space="0"/>
              <w:bottom w:val="single" w:color="000000" w:sz="6" w:space="0"/>
              <w:right w:val="single" w:color="000000" w:sz="6" w:space="0"/>
            </w:tcBorders>
            <w:noWrap w:val="0"/>
            <w:vAlign w:val="center"/>
          </w:tcPr>
          <w:p w14:paraId="261C91C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6</w:t>
            </w:r>
          </w:p>
        </w:tc>
        <w:tc>
          <w:tcPr>
            <w:tcW w:w="1934" w:type="dxa"/>
            <w:tcBorders>
              <w:top w:val="single" w:color="000000" w:sz="6" w:space="0"/>
              <w:left w:val="single" w:color="000000" w:sz="6" w:space="0"/>
              <w:bottom w:val="single" w:color="000000" w:sz="6" w:space="0"/>
              <w:right w:val="single" w:color="000000" w:sz="6" w:space="0"/>
            </w:tcBorders>
            <w:noWrap w:val="0"/>
            <w:vAlign w:val="center"/>
          </w:tcPr>
          <w:p w14:paraId="721B707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地面排水沟与围墙</w:t>
            </w:r>
          </w:p>
        </w:tc>
        <w:tc>
          <w:tcPr>
            <w:tcW w:w="6774" w:type="dxa"/>
            <w:tcBorders>
              <w:top w:val="single" w:color="000000" w:sz="6" w:space="0"/>
              <w:left w:val="single" w:color="000000" w:sz="6" w:space="0"/>
              <w:bottom w:val="single" w:color="000000" w:sz="6" w:space="0"/>
              <w:right w:val="single" w:color="000000" w:sz="6" w:space="0"/>
            </w:tcBorders>
            <w:noWrap w:val="0"/>
            <w:vAlign w:val="center"/>
          </w:tcPr>
          <w:p w14:paraId="6809EDF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每月一次巡查、清理地面排水沟的泥砂与杂物，每月</w:t>
            </w:r>
            <w:r>
              <w:rPr>
                <w:rFonts w:hint="eastAsia" w:ascii="Times New Roman" w:hAnsi="Times New Roman" w:eastAsia="宋体" w:cs="Times New Roman"/>
                <w:color w:val="auto"/>
                <w:kern w:val="2"/>
                <w:sz w:val="21"/>
                <w:szCs w:val="24"/>
                <w:lang w:val="en-US" w:eastAsia="zh-CN" w:bidi="ar-SA"/>
              </w:rPr>
              <w:t>两</w:t>
            </w:r>
            <w:r>
              <w:rPr>
                <w:rFonts w:hint="default" w:ascii="Times New Roman" w:hAnsi="Times New Roman" w:eastAsia="宋体" w:cs="Times New Roman"/>
                <w:color w:val="auto"/>
                <w:kern w:val="2"/>
                <w:sz w:val="21"/>
                <w:szCs w:val="24"/>
                <w:lang w:val="en-US" w:eastAsia="zh-CN" w:bidi="ar-SA"/>
              </w:rPr>
              <w:t>次巡查围墙。</w:t>
            </w:r>
          </w:p>
        </w:tc>
      </w:tr>
      <w:tr w14:paraId="04E67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982" w:type="dxa"/>
            <w:vMerge w:val="continue"/>
            <w:tcBorders>
              <w:top w:val="single" w:color="auto" w:sz="4" w:space="0"/>
              <w:left w:val="single" w:color="auto" w:sz="4" w:space="0"/>
              <w:bottom w:val="single" w:color="000000" w:sz="6" w:space="0"/>
              <w:right w:val="single" w:color="auto" w:sz="4" w:space="0"/>
            </w:tcBorders>
            <w:noWrap w:val="0"/>
            <w:textDirection w:val="tbRlV"/>
            <w:vAlign w:val="center"/>
          </w:tcPr>
          <w:p w14:paraId="566B499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129" w:type="dxa"/>
            <w:tcBorders>
              <w:top w:val="single" w:color="000000" w:sz="6" w:space="0"/>
              <w:left w:val="single" w:color="auto" w:sz="4" w:space="0"/>
              <w:bottom w:val="single" w:color="000000" w:sz="6" w:space="0"/>
              <w:right w:val="single" w:color="000000" w:sz="6" w:space="0"/>
            </w:tcBorders>
            <w:noWrap w:val="0"/>
            <w:vAlign w:val="center"/>
          </w:tcPr>
          <w:p w14:paraId="394F565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7</w:t>
            </w:r>
          </w:p>
        </w:tc>
        <w:tc>
          <w:tcPr>
            <w:tcW w:w="1934" w:type="dxa"/>
            <w:tcBorders>
              <w:top w:val="single" w:color="000000" w:sz="6" w:space="0"/>
              <w:left w:val="single" w:color="000000" w:sz="6" w:space="0"/>
              <w:bottom w:val="single" w:color="000000" w:sz="6" w:space="0"/>
              <w:right w:val="single" w:color="000000" w:sz="6" w:space="0"/>
            </w:tcBorders>
            <w:noWrap w:val="0"/>
            <w:vAlign w:val="center"/>
          </w:tcPr>
          <w:p w14:paraId="1D49463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楼梯间、走廊的室内墙地面</w:t>
            </w:r>
          </w:p>
        </w:tc>
        <w:tc>
          <w:tcPr>
            <w:tcW w:w="6774" w:type="dxa"/>
            <w:tcBorders>
              <w:top w:val="single" w:color="000000" w:sz="6" w:space="0"/>
              <w:left w:val="single" w:color="000000" w:sz="6" w:space="0"/>
              <w:bottom w:val="single" w:color="000000" w:sz="6" w:space="0"/>
              <w:right w:val="single" w:color="000000" w:sz="6" w:space="0"/>
            </w:tcBorders>
            <w:noWrap w:val="0"/>
            <w:vAlign w:val="center"/>
          </w:tcPr>
          <w:p w14:paraId="66B8DCD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墙面、顶面粉刷层无剥落，面砖、地砖平整不起壳，无缺损。</w:t>
            </w:r>
          </w:p>
        </w:tc>
      </w:tr>
      <w:tr w14:paraId="755BA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982" w:type="dxa"/>
            <w:vMerge w:val="continue"/>
            <w:tcBorders>
              <w:top w:val="single" w:color="auto" w:sz="4" w:space="0"/>
              <w:left w:val="single" w:color="auto" w:sz="4" w:space="0"/>
              <w:bottom w:val="single" w:color="000000" w:sz="6" w:space="0"/>
              <w:right w:val="single" w:color="auto" w:sz="4" w:space="0"/>
            </w:tcBorders>
            <w:noWrap w:val="0"/>
            <w:textDirection w:val="tbRlV"/>
            <w:vAlign w:val="center"/>
          </w:tcPr>
          <w:p w14:paraId="38E82D7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129" w:type="dxa"/>
            <w:tcBorders>
              <w:top w:val="single" w:color="000000" w:sz="6" w:space="0"/>
              <w:left w:val="single" w:color="auto" w:sz="4" w:space="0"/>
              <w:bottom w:val="single" w:color="000000" w:sz="6" w:space="0"/>
              <w:right w:val="single" w:color="000000" w:sz="6" w:space="0"/>
            </w:tcBorders>
            <w:noWrap w:val="0"/>
            <w:vAlign w:val="center"/>
          </w:tcPr>
          <w:p w14:paraId="59688FA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8</w:t>
            </w:r>
          </w:p>
        </w:tc>
        <w:tc>
          <w:tcPr>
            <w:tcW w:w="1934" w:type="dxa"/>
            <w:tcBorders>
              <w:top w:val="single" w:color="000000" w:sz="6" w:space="0"/>
              <w:left w:val="single" w:color="000000" w:sz="6" w:space="0"/>
              <w:bottom w:val="single" w:color="000000" w:sz="6" w:space="0"/>
              <w:right w:val="single" w:color="000000" w:sz="6" w:space="0"/>
            </w:tcBorders>
            <w:noWrap w:val="0"/>
            <w:vAlign w:val="center"/>
          </w:tcPr>
          <w:p w14:paraId="263E407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雕塑、</w:t>
            </w:r>
            <w:r>
              <w:rPr>
                <w:rFonts w:hint="eastAsia" w:ascii="Times New Roman" w:hAnsi="Times New Roman" w:eastAsia="宋体" w:cs="Times New Roman"/>
                <w:color w:val="auto"/>
                <w:kern w:val="2"/>
                <w:sz w:val="21"/>
                <w:szCs w:val="24"/>
                <w:lang w:val="en-US" w:eastAsia="zh-CN" w:bidi="ar-SA"/>
              </w:rPr>
              <w:t>水池</w:t>
            </w:r>
          </w:p>
        </w:tc>
        <w:tc>
          <w:tcPr>
            <w:tcW w:w="6774" w:type="dxa"/>
            <w:tcBorders>
              <w:top w:val="single" w:color="000000" w:sz="6" w:space="0"/>
              <w:left w:val="single" w:color="000000" w:sz="6" w:space="0"/>
              <w:bottom w:val="single" w:color="000000" w:sz="6" w:space="0"/>
              <w:right w:val="single" w:color="000000" w:sz="6" w:space="0"/>
            </w:tcBorders>
            <w:noWrap w:val="0"/>
            <w:vAlign w:val="center"/>
          </w:tcPr>
          <w:p w14:paraId="1D5418B2">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每日一次对雕塑、</w:t>
            </w:r>
            <w:r>
              <w:rPr>
                <w:rFonts w:hint="eastAsia" w:ascii="Times New Roman" w:hAnsi="Times New Roman" w:eastAsia="宋体" w:cs="Times New Roman"/>
                <w:color w:val="auto"/>
                <w:kern w:val="2"/>
                <w:sz w:val="21"/>
                <w:szCs w:val="24"/>
                <w:lang w:val="en-US" w:eastAsia="zh-CN" w:bidi="ar-SA"/>
              </w:rPr>
              <w:t>水池</w:t>
            </w:r>
            <w:r>
              <w:rPr>
                <w:rFonts w:hint="default" w:ascii="Times New Roman" w:hAnsi="Times New Roman" w:eastAsia="宋体" w:cs="Times New Roman"/>
                <w:color w:val="auto"/>
                <w:kern w:val="2"/>
                <w:sz w:val="21"/>
                <w:szCs w:val="24"/>
                <w:lang w:val="en-US" w:eastAsia="zh-CN" w:bidi="ar-SA"/>
              </w:rPr>
              <w:t>等进行巡查，发现损坏立即修复，保持原有面貌，保证其安全使用。</w:t>
            </w:r>
          </w:p>
        </w:tc>
      </w:tr>
      <w:tr w14:paraId="32060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982" w:type="dxa"/>
            <w:vMerge w:val="continue"/>
            <w:tcBorders>
              <w:top w:val="single" w:color="auto" w:sz="4" w:space="0"/>
              <w:left w:val="single" w:color="auto" w:sz="4" w:space="0"/>
              <w:bottom w:val="single" w:color="000000" w:sz="6" w:space="0"/>
              <w:right w:val="single" w:color="auto" w:sz="4" w:space="0"/>
            </w:tcBorders>
            <w:noWrap w:val="0"/>
            <w:textDirection w:val="tbRlV"/>
            <w:vAlign w:val="center"/>
          </w:tcPr>
          <w:p w14:paraId="085A715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p>
        </w:tc>
        <w:tc>
          <w:tcPr>
            <w:tcW w:w="1129" w:type="dxa"/>
            <w:tcBorders>
              <w:top w:val="single" w:color="000000" w:sz="6" w:space="0"/>
              <w:left w:val="single" w:color="auto" w:sz="4" w:space="0"/>
              <w:bottom w:val="single" w:color="000000" w:sz="6" w:space="0"/>
              <w:right w:val="single" w:color="000000" w:sz="6" w:space="0"/>
            </w:tcBorders>
            <w:noWrap w:val="0"/>
            <w:vAlign w:val="center"/>
          </w:tcPr>
          <w:p w14:paraId="0D9DA9B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9</w:t>
            </w:r>
          </w:p>
        </w:tc>
        <w:tc>
          <w:tcPr>
            <w:tcW w:w="1934" w:type="dxa"/>
            <w:tcBorders>
              <w:top w:val="single" w:color="000000" w:sz="6" w:space="0"/>
              <w:left w:val="single" w:color="000000" w:sz="6" w:space="0"/>
              <w:bottom w:val="single" w:color="000000" w:sz="6" w:space="0"/>
              <w:right w:val="single" w:color="000000" w:sz="6" w:space="0"/>
            </w:tcBorders>
            <w:noWrap w:val="0"/>
            <w:vAlign w:val="center"/>
          </w:tcPr>
          <w:p w14:paraId="45FCD12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安全标志</w:t>
            </w:r>
          </w:p>
        </w:tc>
        <w:tc>
          <w:tcPr>
            <w:tcW w:w="6774" w:type="dxa"/>
            <w:tcBorders>
              <w:top w:val="single" w:color="000000" w:sz="6" w:space="0"/>
              <w:left w:val="single" w:color="000000" w:sz="6" w:space="0"/>
              <w:bottom w:val="single" w:color="000000" w:sz="6" w:space="0"/>
              <w:right w:val="single" w:color="000000" w:sz="6" w:space="0"/>
            </w:tcBorders>
            <w:noWrap w:val="0"/>
            <w:vAlign w:val="center"/>
          </w:tcPr>
          <w:p w14:paraId="03AFEBF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对危险隐患部位设置安全防范警示标志，并在主要通道设置安全疏散指示和事故照明设施，每月</w:t>
            </w:r>
            <w:r>
              <w:rPr>
                <w:rFonts w:hint="eastAsia" w:ascii="Times New Roman" w:hAnsi="Times New Roman" w:eastAsia="宋体" w:cs="Times New Roman"/>
                <w:color w:val="auto"/>
                <w:kern w:val="2"/>
                <w:sz w:val="21"/>
                <w:szCs w:val="24"/>
                <w:lang w:val="en-US" w:eastAsia="zh-CN" w:bidi="ar-SA"/>
              </w:rPr>
              <w:t>至少</w:t>
            </w:r>
            <w:r>
              <w:rPr>
                <w:rFonts w:hint="default" w:ascii="Times New Roman" w:hAnsi="Times New Roman" w:eastAsia="宋体" w:cs="Times New Roman"/>
                <w:color w:val="auto"/>
                <w:kern w:val="2"/>
                <w:sz w:val="21"/>
                <w:szCs w:val="24"/>
                <w:lang w:val="en-US" w:eastAsia="zh-CN" w:bidi="ar-SA"/>
              </w:rPr>
              <w:t>检查</w:t>
            </w:r>
            <w:r>
              <w:rPr>
                <w:rFonts w:hint="eastAsia" w:ascii="Times New Roman" w:hAnsi="Times New Roman" w:eastAsia="宋体" w:cs="Times New Roman"/>
                <w:color w:val="auto"/>
                <w:kern w:val="2"/>
                <w:sz w:val="21"/>
                <w:szCs w:val="24"/>
                <w:lang w:val="en-US" w:eastAsia="zh-CN" w:bidi="ar-SA"/>
              </w:rPr>
              <w:t>两</w:t>
            </w:r>
            <w:r>
              <w:rPr>
                <w:rFonts w:hint="default" w:ascii="Times New Roman" w:hAnsi="Times New Roman" w:eastAsia="宋体" w:cs="Times New Roman"/>
                <w:color w:val="auto"/>
                <w:kern w:val="2"/>
                <w:sz w:val="21"/>
                <w:szCs w:val="24"/>
                <w:lang w:val="en-US" w:eastAsia="zh-CN" w:bidi="ar-SA"/>
              </w:rPr>
              <w:t>次，缺损及时补齐，保证标志清晰完整。</w:t>
            </w:r>
          </w:p>
        </w:tc>
      </w:tr>
    </w:tbl>
    <w:p w14:paraId="7F05381B">
      <w:pPr>
        <w:pStyle w:val="14"/>
        <w:widowControl w:val="0"/>
        <w:numPr>
          <w:ilvl w:val="0"/>
          <w:numId w:val="0"/>
        </w:numPr>
        <w:adjustRightInd w:val="0"/>
        <w:ind w:right="33" w:rightChars="0" w:firstLine="640" w:firstLineChars="20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32"/>
          <w:szCs w:val="32"/>
          <w:lang w:val="en-US" w:eastAsia="zh-CN" w:bidi="ar-SA"/>
        </w:rPr>
        <w:t>（六）电梯服务</w:t>
      </w:r>
      <w:r>
        <w:rPr>
          <w:rFonts w:hint="eastAsia" w:ascii="Times New Roman" w:hAnsi="Times New Roman" w:eastAsia="宋体" w:cs="Times New Roman"/>
          <w:color w:val="auto"/>
          <w:kern w:val="2"/>
          <w:sz w:val="32"/>
          <w:szCs w:val="32"/>
          <w:lang w:val="en-US" w:eastAsia="zh-CN" w:bidi="ar-SA"/>
        </w:rPr>
        <w:t>内容及</w:t>
      </w:r>
      <w:r>
        <w:rPr>
          <w:rFonts w:hint="default" w:ascii="Times New Roman" w:hAnsi="Times New Roman" w:eastAsia="宋体" w:cs="Times New Roman"/>
          <w:color w:val="auto"/>
          <w:kern w:val="2"/>
          <w:sz w:val="32"/>
          <w:szCs w:val="32"/>
          <w:lang w:val="en-US" w:eastAsia="zh-CN" w:bidi="ar-SA"/>
        </w:rPr>
        <w:t>标准</w:t>
      </w:r>
    </w:p>
    <w:tbl>
      <w:tblPr>
        <w:tblStyle w:val="25"/>
        <w:tblW w:w="1087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0"/>
        <w:gridCol w:w="9974"/>
      </w:tblGrid>
      <w:tr w14:paraId="5D517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3DA1DBF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服务项目</w:t>
            </w:r>
          </w:p>
        </w:tc>
        <w:tc>
          <w:tcPr>
            <w:tcW w:w="9974" w:type="dxa"/>
            <w:tcBorders>
              <w:top w:val="single" w:color="auto" w:sz="4" w:space="0"/>
              <w:left w:val="single" w:color="auto" w:sz="4" w:space="0"/>
              <w:bottom w:val="single" w:color="auto" w:sz="4" w:space="0"/>
              <w:right w:val="single" w:color="auto" w:sz="4" w:space="0"/>
            </w:tcBorders>
            <w:noWrap w:val="0"/>
            <w:vAlign w:val="center"/>
          </w:tcPr>
          <w:p w14:paraId="7AD6B69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服务标准</w:t>
            </w:r>
          </w:p>
        </w:tc>
      </w:tr>
      <w:tr w14:paraId="7CB07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6" w:hRule="atLeast"/>
          <w:jc w:val="center"/>
        </w:trPr>
        <w:tc>
          <w:tcPr>
            <w:tcW w:w="900" w:type="dxa"/>
            <w:tcBorders>
              <w:top w:val="single" w:color="auto" w:sz="4" w:space="0"/>
              <w:left w:val="single" w:color="000000" w:sz="2" w:space="0"/>
              <w:bottom w:val="single" w:color="000000" w:sz="6" w:space="0"/>
              <w:right w:val="single" w:color="000000" w:sz="6" w:space="0"/>
            </w:tcBorders>
            <w:noWrap w:val="0"/>
            <w:vAlign w:val="top"/>
          </w:tcPr>
          <w:p w14:paraId="6F3A2F73">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p>
          <w:p w14:paraId="39D72BB3">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p>
          <w:p w14:paraId="3D3918FD">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p>
          <w:p w14:paraId="04256D31">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p>
          <w:p w14:paraId="012F0817">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p>
          <w:p w14:paraId="377469F3">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p>
          <w:p w14:paraId="469228EA">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p>
          <w:p w14:paraId="22787A8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电梯</w:t>
            </w:r>
          </w:p>
        </w:tc>
        <w:tc>
          <w:tcPr>
            <w:tcW w:w="9974" w:type="dxa"/>
            <w:tcBorders>
              <w:top w:val="single" w:color="auto" w:sz="4" w:space="0"/>
              <w:left w:val="single" w:color="000000" w:sz="6" w:space="0"/>
              <w:bottom w:val="single" w:color="000000" w:sz="6" w:space="0"/>
              <w:right w:val="single" w:color="000000" w:sz="6" w:space="0"/>
            </w:tcBorders>
            <w:noWrap w:val="0"/>
            <w:vAlign w:val="top"/>
          </w:tcPr>
          <w:p w14:paraId="1CF3E921">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w:t>
            </w:r>
            <w:r>
              <w:rPr>
                <w:rFonts w:hint="eastAsia" w:cs="Times New Roman"/>
                <w:color w:val="auto"/>
                <w:kern w:val="2"/>
                <w:sz w:val="21"/>
                <w:szCs w:val="24"/>
                <w:lang w:val="en-US" w:eastAsia="zh-CN" w:bidi="ar-SA"/>
              </w:rPr>
              <w:t>乙方</w:t>
            </w:r>
            <w:r>
              <w:rPr>
                <w:rFonts w:hint="default" w:ascii="Times New Roman" w:hAnsi="Times New Roman" w:eastAsia="宋体" w:cs="Times New Roman"/>
                <w:color w:val="auto"/>
                <w:kern w:val="2"/>
                <w:sz w:val="21"/>
                <w:szCs w:val="24"/>
                <w:lang w:val="en-US" w:eastAsia="zh-CN" w:bidi="ar-SA"/>
              </w:rPr>
              <w:t>聘请的电梯维保公司必须具有国家规定的维保资质。</w:t>
            </w:r>
            <w:r>
              <w:rPr>
                <w:rFonts w:hint="eastAsia" w:cs="Times New Roman"/>
                <w:color w:val="auto"/>
                <w:kern w:val="2"/>
                <w:sz w:val="21"/>
                <w:szCs w:val="24"/>
                <w:lang w:val="en-US" w:eastAsia="zh-CN" w:bidi="ar-SA"/>
              </w:rPr>
              <w:t>本项目合同开始履约时附电梯维保合同。</w:t>
            </w:r>
          </w:p>
          <w:p w14:paraId="26B6F78D">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（2）遇电梯发生一般故障的，专业维修人员</w:t>
            </w:r>
            <w:r>
              <w:rPr>
                <w:rFonts w:hint="eastAsia" w:ascii="Times New Roman" w:hAnsi="Times New Roman" w:eastAsia="宋体" w:cs="Times New Roman"/>
                <w:color w:val="auto"/>
                <w:kern w:val="2"/>
                <w:sz w:val="21"/>
                <w:szCs w:val="24"/>
                <w:lang w:val="en-US" w:eastAsia="zh-CN" w:bidi="ar-SA"/>
              </w:rPr>
              <w:t>两</w:t>
            </w:r>
            <w:r>
              <w:rPr>
                <w:rFonts w:hint="default" w:ascii="Times New Roman" w:hAnsi="Times New Roman" w:eastAsia="宋体" w:cs="Times New Roman"/>
                <w:color w:val="auto"/>
                <w:kern w:val="2"/>
                <w:sz w:val="21"/>
                <w:szCs w:val="24"/>
                <w:lang w:val="en-US" w:eastAsia="zh-CN" w:bidi="ar-SA"/>
              </w:rPr>
              <w:t>小时内到达现场修理，发生电梯困人或其它重大事件时，物业管理人员5分钟之内到场应急处理，物业专业人员30分钟之内到场进行救助。</w:t>
            </w:r>
          </w:p>
          <w:p w14:paraId="22D5E5E8">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（3）每天应进行检查，检查记录存档。</w:t>
            </w:r>
          </w:p>
          <w:p w14:paraId="0EB8CEE5">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（4）保证电梯24小时完好，轿箱内按钮、灯具等配件保持完好，轿箱整洁。</w:t>
            </w:r>
          </w:p>
          <w:p w14:paraId="338CD5D3">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（5）设置紧急呼救装置的，应保证24小时完好，发生故障时确保三方通话。</w:t>
            </w:r>
          </w:p>
          <w:p w14:paraId="4D717220">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（6）有专业维修保养单位进行定期保养，每年进行安全检测并张贴《安全检验合格》标志，物业专人对电梯保养进行监督，对电梯运行进行管理并对情况进行记录。</w:t>
            </w:r>
          </w:p>
          <w:p w14:paraId="49F67633">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7）确定合理的电梯运行时间，随时监督电梯运行状况，加强日常维修保养，适时降温、通风、防雨，做好运行服务，经常巡查楼层，防止地面水流入电梯井，值班监督，防止违章使用电梯；记录每日电梯运行情况，建档备案。</w:t>
            </w:r>
          </w:p>
          <w:p w14:paraId="0AE3E04E">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（8）定期对机房、轿箱顶和底坑进行检查，发现问题及时处理，并做好记录。</w:t>
            </w:r>
          </w:p>
          <w:p w14:paraId="71890348">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（9）电梯维护保养提前一天通知业主或使用人，并尽可能减少对业主或使用人正常生活的影响。</w:t>
            </w:r>
          </w:p>
          <w:p w14:paraId="5A0EC407">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（10）建立电梯运行档案，记录电梯运行情况和维修保养工作内容。</w:t>
            </w:r>
          </w:p>
        </w:tc>
      </w:tr>
    </w:tbl>
    <w:p w14:paraId="3F21F861">
      <w:pPr>
        <w:pStyle w:val="14"/>
        <w:widowControl w:val="0"/>
        <w:numPr>
          <w:ilvl w:val="0"/>
          <w:numId w:val="0"/>
        </w:numPr>
        <w:adjustRightInd w:val="0"/>
        <w:ind w:right="33" w:rightChars="0" w:firstLine="640" w:firstLineChars="20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32"/>
          <w:szCs w:val="32"/>
          <w:lang w:val="en-US" w:eastAsia="zh-CN" w:bidi="ar-SA"/>
        </w:rPr>
        <w:t>（七）发电机维修养护</w:t>
      </w:r>
      <w:r>
        <w:rPr>
          <w:rFonts w:hint="eastAsia" w:ascii="Times New Roman" w:hAnsi="Times New Roman" w:eastAsia="宋体" w:cs="Times New Roman"/>
          <w:color w:val="auto"/>
          <w:kern w:val="2"/>
          <w:sz w:val="32"/>
          <w:szCs w:val="32"/>
          <w:lang w:val="en-US" w:eastAsia="zh-CN" w:bidi="ar-SA"/>
        </w:rPr>
        <w:t>内容及</w:t>
      </w:r>
      <w:r>
        <w:rPr>
          <w:rFonts w:hint="default" w:ascii="Times New Roman" w:hAnsi="Times New Roman" w:eastAsia="宋体" w:cs="Times New Roman"/>
          <w:color w:val="auto"/>
          <w:kern w:val="2"/>
          <w:sz w:val="32"/>
          <w:szCs w:val="32"/>
          <w:lang w:val="en-US" w:eastAsia="zh-CN" w:bidi="ar-SA"/>
        </w:rPr>
        <w:t>标准</w:t>
      </w:r>
    </w:p>
    <w:tbl>
      <w:tblPr>
        <w:tblStyle w:val="25"/>
        <w:tblW w:w="1087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6"/>
        <w:gridCol w:w="1768"/>
        <w:gridCol w:w="3856"/>
        <w:gridCol w:w="4344"/>
      </w:tblGrid>
      <w:tr w14:paraId="4BC6A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906" w:type="dxa"/>
            <w:tcBorders>
              <w:top w:val="single" w:color="000000" w:sz="2" w:space="0"/>
              <w:left w:val="single" w:color="000000" w:sz="2" w:space="0"/>
              <w:bottom w:val="single" w:color="000000" w:sz="2" w:space="0"/>
              <w:right w:val="single" w:color="000000" w:sz="2" w:space="0"/>
            </w:tcBorders>
            <w:noWrap w:val="0"/>
            <w:vAlign w:val="center"/>
          </w:tcPr>
          <w:p w14:paraId="2C7F17C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序号</w:t>
            </w:r>
          </w:p>
        </w:tc>
        <w:tc>
          <w:tcPr>
            <w:tcW w:w="1768" w:type="dxa"/>
            <w:tcBorders>
              <w:top w:val="single" w:color="000000" w:sz="2" w:space="0"/>
              <w:left w:val="single" w:color="000000" w:sz="2" w:space="0"/>
              <w:bottom w:val="single" w:color="000000" w:sz="2" w:space="0"/>
              <w:right w:val="single" w:color="000000" w:sz="2" w:space="0"/>
            </w:tcBorders>
            <w:noWrap w:val="0"/>
            <w:vAlign w:val="center"/>
          </w:tcPr>
          <w:p w14:paraId="4740B195">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保养周期</w:t>
            </w:r>
          </w:p>
        </w:tc>
        <w:tc>
          <w:tcPr>
            <w:tcW w:w="3856" w:type="dxa"/>
            <w:tcBorders>
              <w:top w:val="single" w:color="000000" w:sz="2" w:space="0"/>
              <w:left w:val="single" w:color="000000" w:sz="2" w:space="0"/>
              <w:bottom w:val="single" w:color="000000" w:sz="2" w:space="0"/>
              <w:right w:val="single" w:color="000000" w:sz="2" w:space="0"/>
            </w:tcBorders>
            <w:noWrap w:val="0"/>
            <w:vAlign w:val="center"/>
          </w:tcPr>
          <w:p w14:paraId="470B447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保养内容</w:t>
            </w:r>
          </w:p>
        </w:tc>
        <w:tc>
          <w:tcPr>
            <w:tcW w:w="4344" w:type="dxa"/>
            <w:tcBorders>
              <w:top w:val="single" w:color="000000" w:sz="2" w:space="0"/>
              <w:left w:val="single" w:color="000000" w:sz="2" w:space="0"/>
              <w:bottom w:val="single" w:color="000000" w:sz="2" w:space="0"/>
              <w:right w:val="single" w:color="000000" w:sz="2" w:space="0"/>
            </w:tcBorders>
            <w:noWrap w:val="0"/>
            <w:vAlign w:val="center"/>
          </w:tcPr>
          <w:p w14:paraId="434B66D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保养标准</w:t>
            </w:r>
          </w:p>
        </w:tc>
      </w:tr>
      <w:tr w14:paraId="6AC0E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906" w:type="dxa"/>
            <w:tcBorders>
              <w:top w:val="single" w:color="000000" w:sz="2" w:space="0"/>
              <w:left w:val="single" w:color="000000" w:sz="2" w:space="0"/>
              <w:bottom w:val="single" w:color="000000" w:sz="2" w:space="0"/>
              <w:right w:val="single" w:color="000000" w:sz="2" w:space="0"/>
            </w:tcBorders>
            <w:noWrap w:val="0"/>
            <w:vAlign w:val="center"/>
          </w:tcPr>
          <w:p w14:paraId="2265435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w:t>
            </w:r>
          </w:p>
        </w:tc>
        <w:tc>
          <w:tcPr>
            <w:tcW w:w="1768" w:type="dxa"/>
            <w:tcBorders>
              <w:top w:val="single" w:color="000000" w:sz="2" w:space="0"/>
              <w:left w:val="single" w:color="000000" w:sz="2" w:space="0"/>
              <w:bottom w:val="single" w:color="000000" w:sz="2" w:space="0"/>
              <w:right w:val="single" w:color="000000" w:sz="2" w:space="0"/>
            </w:tcBorders>
            <w:noWrap w:val="0"/>
            <w:vAlign w:val="center"/>
          </w:tcPr>
          <w:p w14:paraId="29C8CEB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日常保养</w:t>
            </w:r>
          </w:p>
        </w:tc>
        <w:tc>
          <w:tcPr>
            <w:tcW w:w="3856" w:type="dxa"/>
            <w:tcBorders>
              <w:top w:val="single" w:color="000000" w:sz="2" w:space="0"/>
              <w:left w:val="single" w:color="000000" w:sz="2" w:space="0"/>
              <w:bottom w:val="single" w:color="000000" w:sz="2" w:space="0"/>
              <w:right w:val="single" w:color="000000" w:sz="2" w:space="0"/>
            </w:tcBorders>
            <w:noWrap w:val="0"/>
            <w:vAlign w:val="center"/>
          </w:tcPr>
          <w:p w14:paraId="46F7599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检查发电机外观是否清洁、是否有漏水漏油现象。</w:t>
            </w:r>
          </w:p>
        </w:tc>
        <w:tc>
          <w:tcPr>
            <w:tcW w:w="4344" w:type="dxa"/>
            <w:tcBorders>
              <w:top w:val="single" w:color="000000" w:sz="2" w:space="0"/>
              <w:left w:val="single" w:color="000000" w:sz="2" w:space="0"/>
              <w:bottom w:val="single" w:color="000000" w:sz="2" w:space="0"/>
              <w:right w:val="single" w:color="000000" w:sz="2" w:space="0"/>
            </w:tcBorders>
            <w:noWrap w:val="0"/>
            <w:vAlign w:val="center"/>
          </w:tcPr>
          <w:p w14:paraId="7E6F7BF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外观完好，无污物，无漏水漏油。</w:t>
            </w:r>
          </w:p>
        </w:tc>
      </w:tr>
      <w:tr w14:paraId="31B40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jc w:val="center"/>
        </w:trPr>
        <w:tc>
          <w:tcPr>
            <w:tcW w:w="906" w:type="dxa"/>
            <w:tcBorders>
              <w:top w:val="single" w:color="000000" w:sz="2" w:space="0"/>
              <w:left w:val="single" w:color="000000" w:sz="2" w:space="0"/>
              <w:bottom w:val="single" w:color="000000" w:sz="2" w:space="0"/>
              <w:right w:val="single" w:color="000000" w:sz="2" w:space="0"/>
            </w:tcBorders>
            <w:noWrap w:val="0"/>
            <w:vAlign w:val="center"/>
          </w:tcPr>
          <w:p w14:paraId="5B47C2C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w:t>
            </w:r>
          </w:p>
        </w:tc>
        <w:tc>
          <w:tcPr>
            <w:tcW w:w="1768" w:type="dxa"/>
            <w:tcBorders>
              <w:top w:val="single" w:color="000000" w:sz="2" w:space="0"/>
              <w:left w:val="single" w:color="000000" w:sz="2" w:space="0"/>
              <w:bottom w:val="single" w:color="000000" w:sz="2" w:space="0"/>
              <w:right w:val="single" w:color="000000" w:sz="2" w:space="0"/>
            </w:tcBorders>
            <w:noWrap w:val="0"/>
            <w:vAlign w:val="center"/>
          </w:tcPr>
          <w:p w14:paraId="6DC1525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每周保养</w:t>
            </w:r>
          </w:p>
        </w:tc>
        <w:tc>
          <w:tcPr>
            <w:tcW w:w="3856" w:type="dxa"/>
            <w:tcBorders>
              <w:top w:val="single" w:color="000000" w:sz="2" w:space="0"/>
              <w:left w:val="single" w:color="000000" w:sz="2" w:space="0"/>
              <w:bottom w:val="single" w:color="000000" w:sz="2" w:space="0"/>
              <w:right w:val="single" w:color="000000" w:sz="2" w:space="0"/>
            </w:tcBorders>
            <w:noWrap w:val="0"/>
            <w:vAlign w:val="center"/>
          </w:tcPr>
          <w:p w14:paraId="79A65E4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清洁发电机外表；检查柴油、机油、冷却水、风扇皮带、电解液及电池电压是否达到要求；每周机组试运行15分钟。</w:t>
            </w:r>
          </w:p>
        </w:tc>
        <w:tc>
          <w:tcPr>
            <w:tcW w:w="4344" w:type="dxa"/>
            <w:tcBorders>
              <w:top w:val="single" w:color="000000" w:sz="2" w:space="0"/>
              <w:left w:val="single" w:color="000000" w:sz="2" w:space="0"/>
              <w:bottom w:val="single" w:color="000000" w:sz="2" w:space="0"/>
              <w:right w:val="single" w:color="000000" w:sz="2" w:space="0"/>
            </w:tcBorders>
            <w:noWrap w:val="0"/>
            <w:vAlign w:val="center"/>
          </w:tcPr>
          <w:p w14:paraId="475C38F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柴油、机油、冷却水、电解液和电池电压应保持在标准量；风扇皮带松紧适宜；机组试运行参数正常，无漏水漏油漏烟现象，无异常噪声。</w:t>
            </w:r>
          </w:p>
        </w:tc>
      </w:tr>
      <w:tr w14:paraId="0DF3A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06" w:type="dxa"/>
            <w:tcBorders>
              <w:top w:val="single" w:color="000000" w:sz="2" w:space="0"/>
              <w:left w:val="single" w:color="000000" w:sz="2" w:space="0"/>
              <w:bottom w:val="single" w:color="000000" w:sz="2" w:space="0"/>
              <w:right w:val="single" w:color="000000" w:sz="2" w:space="0"/>
            </w:tcBorders>
            <w:noWrap w:val="0"/>
            <w:vAlign w:val="center"/>
          </w:tcPr>
          <w:p w14:paraId="56C5DD1D">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3</w:t>
            </w:r>
          </w:p>
        </w:tc>
        <w:tc>
          <w:tcPr>
            <w:tcW w:w="1768" w:type="dxa"/>
            <w:tcBorders>
              <w:top w:val="single" w:color="000000" w:sz="2" w:space="0"/>
              <w:left w:val="single" w:color="000000" w:sz="2" w:space="0"/>
              <w:bottom w:val="single" w:color="000000" w:sz="2" w:space="0"/>
              <w:right w:val="single" w:color="000000" w:sz="2" w:space="0"/>
            </w:tcBorders>
            <w:noWrap w:val="0"/>
            <w:vAlign w:val="center"/>
          </w:tcPr>
          <w:p w14:paraId="3FD5346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运行250小时或</w:t>
            </w:r>
          </w:p>
          <w:p w14:paraId="1B0CD259">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一年一次</w:t>
            </w:r>
          </w:p>
        </w:tc>
        <w:tc>
          <w:tcPr>
            <w:tcW w:w="3856" w:type="dxa"/>
            <w:tcBorders>
              <w:top w:val="single" w:color="000000" w:sz="2" w:space="0"/>
              <w:left w:val="single" w:color="000000" w:sz="2" w:space="0"/>
              <w:bottom w:val="single" w:color="000000" w:sz="2" w:space="0"/>
              <w:right w:val="single" w:color="000000" w:sz="2" w:space="0"/>
            </w:tcBorders>
            <w:noWrap w:val="0"/>
            <w:vAlign w:val="center"/>
          </w:tcPr>
          <w:p w14:paraId="1F3775D7">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更换机油、冷却水、三滤</w:t>
            </w:r>
            <w:r>
              <w:rPr>
                <w:rFonts w:hint="eastAsia" w:ascii="Times New Roman" w:hAnsi="Times New Roman" w:eastAsia="宋体" w:cs="Times New Roman"/>
                <w:color w:val="auto"/>
                <w:kern w:val="2"/>
                <w:sz w:val="21"/>
                <w:szCs w:val="24"/>
                <w:lang w:val="en-US" w:eastAsia="zh-CN" w:bidi="ar-SA"/>
              </w:rPr>
              <w:t>。</w:t>
            </w:r>
          </w:p>
        </w:tc>
        <w:tc>
          <w:tcPr>
            <w:tcW w:w="4344" w:type="dxa"/>
            <w:tcBorders>
              <w:top w:val="single" w:color="000000" w:sz="2" w:space="0"/>
              <w:left w:val="single" w:color="000000" w:sz="2" w:space="0"/>
              <w:bottom w:val="single" w:color="000000" w:sz="2" w:space="0"/>
              <w:right w:val="single" w:color="000000" w:sz="2" w:space="0"/>
            </w:tcBorders>
            <w:noWrap w:val="0"/>
            <w:vAlign w:val="center"/>
          </w:tcPr>
          <w:p w14:paraId="1EA13BB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冷却水必须加入防锈防冻液。</w:t>
            </w:r>
          </w:p>
        </w:tc>
      </w:tr>
      <w:tr w14:paraId="74950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906" w:type="dxa"/>
            <w:tcBorders>
              <w:top w:val="single" w:color="000000" w:sz="2" w:space="0"/>
              <w:left w:val="single" w:color="000000" w:sz="2" w:space="0"/>
              <w:bottom w:val="single" w:color="000000" w:sz="2" w:space="0"/>
              <w:right w:val="single" w:color="000000" w:sz="2" w:space="0"/>
            </w:tcBorders>
            <w:noWrap w:val="0"/>
            <w:vAlign w:val="center"/>
          </w:tcPr>
          <w:p w14:paraId="40EE944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4</w:t>
            </w:r>
          </w:p>
        </w:tc>
        <w:tc>
          <w:tcPr>
            <w:tcW w:w="1768" w:type="dxa"/>
            <w:tcBorders>
              <w:top w:val="single" w:color="000000" w:sz="2" w:space="0"/>
              <w:left w:val="single" w:color="000000" w:sz="2" w:space="0"/>
              <w:bottom w:val="single" w:color="000000" w:sz="2" w:space="0"/>
              <w:right w:val="single" w:color="000000" w:sz="2" w:space="0"/>
            </w:tcBorders>
            <w:noWrap w:val="0"/>
            <w:vAlign w:val="center"/>
          </w:tcPr>
          <w:p w14:paraId="4F1D51A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每年保养</w:t>
            </w:r>
          </w:p>
        </w:tc>
        <w:tc>
          <w:tcPr>
            <w:tcW w:w="3856" w:type="dxa"/>
            <w:tcBorders>
              <w:top w:val="single" w:color="000000" w:sz="2" w:space="0"/>
              <w:left w:val="single" w:color="000000" w:sz="2" w:space="0"/>
              <w:bottom w:val="single" w:color="000000" w:sz="2" w:space="0"/>
              <w:right w:val="single" w:color="000000" w:sz="2" w:space="0"/>
            </w:tcBorders>
            <w:noWrap w:val="0"/>
            <w:vAlign w:val="center"/>
          </w:tcPr>
          <w:p w14:paraId="268F2A8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断路器、电缆接点清洁和紧固；发电机的手动及自动起动、停止测试。</w:t>
            </w:r>
          </w:p>
        </w:tc>
        <w:tc>
          <w:tcPr>
            <w:tcW w:w="4344" w:type="dxa"/>
            <w:tcBorders>
              <w:top w:val="single" w:color="000000" w:sz="2" w:space="0"/>
              <w:left w:val="single" w:color="000000" w:sz="2" w:space="0"/>
              <w:bottom w:val="single" w:color="000000" w:sz="2" w:space="0"/>
              <w:right w:val="single" w:color="000000" w:sz="2" w:space="0"/>
            </w:tcBorders>
            <w:noWrap w:val="0"/>
            <w:vAlign w:val="center"/>
          </w:tcPr>
          <w:p w14:paraId="4F29B22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断路器清洁；电缆接点牢固；发电机手动自动正常。</w:t>
            </w:r>
          </w:p>
        </w:tc>
      </w:tr>
    </w:tbl>
    <w:p w14:paraId="663E391C">
      <w:pPr>
        <w:pStyle w:val="14"/>
        <w:widowControl w:val="0"/>
        <w:numPr>
          <w:ilvl w:val="0"/>
          <w:numId w:val="0"/>
        </w:numPr>
        <w:adjustRightInd w:val="0"/>
        <w:ind w:right="33" w:rightChars="0" w:firstLine="640" w:firstLineChars="200"/>
        <w:jc w:val="left"/>
        <w:textAlignment w:val="baseline"/>
        <w:rPr>
          <w:rFonts w:hint="default" w:ascii="Times New Roman" w:hAnsi="Times New Roman" w:eastAsia="宋体" w:cs="Times New Roman"/>
          <w:color w:val="auto"/>
          <w:kern w:val="2"/>
          <w:sz w:val="32"/>
          <w:szCs w:val="32"/>
          <w:lang w:val="en-US" w:eastAsia="zh-CN" w:bidi="ar-SA"/>
        </w:rPr>
      </w:pPr>
      <w:r>
        <w:rPr>
          <w:rFonts w:hint="default" w:ascii="Times New Roman" w:hAnsi="Times New Roman" w:eastAsia="宋体" w:cs="Times New Roman"/>
          <w:color w:val="auto"/>
          <w:kern w:val="2"/>
          <w:sz w:val="32"/>
          <w:szCs w:val="32"/>
          <w:lang w:val="en-US" w:eastAsia="zh-CN" w:bidi="ar-SA"/>
        </w:rPr>
        <w:t>（八）绿化养护服务</w:t>
      </w:r>
      <w:r>
        <w:rPr>
          <w:rFonts w:hint="eastAsia" w:ascii="Times New Roman" w:hAnsi="Times New Roman" w:eastAsia="宋体" w:cs="Times New Roman"/>
          <w:color w:val="auto"/>
          <w:kern w:val="2"/>
          <w:sz w:val="32"/>
          <w:szCs w:val="32"/>
          <w:lang w:val="en-US" w:eastAsia="zh-CN" w:bidi="ar-SA"/>
        </w:rPr>
        <w:t>内容及</w:t>
      </w:r>
      <w:r>
        <w:rPr>
          <w:rFonts w:hint="default" w:ascii="Times New Roman" w:hAnsi="Times New Roman" w:eastAsia="宋体" w:cs="Times New Roman"/>
          <w:color w:val="auto"/>
          <w:kern w:val="2"/>
          <w:sz w:val="32"/>
          <w:szCs w:val="32"/>
          <w:lang w:val="en-US" w:eastAsia="zh-CN" w:bidi="ar-SA"/>
        </w:rPr>
        <w:t>标准</w:t>
      </w:r>
    </w:p>
    <w:tbl>
      <w:tblPr>
        <w:tblStyle w:val="25"/>
        <w:tblW w:w="107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1"/>
        <w:gridCol w:w="9038"/>
      </w:tblGrid>
      <w:tr w14:paraId="2F7FC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721" w:type="dxa"/>
            <w:tcBorders>
              <w:top w:val="single" w:color="000000" w:sz="2" w:space="0"/>
              <w:left w:val="single" w:color="000000" w:sz="2" w:space="0"/>
              <w:bottom w:val="single" w:color="000000" w:sz="2" w:space="0"/>
              <w:right w:val="single" w:color="000000" w:sz="2" w:space="0"/>
            </w:tcBorders>
            <w:noWrap w:val="0"/>
            <w:vAlign w:val="center"/>
          </w:tcPr>
          <w:p w14:paraId="494D449E">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服务项目</w:t>
            </w:r>
          </w:p>
        </w:tc>
        <w:tc>
          <w:tcPr>
            <w:tcW w:w="9038" w:type="dxa"/>
            <w:tcBorders>
              <w:top w:val="single" w:color="000000" w:sz="2" w:space="0"/>
              <w:left w:val="single" w:color="000000" w:sz="2" w:space="0"/>
              <w:bottom w:val="single" w:color="000000" w:sz="2" w:space="0"/>
              <w:right w:val="single" w:color="000000" w:sz="2" w:space="0"/>
            </w:tcBorders>
            <w:noWrap w:val="0"/>
            <w:vAlign w:val="center"/>
          </w:tcPr>
          <w:p w14:paraId="413AA96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服务标准</w:t>
            </w:r>
          </w:p>
        </w:tc>
      </w:tr>
      <w:tr w14:paraId="4A9BF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0" w:hRule="atLeast"/>
          <w:jc w:val="center"/>
        </w:trPr>
        <w:tc>
          <w:tcPr>
            <w:tcW w:w="1721" w:type="dxa"/>
            <w:tcBorders>
              <w:top w:val="single" w:color="000000" w:sz="2" w:space="0"/>
              <w:left w:val="single" w:color="000000" w:sz="2" w:space="0"/>
              <w:bottom w:val="single" w:color="000000" w:sz="2" w:space="0"/>
              <w:right w:val="single" w:color="000000" w:sz="6" w:space="0"/>
            </w:tcBorders>
            <w:noWrap w:val="0"/>
            <w:vAlign w:val="center"/>
          </w:tcPr>
          <w:p w14:paraId="7FB088FC">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绿化养护</w:t>
            </w:r>
          </w:p>
        </w:tc>
        <w:tc>
          <w:tcPr>
            <w:tcW w:w="9038" w:type="dxa"/>
            <w:tcBorders>
              <w:top w:val="single" w:color="000000" w:sz="2" w:space="0"/>
              <w:left w:val="single" w:color="000000" w:sz="6" w:space="0"/>
              <w:bottom w:val="single" w:color="000000" w:sz="2" w:space="0"/>
              <w:right w:val="single" w:color="000000" w:sz="6" w:space="0"/>
            </w:tcBorders>
            <w:noWrap w:val="0"/>
            <w:vAlign w:val="center"/>
          </w:tcPr>
          <w:p w14:paraId="3D86E0BC">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每月至少提供一次绿化养护服务，每年施肥服务至少2次以上，不定期喷洒农药，定期浇水、修剪。</w:t>
            </w:r>
          </w:p>
          <w:p w14:paraId="311EE411">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定期修剪、病虫害防治、灌溉、施肥、除草、松土。如遇暴风雨、台风，树木发生倒伏等情况，要及时或提前采取支架加固。对草坪（包括树木的枯枝、挂物）清理，保持绿化区的美观。</w:t>
            </w:r>
          </w:p>
          <w:p w14:paraId="5C658CDA">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服务成果标准：</w:t>
            </w:r>
          </w:p>
          <w:p w14:paraId="2ED07F81">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①树木类：生长正常、树冠完整，树形整齐美观，主侧枝分布均匀，无枯枝、</w:t>
            </w:r>
            <w:r>
              <w:rPr>
                <w:rFonts w:hint="eastAsia" w:ascii="Times New Roman" w:hAnsi="Times New Roman" w:eastAsia="宋体" w:cs="Times New Roman"/>
                <w:color w:val="auto"/>
                <w:kern w:val="2"/>
                <w:sz w:val="21"/>
                <w:szCs w:val="24"/>
                <w:lang w:val="en-US" w:eastAsia="zh-CN" w:bidi="ar-SA"/>
              </w:rPr>
              <w:t>无</w:t>
            </w:r>
            <w:r>
              <w:rPr>
                <w:rFonts w:hint="default" w:ascii="Times New Roman" w:hAnsi="Times New Roman" w:eastAsia="宋体" w:cs="Times New Roman"/>
                <w:color w:val="auto"/>
                <w:kern w:val="2"/>
                <w:sz w:val="21"/>
                <w:szCs w:val="24"/>
                <w:lang w:val="en-US" w:eastAsia="zh-CN" w:bidi="ar-SA"/>
              </w:rPr>
              <w:t>死杈枝、</w:t>
            </w:r>
            <w:r>
              <w:rPr>
                <w:rFonts w:hint="eastAsia" w:ascii="Times New Roman" w:hAnsi="Times New Roman" w:eastAsia="宋体" w:cs="Times New Roman"/>
                <w:color w:val="auto"/>
                <w:kern w:val="2"/>
                <w:sz w:val="21"/>
                <w:szCs w:val="24"/>
                <w:lang w:val="en-US" w:eastAsia="zh-CN" w:bidi="ar-SA"/>
              </w:rPr>
              <w:t>无</w:t>
            </w:r>
            <w:r>
              <w:rPr>
                <w:rFonts w:hint="default" w:ascii="Times New Roman" w:hAnsi="Times New Roman" w:eastAsia="宋体" w:cs="Times New Roman"/>
                <w:color w:val="auto"/>
                <w:kern w:val="2"/>
                <w:sz w:val="21"/>
                <w:szCs w:val="24"/>
                <w:lang w:val="en-US" w:eastAsia="zh-CN" w:bidi="ar-SA"/>
              </w:rPr>
              <w:t>折断枝挂树，无虫蛀、病害落叶、枯黄萎蔫、死亡等症状发生</w:t>
            </w:r>
            <w:r>
              <w:rPr>
                <w:rFonts w:hint="eastAsia" w:ascii="Times New Roman" w:hAnsi="Times New Roman" w:eastAsia="宋体" w:cs="Times New Roman"/>
                <w:color w:val="auto"/>
                <w:kern w:val="2"/>
                <w:sz w:val="21"/>
                <w:szCs w:val="24"/>
                <w:lang w:val="en-US" w:eastAsia="zh-CN" w:bidi="ar-SA"/>
              </w:rPr>
              <w:t>。</w:t>
            </w:r>
          </w:p>
          <w:p w14:paraId="405B04FB">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②草坪：修剪均匀整齐，生长良好、无高大杂草（杂草率≤2.5％）、95％≤覆盖率），保持整洁。</w:t>
            </w:r>
          </w:p>
          <w:p w14:paraId="4707D0DC">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③绿篱及地被：株行距均匀，生长正常、整齐一致，无枯死衰败苗木、无明显病虫害发生，无杂草野树，无垃圾杂物附着，无断带现象。</w:t>
            </w:r>
          </w:p>
          <w:p w14:paraId="3CBCA658">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④露地花卉：苗木生长旺盛，花繁叶茂，整齐美观。无明病虫害发生，无调谢、残缺现象，栽植地或株下无垃圾、杂草，修剪科学合理。</w:t>
            </w:r>
          </w:p>
          <w:p w14:paraId="3E404053">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⑤绿化保洁：地面无杂物、堆物、垃圾，树干无钉栓刻画等现象。对绿地生产垃圾（如树枝、树叶、草屑等），重点地区随产随清，其它地区日产日清。</w:t>
            </w:r>
          </w:p>
        </w:tc>
      </w:tr>
    </w:tbl>
    <w:p w14:paraId="418AC98F">
      <w:pPr>
        <w:pStyle w:val="14"/>
        <w:widowControl w:val="0"/>
        <w:numPr>
          <w:ilvl w:val="0"/>
          <w:numId w:val="0"/>
        </w:numPr>
        <w:adjustRightInd w:val="0"/>
        <w:ind w:right="33" w:rightChars="0" w:firstLine="640" w:firstLineChars="200"/>
        <w:jc w:val="left"/>
        <w:textAlignment w:val="baseline"/>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32"/>
          <w:szCs w:val="32"/>
          <w:lang w:val="en-US" w:eastAsia="zh-CN" w:bidi="ar-SA"/>
        </w:rPr>
        <w:t>（</w:t>
      </w:r>
      <w:r>
        <w:rPr>
          <w:rFonts w:hint="default" w:ascii="Times New Roman" w:hAnsi="Times New Roman" w:eastAsia="宋体" w:cs="Times New Roman"/>
          <w:color w:val="auto"/>
          <w:kern w:val="2"/>
          <w:sz w:val="32"/>
          <w:szCs w:val="32"/>
          <w:lang w:val="en-US" w:eastAsia="zh-CN" w:bidi="ar-SA"/>
        </w:rPr>
        <w:t>九</w:t>
      </w:r>
      <w:r>
        <w:rPr>
          <w:rFonts w:hint="eastAsia" w:ascii="Times New Roman" w:hAnsi="Times New Roman" w:eastAsia="宋体" w:cs="Times New Roman"/>
          <w:color w:val="auto"/>
          <w:kern w:val="2"/>
          <w:sz w:val="32"/>
          <w:szCs w:val="32"/>
          <w:lang w:val="en-US" w:eastAsia="zh-CN" w:bidi="ar-SA"/>
        </w:rPr>
        <w:t>）</w:t>
      </w:r>
      <w:r>
        <w:rPr>
          <w:rFonts w:hint="default" w:ascii="Times New Roman" w:hAnsi="Times New Roman" w:eastAsia="宋体" w:cs="Times New Roman"/>
          <w:color w:val="auto"/>
          <w:kern w:val="2"/>
          <w:sz w:val="32"/>
          <w:szCs w:val="32"/>
          <w:lang w:val="en-US" w:eastAsia="zh-CN" w:bidi="ar-SA"/>
        </w:rPr>
        <w:t>避雷系统服务</w:t>
      </w:r>
      <w:r>
        <w:rPr>
          <w:rFonts w:hint="eastAsia" w:ascii="Times New Roman" w:hAnsi="Times New Roman" w:eastAsia="宋体" w:cs="Times New Roman"/>
          <w:color w:val="auto"/>
          <w:kern w:val="2"/>
          <w:sz w:val="32"/>
          <w:szCs w:val="32"/>
          <w:lang w:val="en-US" w:eastAsia="zh-CN" w:bidi="ar-SA"/>
        </w:rPr>
        <w:t>内容及</w:t>
      </w:r>
      <w:r>
        <w:rPr>
          <w:rFonts w:hint="default" w:ascii="Times New Roman" w:hAnsi="Times New Roman" w:eastAsia="宋体" w:cs="Times New Roman"/>
          <w:color w:val="auto"/>
          <w:kern w:val="2"/>
          <w:sz w:val="32"/>
          <w:szCs w:val="32"/>
          <w:lang w:val="en-US" w:eastAsia="zh-CN" w:bidi="ar-SA"/>
        </w:rPr>
        <w:t>标准</w:t>
      </w:r>
    </w:p>
    <w:tbl>
      <w:tblPr>
        <w:tblStyle w:val="25"/>
        <w:tblW w:w="1087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3"/>
        <w:gridCol w:w="8962"/>
      </w:tblGrid>
      <w:tr w14:paraId="3AA56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913" w:type="dxa"/>
            <w:tcBorders>
              <w:top w:val="single" w:color="000000" w:sz="2" w:space="0"/>
              <w:left w:val="single" w:color="000000" w:sz="2" w:space="0"/>
              <w:bottom w:val="single" w:color="000000" w:sz="2" w:space="0"/>
              <w:right w:val="single" w:color="000000" w:sz="2" w:space="0"/>
            </w:tcBorders>
            <w:noWrap w:val="0"/>
            <w:vAlign w:val="center"/>
          </w:tcPr>
          <w:p w14:paraId="5DF24040">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服务项目</w:t>
            </w:r>
          </w:p>
        </w:tc>
        <w:tc>
          <w:tcPr>
            <w:tcW w:w="8962" w:type="dxa"/>
            <w:tcBorders>
              <w:top w:val="single" w:color="000000" w:sz="2" w:space="0"/>
              <w:left w:val="single" w:color="000000" w:sz="2" w:space="0"/>
              <w:bottom w:val="single" w:color="000000" w:sz="2" w:space="0"/>
              <w:right w:val="single" w:color="000000" w:sz="2" w:space="0"/>
            </w:tcBorders>
            <w:noWrap w:val="0"/>
            <w:vAlign w:val="center"/>
          </w:tcPr>
          <w:p w14:paraId="0959EEEF">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服务标准</w:t>
            </w:r>
          </w:p>
        </w:tc>
      </w:tr>
      <w:tr w14:paraId="0D807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jc w:val="center"/>
        </w:trPr>
        <w:tc>
          <w:tcPr>
            <w:tcW w:w="1913" w:type="dxa"/>
            <w:tcBorders>
              <w:top w:val="single" w:color="000000" w:sz="2" w:space="0"/>
              <w:left w:val="single" w:color="000000" w:sz="2" w:space="0"/>
              <w:bottom w:val="single" w:color="000000" w:sz="2" w:space="0"/>
              <w:right w:val="single" w:color="000000" w:sz="6" w:space="0"/>
            </w:tcBorders>
            <w:noWrap w:val="0"/>
            <w:vAlign w:val="center"/>
          </w:tcPr>
          <w:p w14:paraId="31396723">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避雷系统</w:t>
            </w:r>
          </w:p>
        </w:tc>
        <w:tc>
          <w:tcPr>
            <w:tcW w:w="8962" w:type="dxa"/>
            <w:tcBorders>
              <w:top w:val="single" w:color="000000" w:sz="2" w:space="0"/>
              <w:left w:val="single" w:color="000000" w:sz="6" w:space="0"/>
              <w:bottom w:val="single" w:color="000000" w:sz="2" w:space="0"/>
              <w:right w:val="single" w:color="000000" w:sz="6" w:space="0"/>
            </w:tcBorders>
            <w:noWrap w:val="0"/>
            <w:vAlign w:val="center"/>
          </w:tcPr>
          <w:p w14:paraId="0A707B0A">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避雷装置每年</w:t>
            </w:r>
            <w:r>
              <w:rPr>
                <w:rFonts w:hint="eastAsia" w:ascii="Times New Roman" w:hAnsi="Times New Roman" w:eastAsia="宋体" w:cs="Times New Roman"/>
                <w:color w:val="auto"/>
                <w:kern w:val="2"/>
                <w:sz w:val="21"/>
                <w:szCs w:val="24"/>
                <w:lang w:val="en-US" w:eastAsia="zh-CN" w:bidi="ar-SA"/>
              </w:rPr>
              <w:t>至少</w:t>
            </w:r>
            <w:r>
              <w:rPr>
                <w:rFonts w:hint="default" w:ascii="Times New Roman" w:hAnsi="Times New Roman" w:eastAsia="宋体" w:cs="Times New Roman"/>
                <w:color w:val="auto"/>
                <w:kern w:val="2"/>
                <w:sz w:val="21"/>
                <w:szCs w:val="24"/>
                <w:lang w:val="en-US" w:eastAsia="zh-CN" w:bidi="ar-SA"/>
              </w:rPr>
              <w:t>检查一次，保证其性能符合国家标准。在大雷雨过后及时对系统检查。发现严重腐蚀、松脱等立即更换或紧固。</w:t>
            </w:r>
          </w:p>
        </w:tc>
      </w:tr>
    </w:tbl>
    <w:p w14:paraId="708FE21A">
      <w:pPr>
        <w:pStyle w:val="14"/>
        <w:widowControl w:val="0"/>
        <w:numPr>
          <w:ilvl w:val="0"/>
          <w:numId w:val="0"/>
        </w:numPr>
        <w:adjustRightInd w:val="0"/>
        <w:ind w:right="33" w:rightChars="0" w:firstLine="640" w:firstLineChars="20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32"/>
          <w:szCs w:val="32"/>
          <w:lang w:val="en-US" w:eastAsia="zh-CN" w:bidi="ar-SA"/>
        </w:rPr>
        <w:t>（十）公共照明系统</w:t>
      </w:r>
      <w:r>
        <w:rPr>
          <w:rFonts w:hint="eastAsia" w:ascii="Times New Roman" w:hAnsi="Times New Roman" w:eastAsia="宋体" w:cs="Times New Roman"/>
          <w:color w:val="auto"/>
          <w:kern w:val="2"/>
          <w:sz w:val="32"/>
          <w:szCs w:val="32"/>
          <w:lang w:val="en-US" w:eastAsia="zh-CN" w:bidi="ar-SA"/>
        </w:rPr>
        <w:t>服务内容及</w:t>
      </w:r>
      <w:r>
        <w:rPr>
          <w:rFonts w:hint="default" w:ascii="Times New Roman" w:hAnsi="Times New Roman" w:eastAsia="宋体" w:cs="Times New Roman"/>
          <w:color w:val="auto"/>
          <w:kern w:val="2"/>
          <w:sz w:val="32"/>
          <w:szCs w:val="32"/>
          <w:lang w:val="en-US" w:eastAsia="zh-CN" w:bidi="ar-SA"/>
        </w:rPr>
        <w:t>标准</w:t>
      </w:r>
    </w:p>
    <w:tbl>
      <w:tblPr>
        <w:tblStyle w:val="25"/>
        <w:tblW w:w="1087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1"/>
        <w:gridCol w:w="9034"/>
      </w:tblGrid>
      <w:tr w14:paraId="166C8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841" w:type="dxa"/>
            <w:tcBorders>
              <w:top w:val="single" w:color="000000" w:sz="2" w:space="0"/>
              <w:left w:val="single" w:color="000000" w:sz="2" w:space="0"/>
              <w:bottom w:val="single" w:color="000000" w:sz="2" w:space="0"/>
              <w:right w:val="single" w:color="auto" w:sz="4" w:space="0"/>
            </w:tcBorders>
            <w:noWrap w:val="0"/>
            <w:vAlign w:val="center"/>
          </w:tcPr>
          <w:p w14:paraId="1C764BF8">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服务项目</w:t>
            </w:r>
          </w:p>
        </w:tc>
        <w:tc>
          <w:tcPr>
            <w:tcW w:w="9034" w:type="dxa"/>
            <w:tcBorders>
              <w:top w:val="single" w:color="000000" w:sz="2" w:space="0"/>
              <w:left w:val="single" w:color="auto" w:sz="4" w:space="0"/>
              <w:bottom w:val="single" w:color="000000" w:sz="2" w:space="0"/>
              <w:right w:val="single" w:color="000000" w:sz="2" w:space="0"/>
            </w:tcBorders>
            <w:noWrap w:val="0"/>
            <w:vAlign w:val="center"/>
          </w:tcPr>
          <w:p w14:paraId="25403AAB">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服务标准</w:t>
            </w:r>
          </w:p>
        </w:tc>
      </w:tr>
      <w:tr w14:paraId="43C92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jc w:val="center"/>
        </w:trPr>
        <w:tc>
          <w:tcPr>
            <w:tcW w:w="1841" w:type="dxa"/>
            <w:tcBorders>
              <w:top w:val="single" w:color="000000" w:sz="2" w:space="0"/>
              <w:left w:val="single" w:color="000000" w:sz="2" w:space="0"/>
              <w:bottom w:val="single" w:color="000000" w:sz="2" w:space="0"/>
              <w:right w:val="single" w:color="000000" w:sz="6" w:space="0"/>
            </w:tcBorders>
            <w:noWrap w:val="0"/>
            <w:vAlign w:val="center"/>
          </w:tcPr>
          <w:p w14:paraId="5B9F45B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公共照明</w:t>
            </w:r>
          </w:p>
          <w:p w14:paraId="24549781">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系统</w:t>
            </w:r>
          </w:p>
        </w:tc>
        <w:tc>
          <w:tcPr>
            <w:tcW w:w="9034" w:type="dxa"/>
            <w:tcBorders>
              <w:top w:val="single" w:color="000000" w:sz="2" w:space="0"/>
              <w:left w:val="single" w:color="000000" w:sz="6" w:space="0"/>
              <w:bottom w:val="single" w:color="000000" w:sz="2" w:space="0"/>
              <w:right w:val="single" w:color="000000" w:sz="6" w:space="0"/>
            </w:tcBorders>
            <w:noWrap w:val="0"/>
            <w:vAlign w:val="center"/>
          </w:tcPr>
          <w:p w14:paraId="0D5F012E">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（1）楼道灯、道路灯完好率为90%左右（主干道亮灯率100％）。</w:t>
            </w:r>
          </w:p>
          <w:p w14:paraId="21D0FB17">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（2）室内、室外公共电气柜每月</w:t>
            </w:r>
            <w:r>
              <w:rPr>
                <w:rFonts w:hint="eastAsia" w:ascii="Times New Roman" w:hAnsi="Times New Roman" w:eastAsia="宋体" w:cs="Times New Roman"/>
                <w:color w:val="auto"/>
                <w:kern w:val="2"/>
                <w:sz w:val="21"/>
                <w:szCs w:val="24"/>
                <w:lang w:val="en-US" w:eastAsia="zh-CN" w:bidi="ar-SA"/>
              </w:rPr>
              <w:t>至少</w:t>
            </w:r>
            <w:r>
              <w:rPr>
                <w:rFonts w:hint="default" w:ascii="Times New Roman" w:hAnsi="Times New Roman" w:eastAsia="宋体" w:cs="Times New Roman"/>
                <w:color w:val="auto"/>
                <w:kern w:val="2"/>
                <w:sz w:val="21"/>
                <w:szCs w:val="24"/>
                <w:lang w:val="en-US" w:eastAsia="zh-CN" w:bidi="ar-SA"/>
              </w:rPr>
              <w:t>巡查</w:t>
            </w:r>
            <w:r>
              <w:rPr>
                <w:rFonts w:hint="eastAsia" w:ascii="Times New Roman" w:hAnsi="Times New Roman" w:eastAsia="宋体" w:cs="Times New Roman"/>
                <w:color w:val="auto"/>
                <w:kern w:val="2"/>
                <w:sz w:val="21"/>
                <w:szCs w:val="24"/>
                <w:lang w:val="en-US" w:eastAsia="zh-CN" w:bidi="ar-SA"/>
              </w:rPr>
              <w:t>两</w:t>
            </w:r>
            <w:r>
              <w:rPr>
                <w:rFonts w:hint="default" w:ascii="Times New Roman" w:hAnsi="Times New Roman" w:eastAsia="宋体" w:cs="Times New Roman"/>
                <w:color w:val="auto"/>
                <w:kern w:val="2"/>
                <w:sz w:val="21"/>
                <w:szCs w:val="24"/>
                <w:lang w:val="en-US" w:eastAsia="zh-CN" w:bidi="ar-SA"/>
              </w:rPr>
              <w:t>次。</w:t>
            </w:r>
          </w:p>
          <w:p w14:paraId="2C43289F">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（3）限电、停电按规定时间通知</w:t>
            </w:r>
            <w:r>
              <w:rPr>
                <w:rFonts w:hint="eastAsia" w:ascii="Times New Roman" w:hAnsi="Times New Roman" w:eastAsia="宋体" w:cs="Times New Roman"/>
                <w:color w:val="auto"/>
                <w:kern w:val="2"/>
                <w:sz w:val="21"/>
                <w:szCs w:val="24"/>
                <w:lang w:val="en-US" w:eastAsia="zh-CN" w:bidi="ar-SA"/>
              </w:rPr>
              <w:t>甲方</w:t>
            </w:r>
            <w:r>
              <w:rPr>
                <w:rFonts w:hint="default" w:ascii="Times New Roman" w:hAnsi="Times New Roman" w:eastAsia="宋体" w:cs="Times New Roman"/>
                <w:color w:val="auto"/>
                <w:kern w:val="2"/>
                <w:sz w:val="21"/>
                <w:szCs w:val="24"/>
                <w:lang w:val="en-US" w:eastAsia="zh-CN" w:bidi="ar-SA"/>
              </w:rPr>
              <w:t>。</w:t>
            </w:r>
          </w:p>
        </w:tc>
      </w:tr>
    </w:tbl>
    <w:p w14:paraId="4CF048D9">
      <w:pPr>
        <w:pStyle w:val="14"/>
        <w:widowControl w:val="0"/>
        <w:numPr>
          <w:ilvl w:val="0"/>
          <w:numId w:val="0"/>
        </w:numPr>
        <w:adjustRightInd w:val="0"/>
        <w:ind w:right="33" w:rightChars="0" w:firstLine="640" w:firstLineChars="20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32"/>
          <w:szCs w:val="32"/>
          <w:lang w:val="en-US" w:eastAsia="zh-CN" w:bidi="ar-SA"/>
        </w:rPr>
        <w:t>（十一）消防系统服务</w:t>
      </w:r>
      <w:r>
        <w:rPr>
          <w:rFonts w:hint="eastAsia" w:ascii="Times New Roman" w:hAnsi="Times New Roman" w:eastAsia="宋体" w:cs="Times New Roman"/>
          <w:color w:val="auto"/>
          <w:kern w:val="2"/>
          <w:sz w:val="32"/>
          <w:szCs w:val="32"/>
          <w:lang w:val="en-US" w:eastAsia="zh-CN" w:bidi="ar-SA"/>
        </w:rPr>
        <w:t>内容及</w:t>
      </w:r>
      <w:r>
        <w:rPr>
          <w:rFonts w:hint="default" w:ascii="Times New Roman" w:hAnsi="Times New Roman" w:eastAsia="宋体" w:cs="Times New Roman"/>
          <w:color w:val="auto"/>
          <w:kern w:val="2"/>
          <w:sz w:val="32"/>
          <w:szCs w:val="32"/>
          <w:lang w:val="en-US" w:eastAsia="zh-CN" w:bidi="ar-SA"/>
        </w:rPr>
        <w:t>标准</w:t>
      </w:r>
    </w:p>
    <w:tbl>
      <w:tblPr>
        <w:tblStyle w:val="25"/>
        <w:tblW w:w="1087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7"/>
        <w:gridCol w:w="9387"/>
      </w:tblGrid>
      <w:tr w14:paraId="66B44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1487" w:type="dxa"/>
            <w:tcBorders>
              <w:top w:val="single" w:color="000000" w:sz="2" w:space="0"/>
              <w:left w:val="single" w:color="000000" w:sz="2" w:space="0"/>
              <w:bottom w:val="single" w:color="000000" w:sz="2" w:space="0"/>
              <w:right w:val="single" w:color="000000" w:sz="2" w:space="0"/>
            </w:tcBorders>
            <w:noWrap w:val="0"/>
            <w:vAlign w:val="center"/>
          </w:tcPr>
          <w:p w14:paraId="766FB73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服务项目</w:t>
            </w:r>
          </w:p>
        </w:tc>
        <w:tc>
          <w:tcPr>
            <w:tcW w:w="9387" w:type="dxa"/>
            <w:tcBorders>
              <w:top w:val="single" w:color="000000" w:sz="2" w:space="0"/>
              <w:left w:val="single" w:color="000000" w:sz="2" w:space="0"/>
              <w:bottom w:val="single" w:color="000000" w:sz="2" w:space="0"/>
              <w:right w:val="single" w:color="000000" w:sz="2" w:space="0"/>
            </w:tcBorders>
            <w:noWrap w:val="0"/>
            <w:vAlign w:val="center"/>
          </w:tcPr>
          <w:p w14:paraId="2A054DF4">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服务标准</w:t>
            </w:r>
          </w:p>
        </w:tc>
      </w:tr>
      <w:tr w14:paraId="1A28B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0" w:hRule="atLeast"/>
          <w:jc w:val="center"/>
        </w:trPr>
        <w:tc>
          <w:tcPr>
            <w:tcW w:w="1487" w:type="dxa"/>
            <w:tcBorders>
              <w:top w:val="single" w:color="000000" w:sz="2" w:space="0"/>
              <w:left w:val="single" w:color="000000" w:sz="2" w:space="0"/>
              <w:bottom w:val="single" w:color="000000" w:sz="2" w:space="0"/>
              <w:right w:val="single" w:color="000000" w:sz="6" w:space="0"/>
            </w:tcBorders>
            <w:noWrap w:val="0"/>
            <w:vAlign w:val="center"/>
          </w:tcPr>
          <w:p w14:paraId="2F981A76">
            <w:pPr>
              <w:pStyle w:val="14"/>
              <w:keepNext w:val="0"/>
              <w:keepLines w:val="0"/>
              <w:widowControl w:val="0"/>
              <w:numPr>
                <w:ilvl w:val="0"/>
                <w:numId w:val="0"/>
              </w:numPr>
              <w:suppressLineNumbers w:val="0"/>
              <w:adjustRightInd w:val="0"/>
              <w:spacing w:before="0" w:beforeAutospacing="0" w:after="0" w:afterAutospacing="0"/>
              <w:ind w:right="33" w:rightChars="0"/>
              <w:jc w:val="center"/>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消防系统</w:t>
            </w:r>
          </w:p>
        </w:tc>
        <w:tc>
          <w:tcPr>
            <w:tcW w:w="9387" w:type="dxa"/>
            <w:tcBorders>
              <w:top w:val="single" w:color="000000" w:sz="2" w:space="0"/>
              <w:left w:val="single" w:color="000000" w:sz="6" w:space="0"/>
              <w:bottom w:val="single" w:color="000000" w:sz="2" w:space="0"/>
              <w:right w:val="single" w:color="000000" w:sz="6" w:space="0"/>
            </w:tcBorders>
            <w:noWrap w:val="0"/>
            <w:vAlign w:val="center"/>
          </w:tcPr>
          <w:p w14:paraId="2CB7331D">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除消防设施设备正常日检月检外</w:t>
            </w:r>
            <w:r>
              <w:rPr>
                <w:rFonts w:hint="eastAsia" w:ascii="Times New Roman" w:hAnsi="Times New Roman" w:eastAsia="宋体" w:cs="Times New Roman"/>
                <w:color w:val="auto"/>
                <w:kern w:val="2"/>
                <w:sz w:val="21"/>
                <w:szCs w:val="24"/>
                <w:lang w:val="en-US" w:eastAsia="zh-CN" w:bidi="ar-SA"/>
              </w:rPr>
              <w:t>；</w:t>
            </w:r>
          </w:p>
          <w:p w14:paraId="6BB88BD1">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（1）消防泵、消火栓每年</w:t>
            </w:r>
            <w:r>
              <w:rPr>
                <w:rFonts w:hint="eastAsia" w:ascii="Times New Roman" w:hAnsi="Times New Roman" w:eastAsia="宋体" w:cs="Times New Roman"/>
                <w:color w:val="auto"/>
                <w:kern w:val="2"/>
                <w:sz w:val="21"/>
                <w:szCs w:val="24"/>
                <w:lang w:val="en-US" w:eastAsia="zh-CN" w:bidi="ar-SA"/>
              </w:rPr>
              <w:t>至少</w:t>
            </w:r>
            <w:r>
              <w:rPr>
                <w:rFonts w:hint="default" w:ascii="Times New Roman" w:hAnsi="Times New Roman" w:eastAsia="宋体" w:cs="Times New Roman"/>
                <w:color w:val="auto"/>
                <w:kern w:val="2"/>
                <w:sz w:val="21"/>
                <w:szCs w:val="24"/>
                <w:lang w:val="en-US" w:eastAsia="zh-CN" w:bidi="ar-SA"/>
              </w:rPr>
              <w:t>检查</w:t>
            </w:r>
            <w:r>
              <w:rPr>
                <w:rFonts w:hint="eastAsia" w:ascii="Times New Roman" w:hAnsi="Times New Roman" w:eastAsia="宋体" w:cs="Times New Roman"/>
                <w:color w:val="auto"/>
                <w:kern w:val="2"/>
                <w:sz w:val="21"/>
                <w:szCs w:val="24"/>
                <w:lang w:val="en-US" w:eastAsia="zh-CN" w:bidi="ar-SA"/>
              </w:rPr>
              <w:t>两</w:t>
            </w:r>
            <w:r>
              <w:rPr>
                <w:rFonts w:hint="default" w:ascii="Times New Roman" w:hAnsi="Times New Roman" w:eastAsia="宋体" w:cs="Times New Roman"/>
                <w:color w:val="auto"/>
                <w:kern w:val="2"/>
                <w:sz w:val="21"/>
                <w:szCs w:val="24"/>
                <w:lang w:val="en-US" w:eastAsia="zh-CN" w:bidi="ar-SA"/>
              </w:rPr>
              <w:t>次，每年</w:t>
            </w:r>
            <w:r>
              <w:rPr>
                <w:rFonts w:hint="eastAsia" w:ascii="Times New Roman" w:hAnsi="Times New Roman" w:eastAsia="宋体" w:cs="Times New Roman"/>
                <w:color w:val="auto"/>
                <w:kern w:val="2"/>
                <w:sz w:val="21"/>
                <w:szCs w:val="24"/>
                <w:lang w:val="en-US" w:eastAsia="zh-CN" w:bidi="ar-SA"/>
              </w:rPr>
              <w:t>至少</w:t>
            </w:r>
            <w:r>
              <w:rPr>
                <w:rFonts w:hint="default" w:ascii="Times New Roman" w:hAnsi="Times New Roman" w:eastAsia="宋体" w:cs="Times New Roman"/>
                <w:color w:val="auto"/>
                <w:kern w:val="2"/>
                <w:sz w:val="21"/>
                <w:szCs w:val="24"/>
                <w:lang w:val="en-US" w:eastAsia="zh-CN" w:bidi="ar-SA"/>
              </w:rPr>
              <w:t>保养一次。</w:t>
            </w:r>
          </w:p>
          <w:p w14:paraId="0672557E">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（2）灭火器每年</w:t>
            </w:r>
            <w:r>
              <w:rPr>
                <w:rFonts w:hint="eastAsia" w:ascii="Times New Roman" w:hAnsi="Times New Roman" w:eastAsia="宋体" w:cs="Times New Roman"/>
                <w:color w:val="auto"/>
                <w:kern w:val="2"/>
                <w:sz w:val="21"/>
                <w:szCs w:val="24"/>
                <w:lang w:val="en-US" w:eastAsia="zh-CN" w:bidi="ar-SA"/>
              </w:rPr>
              <w:t>至少</w:t>
            </w:r>
            <w:r>
              <w:rPr>
                <w:rFonts w:hint="default" w:ascii="Times New Roman" w:hAnsi="Times New Roman" w:eastAsia="宋体" w:cs="Times New Roman"/>
                <w:color w:val="auto"/>
                <w:kern w:val="2"/>
                <w:sz w:val="21"/>
                <w:szCs w:val="24"/>
                <w:lang w:val="en-US" w:eastAsia="zh-CN" w:bidi="ar-SA"/>
              </w:rPr>
              <w:t>检查一次，对过期或损坏的及时更换。</w:t>
            </w:r>
          </w:p>
          <w:p w14:paraId="40DDC05E">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（3）消防水带每年</w:t>
            </w:r>
            <w:r>
              <w:rPr>
                <w:rFonts w:hint="eastAsia" w:ascii="Times New Roman" w:hAnsi="Times New Roman" w:eastAsia="宋体" w:cs="Times New Roman"/>
                <w:color w:val="auto"/>
                <w:kern w:val="2"/>
                <w:sz w:val="21"/>
                <w:szCs w:val="24"/>
                <w:lang w:val="en-US" w:eastAsia="zh-CN" w:bidi="ar-SA"/>
              </w:rPr>
              <w:t>至少</w:t>
            </w:r>
            <w:r>
              <w:rPr>
                <w:rFonts w:hint="default" w:ascii="Times New Roman" w:hAnsi="Times New Roman" w:eastAsia="宋体" w:cs="Times New Roman"/>
                <w:color w:val="auto"/>
                <w:kern w:val="2"/>
                <w:sz w:val="21"/>
                <w:szCs w:val="24"/>
                <w:lang w:val="en-US" w:eastAsia="zh-CN" w:bidi="ar-SA"/>
              </w:rPr>
              <w:t>检查一次，消防管网压力每年</w:t>
            </w:r>
            <w:r>
              <w:rPr>
                <w:rFonts w:hint="eastAsia" w:ascii="Times New Roman" w:hAnsi="Times New Roman" w:eastAsia="宋体" w:cs="Times New Roman"/>
                <w:color w:val="auto"/>
                <w:kern w:val="2"/>
                <w:sz w:val="21"/>
                <w:szCs w:val="24"/>
                <w:lang w:val="en-US" w:eastAsia="zh-CN" w:bidi="ar-SA"/>
              </w:rPr>
              <w:t>至少</w:t>
            </w:r>
            <w:r>
              <w:rPr>
                <w:rFonts w:hint="default" w:ascii="Times New Roman" w:hAnsi="Times New Roman" w:eastAsia="宋体" w:cs="Times New Roman"/>
                <w:color w:val="auto"/>
                <w:kern w:val="2"/>
                <w:sz w:val="21"/>
                <w:szCs w:val="24"/>
                <w:lang w:val="en-US" w:eastAsia="zh-CN" w:bidi="ar-SA"/>
              </w:rPr>
              <w:t>检查</w:t>
            </w:r>
            <w:r>
              <w:rPr>
                <w:rFonts w:hint="eastAsia" w:ascii="Times New Roman" w:hAnsi="Times New Roman" w:eastAsia="宋体" w:cs="Times New Roman"/>
                <w:color w:val="auto"/>
                <w:kern w:val="2"/>
                <w:sz w:val="21"/>
                <w:szCs w:val="24"/>
                <w:lang w:val="en-US" w:eastAsia="zh-CN" w:bidi="ar-SA"/>
              </w:rPr>
              <w:t>两</w:t>
            </w:r>
            <w:r>
              <w:rPr>
                <w:rFonts w:hint="default" w:ascii="Times New Roman" w:hAnsi="Times New Roman" w:eastAsia="宋体" w:cs="Times New Roman"/>
                <w:color w:val="auto"/>
                <w:kern w:val="2"/>
                <w:sz w:val="21"/>
                <w:szCs w:val="24"/>
                <w:lang w:val="en-US" w:eastAsia="zh-CN" w:bidi="ar-SA"/>
              </w:rPr>
              <w:t>次。</w:t>
            </w:r>
          </w:p>
          <w:p w14:paraId="22C43BBF">
            <w:pPr>
              <w:pStyle w:val="14"/>
              <w:keepNext w:val="0"/>
              <w:keepLines w:val="0"/>
              <w:widowControl w:val="0"/>
              <w:numPr>
                <w:ilvl w:val="0"/>
                <w:numId w:val="0"/>
              </w:numPr>
              <w:suppressLineNumbers w:val="0"/>
              <w:adjustRightInd w:val="0"/>
              <w:spacing w:before="0" w:beforeAutospacing="0" w:after="0" w:afterAutospacing="0"/>
              <w:ind w:right="33" w:rightChars="0"/>
              <w:jc w:val="left"/>
              <w:textAlignment w:val="baseline"/>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（4）每年对消防知识进行一次宣传，并建立消防责任制。</w:t>
            </w:r>
          </w:p>
        </w:tc>
      </w:tr>
    </w:tbl>
    <w:p w14:paraId="5CA4E2D5">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lang w:eastAsia="zh-CN"/>
        </w:rPr>
      </w:pPr>
      <w:bookmarkStart w:id="25" w:name="_Toc302485112"/>
      <w:bookmarkStart w:id="26" w:name="_Toc302572332"/>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lang w:eastAsia="zh-CN"/>
        </w:rPr>
        <w:t>相关</w:t>
      </w:r>
      <w:r>
        <w:rPr>
          <w:rFonts w:hint="eastAsia" w:ascii="黑体" w:hAnsi="黑体" w:eastAsia="黑体" w:cs="黑体"/>
          <w:color w:val="auto"/>
          <w:sz w:val="32"/>
          <w:szCs w:val="32"/>
        </w:rPr>
        <w:t>岗位职责</w:t>
      </w:r>
    </w:p>
    <w:p w14:paraId="200F9155">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643" w:firstLineChars="200"/>
        <w:jc w:val="both"/>
        <w:textAlignment w:val="auto"/>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lang w:val="en-US" w:eastAsia="zh-CN"/>
        </w:rPr>
        <w:t>（一）</w:t>
      </w:r>
      <w:r>
        <w:rPr>
          <w:rFonts w:hint="eastAsia" w:ascii="仿宋_GB2312" w:hAnsi="仿宋_GB2312" w:eastAsia="仿宋_GB2312" w:cs="仿宋_GB2312"/>
          <w:b/>
          <w:bCs/>
          <w:color w:val="auto"/>
          <w:kern w:val="0"/>
          <w:sz w:val="32"/>
          <w:szCs w:val="32"/>
          <w:lang w:eastAsia="zh-CN"/>
        </w:rPr>
        <w:t>物业公司工作职责</w:t>
      </w:r>
    </w:p>
    <w:p w14:paraId="3570E4D5">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1</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按照ISO9001、14001体系的运作方法、标准要求，对物业实施一体化综合管理，受甲方的监督和指导。</w:t>
      </w:r>
    </w:p>
    <w:p w14:paraId="1D6EC67B">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2</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负责维护管理办公区房屋及共用部位，使房屋建筑主体及共用部位不受人为损坏，房屋外观完好、整洁。</w:t>
      </w:r>
    </w:p>
    <w:p w14:paraId="6A832D89">
      <w:pPr>
        <w:keepNext w:val="0"/>
        <w:keepLines w:val="0"/>
        <w:pageBreakBefore w:val="0"/>
        <w:widowControl w:val="0"/>
        <w:kinsoku/>
        <w:wordWrap/>
        <w:overflowPunct/>
        <w:topLinePunct w:val="0"/>
        <w:autoSpaceDE/>
        <w:autoSpaceDN/>
        <w:bidi w:val="0"/>
        <w:adjustRightInd/>
        <w:snapToGrid/>
        <w:spacing w:line="560" w:lineRule="exact"/>
        <w:ind w:firstLine="549"/>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3</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负责维护管理办公区内各种公共设施设备，不受人为损坏，保证各种设施设备处于良好的状态。</w:t>
      </w:r>
    </w:p>
    <w:p w14:paraId="1E0B2F0A">
      <w:pPr>
        <w:keepNext w:val="0"/>
        <w:keepLines w:val="0"/>
        <w:pageBreakBefore w:val="0"/>
        <w:widowControl w:val="0"/>
        <w:kinsoku/>
        <w:wordWrap/>
        <w:overflowPunct/>
        <w:topLinePunct w:val="0"/>
        <w:autoSpaceDE/>
        <w:autoSpaceDN/>
        <w:bidi w:val="0"/>
        <w:adjustRightInd/>
        <w:snapToGrid/>
        <w:spacing w:line="560" w:lineRule="exact"/>
        <w:ind w:firstLine="549"/>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4</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负责会务接待、治安管理、消防安全、公共环境卫生、园林绿化、日常巡视管理等工作。</w:t>
      </w:r>
    </w:p>
    <w:p w14:paraId="3A53EC3A">
      <w:pPr>
        <w:keepNext w:val="0"/>
        <w:keepLines w:val="0"/>
        <w:pageBreakBefore w:val="0"/>
        <w:widowControl w:val="0"/>
        <w:kinsoku/>
        <w:wordWrap/>
        <w:overflowPunct/>
        <w:topLinePunct w:val="0"/>
        <w:autoSpaceDE/>
        <w:autoSpaceDN/>
        <w:bidi w:val="0"/>
        <w:adjustRightInd/>
        <w:snapToGrid/>
        <w:spacing w:line="560" w:lineRule="exact"/>
        <w:ind w:firstLine="549"/>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5</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负责院内场所的安全防范和公共秩序管理、维护工作、协助甲方处理院内盗窃、斗殴、火灾等突发事件。</w:t>
      </w:r>
    </w:p>
    <w:p w14:paraId="1C310330">
      <w:pPr>
        <w:keepNext w:val="0"/>
        <w:keepLines w:val="0"/>
        <w:pageBreakBefore w:val="0"/>
        <w:widowControl w:val="0"/>
        <w:kinsoku/>
        <w:wordWrap/>
        <w:overflowPunct/>
        <w:topLinePunct w:val="0"/>
        <w:autoSpaceDE/>
        <w:autoSpaceDN/>
        <w:bidi w:val="0"/>
        <w:adjustRightInd/>
        <w:snapToGrid/>
        <w:spacing w:line="560" w:lineRule="exact"/>
        <w:ind w:firstLine="549"/>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6</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负责停车场车辆进出停放管理，维护正常良好的交通秩序。</w:t>
      </w:r>
    </w:p>
    <w:p w14:paraId="4E8E46D3">
      <w:pPr>
        <w:keepNext w:val="0"/>
        <w:keepLines w:val="0"/>
        <w:pageBreakBefore w:val="0"/>
        <w:widowControl w:val="0"/>
        <w:kinsoku/>
        <w:wordWrap/>
        <w:overflowPunct/>
        <w:topLinePunct w:val="0"/>
        <w:autoSpaceDE/>
        <w:autoSpaceDN/>
        <w:bidi w:val="0"/>
        <w:adjustRightInd/>
        <w:snapToGrid/>
        <w:spacing w:line="560" w:lineRule="exact"/>
        <w:ind w:firstLine="549"/>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7</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负责消防管理工作，预防大楼内火灾隐患。</w:t>
      </w:r>
    </w:p>
    <w:p w14:paraId="0FEBEDB3">
      <w:pPr>
        <w:keepNext w:val="0"/>
        <w:keepLines w:val="0"/>
        <w:pageBreakBefore w:val="0"/>
        <w:widowControl w:val="0"/>
        <w:kinsoku/>
        <w:wordWrap/>
        <w:overflowPunct/>
        <w:topLinePunct w:val="0"/>
        <w:autoSpaceDE/>
        <w:autoSpaceDN/>
        <w:bidi w:val="0"/>
        <w:adjustRightInd/>
        <w:snapToGrid/>
        <w:spacing w:line="560" w:lineRule="exact"/>
        <w:ind w:firstLine="549"/>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8</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负责配合提供其他专项服务工作。</w:t>
      </w:r>
    </w:p>
    <w:p w14:paraId="6AD7DACB">
      <w:pPr>
        <w:keepNext w:val="0"/>
        <w:keepLines w:val="0"/>
        <w:pageBreakBefore w:val="0"/>
        <w:widowControl w:val="0"/>
        <w:kinsoku/>
        <w:wordWrap/>
        <w:overflowPunct/>
        <w:topLinePunct w:val="0"/>
        <w:autoSpaceDE/>
        <w:autoSpaceDN/>
        <w:bidi w:val="0"/>
        <w:adjustRightInd/>
        <w:snapToGrid/>
        <w:spacing w:line="560" w:lineRule="exact"/>
        <w:ind w:firstLine="549"/>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9</w:t>
      </w:r>
      <w:r>
        <w:rPr>
          <w:rFonts w:hint="eastAsia" w:ascii="仿宋_GB2312" w:hAnsi="仿宋_GB2312" w:eastAsia="仿宋_GB2312" w:cs="仿宋_GB2312"/>
          <w:color w:val="auto"/>
          <w:kern w:val="0"/>
          <w:sz w:val="32"/>
          <w:szCs w:val="32"/>
          <w:lang w:val="en-US" w:eastAsia="zh-CN"/>
        </w:rPr>
        <w:t>.按照岗位要求配足人员</w:t>
      </w:r>
      <w:r>
        <w:rPr>
          <w:rFonts w:hint="eastAsia" w:ascii="仿宋_GB2312" w:hAnsi="仿宋_GB2312" w:eastAsia="仿宋_GB2312" w:cs="仿宋_GB2312"/>
          <w:color w:val="auto"/>
          <w:kern w:val="0"/>
          <w:sz w:val="32"/>
          <w:szCs w:val="32"/>
          <w:lang w:eastAsia="zh-CN"/>
        </w:rPr>
        <w:t>，责任落实到人，科学指导管理，确保各项服务处于良好状态。</w:t>
      </w:r>
    </w:p>
    <w:p w14:paraId="1843CD7F">
      <w:pPr>
        <w:keepNext w:val="0"/>
        <w:keepLines w:val="0"/>
        <w:pageBreakBefore w:val="0"/>
        <w:widowControl w:val="0"/>
        <w:kinsoku/>
        <w:wordWrap/>
        <w:overflowPunct/>
        <w:topLinePunct w:val="0"/>
        <w:autoSpaceDE/>
        <w:autoSpaceDN/>
        <w:bidi w:val="0"/>
        <w:adjustRightInd/>
        <w:snapToGrid/>
        <w:spacing w:line="560" w:lineRule="exact"/>
        <w:ind w:firstLine="549"/>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10</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做好日常管理工作的监督管理，并接受甲方的监督检查。</w:t>
      </w:r>
    </w:p>
    <w:p w14:paraId="661DF557">
      <w:pPr>
        <w:keepNext w:val="0"/>
        <w:keepLines w:val="0"/>
        <w:pageBreakBefore w:val="0"/>
        <w:widowControl w:val="0"/>
        <w:kinsoku/>
        <w:wordWrap/>
        <w:overflowPunct/>
        <w:topLinePunct w:val="0"/>
        <w:autoSpaceDE/>
        <w:autoSpaceDN/>
        <w:bidi w:val="0"/>
        <w:adjustRightInd/>
        <w:snapToGrid/>
        <w:spacing w:line="360" w:lineRule="atLeast"/>
        <w:ind w:firstLine="549"/>
        <w:jc w:val="both"/>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lang w:eastAsia="zh-CN"/>
        </w:rPr>
        <w:t>（二）</w:t>
      </w:r>
      <w:r>
        <w:rPr>
          <w:rFonts w:hint="eastAsia" w:ascii="仿宋_GB2312" w:hAnsi="仿宋_GB2312" w:eastAsia="仿宋_GB2312" w:cs="仿宋_GB2312"/>
          <w:b/>
          <w:color w:val="auto"/>
          <w:kern w:val="0"/>
          <w:sz w:val="32"/>
          <w:szCs w:val="32"/>
        </w:rPr>
        <w:t>项目经理岗位职责</w:t>
      </w:r>
    </w:p>
    <w:p w14:paraId="03F1366F">
      <w:pPr>
        <w:keepNext w:val="0"/>
        <w:keepLines w:val="0"/>
        <w:pageBreakBefore w:val="0"/>
        <w:widowControl w:val="0"/>
        <w:kinsoku/>
        <w:wordWrap/>
        <w:overflowPunct/>
        <w:topLinePunct w:val="0"/>
        <w:autoSpaceDE/>
        <w:autoSpaceDN/>
        <w:bidi w:val="0"/>
        <w:adjustRightInd/>
        <w:snapToGrid/>
        <w:spacing w:line="560" w:lineRule="exact"/>
        <w:ind w:firstLine="549"/>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制定质量目标和各阶段的工作计划，保证工作的正常运转，并做好工作总结，收集整理工作台账，每月向业主报工作完成情况，每半年报工作计划和工作总结。</w:t>
      </w:r>
    </w:p>
    <w:p w14:paraId="546D79D1">
      <w:pPr>
        <w:keepNext w:val="0"/>
        <w:keepLines w:val="0"/>
        <w:pageBreakBefore w:val="0"/>
        <w:widowControl w:val="0"/>
        <w:kinsoku/>
        <w:wordWrap/>
        <w:overflowPunct/>
        <w:topLinePunct w:val="0"/>
        <w:autoSpaceDE/>
        <w:autoSpaceDN/>
        <w:bidi w:val="0"/>
        <w:adjustRightInd/>
        <w:snapToGrid/>
        <w:spacing w:line="560" w:lineRule="exact"/>
        <w:ind w:firstLine="549"/>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2</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负责组织、检查、督促员工认真贯彻执行ISO9001质量管理体系等规章制度、检查和督促各岗位员工严格按照工作规程和质量要求进行工作，确保服务质量、并使之持续有效的运行。</w:t>
      </w:r>
    </w:p>
    <w:p w14:paraId="33C9B88B">
      <w:pPr>
        <w:keepNext w:val="0"/>
        <w:keepLines w:val="0"/>
        <w:pageBreakBefore w:val="0"/>
        <w:widowControl w:val="0"/>
        <w:kinsoku/>
        <w:wordWrap/>
        <w:overflowPunct/>
        <w:topLinePunct w:val="0"/>
        <w:autoSpaceDE/>
        <w:autoSpaceDN/>
        <w:bidi w:val="0"/>
        <w:adjustRightInd/>
        <w:snapToGrid/>
        <w:spacing w:line="560" w:lineRule="exact"/>
        <w:ind w:firstLine="549"/>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3</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结合项目实际情况，编制并建全规章制度及工作操作规程。</w:t>
      </w:r>
    </w:p>
    <w:p w14:paraId="7F3F4CDB">
      <w:pPr>
        <w:keepNext w:val="0"/>
        <w:keepLines w:val="0"/>
        <w:pageBreakBefore w:val="0"/>
        <w:widowControl w:val="0"/>
        <w:kinsoku/>
        <w:wordWrap/>
        <w:overflowPunct/>
        <w:topLinePunct w:val="0"/>
        <w:autoSpaceDE/>
        <w:autoSpaceDN/>
        <w:bidi w:val="0"/>
        <w:adjustRightInd/>
        <w:snapToGrid/>
        <w:spacing w:line="560" w:lineRule="exact"/>
        <w:ind w:firstLine="549"/>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lang w:eastAsia="zh-CN"/>
        </w:rPr>
        <w:t>负责日常管理经费申请，物资申领和使用保管，合理控制费用开支，并做好出入库台帐和月末消耗量的对比分析工作。</w:t>
      </w:r>
    </w:p>
    <w:p w14:paraId="4B614605">
      <w:pPr>
        <w:keepNext w:val="0"/>
        <w:keepLines w:val="0"/>
        <w:pageBreakBefore w:val="0"/>
        <w:widowControl w:val="0"/>
        <w:kinsoku/>
        <w:wordWrap/>
        <w:overflowPunct/>
        <w:topLinePunct w:val="0"/>
        <w:autoSpaceDE/>
        <w:autoSpaceDN/>
        <w:bidi w:val="0"/>
        <w:adjustRightInd/>
        <w:snapToGrid/>
        <w:spacing w:line="560" w:lineRule="exact"/>
        <w:ind w:firstLine="549"/>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lang w:eastAsia="zh-CN"/>
        </w:rPr>
        <w:t>负责组织召开每周工作例会，听取汇报，掌握工作动态，布置工作并协调、解决工作中的问题，传达并落实业主和公司下达的有关指示，总结和布置工作。</w:t>
      </w:r>
    </w:p>
    <w:p w14:paraId="315A34CD">
      <w:pPr>
        <w:keepNext w:val="0"/>
        <w:keepLines w:val="0"/>
        <w:pageBreakBefore w:val="0"/>
        <w:widowControl w:val="0"/>
        <w:kinsoku/>
        <w:wordWrap/>
        <w:overflowPunct/>
        <w:topLinePunct w:val="0"/>
        <w:autoSpaceDE/>
        <w:autoSpaceDN/>
        <w:bidi w:val="0"/>
        <w:adjustRightInd/>
        <w:snapToGrid/>
        <w:spacing w:line="560" w:lineRule="exact"/>
        <w:ind w:firstLine="549"/>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lang w:eastAsia="zh-CN"/>
        </w:rPr>
        <w:t>负责定期巡视管理区域，检查各岗位工作落实情况，检查服务质量，及时发现问题，解决问题。</w:t>
      </w:r>
    </w:p>
    <w:p w14:paraId="4C7E1069">
      <w:pPr>
        <w:keepNext w:val="0"/>
        <w:keepLines w:val="0"/>
        <w:pageBreakBefore w:val="0"/>
        <w:widowControl w:val="0"/>
        <w:kinsoku/>
        <w:wordWrap/>
        <w:overflowPunct/>
        <w:topLinePunct w:val="0"/>
        <w:autoSpaceDE/>
        <w:autoSpaceDN/>
        <w:bidi w:val="0"/>
        <w:adjustRightInd/>
        <w:snapToGrid/>
        <w:spacing w:line="560" w:lineRule="exact"/>
        <w:ind w:firstLine="549"/>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lang w:eastAsia="zh-CN"/>
        </w:rPr>
        <w:t>负责统筹指挥、管理、安保、保洁、会务、绿化、工程维修等物业服务工作，与甲方相关部门领导加强沟通、协调，建立良好的合作关系，</w:t>
      </w:r>
      <w:r>
        <w:rPr>
          <w:rFonts w:hint="eastAsia" w:ascii="仿宋_GB2312" w:hAnsi="仿宋_GB2312" w:eastAsia="仿宋_GB2312" w:cs="仿宋_GB2312"/>
          <w:color w:val="auto"/>
          <w:kern w:val="0"/>
          <w:sz w:val="32"/>
          <w:szCs w:val="32"/>
        </w:rPr>
        <w:t>广泛听取和收集意见，不断改进工作，带领员工提高服务质量</w:t>
      </w:r>
      <w:r>
        <w:rPr>
          <w:rFonts w:hint="eastAsia" w:ascii="仿宋_GB2312" w:hAnsi="仿宋_GB2312" w:eastAsia="仿宋_GB2312" w:cs="仿宋_GB2312"/>
          <w:color w:val="auto"/>
          <w:kern w:val="0"/>
          <w:sz w:val="32"/>
          <w:szCs w:val="32"/>
          <w:lang w:eastAsia="zh-CN"/>
        </w:rPr>
        <w:t>。</w:t>
      </w:r>
    </w:p>
    <w:p w14:paraId="0ED14A12">
      <w:pPr>
        <w:keepNext w:val="0"/>
        <w:keepLines w:val="0"/>
        <w:pageBreakBefore w:val="0"/>
        <w:widowControl w:val="0"/>
        <w:kinsoku/>
        <w:wordWrap/>
        <w:overflowPunct/>
        <w:topLinePunct w:val="0"/>
        <w:autoSpaceDE/>
        <w:autoSpaceDN/>
        <w:bidi w:val="0"/>
        <w:adjustRightInd/>
        <w:snapToGrid/>
        <w:spacing w:line="560" w:lineRule="exact"/>
        <w:ind w:firstLine="549"/>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lang w:eastAsia="zh-CN"/>
        </w:rPr>
        <w:t>负责协调供电局、自来水公司、市政、环卫、劳动、消防、管段派出所等政府部门对外关系。</w:t>
      </w:r>
    </w:p>
    <w:p w14:paraId="610B6312">
      <w:pPr>
        <w:keepNext w:val="0"/>
        <w:keepLines w:val="0"/>
        <w:pageBreakBefore w:val="0"/>
        <w:widowControl w:val="0"/>
        <w:kinsoku/>
        <w:wordWrap/>
        <w:overflowPunct/>
        <w:topLinePunct w:val="0"/>
        <w:autoSpaceDE/>
        <w:autoSpaceDN/>
        <w:bidi w:val="0"/>
        <w:adjustRightInd/>
        <w:snapToGrid/>
        <w:spacing w:line="560" w:lineRule="exact"/>
        <w:ind w:firstLine="549"/>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lang w:eastAsia="zh-CN"/>
        </w:rPr>
        <w:t>关心员工生活，为员工解决实际困难，丰富员工的业余文化生活，增强集体凝聚力。</w:t>
      </w:r>
    </w:p>
    <w:p w14:paraId="2A23139B">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10.</w:t>
      </w:r>
      <w:r>
        <w:rPr>
          <w:rFonts w:hint="eastAsia" w:ascii="仿宋_GB2312" w:hAnsi="仿宋_GB2312" w:eastAsia="仿宋_GB2312" w:cs="仿宋_GB2312"/>
          <w:color w:val="auto"/>
          <w:kern w:val="0"/>
          <w:sz w:val="32"/>
          <w:szCs w:val="32"/>
          <w:lang w:eastAsia="zh-CN"/>
        </w:rPr>
        <w:t>配合做好人员编制、招聘、录用，入职、离职、业绩考核、培训等工作，按照岗位配置要求配备人员。</w:t>
      </w:r>
    </w:p>
    <w:p w14:paraId="4E5FA648">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11.</w:t>
      </w:r>
      <w:r>
        <w:rPr>
          <w:rFonts w:hint="eastAsia" w:ascii="仿宋_GB2312" w:hAnsi="仿宋_GB2312" w:eastAsia="仿宋_GB2312" w:cs="仿宋_GB2312"/>
          <w:color w:val="auto"/>
          <w:kern w:val="0"/>
          <w:sz w:val="32"/>
          <w:szCs w:val="32"/>
        </w:rPr>
        <w:t>负责</w:t>
      </w:r>
      <w:r>
        <w:rPr>
          <w:rFonts w:hint="eastAsia" w:ascii="仿宋_GB2312" w:hAnsi="仿宋_GB2312" w:eastAsia="仿宋_GB2312" w:cs="仿宋_GB2312"/>
          <w:color w:val="auto"/>
          <w:kern w:val="0"/>
          <w:sz w:val="32"/>
          <w:szCs w:val="32"/>
          <w:lang w:eastAsia="zh-CN"/>
        </w:rPr>
        <w:t>项目</w:t>
      </w:r>
      <w:r>
        <w:rPr>
          <w:rFonts w:hint="eastAsia" w:ascii="仿宋_GB2312" w:hAnsi="仿宋_GB2312" w:eastAsia="仿宋_GB2312" w:cs="仿宋_GB2312"/>
          <w:color w:val="auto"/>
          <w:kern w:val="0"/>
          <w:sz w:val="32"/>
          <w:szCs w:val="32"/>
        </w:rPr>
        <w:t>的安全工作</w:t>
      </w:r>
      <w:r>
        <w:rPr>
          <w:rFonts w:hint="eastAsia" w:ascii="仿宋_GB2312" w:hAnsi="仿宋_GB2312" w:eastAsia="仿宋_GB2312" w:cs="仿宋_GB2312"/>
          <w:color w:val="auto"/>
          <w:kern w:val="0"/>
          <w:sz w:val="32"/>
          <w:szCs w:val="32"/>
          <w:lang w:eastAsia="zh-CN"/>
        </w:rPr>
        <w:t>，及时配合甲方处置突发事件。</w:t>
      </w:r>
    </w:p>
    <w:p w14:paraId="17B2E6B8">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12.</w:t>
      </w:r>
      <w:r>
        <w:rPr>
          <w:rFonts w:hint="eastAsia" w:ascii="仿宋_GB2312" w:hAnsi="仿宋_GB2312" w:eastAsia="仿宋_GB2312" w:cs="仿宋_GB2312"/>
          <w:color w:val="auto"/>
          <w:kern w:val="0"/>
          <w:sz w:val="32"/>
          <w:szCs w:val="32"/>
        </w:rPr>
        <w:t>完成</w:t>
      </w:r>
      <w:r>
        <w:rPr>
          <w:rFonts w:hint="eastAsia" w:ascii="仿宋_GB2312" w:hAnsi="仿宋_GB2312" w:eastAsia="仿宋_GB2312" w:cs="仿宋_GB2312"/>
          <w:color w:val="auto"/>
          <w:kern w:val="0"/>
          <w:sz w:val="32"/>
          <w:szCs w:val="32"/>
          <w:lang w:eastAsia="zh-CN"/>
        </w:rPr>
        <w:t>甲方和公司</w:t>
      </w:r>
      <w:r>
        <w:rPr>
          <w:rFonts w:hint="eastAsia" w:ascii="仿宋_GB2312" w:hAnsi="仿宋_GB2312" w:eastAsia="仿宋_GB2312" w:cs="仿宋_GB2312"/>
          <w:color w:val="auto"/>
          <w:kern w:val="0"/>
          <w:sz w:val="32"/>
          <w:szCs w:val="32"/>
        </w:rPr>
        <w:t>交办的其它工作。</w:t>
      </w:r>
    </w:p>
    <w:p w14:paraId="448FF823">
      <w:pPr>
        <w:keepNext w:val="0"/>
        <w:keepLines w:val="0"/>
        <w:pageBreakBefore w:val="0"/>
        <w:widowControl w:val="0"/>
        <w:kinsoku/>
        <w:wordWrap/>
        <w:overflowPunct/>
        <w:topLinePunct w:val="0"/>
        <w:autoSpaceDE/>
        <w:autoSpaceDN/>
        <w:bidi w:val="0"/>
        <w:adjustRightInd/>
        <w:snapToGrid/>
        <w:spacing w:line="360" w:lineRule="atLeast"/>
        <w:ind w:firstLine="560"/>
        <w:jc w:val="both"/>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lang w:val="en-US" w:eastAsia="zh-CN"/>
        </w:rPr>
        <w:t>（三）</w:t>
      </w:r>
      <w:r>
        <w:rPr>
          <w:rFonts w:hint="eastAsia" w:ascii="仿宋_GB2312" w:hAnsi="仿宋_GB2312" w:eastAsia="仿宋_GB2312" w:cs="仿宋_GB2312"/>
          <w:b/>
          <w:color w:val="auto"/>
          <w:kern w:val="0"/>
          <w:sz w:val="32"/>
          <w:szCs w:val="32"/>
          <w:lang w:eastAsia="zh-CN"/>
        </w:rPr>
        <w:t>协管队长</w:t>
      </w:r>
      <w:r>
        <w:rPr>
          <w:rFonts w:hint="eastAsia" w:ascii="仿宋_GB2312" w:hAnsi="仿宋_GB2312" w:eastAsia="仿宋_GB2312" w:cs="仿宋_GB2312"/>
          <w:b/>
          <w:color w:val="auto"/>
          <w:kern w:val="0"/>
          <w:sz w:val="32"/>
          <w:szCs w:val="32"/>
        </w:rPr>
        <w:t>岗位职责</w:t>
      </w:r>
    </w:p>
    <w:p w14:paraId="0B364624">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.负责日常治安、车辆、秩序、安全等管理，科学合理安排值班门岗、巡逻等防范工作，服从业主和物业经理的管理指挥，遵守安全管理制度，做好安全防范。</w:t>
      </w:r>
    </w:p>
    <w:p w14:paraId="3B333B41">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2.负责安保队伍建设、考勤管理、培训管理工作</w:t>
      </w:r>
      <w:r>
        <w:rPr>
          <w:rFonts w:hint="eastAsia" w:ascii="仿宋_GB2312" w:hAnsi="仿宋_GB2312" w:eastAsia="仿宋_GB2312" w:cs="仿宋_GB2312"/>
          <w:color w:val="auto"/>
          <w:kern w:val="0"/>
          <w:sz w:val="32"/>
          <w:szCs w:val="32"/>
          <w:lang w:eastAsia="zh-CN"/>
        </w:rPr>
        <w:t>并协助物业经理开展工作，</w:t>
      </w:r>
      <w:r>
        <w:rPr>
          <w:rFonts w:hint="eastAsia" w:ascii="仿宋_GB2312" w:hAnsi="仿宋_GB2312" w:eastAsia="仿宋_GB2312" w:cs="仿宋_GB2312"/>
          <w:color w:val="auto"/>
          <w:kern w:val="0"/>
          <w:sz w:val="32"/>
          <w:szCs w:val="32"/>
          <w:lang w:val="en-US" w:eastAsia="zh-CN"/>
        </w:rPr>
        <w:t>协助配合开展安保人员的招聘、面试、推荐等工作。</w:t>
      </w:r>
    </w:p>
    <w:p w14:paraId="71A7249B">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3.负责制定安保工作计划，督导各项工作落实。</w:t>
      </w:r>
    </w:p>
    <w:p w14:paraId="067740EB">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4.负责消防安全检查和日常巡检工作，定期检查消防设施设备及维护保养工作。</w:t>
      </w:r>
    </w:p>
    <w:p w14:paraId="6CE8E57E">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5</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负责办公区安全巡检，定时和不定时对办公区内各个公共部位、公共场所、公共设施设备器材进行巡视检查。</w:t>
      </w:r>
    </w:p>
    <w:p w14:paraId="37523635">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6</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负责正前门、停车场管理，疏导车辆进出及停放，维护畅通的交通秩序。</w:t>
      </w:r>
    </w:p>
    <w:p w14:paraId="535E45EC">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lang w:eastAsia="zh-CN"/>
        </w:rPr>
        <w:t>负责协助甲方和物业经理处置突发事件，杜绝发生的偷盗、行凶、破坏等各类刑事案件。</w:t>
      </w:r>
    </w:p>
    <w:p w14:paraId="3DCC58EA">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lang w:eastAsia="zh-CN"/>
        </w:rPr>
        <w:t>负责协助工程维修人员妥善处置停电、停水、停梯等突发事件。</w:t>
      </w:r>
    </w:p>
    <w:p w14:paraId="26978742">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rPr>
        <w:t>完成</w:t>
      </w:r>
      <w:r>
        <w:rPr>
          <w:rFonts w:hint="eastAsia" w:ascii="仿宋_GB2312" w:hAnsi="仿宋_GB2312" w:eastAsia="仿宋_GB2312" w:cs="仿宋_GB2312"/>
          <w:color w:val="auto"/>
          <w:kern w:val="0"/>
          <w:sz w:val="32"/>
          <w:szCs w:val="32"/>
          <w:lang w:eastAsia="zh-CN"/>
        </w:rPr>
        <w:t>甲方和物业经理</w:t>
      </w:r>
      <w:r>
        <w:rPr>
          <w:rFonts w:hint="eastAsia" w:ascii="仿宋_GB2312" w:hAnsi="仿宋_GB2312" w:eastAsia="仿宋_GB2312" w:cs="仿宋_GB2312"/>
          <w:color w:val="auto"/>
          <w:kern w:val="0"/>
          <w:sz w:val="32"/>
          <w:szCs w:val="32"/>
        </w:rPr>
        <w:t>交办的其它工作。</w:t>
      </w:r>
    </w:p>
    <w:p w14:paraId="7E504BAB">
      <w:pPr>
        <w:keepNext w:val="0"/>
        <w:keepLines w:val="0"/>
        <w:pageBreakBefore w:val="0"/>
        <w:widowControl w:val="0"/>
        <w:kinsoku/>
        <w:wordWrap/>
        <w:overflowPunct/>
        <w:topLinePunct w:val="0"/>
        <w:autoSpaceDE/>
        <w:autoSpaceDN/>
        <w:bidi w:val="0"/>
        <w:adjustRightInd/>
        <w:snapToGrid/>
        <w:spacing w:line="360" w:lineRule="atLeast"/>
        <w:ind w:firstLine="643"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lang w:val="en-US" w:eastAsia="zh-CN"/>
        </w:rPr>
        <w:t>（四）</w:t>
      </w:r>
      <w:r>
        <w:rPr>
          <w:rFonts w:hint="eastAsia" w:ascii="仿宋_GB2312" w:hAnsi="仿宋_GB2312" w:eastAsia="仿宋_GB2312" w:cs="仿宋_GB2312"/>
          <w:b/>
          <w:color w:val="auto"/>
          <w:kern w:val="0"/>
          <w:sz w:val="32"/>
          <w:szCs w:val="32"/>
        </w:rPr>
        <w:t>会议服务员岗位职责</w:t>
      </w:r>
    </w:p>
    <w:p w14:paraId="41DC80B5">
      <w:pPr>
        <w:keepNext w:val="0"/>
        <w:keepLines w:val="0"/>
        <w:pageBreakBefore w:val="0"/>
        <w:widowControl w:val="0"/>
        <w:kinsoku/>
        <w:wordWrap/>
        <w:overflowPunct/>
        <w:topLinePunct w:val="0"/>
        <w:autoSpaceDE/>
        <w:autoSpaceDN/>
        <w:bidi w:val="0"/>
        <w:adjustRightInd/>
        <w:snapToGrid/>
        <w:spacing w:line="560" w:lineRule="exact"/>
        <w:ind w:firstLine="561" w:firstLineChars="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在院办公室和物业经理</w:t>
      </w:r>
      <w:r>
        <w:rPr>
          <w:rFonts w:hint="eastAsia" w:ascii="仿宋_GB2312" w:hAnsi="仿宋_GB2312" w:eastAsia="仿宋_GB2312" w:cs="仿宋_GB2312"/>
          <w:color w:val="auto"/>
          <w:kern w:val="0"/>
          <w:sz w:val="32"/>
          <w:szCs w:val="32"/>
        </w:rPr>
        <w:t>的领导下，负责做好</w:t>
      </w:r>
      <w:r>
        <w:rPr>
          <w:rFonts w:hint="eastAsia" w:ascii="仿宋_GB2312" w:hAnsi="仿宋_GB2312" w:eastAsia="仿宋_GB2312" w:cs="仿宋_GB2312"/>
          <w:color w:val="auto"/>
          <w:kern w:val="0"/>
          <w:sz w:val="32"/>
          <w:szCs w:val="32"/>
          <w:lang w:eastAsia="zh-CN"/>
        </w:rPr>
        <w:t>来院</w:t>
      </w:r>
      <w:r>
        <w:rPr>
          <w:rFonts w:hint="eastAsia" w:ascii="仿宋_GB2312" w:hAnsi="仿宋_GB2312" w:eastAsia="仿宋_GB2312" w:cs="仿宋_GB2312"/>
          <w:color w:val="auto"/>
          <w:kern w:val="0"/>
          <w:sz w:val="32"/>
          <w:szCs w:val="32"/>
        </w:rPr>
        <w:t>视察、访问、参观、交流的政府领导及社会各界来宾的接待</w:t>
      </w:r>
      <w:r>
        <w:rPr>
          <w:rFonts w:hint="eastAsia" w:ascii="仿宋_GB2312" w:hAnsi="仿宋_GB2312" w:eastAsia="仿宋_GB2312" w:cs="仿宋_GB2312"/>
          <w:color w:val="auto"/>
          <w:kern w:val="0"/>
          <w:sz w:val="32"/>
          <w:szCs w:val="32"/>
          <w:lang w:eastAsia="zh-CN"/>
        </w:rPr>
        <w:t>服务</w:t>
      </w:r>
      <w:r>
        <w:rPr>
          <w:rFonts w:hint="eastAsia" w:ascii="仿宋_GB2312" w:hAnsi="仿宋_GB2312" w:eastAsia="仿宋_GB2312" w:cs="仿宋_GB2312"/>
          <w:color w:val="auto"/>
          <w:kern w:val="0"/>
          <w:sz w:val="32"/>
          <w:szCs w:val="32"/>
        </w:rPr>
        <w:t>工作</w:t>
      </w:r>
      <w:r>
        <w:rPr>
          <w:rFonts w:hint="eastAsia" w:ascii="仿宋_GB2312" w:hAnsi="仿宋_GB2312" w:eastAsia="仿宋_GB2312" w:cs="仿宋_GB2312"/>
          <w:color w:val="auto"/>
          <w:kern w:val="0"/>
          <w:sz w:val="32"/>
          <w:szCs w:val="32"/>
          <w:lang w:eastAsia="zh-CN"/>
        </w:rPr>
        <w:t>，并配合甲方做好公务接待用餐服务工作。</w:t>
      </w:r>
    </w:p>
    <w:p w14:paraId="047814F2">
      <w:pPr>
        <w:keepNext w:val="0"/>
        <w:keepLines w:val="0"/>
        <w:pageBreakBefore w:val="0"/>
        <w:widowControl w:val="0"/>
        <w:kinsoku/>
        <w:wordWrap/>
        <w:overflowPunct/>
        <w:topLinePunct w:val="0"/>
        <w:autoSpaceDE/>
        <w:autoSpaceDN/>
        <w:bidi w:val="0"/>
        <w:adjustRightInd/>
        <w:snapToGrid/>
        <w:spacing w:line="560" w:lineRule="exact"/>
        <w:ind w:firstLine="561" w:firstLineChars="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2.在会务接待</w:t>
      </w:r>
      <w:r>
        <w:rPr>
          <w:rFonts w:hint="eastAsia" w:ascii="仿宋_GB2312" w:hAnsi="仿宋_GB2312" w:eastAsia="仿宋_GB2312" w:cs="仿宋_GB2312"/>
          <w:color w:val="auto"/>
          <w:kern w:val="0"/>
          <w:sz w:val="32"/>
          <w:szCs w:val="32"/>
          <w:lang w:eastAsia="zh-CN"/>
        </w:rPr>
        <w:t>过程中，不索要领导电话、不插话抢话，主动回避领导间的重要谈话。</w:t>
      </w:r>
    </w:p>
    <w:p w14:paraId="215E8E31">
      <w:pPr>
        <w:keepNext w:val="0"/>
        <w:keepLines w:val="0"/>
        <w:pageBreakBefore w:val="0"/>
        <w:widowControl w:val="0"/>
        <w:kinsoku/>
        <w:wordWrap/>
        <w:overflowPunct/>
        <w:topLinePunct w:val="0"/>
        <w:autoSpaceDE/>
        <w:autoSpaceDN/>
        <w:bidi w:val="0"/>
        <w:adjustRightInd/>
        <w:snapToGrid/>
        <w:spacing w:line="560" w:lineRule="exact"/>
        <w:ind w:firstLine="561" w:firstLineChars="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3.在工作中着装规范统一，保持整洁端庄的仪表、温文尔雅的举止，不佩戴金银首饰，不浓妆艳抹。</w:t>
      </w:r>
    </w:p>
    <w:p w14:paraId="3D33CD25">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根据</w:t>
      </w:r>
      <w:r>
        <w:rPr>
          <w:rFonts w:hint="eastAsia" w:ascii="仿宋_GB2312" w:hAnsi="仿宋_GB2312" w:eastAsia="仿宋_GB2312" w:cs="仿宋_GB2312"/>
          <w:color w:val="auto"/>
          <w:kern w:val="0"/>
          <w:sz w:val="32"/>
          <w:szCs w:val="32"/>
          <w:lang w:eastAsia="zh-CN"/>
        </w:rPr>
        <w:t>业主</w:t>
      </w:r>
      <w:r>
        <w:rPr>
          <w:rFonts w:hint="eastAsia" w:ascii="仿宋_GB2312" w:hAnsi="仿宋_GB2312" w:eastAsia="仿宋_GB2312" w:cs="仿宋_GB2312"/>
          <w:color w:val="auto"/>
          <w:kern w:val="0"/>
          <w:sz w:val="32"/>
          <w:szCs w:val="32"/>
        </w:rPr>
        <w:t>的要求和</w:t>
      </w:r>
      <w:r>
        <w:rPr>
          <w:rFonts w:hint="eastAsia" w:ascii="仿宋_GB2312" w:hAnsi="仿宋_GB2312" w:eastAsia="仿宋_GB2312" w:cs="仿宋_GB2312"/>
          <w:color w:val="auto"/>
          <w:kern w:val="0"/>
          <w:sz w:val="32"/>
          <w:szCs w:val="32"/>
          <w:lang w:eastAsia="zh-CN"/>
        </w:rPr>
        <w:t>物业经理</w:t>
      </w:r>
      <w:r>
        <w:rPr>
          <w:rFonts w:hint="eastAsia" w:ascii="仿宋_GB2312" w:hAnsi="仿宋_GB2312" w:eastAsia="仿宋_GB2312" w:cs="仿宋_GB2312"/>
          <w:color w:val="auto"/>
          <w:kern w:val="0"/>
          <w:sz w:val="32"/>
          <w:szCs w:val="32"/>
        </w:rPr>
        <w:t>的安排</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做好会场布置</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保持会议场所的整洁整齐</w:t>
      </w:r>
      <w:r>
        <w:rPr>
          <w:rFonts w:hint="eastAsia" w:ascii="仿宋_GB2312" w:hAnsi="仿宋_GB2312" w:eastAsia="仿宋_GB2312" w:cs="仿宋_GB2312"/>
          <w:color w:val="auto"/>
          <w:kern w:val="0"/>
          <w:sz w:val="32"/>
          <w:szCs w:val="32"/>
          <w:lang w:eastAsia="zh-CN"/>
        </w:rPr>
        <w:t>。</w:t>
      </w:r>
    </w:p>
    <w:p w14:paraId="7C553577">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负责会前将</w:t>
      </w:r>
      <w:r>
        <w:rPr>
          <w:rFonts w:hint="eastAsia" w:ascii="仿宋_GB2312" w:hAnsi="仿宋_GB2312" w:eastAsia="仿宋_GB2312" w:cs="仿宋_GB2312"/>
          <w:color w:val="auto"/>
          <w:kern w:val="0"/>
          <w:sz w:val="32"/>
          <w:szCs w:val="32"/>
          <w:lang w:eastAsia="zh-CN"/>
        </w:rPr>
        <w:t>会议室空调</w:t>
      </w:r>
      <w:r>
        <w:rPr>
          <w:rFonts w:hint="eastAsia" w:ascii="仿宋_GB2312" w:hAnsi="仿宋_GB2312" w:eastAsia="仿宋_GB2312" w:cs="仿宋_GB2312"/>
          <w:color w:val="auto"/>
          <w:kern w:val="0"/>
          <w:sz w:val="32"/>
          <w:szCs w:val="32"/>
        </w:rPr>
        <w:t>调到最佳温度</w:t>
      </w:r>
      <w:r>
        <w:rPr>
          <w:rFonts w:hint="eastAsia" w:ascii="仿宋_GB2312" w:hAnsi="仿宋_GB2312" w:eastAsia="仿宋_GB2312" w:cs="仿宋_GB2312"/>
          <w:color w:val="auto"/>
          <w:kern w:val="0"/>
          <w:sz w:val="32"/>
          <w:szCs w:val="32"/>
          <w:lang w:eastAsia="zh-CN"/>
        </w:rPr>
        <w:t>，准备茶水以及各类用品。</w:t>
      </w:r>
    </w:p>
    <w:p w14:paraId="74A64966">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负责做好会后的现场检查工作，及时报告上</w:t>
      </w:r>
      <w:r>
        <w:rPr>
          <w:rFonts w:hint="eastAsia" w:ascii="仿宋_GB2312" w:hAnsi="仿宋_GB2312" w:eastAsia="仿宋_GB2312" w:cs="仿宋_GB2312"/>
          <w:color w:val="auto"/>
          <w:kern w:val="0"/>
          <w:sz w:val="32"/>
          <w:szCs w:val="32"/>
          <w:lang w:eastAsia="zh-CN"/>
        </w:rPr>
        <w:t>交</w:t>
      </w:r>
      <w:r>
        <w:rPr>
          <w:rFonts w:hint="eastAsia" w:ascii="仿宋_GB2312" w:hAnsi="仿宋_GB2312" w:eastAsia="仿宋_GB2312" w:cs="仿宋_GB2312"/>
          <w:color w:val="auto"/>
          <w:kern w:val="0"/>
          <w:sz w:val="32"/>
          <w:szCs w:val="32"/>
        </w:rPr>
        <w:t>客人遗留物品</w:t>
      </w:r>
      <w:r>
        <w:rPr>
          <w:rFonts w:hint="eastAsia" w:ascii="仿宋_GB2312" w:hAnsi="仿宋_GB2312" w:eastAsia="仿宋_GB2312" w:cs="仿宋_GB2312"/>
          <w:color w:val="auto"/>
          <w:kern w:val="0"/>
          <w:sz w:val="32"/>
          <w:szCs w:val="32"/>
          <w:lang w:eastAsia="zh-CN"/>
        </w:rPr>
        <w:t>，及时对</w:t>
      </w:r>
      <w:r>
        <w:rPr>
          <w:rFonts w:hint="eastAsia" w:ascii="仿宋_GB2312" w:hAnsi="仿宋_GB2312" w:eastAsia="仿宋_GB2312" w:cs="仿宋_GB2312"/>
          <w:color w:val="auto"/>
          <w:kern w:val="0"/>
          <w:sz w:val="32"/>
          <w:szCs w:val="32"/>
        </w:rPr>
        <w:t>会议茶具</w:t>
      </w:r>
      <w:r>
        <w:rPr>
          <w:rFonts w:hint="eastAsia" w:ascii="仿宋_GB2312" w:hAnsi="仿宋_GB2312" w:eastAsia="仿宋_GB2312" w:cs="仿宋_GB2312"/>
          <w:color w:val="auto"/>
          <w:kern w:val="0"/>
          <w:sz w:val="32"/>
          <w:szCs w:val="32"/>
          <w:lang w:eastAsia="zh-CN"/>
        </w:rPr>
        <w:t>进行</w:t>
      </w:r>
      <w:r>
        <w:rPr>
          <w:rFonts w:hint="eastAsia" w:ascii="仿宋_GB2312" w:hAnsi="仿宋_GB2312" w:eastAsia="仿宋_GB2312" w:cs="仿宋_GB2312"/>
          <w:color w:val="auto"/>
          <w:kern w:val="0"/>
          <w:sz w:val="32"/>
          <w:szCs w:val="32"/>
        </w:rPr>
        <w:t>清洗消毒</w:t>
      </w:r>
      <w:r>
        <w:rPr>
          <w:rFonts w:hint="eastAsia" w:ascii="仿宋_GB2312" w:hAnsi="仿宋_GB2312" w:eastAsia="仿宋_GB2312" w:cs="仿宋_GB2312"/>
          <w:color w:val="auto"/>
          <w:kern w:val="0"/>
          <w:sz w:val="32"/>
          <w:szCs w:val="32"/>
          <w:lang w:eastAsia="zh-CN"/>
        </w:rPr>
        <w:t>。</w:t>
      </w:r>
    </w:p>
    <w:p w14:paraId="67FC2FC6">
      <w:pPr>
        <w:keepNext w:val="0"/>
        <w:keepLines w:val="0"/>
        <w:pageBreakBefore w:val="0"/>
        <w:widowControl w:val="0"/>
        <w:kinsoku/>
        <w:wordWrap/>
        <w:overflowPunct/>
        <w:topLinePunct w:val="0"/>
        <w:autoSpaceDE/>
        <w:autoSpaceDN/>
        <w:bidi w:val="0"/>
        <w:adjustRightInd/>
        <w:snapToGrid/>
        <w:spacing w:line="560" w:lineRule="exact"/>
        <w:ind w:firstLine="561" w:firstLineChars="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rPr>
        <w:t>完成</w:t>
      </w:r>
      <w:r>
        <w:rPr>
          <w:rFonts w:hint="eastAsia" w:ascii="仿宋_GB2312" w:hAnsi="仿宋_GB2312" w:eastAsia="仿宋_GB2312" w:cs="仿宋_GB2312"/>
          <w:color w:val="auto"/>
          <w:kern w:val="0"/>
          <w:sz w:val="32"/>
          <w:szCs w:val="32"/>
          <w:lang w:eastAsia="zh-CN"/>
        </w:rPr>
        <w:t>甲方和物业经理</w:t>
      </w:r>
      <w:r>
        <w:rPr>
          <w:rFonts w:hint="eastAsia" w:ascii="仿宋_GB2312" w:hAnsi="仿宋_GB2312" w:eastAsia="仿宋_GB2312" w:cs="仿宋_GB2312"/>
          <w:color w:val="auto"/>
          <w:kern w:val="0"/>
          <w:sz w:val="32"/>
          <w:szCs w:val="32"/>
        </w:rPr>
        <w:t>布置的其他工作。</w:t>
      </w:r>
    </w:p>
    <w:p w14:paraId="4B4AFBE7">
      <w:pPr>
        <w:keepNext w:val="0"/>
        <w:keepLines w:val="0"/>
        <w:pageBreakBefore w:val="0"/>
        <w:widowControl w:val="0"/>
        <w:kinsoku/>
        <w:wordWrap/>
        <w:overflowPunct/>
        <w:topLinePunct w:val="0"/>
        <w:autoSpaceDE/>
        <w:autoSpaceDN/>
        <w:bidi w:val="0"/>
        <w:adjustRightInd/>
        <w:snapToGrid/>
        <w:spacing w:line="360" w:lineRule="atLeast"/>
        <w:ind w:firstLine="643" w:firstLineChars="200"/>
        <w:jc w:val="both"/>
        <w:textAlignment w:val="auto"/>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lang w:val="en-US" w:eastAsia="zh-CN"/>
        </w:rPr>
        <w:t>（五）</w:t>
      </w:r>
      <w:r>
        <w:rPr>
          <w:rFonts w:hint="eastAsia" w:ascii="仿宋_GB2312" w:hAnsi="仿宋_GB2312" w:eastAsia="仿宋_GB2312" w:cs="仿宋_GB2312"/>
          <w:b/>
          <w:color w:val="000000"/>
          <w:kern w:val="0"/>
          <w:sz w:val="32"/>
          <w:szCs w:val="32"/>
        </w:rPr>
        <w:t>绿化工岗位职责</w:t>
      </w:r>
    </w:p>
    <w:p w14:paraId="402FC618">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了解从事绿化维护的工作内容和岗位职责。</w:t>
      </w:r>
    </w:p>
    <w:p w14:paraId="282BEA35">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了解绿地施工及养护管理的操作规程和规范。</w:t>
      </w:r>
    </w:p>
    <w:p w14:paraId="4DE4BB22">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eastAsia="zh-CN"/>
        </w:rPr>
        <w:t>认识常见的绿植，能区分不同植物的形态特征，并了解环境因素对植物的影响。</w:t>
      </w:r>
    </w:p>
    <w:p w14:paraId="3C885A4B">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lang w:eastAsia="zh-CN"/>
        </w:rPr>
        <w:t>了解常见的植物病虫害和相应的防治方法，以及安全使用和保管药剂的知识。</w:t>
      </w:r>
    </w:p>
    <w:p w14:paraId="1EC061BD">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lang w:eastAsia="zh-CN"/>
        </w:rPr>
        <w:t>草坪生长整齐，无明显缺水枯黄和秃裸，杂草面积不大于2%，每周至少清扫</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次绿化地及丛中的烟头、纸屑等垃圾。</w:t>
      </w:r>
    </w:p>
    <w:p w14:paraId="638F9A94">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6.掌握绿植修剪技术，</w:t>
      </w:r>
      <w:r>
        <w:rPr>
          <w:rFonts w:hint="eastAsia" w:ascii="仿宋_GB2312" w:hAnsi="仿宋_GB2312" w:eastAsia="仿宋_GB2312" w:cs="仿宋_GB2312"/>
          <w:color w:val="auto"/>
          <w:kern w:val="0"/>
          <w:sz w:val="32"/>
          <w:szCs w:val="32"/>
          <w:lang w:eastAsia="zh-CN"/>
        </w:rPr>
        <w:t>乔、灌木、攀枝植物每年修剪2次以上。</w:t>
      </w:r>
    </w:p>
    <w:p w14:paraId="7860317B">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lang w:eastAsia="zh-CN"/>
        </w:rPr>
        <w:t>每周清除除草</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次，确保无杂草。</w:t>
      </w:r>
    </w:p>
    <w:p w14:paraId="0AEE86A5">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lang w:eastAsia="zh-CN"/>
        </w:rPr>
        <w:t>及时清除死树、死枝，对死株、秃裸草坪适时通报甲方，申请补种。</w:t>
      </w:r>
    </w:p>
    <w:p w14:paraId="0BACE678">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lang w:eastAsia="zh-CN"/>
        </w:rPr>
        <w:t>定期喷洒药物，做好病虫害防治工作，无明显病虫害现象。</w:t>
      </w:r>
    </w:p>
    <w:p w14:paraId="52CA3B36">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10.</w:t>
      </w:r>
      <w:r>
        <w:rPr>
          <w:rFonts w:hint="eastAsia" w:ascii="仿宋_GB2312" w:hAnsi="仿宋_GB2312" w:eastAsia="仿宋_GB2312" w:cs="仿宋_GB2312"/>
          <w:color w:val="auto"/>
          <w:kern w:val="0"/>
          <w:sz w:val="32"/>
          <w:szCs w:val="32"/>
          <w:lang w:eastAsia="zh-CN"/>
        </w:rPr>
        <w:t>完成甲方和物业经理布置的其他工作。</w:t>
      </w:r>
    </w:p>
    <w:p w14:paraId="19562C23">
      <w:pPr>
        <w:keepNext w:val="0"/>
        <w:keepLines w:val="0"/>
        <w:pageBreakBefore w:val="0"/>
        <w:widowControl w:val="0"/>
        <w:kinsoku/>
        <w:wordWrap/>
        <w:overflowPunct/>
        <w:topLinePunct w:val="0"/>
        <w:autoSpaceDE/>
        <w:autoSpaceDN/>
        <w:bidi w:val="0"/>
        <w:adjustRightInd/>
        <w:snapToGrid/>
        <w:spacing w:line="360" w:lineRule="atLeast"/>
        <w:ind w:firstLine="549"/>
        <w:jc w:val="both"/>
        <w:textAlignment w:val="auto"/>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lang w:val="en-US" w:eastAsia="zh-CN"/>
        </w:rPr>
        <w:t>（六）</w:t>
      </w:r>
      <w:r>
        <w:rPr>
          <w:rFonts w:hint="eastAsia" w:ascii="仿宋_GB2312" w:hAnsi="仿宋_GB2312" w:eastAsia="仿宋_GB2312" w:cs="仿宋_GB2312"/>
          <w:b/>
          <w:bCs/>
          <w:color w:val="auto"/>
          <w:kern w:val="0"/>
          <w:sz w:val="32"/>
          <w:szCs w:val="32"/>
          <w:lang w:eastAsia="zh-CN"/>
        </w:rPr>
        <w:t>保洁员岗位职责</w:t>
      </w:r>
    </w:p>
    <w:p w14:paraId="0CFE97DF">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1</w:t>
      </w:r>
      <w:r>
        <w:rPr>
          <w:rFonts w:hint="eastAsia" w:ascii="仿宋_GB2312" w:hAnsi="仿宋_GB2312" w:eastAsia="仿宋_GB2312" w:cs="仿宋_GB2312"/>
          <w:color w:val="auto"/>
          <w:kern w:val="0"/>
          <w:sz w:val="32"/>
          <w:szCs w:val="32"/>
          <w:lang w:val="en-US" w:eastAsia="zh-CN"/>
        </w:rPr>
        <w:t>.在物业经理的领导下，服从</w:t>
      </w:r>
      <w:r>
        <w:rPr>
          <w:rFonts w:hint="eastAsia" w:ascii="仿宋_GB2312" w:hAnsi="仿宋_GB2312" w:eastAsia="仿宋_GB2312" w:cs="仿宋_GB2312"/>
          <w:color w:val="auto"/>
          <w:kern w:val="0"/>
          <w:sz w:val="32"/>
          <w:szCs w:val="32"/>
          <w:lang w:eastAsia="zh-CN"/>
        </w:rPr>
        <w:t>管理，负责所属区域卫生保洁，熟悉掌握清洁工具和各类清洁用品的安全使用，遵守日常保洁标准，如遇特殊重大活动，执行特殊清洁标准。</w:t>
      </w:r>
    </w:p>
    <w:p w14:paraId="685626A8">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2</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负责院内办公室、道路、公共区域的清扫清洁，保持公共整洁，无乱悬挂、乱堆放等现象。</w:t>
      </w:r>
    </w:p>
    <w:p w14:paraId="2D5C4B30">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3</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负责各种标牌、柱子、金属装饰物、开关盒及消防器材的擦拭。</w:t>
      </w:r>
    </w:p>
    <w:p w14:paraId="5A9177C8">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4</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负责办公区域内桌面、办公家具、烟灰缸及垃圾筒的清洁。</w:t>
      </w:r>
    </w:p>
    <w:p w14:paraId="726B9272">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5</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负责室内公共场所的废弃用品收集及妥当处置。</w:t>
      </w:r>
    </w:p>
    <w:p w14:paraId="3B7860D6">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6</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督促装修维修垃圾及时清运，集中堆放时间不得超过</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天。</w:t>
      </w:r>
    </w:p>
    <w:p w14:paraId="65169D42">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7</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负责公共洗手间的清洁卫生。</w:t>
      </w:r>
    </w:p>
    <w:p w14:paraId="0BCD272B">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8</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负责室内所有的花盆及植物的清洁工作。</w:t>
      </w:r>
    </w:p>
    <w:p w14:paraId="79385FAD">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9.负责电梯清洁，保持</w:t>
      </w:r>
      <w:r>
        <w:rPr>
          <w:rFonts w:hint="eastAsia" w:ascii="仿宋_GB2312" w:hAnsi="仿宋_GB2312" w:eastAsia="仿宋_GB2312" w:cs="仿宋_GB2312"/>
          <w:color w:val="auto"/>
          <w:kern w:val="0"/>
          <w:sz w:val="32"/>
          <w:szCs w:val="32"/>
          <w:lang w:eastAsia="zh-CN"/>
        </w:rPr>
        <w:t>轿厢内、电梯门无手印、灰尘、污迹，干净光亮、无异味，地毯干净无污迹。</w:t>
      </w:r>
    </w:p>
    <w:p w14:paraId="5031C878">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10.</w:t>
      </w:r>
      <w:r>
        <w:rPr>
          <w:rFonts w:hint="eastAsia" w:ascii="仿宋_GB2312" w:hAnsi="仿宋_GB2312" w:eastAsia="仿宋_GB2312" w:cs="仿宋_GB2312"/>
          <w:color w:val="auto"/>
          <w:kern w:val="0"/>
          <w:sz w:val="32"/>
          <w:szCs w:val="32"/>
          <w:lang w:eastAsia="zh-CN"/>
        </w:rPr>
        <w:t>每天清运生活垃圾，做到日产日清，无垃圾桶、果皮箱满溢现象，垃圾箱外表干净，无异味。</w:t>
      </w:r>
    </w:p>
    <w:p w14:paraId="46BB2A05">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11.</w:t>
      </w:r>
      <w:r>
        <w:rPr>
          <w:rFonts w:hint="eastAsia" w:ascii="仿宋_GB2312" w:hAnsi="仿宋_GB2312" w:eastAsia="仿宋_GB2312" w:cs="仿宋_GB2312"/>
          <w:color w:val="auto"/>
          <w:kern w:val="0"/>
          <w:sz w:val="32"/>
          <w:szCs w:val="32"/>
          <w:lang w:eastAsia="zh-CN"/>
        </w:rPr>
        <w:t>做好卫生虫害的防治工作，配合消杀公司定期除四害，有效控制老鼠、蟑螂、蚊子、白蚁等害虫孳生。</w:t>
      </w:r>
    </w:p>
    <w:p w14:paraId="2EFE6015">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12.</w:t>
      </w:r>
      <w:r>
        <w:rPr>
          <w:rFonts w:hint="eastAsia" w:ascii="仿宋_GB2312" w:hAnsi="仿宋_GB2312" w:eastAsia="仿宋_GB2312" w:cs="仿宋_GB2312"/>
          <w:color w:val="auto"/>
          <w:kern w:val="0"/>
          <w:sz w:val="32"/>
          <w:szCs w:val="32"/>
          <w:lang w:eastAsia="zh-CN"/>
        </w:rPr>
        <w:t>完成甲方和物业经理布置的其他工作。</w:t>
      </w:r>
    </w:p>
    <w:p w14:paraId="4301A8D9">
      <w:pPr>
        <w:keepNext w:val="0"/>
        <w:keepLines w:val="0"/>
        <w:pageBreakBefore w:val="0"/>
        <w:widowControl w:val="0"/>
        <w:kinsoku/>
        <w:wordWrap/>
        <w:overflowPunct/>
        <w:topLinePunct w:val="0"/>
        <w:autoSpaceDE/>
        <w:autoSpaceDN/>
        <w:bidi w:val="0"/>
        <w:adjustRightInd/>
        <w:snapToGrid/>
        <w:spacing w:line="360" w:lineRule="atLeast"/>
        <w:ind w:firstLine="549"/>
        <w:jc w:val="both"/>
        <w:textAlignment w:val="auto"/>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（七）安保人员岗位职责</w:t>
      </w:r>
    </w:p>
    <w:p w14:paraId="536BDE08">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在物业经理和协管队长的直接领导下，开展安全保卫工作，要保持良好的精神状态，注意仪容仪表及礼节礼貌，受过相关专业教育或保安培训，相貌端庄、有较好的政治素质、品行好、作风正派、无犯罪记录、能够胜任本职工作。</w:t>
      </w:r>
    </w:p>
    <w:p w14:paraId="79C2BEB9">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2.遵守</w:t>
      </w:r>
      <w:r>
        <w:rPr>
          <w:rFonts w:hint="eastAsia" w:ascii="仿宋_GB2312" w:hAnsi="仿宋_GB2312" w:eastAsia="仿宋_GB2312" w:cs="仿宋_GB2312"/>
          <w:color w:val="auto"/>
          <w:kern w:val="0"/>
          <w:sz w:val="32"/>
          <w:szCs w:val="32"/>
          <w:lang w:eastAsia="zh-CN"/>
        </w:rPr>
        <w:t>管理制度，熟悉火警、水警、警情等应急预案。守卫、巡逻中及时发现、正确处置安全隐患和险情，严防发生工作失误。每月定期检查、维护消防设施设备，完好率达98%以上，执勤人员具备消防基本技能。</w:t>
      </w:r>
    </w:p>
    <w:p w14:paraId="105475B0">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eastAsia="zh-CN"/>
        </w:rPr>
        <w:t>执勤人员统一着装，佩戴标志。做到24小时值班巡逻，设立正大门岗、侧门岗和巡逻岗等3个安保岗位，保持24小时在岗在位，认真履行职责，巡岗每天按照规定线路和时间巡逻，重点防范部位每2小时巡查一次，盘查可疑人员，做好巡查记录。</w:t>
      </w:r>
    </w:p>
    <w:p w14:paraId="5199384E">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lang w:eastAsia="zh-CN"/>
        </w:rPr>
        <w:t>对进出区域的人员、车辆严格实行来访登记，做好人员车辆出入登记，监控外来人员和进出车辆，保持公共秩序良好，密切注视出入人员，劝阻衣冠不整者、收废旧物品者、推销人员、带动物者及危险品者进入院内。</w:t>
      </w:r>
    </w:p>
    <w:p w14:paraId="135D3194">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lang w:eastAsia="zh-CN"/>
        </w:rPr>
        <w:t>对运出院内的大件、大量物品有登记，经行装科或相关</w:t>
      </w:r>
      <w:r>
        <w:rPr>
          <w:rFonts w:hint="eastAsia" w:ascii="仿宋_GB2312" w:hAnsi="仿宋_GB2312" w:eastAsia="仿宋_GB2312" w:cs="仿宋_GB2312"/>
          <w:color w:val="auto"/>
          <w:kern w:val="0"/>
          <w:sz w:val="32"/>
          <w:szCs w:val="32"/>
          <w:lang w:val="en-US" w:eastAsia="zh-CN"/>
        </w:rPr>
        <w:t>部门</w:t>
      </w:r>
      <w:r>
        <w:rPr>
          <w:rFonts w:hint="eastAsia" w:ascii="仿宋_GB2312" w:hAnsi="仿宋_GB2312" w:eastAsia="仿宋_GB2312" w:cs="仿宋_GB2312"/>
          <w:color w:val="auto"/>
          <w:kern w:val="0"/>
          <w:sz w:val="32"/>
          <w:szCs w:val="32"/>
          <w:lang w:eastAsia="zh-CN"/>
        </w:rPr>
        <w:t>同意后放行并记录。</w:t>
      </w:r>
    </w:p>
    <w:p w14:paraId="35E9FDA5">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lang w:eastAsia="zh-CN"/>
        </w:rPr>
        <w:t>对机动车辆和非机动车辆的行驶方向、速度、停放秩序进行管理，维护交通秩序。</w:t>
      </w:r>
    </w:p>
    <w:p w14:paraId="73EE2D3D">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lang w:eastAsia="zh-CN"/>
        </w:rPr>
        <w:t>对损害、破坏共用设施设备、侵害业主人身财产的行为进行劝阻、制止，维护安全，并及时报告相关部门、协助做好工作。</w:t>
      </w:r>
    </w:p>
    <w:p w14:paraId="67A0DC72">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lang w:eastAsia="zh-CN"/>
        </w:rPr>
        <w:t>负责日常治安、车辆、秩序、安全、巡逻等防范工作，服从管理指挥，遵守安全管理制度，做好安全防范，紧急情况及时报告，积极配合妥善处置突发事件。</w:t>
      </w:r>
    </w:p>
    <w:p w14:paraId="0C5275F1">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lang w:eastAsia="zh-CN"/>
        </w:rPr>
        <w:t>每天下班后，巡逻员至少要对全院检查一遍，确认灯、空调、门锁关闭良好，各防火门关闭良好、无障碍，各门禁关闭良好。</w:t>
      </w:r>
    </w:p>
    <w:p w14:paraId="36057140">
      <w:pPr>
        <w:keepNext w:val="0"/>
        <w:keepLines w:val="0"/>
        <w:pageBreakBefore w:val="0"/>
        <w:widowControl w:val="0"/>
        <w:kinsoku/>
        <w:wordWrap/>
        <w:overflowPunct/>
        <w:topLinePunct w:val="0"/>
        <w:autoSpaceDE/>
        <w:autoSpaceDN/>
        <w:bidi w:val="0"/>
        <w:adjustRightInd/>
        <w:snapToGrid/>
        <w:spacing w:line="560" w:lineRule="exact"/>
        <w:ind w:firstLine="55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10.</w:t>
      </w:r>
      <w:r>
        <w:rPr>
          <w:rFonts w:hint="eastAsia" w:ascii="仿宋_GB2312" w:hAnsi="仿宋_GB2312" w:eastAsia="仿宋_GB2312" w:cs="仿宋_GB2312"/>
          <w:color w:val="auto"/>
          <w:kern w:val="0"/>
          <w:sz w:val="32"/>
          <w:szCs w:val="32"/>
          <w:lang w:eastAsia="zh-CN"/>
        </w:rPr>
        <w:t>完成甲方和物业经理布置的其他工作。</w:t>
      </w:r>
    </w:p>
    <w:p w14:paraId="14D09B2D">
      <w:pPr>
        <w:keepNext w:val="0"/>
        <w:keepLines w:val="0"/>
        <w:pageBreakBefore w:val="0"/>
        <w:widowControl w:val="0"/>
        <w:kinsoku/>
        <w:wordWrap/>
        <w:overflowPunct/>
        <w:topLinePunct w:val="0"/>
        <w:autoSpaceDE/>
        <w:autoSpaceDN/>
        <w:bidi w:val="0"/>
        <w:adjustRightInd/>
        <w:snapToGrid/>
        <w:spacing w:line="360" w:lineRule="atLeast"/>
        <w:ind w:firstLine="643" w:firstLineChars="200"/>
        <w:jc w:val="both"/>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lang w:eastAsia="zh-CN"/>
        </w:rPr>
        <w:t>（八）</w:t>
      </w:r>
      <w:r>
        <w:rPr>
          <w:rFonts w:hint="eastAsia" w:ascii="仿宋_GB2312" w:hAnsi="仿宋_GB2312" w:eastAsia="仿宋_GB2312" w:cs="仿宋_GB2312"/>
          <w:b/>
          <w:color w:val="auto"/>
          <w:kern w:val="0"/>
          <w:sz w:val="32"/>
          <w:szCs w:val="32"/>
        </w:rPr>
        <w:t>工程维修工岗位职责</w:t>
      </w:r>
    </w:p>
    <w:p w14:paraId="42B406C4">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sz w:val="32"/>
          <w:szCs w:val="32"/>
          <w:lang w:val="en-US" w:eastAsia="zh-CN"/>
        </w:rPr>
        <w:t>1.在物业经理的领导下，</w:t>
      </w:r>
      <w:r>
        <w:rPr>
          <w:rFonts w:hint="eastAsia" w:ascii="仿宋_GB2312" w:hAnsi="仿宋_GB2312" w:eastAsia="仿宋_GB2312" w:cs="仿宋_GB2312"/>
          <w:color w:val="auto"/>
          <w:kern w:val="0"/>
          <w:sz w:val="32"/>
          <w:szCs w:val="32"/>
          <w:lang w:eastAsia="zh-CN"/>
        </w:rPr>
        <w:t>主要是对水、电、消防和电梯等设施设备进行维修保养，落实消防值班制度。</w:t>
      </w:r>
    </w:p>
    <w:p w14:paraId="72141F69">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负责大楼供配电气系统、供排水系统、消防系统的运行维修保养和日常巡视，做好值班、巡检记录并及时归档保存。</w:t>
      </w:r>
    </w:p>
    <w:p w14:paraId="2E098D89">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负责每天巡视配电房、水泵房、消防设备，观察电压表、水压表、电流表、计量表是否正常，认真做好运行记录，发现问题及时处理。</w:t>
      </w:r>
    </w:p>
    <w:p w14:paraId="7337DA9C">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发生停电、停水或其他事故及时向业主和物业经理汇报，及时与供电、供水等部门联系，迅速奔赴现场查明原因，负责及时进行抢修，严格遵守安全操作规程及管理制度，杜绝人身和设备事故的发生，重大泄漏事故必须在公司领导的指导下进行。</w:t>
      </w:r>
    </w:p>
    <w:p w14:paraId="0A95A587">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负责水电设施、庭院建筑和基础设施的零星维修，定期对维修工作存在的问题及时反馈。</w:t>
      </w:r>
    </w:p>
    <w:p w14:paraId="0EC6DC84">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负责每周清扫设备房，保持设备间内设备的整洁，并及时更换照明开关、灯泡。</w:t>
      </w:r>
    </w:p>
    <w:p w14:paraId="7D5DB0B3">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熟悉院内电梯的构造、性能和使用方法，严格遵守电梯安全操作规程。保证电梯正常、安全运行。</w:t>
      </w:r>
    </w:p>
    <w:p w14:paraId="533F12F9">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每天对电梯机房的设备、温度、通风状况等巡视检查一遍，及时发现和排除各种异常现象。</w:t>
      </w:r>
    </w:p>
    <w:p w14:paraId="755B2D7D">
      <w:pPr>
        <w:keepNext w:val="0"/>
        <w:keepLines w:val="0"/>
        <w:pageBreakBefore w:val="0"/>
        <w:widowControl w:val="0"/>
        <w:kinsoku/>
        <w:wordWrap/>
        <w:overflowPunct/>
        <w:topLinePunct w:val="0"/>
        <w:autoSpaceDE/>
        <w:autoSpaceDN/>
        <w:bidi w:val="0"/>
        <w:adjustRightInd/>
        <w:snapToGrid/>
        <w:spacing w:line="560" w:lineRule="exact"/>
        <w:ind w:firstLine="561"/>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努力学习技术，熟练掌握工作区域内设备的原理、技术性能及实际操作。</w:t>
      </w:r>
    </w:p>
    <w:p w14:paraId="4DA25C01">
      <w:pPr>
        <w:keepNext w:val="0"/>
        <w:keepLines w:val="0"/>
        <w:pageBreakBefore w:val="0"/>
        <w:widowControl w:val="0"/>
        <w:kinsoku/>
        <w:wordWrap/>
        <w:overflowPunct/>
        <w:topLinePunct w:val="0"/>
        <w:autoSpaceDE/>
        <w:autoSpaceDN/>
        <w:bidi w:val="0"/>
        <w:adjustRightInd/>
        <w:snapToGrid/>
        <w:spacing w:line="560" w:lineRule="exact"/>
        <w:ind w:firstLine="561" w:firstLineChars="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10.</w:t>
      </w:r>
      <w:r>
        <w:rPr>
          <w:rFonts w:hint="eastAsia" w:ascii="仿宋_GB2312" w:hAnsi="仿宋_GB2312" w:eastAsia="仿宋_GB2312" w:cs="仿宋_GB2312"/>
          <w:color w:val="auto"/>
          <w:kern w:val="0"/>
          <w:sz w:val="32"/>
          <w:szCs w:val="32"/>
          <w:lang w:eastAsia="zh-CN"/>
        </w:rPr>
        <w:t>完成甲方和物业经理</w:t>
      </w:r>
      <w:r>
        <w:rPr>
          <w:rFonts w:hint="eastAsia" w:ascii="仿宋_GB2312" w:hAnsi="仿宋_GB2312" w:eastAsia="仿宋_GB2312" w:cs="仿宋_GB2312"/>
          <w:color w:val="auto"/>
          <w:kern w:val="0"/>
          <w:sz w:val="32"/>
          <w:szCs w:val="32"/>
        </w:rPr>
        <w:t>布置的其他工作。</w:t>
      </w:r>
    </w:p>
    <w:p w14:paraId="5C1721CC">
      <w:pPr>
        <w:keepNext w:val="0"/>
        <w:keepLines w:val="0"/>
        <w:pageBreakBefore w:val="0"/>
        <w:kinsoku/>
        <w:wordWrap/>
        <w:overflowPunct/>
        <w:topLinePunct w:val="0"/>
        <w:autoSpaceDE/>
        <w:autoSpaceDN/>
        <w:bidi w:val="0"/>
        <w:spacing w:line="360" w:lineRule="atLeast"/>
        <w:ind w:firstLine="640" w:firstLineChars="200"/>
        <w:jc w:val="both"/>
        <w:textAlignment w:val="auto"/>
        <w:rPr>
          <w:rFonts w:hint="eastAsia" w:ascii="黑体" w:hAnsi="黑体" w:eastAsia="黑体" w:cs="黑体"/>
          <w:color w:val="auto"/>
          <w:sz w:val="32"/>
          <w:szCs w:val="32"/>
        </w:rPr>
      </w:pPr>
      <w:bookmarkStart w:id="27" w:name="_Toc302572335"/>
      <w:bookmarkStart w:id="28" w:name="_Toc302485113"/>
      <w:r>
        <w:rPr>
          <w:rFonts w:hint="eastAsia" w:ascii="黑体" w:hAnsi="黑体" w:eastAsia="黑体" w:cs="黑体"/>
          <w:color w:val="auto"/>
          <w:sz w:val="32"/>
          <w:szCs w:val="32"/>
        </w:rPr>
        <w:t>六、</w:t>
      </w:r>
      <w:bookmarkEnd w:id="27"/>
      <w:bookmarkEnd w:id="28"/>
      <w:r>
        <w:rPr>
          <w:rFonts w:hint="eastAsia" w:ascii="黑体" w:hAnsi="黑体" w:eastAsia="黑体" w:cs="黑体"/>
          <w:color w:val="auto"/>
          <w:sz w:val="32"/>
          <w:szCs w:val="32"/>
        </w:rPr>
        <w:t>运作模式</w:t>
      </w:r>
      <w:bookmarkEnd w:id="25"/>
      <w:bookmarkEnd w:id="26"/>
    </w:p>
    <w:p w14:paraId="67F4216C">
      <w:pPr>
        <w:keepNext w:val="0"/>
        <w:keepLines w:val="0"/>
        <w:pageBreakBefore w:val="0"/>
        <w:kinsoku/>
        <w:wordWrap/>
        <w:overflowPunct/>
        <w:topLinePunct w:val="0"/>
        <w:autoSpaceDE/>
        <w:autoSpaceDN/>
        <w:bidi w:val="0"/>
        <w:spacing w:line="360" w:lineRule="atLeast"/>
        <w:ind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（一）物业管理费用</w:t>
      </w:r>
    </w:p>
    <w:p w14:paraId="4D7C77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kern w:val="0"/>
          <w:sz w:val="32"/>
          <w:szCs w:val="32"/>
        </w:rPr>
        <w:t>人工成本（含人员工资、工资附加及保险）、配置费用、员工餐费补贴、项目管理费按照实际到岗人数，由</w:t>
      </w:r>
      <w:r>
        <w:rPr>
          <w:rFonts w:hint="eastAsia" w:ascii="仿宋_GB2312" w:hAnsi="仿宋_GB2312" w:eastAsia="仿宋_GB2312" w:cs="仿宋_GB2312"/>
          <w:color w:val="auto"/>
          <w:kern w:val="0"/>
          <w:sz w:val="32"/>
          <w:szCs w:val="32"/>
          <w:lang w:eastAsia="zh-CN"/>
        </w:rPr>
        <w:t>甲方</w:t>
      </w:r>
      <w:r>
        <w:rPr>
          <w:rFonts w:hint="eastAsia" w:ascii="仿宋_GB2312" w:hAnsi="仿宋_GB2312" w:eastAsia="仿宋_GB2312" w:cs="仿宋_GB2312"/>
          <w:color w:val="auto"/>
          <w:kern w:val="0"/>
          <w:sz w:val="32"/>
          <w:szCs w:val="32"/>
        </w:rPr>
        <w:t>按</w:t>
      </w:r>
      <w:r>
        <w:rPr>
          <w:rFonts w:hint="eastAsia" w:ascii="仿宋_GB2312" w:hAnsi="仿宋_GB2312" w:eastAsia="仿宋_GB2312" w:cs="仿宋_GB2312"/>
          <w:color w:val="auto"/>
          <w:kern w:val="0"/>
          <w:sz w:val="32"/>
          <w:szCs w:val="32"/>
          <w:lang w:eastAsia="zh-CN"/>
        </w:rPr>
        <w:t>月</w:t>
      </w:r>
      <w:r>
        <w:rPr>
          <w:rFonts w:hint="eastAsia" w:ascii="仿宋_GB2312" w:hAnsi="仿宋_GB2312" w:eastAsia="仿宋_GB2312" w:cs="仿宋_GB2312"/>
          <w:color w:val="auto"/>
          <w:kern w:val="0"/>
          <w:sz w:val="32"/>
          <w:szCs w:val="32"/>
        </w:rPr>
        <w:t>向</w:t>
      </w:r>
      <w:r>
        <w:rPr>
          <w:rFonts w:hint="eastAsia" w:ascii="仿宋_GB2312" w:hAnsi="仿宋_GB2312" w:eastAsia="仿宋_GB2312" w:cs="仿宋_GB2312"/>
          <w:color w:val="auto"/>
          <w:kern w:val="0"/>
          <w:sz w:val="32"/>
          <w:szCs w:val="32"/>
          <w:lang w:eastAsia="zh-CN"/>
        </w:rPr>
        <w:t>乙方</w:t>
      </w:r>
      <w:r>
        <w:rPr>
          <w:rFonts w:hint="eastAsia" w:ascii="仿宋_GB2312" w:hAnsi="仿宋_GB2312" w:eastAsia="仿宋_GB2312" w:cs="仿宋_GB2312"/>
          <w:color w:val="auto"/>
          <w:kern w:val="0"/>
          <w:sz w:val="32"/>
          <w:szCs w:val="32"/>
        </w:rPr>
        <w:t>支付；员工工作服费用、</w:t>
      </w:r>
      <w:r>
        <w:rPr>
          <w:rFonts w:hint="eastAsia" w:ascii="仿宋_GB2312" w:hAnsi="仿宋_GB2312" w:eastAsia="仿宋_GB2312" w:cs="仿宋_GB2312"/>
          <w:color w:val="auto"/>
          <w:kern w:val="0"/>
          <w:sz w:val="32"/>
          <w:szCs w:val="32"/>
          <w:lang w:eastAsia="zh-CN"/>
        </w:rPr>
        <w:t>劳保用品、</w:t>
      </w:r>
      <w:r>
        <w:rPr>
          <w:rFonts w:hint="eastAsia" w:ascii="仿宋_GB2312" w:hAnsi="仿宋_GB2312" w:eastAsia="仿宋_GB2312" w:cs="仿宋_GB2312"/>
          <w:color w:val="auto"/>
          <w:kern w:val="0"/>
          <w:sz w:val="32"/>
          <w:szCs w:val="32"/>
        </w:rPr>
        <w:t>低值易耗品、办公费用实行年度包干。</w:t>
      </w:r>
    </w:p>
    <w:p w14:paraId="17845125">
      <w:pPr>
        <w:keepNext w:val="0"/>
        <w:keepLines w:val="0"/>
        <w:pageBreakBefore w:val="0"/>
        <w:kinsoku/>
        <w:wordWrap/>
        <w:overflowPunct/>
        <w:topLinePunct w:val="0"/>
        <w:autoSpaceDE/>
        <w:autoSpaceDN/>
        <w:bidi w:val="0"/>
        <w:spacing w:line="360" w:lineRule="atLeast"/>
        <w:ind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（二）工程维修等费用</w:t>
      </w:r>
    </w:p>
    <w:p w14:paraId="1AD935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kern w:val="0"/>
          <w:sz w:val="32"/>
          <w:szCs w:val="32"/>
          <w:lang w:eastAsia="zh-CN"/>
        </w:rPr>
        <w:t>用于</w:t>
      </w:r>
      <w:r>
        <w:rPr>
          <w:rFonts w:hint="eastAsia" w:ascii="仿宋_GB2312" w:hAnsi="仿宋_GB2312" w:eastAsia="仿宋_GB2312" w:cs="仿宋_GB2312"/>
          <w:color w:val="auto"/>
          <w:kern w:val="0"/>
          <w:sz w:val="32"/>
          <w:szCs w:val="32"/>
        </w:rPr>
        <w:t>物业服务</w:t>
      </w:r>
      <w:r>
        <w:rPr>
          <w:rFonts w:hint="eastAsia" w:ascii="仿宋_GB2312" w:hAnsi="仿宋_GB2312" w:eastAsia="仿宋_GB2312" w:cs="仿宋_GB2312"/>
          <w:color w:val="auto"/>
          <w:kern w:val="0"/>
          <w:sz w:val="32"/>
          <w:szCs w:val="32"/>
          <w:lang w:eastAsia="zh-CN"/>
        </w:rPr>
        <w:t>的</w:t>
      </w:r>
      <w:r>
        <w:rPr>
          <w:rFonts w:hint="eastAsia" w:ascii="仿宋_GB2312" w:hAnsi="仿宋_GB2312" w:eastAsia="仿宋_GB2312" w:cs="仿宋_GB2312"/>
          <w:color w:val="auto"/>
          <w:kern w:val="0"/>
          <w:sz w:val="32"/>
          <w:szCs w:val="32"/>
        </w:rPr>
        <w:t>工程维修耗材</w:t>
      </w:r>
      <w:r>
        <w:rPr>
          <w:rFonts w:hint="eastAsia" w:ascii="仿宋_GB2312" w:hAnsi="仿宋_GB2312" w:eastAsia="仿宋_GB2312" w:cs="仿宋_GB2312"/>
          <w:color w:val="auto"/>
          <w:kern w:val="0"/>
          <w:sz w:val="32"/>
          <w:szCs w:val="32"/>
          <w:lang w:eastAsia="zh-CN"/>
        </w:rPr>
        <w:t>应</w:t>
      </w:r>
      <w:r>
        <w:rPr>
          <w:rFonts w:hint="eastAsia" w:ascii="仿宋_GB2312" w:hAnsi="仿宋_GB2312" w:eastAsia="仿宋_GB2312" w:cs="仿宋_GB2312"/>
          <w:color w:val="auto"/>
          <w:kern w:val="0"/>
          <w:sz w:val="32"/>
          <w:szCs w:val="32"/>
        </w:rPr>
        <w:t>由</w:t>
      </w:r>
      <w:r>
        <w:rPr>
          <w:rFonts w:hint="eastAsia" w:ascii="仿宋_GB2312" w:hAnsi="仿宋_GB2312" w:eastAsia="仿宋_GB2312" w:cs="仿宋_GB2312"/>
          <w:color w:val="auto"/>
          <w:kern w:val="0"/>
          <w:sz w:val="32"/>
          <w:szCs w:val="32"/>
          <w:lang w:eastAsia="zh-CN"/>
        </w:rPr>
        <w:t>甲方采购</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乙方</w:t>
      </w:r>
      <w:r>
        <w:rPr>
          <w:rFonts w:hint="eastAsia" w:ascii="仿宋_GB2312" w:hAnsi="仿宋_GB2312" w:eastAsia="仿宋_GB2312" w:cs="仿宋_GB2312"/>
          <w:color w:val="auto"/>
          <w:kern w:val="0"/>
          <w:sz w:val="32"/>
          <w:szCs w:val="32"/>
        </w:rPr>
        <w:t>按照工作实际需要向</w:t>
      </w:r>
      <w:r>
        <w:rPr>
          <w:rFonts w:hint="eastAsia" w:ascii="仿宋_GB2312" w:hAnsi="仿宋_GB2312" w:eastAsia="仿宋_GB2312" w:cs="仿宋_GB2312"/>
          <w:color w:val="auto"/>
          <w:kern w:val="0"/>
          <w:sz w:val="32"/>
          <w:szCs w:val="32"/>
          <w:lang w:eastAsia="zh-CN"/>
        </w:rPr>
        <w:t>甲方</w:t>
      </w:r>
      <w:r>
        <w:rPr>
          <w:rFonts w:hint="eastAsia" w:ascii="仿宋_GB2312" w:hAnsi="仿宋_GB2312" w:eastAsia="仿宋_GB2312" w:cs="仿宋_GB2312"/>
          <w:color w:val="auto"/>
          <w:kern w:val="0"/>
          <w:sz w:val="32"/>
          <w:szCs w:val="32"/>
        </w:rPr>
        <w:t>主管部门申报领用。</w:t>
      </w:r>
      <w:bookmarkStart w:id="29" w:name="_Toc302485114"/>
      <w:bookmarkStart w:id="30" w:name="_Toc302572333"/>
    </w:p>
    <w:bookmarkEnd w:id="29"/>
    <w:bookmarkEnd w:id="30"/>
    <w:p w14:paraId="790003F0">
      <w:pPr>
        <w:keepNext w:val="0"/>
        <w:keepLines w:val="0"/>
        <w:pageBreakBefore w:val="0"/>
        <w:kinsoku/>
        <w:wordWrap/>
        <w:overflowPunct/>
        <w:topLinePunct w:val="0"/>
        <w:autoSpaceDE/>
        <w:autoSpaceDN/>
        <w:bidi w:val="0"/>
        <w:spacing w:line="360" w:lineRule="atLeas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七、支付履约保证金</w:t>
      </w:r>
    </w:p>
    <w:p w14:paraId="35925240">
      <w:pPr>
        <w:keepNext w:val="0"/>
        <w:keepLines w:val="0"/>
        <w:pageBreakBefore w:val="0"/>
        <w:kinsoku/>
        <w:wordWrap/>
        <w:overflowPunct/>
        <w:topLinePunct w:val="0"/>
        <w:autoSpaceDE/>
        <w:autoSpaceDN/>
        <w:bidi w:val="0"/>
        <w:spacing w:line="360" w:lineRule="atLeast"/>
        <w:ind w:firstLine="640"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lang w:eastAsia="zh-CN"/>
        </w:rPr>
        <w:t>无</w:t>
      </w:r>
      <w:r>
        <w:rPr>
          <w:rFonts w:hint="eastAsia" w:ascii="仿宋_GB2312" w:hAnsi="仿宋_GB2312" w:eastAsia="仿宋_GB2312" w:cs="仿宋_GB2312"/>
          <w:color w:val="auto"/>
          <w:sz w:val="32"/>
          <w:szCs w:val="32"/>
        </w:rPr>
        <w:t>。</w:t>
      </w:r>
    </w:p>
    <w:p w14:paraId="440A94FE">
      <w:pPr>
        <w:keepNext w:val="0"/>
        <w:keepLines w:val="0"/>
        <w:pageBreakBefore w:val="0"/>
        <w:widowControl/>
        <w:kinsoku/>
        <w:wordWrap/>
        <w:overflowPunct/>
        <w:topLinePunct w:val="0"/>
        <w:autoSpaceDE/>
        <w:autoSpaceDN/>
        <w:bidi w:val="0"/>
        <w:adjustRightInd/>
        <w:snapToGrid/>
        <w:spacing w:line="360" w:lineRule="atLeast"/>
        <w:ind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物业监督及考核</w:t>
      </w:r>
    </w:p>
    <w:p w14:paraId="11A98F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应按照招标项目采购需求和</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制定的考评指标完成各项工作，</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根据《防城港市</w:t>
      </w:r>
      <w:r>
        <w:rPr>
          <w:rFonts w:hint="eastAsia" w:ascii="仿宋_GB2312" w:hAnsi="仿宋_GB2312" w:eastAsia="仿宋_GB2312" w:cs="仿宋_GB2312"/>
          <w:color w:val="auto"/>
          <w:sz w:val="32"/>
          <w:szCs w:val="32"/>
          <w:lang w:eastAsia="zh-CN"/>
        </w:rPr>
        <w:t>中级人民法院</w:t>
      </w:r>
      <w:r>
        <w:rPr>
          <w:rFonts w:hint="eastAsia" w:ascii="仿宋_GB2312" w:hAnsi="仿宋_GB2312" w:eastAsia="仿宋_GB2312" w:cs="仿宋_GB2312"/>
          <w:color w:val="auto"/>
          <w:sz w:val="32"/>
          <w:szCs w:val="32"/>
        </w:rPr>
        <w:t>物业服务考评指标和</w:t>
      </w:r>
      <w:r>
        <w:rPr>
          <w:rFonts w:hint="eastAsia" w:ascii="仿宋_GB2312" w:hAnsi="仿宋_GB2312" w:eastAsia="仿宋_GB2312" w:cs="仿宋_GB2312"/>
          <w:color w:val="auto"/>
          <w:sz w:val="32"/>
          <w:szCs w:val="32"/>
          <w:lang w:eastAsia="zh-CN"/>
        </w:rPr>
        <w:t>扣罚</w:t>
      </w:r>
      <w:r>
        <w:rPr>
          <w:rFonts w:hint="eastAsia" w:ascii="仿宋_GB2312" w:hAnsi="仿宋_GB2312" w:eastAsia="仿宋_GB2312" w:cs="仿宋_GB2312"/>
          <w:color w:val="auto"/>
          <w:sz w:val="32"/>
          <w:szCs w:val="32"/>
        </w:rPr>
        <w:t>标准》对</w:t>
      </w: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进行考评（考评标准详见附件），</w:t>
      </w: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必须积极配合</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的考评工作。</w:t>
      </w:r>
    </w:p>
    <w:p w14:paraId="46D9ACF7">
      <w:pPr>
        <w:keepNext w:val="0"/>
        <w:keepLines w:val="0"/>
        <w:pageBreakBefore w:val="0"/>
        <w:widowControl/>
        <w:kinsoku/>
        <w:wordWrap/>
        <w:overflowPunct/>
        <w:topLinePunct w:val="0"/>
        <w:autoSpaceDE/>
        <w:autoSpaceDN/>
        <w:bidi w:val="0"/>
        <w:adjustRightInd/>
        <w:snapToGrid/>
        <w:spacing w:line="360" w:lineRule="atLeast"/>
        <w:ind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物业管理服务费支付</w:t>
      </w:r>
      <w:r>
        <w:rPr>
          <w:rFonts w:hint="eastAsia" w:ascii="黑体" w:hAnsi="黑体" w:eastAsia="黑体" w:cs="黑体"/>
          <w:color w:val="auto"/>
          <w:sz w:val="32"/>
          <w:szCs w:val="32"/>
          <w:lang w:eastAsia="zh-CN"/>
        </w:rPr>
        <w:t>方式</w:t>
      </w:r>
    </w:p>
    <w:p w14:paraId="74C9AD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本次</w:t>
      </w:r>
      <w:r>
        <w:rPr>
          <w:rFonts w:hint="eastAsia" w:ascii="仿宋_GB2312" w:hAnsi="仿宋_GB2312" w:eastAsia="仿宋_GB2312" w:cs="仿宋_GB2312"/>
          <w:color w:val="auto"/>
          <w:sz w:val="32"/>
          <w:szCs w:val="32"/>
        </w:rPr>
        <w:t>物业管理服务</w:t>
      </w:r>
      <w:r>
        <w:rPr>
          <w:rFonts w:hint="eastAsia" w:ascii="仿宋_GB2312" w:hAnsi="仿宋_GB2312" w:eastAsia="仿宋_GB2312" w:cs="仿宋_GB2312"/>
          <w:color w:val="auto"/>
          <w:sz w:val="32"/>
          <w:szCs w:val="32"/>
          <w:lang w:eastAsia="zh-CN"/>
        </w:rPr>
        <w:t>采购预算费用为</w:t>
      </w:r>
      <w:r>
        <w:rPr>
          <w:rFonts w:hint="eastAsia" w:ascii="仿宋_GB2312" w:hAnsi="仿宋_GB2312" w:eastAsia="仿宋_GB2312" w:cs="仿宋_GB2312"/>
          <w:color w:val="auto"/>
          <w:sz w:val="32"/>
          <w:szCs w:val="32"/>
          <w:lang w:val="en-US" w:eastAsia="zh-CN"/>
        </w:rPr>
        <w:t>330万元（叁佰叁拾万圆）；采购成功后，以银行转账方式</w:t>
      </w:r>
      <w:r>
        <w:rPr>
          <w:rFonts w:hint="eastAsia" w:ascii="仿宋_GB2312" w:hAnsi="仿宋_GB2312" w:eastAsia="仿宋_GB2312" w:cs="仿宋_GB2312"/>
          <w:color w:val="auto"/>
          <w:sz w:val="32"/>
          <w:szCs w:val="32"/>
        </w:rPr>
        <w:t>按</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rPr>
        <w:t>支付</w:t>
      </w:r>
      <w:r>
        <w:rPr>
          <w:rFonts w:hint="eastAsia" w:ascii="仿宋_GB2312" w:hAnsi="仿宋_GB2312" w:eastAsia="仿宋_GB2312" w:cs="仿宋_GB2312"/>
          <w:color w:val="auto"/>
          <w:sz w:val="32"/>
          <w:szCs w:val="32"/>
          <w:lang w:eastAsia="zh-CN"/>
        </w:rPr>
        <w:t>，每月</w:t>
      </w:r>
      <w:r>
        <w:rPr>
          <w:rFonts w:hint="eastAsia" w:ascii="仿宋_GB2312" w:hAnsi="仿宋_GB2312" w:eastAsia="仿宋_GB2312" w:cs="仿宋_GB2312"/>
          <w:color w:val="auto"/>
          <w:sz w:val="32"/>
          <w:szCs w:val="32"/>
          <w:lang w:val="en-US" w:eastAsia="zh-CN"/>
        </w:rPr>
        <w:t>15日前支付上一个月的</w:t>
      </w:r>
      <w:r>
        <w:rPr>
          <w:rFonts w:hint="eastAsia" w:ascii="仿宋_GB2312" w:hAnsi="仿宋_GB2312" w:eastAsia="仿宋_GB2312" w:cs="仿宋_GB2312"/>
          <w:color w:val="auto"/>
          <w:sz w:val="32"/>
          <w:szCs w:val="32"/>
          <w:lang w:eastAsia="zh-CN"/>
        </w:rPr>
        <w:t>项目服务费，乙方需提供完税发票给甲方，乙方未按照约定提供发票的，甲方有权顺延付款时间而不视为违约。</w:t>
      </w:r>
    </w:p>
    <w:p w14:paraId="3DC43A33">
      <w:pPr>
        <w:keepNext w:val="0"/>
        <w:keepLines w:val="0"/>
        <w:pageBreakBefore w:val="0"/>
        <w:kinsoku/>
        <w:wordWrap/>
        <w:overflowPunct/>
        <w:topLinePunct w:val="0"/>
        <w:autoSpaceDE/>
        <w:autoSpaceDN/>
        <w:bidi w:val="0"/>
        <w:spacing w:line="360" w:lineRule="atLeas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十</w:t>
      </w:r>
      <w:r>
        <w:rPr>
          <w:rFonts w:hint="eastAsia" w:ascii="黑体" w:hAnsi="黑体" w:eastAsia="黑体" w:cs="黑体"/>
          <w:color w:val="auto"/>
          <w:sz w:val="32"/>
          <w:szCs w:val="32"/>
        </w:rPr>
        <w:t>、其他要求</w:t>
      </w:r>
    </w:p>
    <w:p w14:paraId="0A84BB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（一）履约保证金</w:t>
      </w:r>
      <w:r>
        <w:rPr>
          <w:rFonts w:hint="eastAsia" w:ascii="仿宋_GB2312" w:hAnsi="仿宋_GB2312" w:eastAsia="仿宋_GB2312" w:cs="仿宋_GB2312"/>
          <w:color w:val="auto"/>
          <w:sz w:val="32"/>
          <w:szCs w:val="32"/>
          <w:lang w:eastAsia="zh-CN"/>
        </w:rPr>
        <w:t>。无</w:t>
      </w:r>
      <w:r>
        <w:rPr>
          <w:rFonts w:hint="eastAsia" w:ascii="仿宋_GB2312" w:hAnsi="仿宋_GB2312" w:eastAsia="仿宋_GB2312" w:cs="仿宋_GB2312"/>
          <w:color w:val="auto"/>
          <w:sz w:val="32"/>
          <w:szCs w:val="32"/>
        </w:rPr>
        <w:t>。</w:t>
      </w:r>
    </w:p>
    <w:p w14:paraId="4995A3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（二）乙方</w:t>
      </w:r>
      <w:r>
        <w:rPr>
          <w:rFonts w:hint="eastAsia" w:ascii="仿宋_GB2312" w:hAnsi="仿宋_GB2312" w:eastAsia="仿宋_GB2312" w:cs="仿宋_GB2312"/>
          <w:color w:val="auto"/>
          <w:sz w:val="32"/>
          <w:szCs w:val="32"/>
        </w:rPr>
        <w:t>应为服务人员支付不低于</w:t>
      </w:r>
      <w:r>
        <w:rPr>
          <w:rFonts w:hint="eastAsia" w:ascii="仿宋_GB2312" w:hAnsi="仿宋_GB2312" w:eastAsia="仿宋_GB2312" w:cs="仿宋_GB2312"/>
          <w:color w:val="auto"/>
          <w:sz w:val="32"/>
          <w:szCs w:val="32"/>
          <w:lang w:eastAsia="zh-CN"/>
        </w:rPr>
        <w:t>防城港</w:t>
      </w:r>
      <w:r>
        <w:rPr>
          <w:rFonts w:hint="eastAsia" w:ascii="仿宋_GB2312" w:hAnsi="仿宋_GB2312" w:eastAsia="仿宋_GB2312" w:cs="仿宋_GB2312"/>
          <w:color w:val="auto"/>
          <w:sz w:val="32"/>
          <w:szCs w:val="32"/>
        </w:rPr>
        <w:t>市最低工资标准的工资（不包含加班费），必须按国家规定足额给所有人员缴交养老保险、医疗保险、工伤保险、失业保险、生育保险，</w:t>
      </w: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必须对所有工作人员的社会保险及意外伤害险进行承诺。上述人员涉及用工方面的劳务纠纷、福利纠纷和劳动事故均由</w:t>
      </w: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负责，与</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无关。不按上述计算费用的将被视为无效投标。</w:t>
      </w:r>
    </w:p>
    <w:p w14:paraId="0187A699">
      <w:pPr>
        <w:pStyle w:val="15"/>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从业人员必须是热爱祖国，政治素质良好，遵纪守法，无不良品行，服从甲方管理，自觉遵守甲方的规章制度，有良好的职业道德，爱岗敬业，佩戴注明工作人员姓名、相片的工作证，着装统一，持证上岗。</w:t>
      </w:r>
    </w:p>
    <w:p w14:paraId="2C9A9139">
      <w:pPr>
        <w:pStyle w:val="15"/>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（四）中标单位中标后不得转包、分包，物业服务公司不得以挂靠形式承揽该项目，一经发现视为违约。</w:t>
      </w:r>
    </w:p>
    <w:p w14:paraId="5D08496C">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（五）在承包期间，院内如发生突发事件，物业公司应在第一时间到现场维护秩序并向甲方报告，及时控制事态，并配合做好处理工作。</w:t>
      </w:r>
    </w:p>
    <w:p w14:paraId="1EF0E359">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（六）每个岗位至少配备对讲机一台及相关器械。</w:t>
      </w:r>
    </w:p>
    <w:p w14:paraId="45C4EFB4">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（七）物业公司在承包期间，因发生撬门、撬窗、入室盗窃案件的，造成财产损失的，由物业公司负责赔偿。</w:t>
      </w:r>
    </w:p>
    <w:p w14:paraId="5EA7A28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（八）加强所属人员的管理教育和职业培训，规范工作内容工作流程以及注意事项。</w:t>
      </w:r>
    </w:p>
    <w:p w14:paraId="5176941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（九）投标人必须依照本项目特点提供管理计划方案及服务承诺书。</w:t>
      </w:r>
    </w:p>
    <w:p w14:paraId="0D25D65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（十）物业档案要归档及时，资料齐全，分类成册、管理完善，查找便捷。</w:t>
      </w:r>
    </w:p>
    <w:p w14:paraId="559BFD07">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（十一）服务期间</w:t>
      </w:r>
      <w:r>
        <w:rPr>
          <w:rFonts w:hint="eastAsia" w:ascii="仿宋_GB2312" w:hAnsi="仿宋_GB2312" w:eastAsia="仿宋_GB2312" w:cs="仿宋_GB2312"/>
          <w:color w:val="auto"/>
          <w:sz w:val="32"/>
          <w:szCs w:val="32"/>
        </w:rPr>
        <w:t>物业公司</w:t>
      </w:r>
      <w:r>
        <w:rPr>
          <w:rFonts w:hint="eastAsia" w:ascii="仿宋_GB2312" w:hAnsi="仿宋_GB2312" w:eastAsia="仿宋_GB2312" w:cs="仿宋_GB2312"/>
          <w:color w:val="auto"/>
          <w:sz w:val="32"/>
          <w:szCs w:val="32"/>
          <w:lang w:eastAsia="zh-CN"/>
        </w:rPr>
        <w:t>工作人员发生变动，必须</w:t>
      </w:r>
      <w:r>
        <w:rPr>
          <w:rFonts w:hint="eastAsia" w:ascii="仿宋_GB2312" w:hAnsi="仿宋_GB2312" w:eastAsia="仿宋_GB2312" w:cs="仿宋_GB2312"/>
          <w:color w:val="auto"/>
          <w:sz w:val="32"/>
          <w:szCs w:val="32"/>
        </w:rPr>
        <w:t>提前书面报</w:t>
      </w:r>
      <w:r>
        <w:rPr>
          <w:rFonts w:hint="eastAsia" w:ascii="仿宋_GB2312" w:hAnsi="仿宋_GB2312" w:eastAsia="仿宋_GB2312" w:cs="仿宋_GB2312"/>
          <w:color w:val="auto"/>
          <w:sz w:val="32"/>
          <w:szCs w:val="32"/>
          <w:lang w:eastAsia="zh-CN"/>
        </w:rPr>
        <w:t>甲方分管部门</w:t>
      </w:r>
      <w:r>
        <w:rPr>
          <w:rFonts w:hint="eastAsia" w:ascii="仿宋_GB2312" w:hAnsi="仿宋_GB2312" w:eastAsia="仿宋_GB2312" w:cs="仿宋_GB2312"/>
          <w:color w:val="auto"/>
          <w:sz w:val="32"/>
          <w:szCs w:val="32"/>
        </w:rPr>
        <w:t>确认，</w:t>
      </w:r>
      <w:r>
        <w:rPr>
          <w:rFonts w:hint="eastAsia" w:ascii="仿宋_GB2312" w:hAnsi="仿宋_GB2312" w:eastAsia="仿宋_GB2312" w:cs="仿宋_GB2312"/>
          <w:color w:val="auto"/>
          <w:sz w:val="32"/>
          <w:szCs w:val="32"/>
          <w:lang w:eastAsia="zh-CN"/>
        </w:rPr>
        <w:t>不得随意更换人员</w:t>
      </w:r>
      <w:r>
        <w:rPr>
          <w:rFonts w:hint="eastAsia" w:ascii="仿宋_GB2312" w:hAnsi="仿宋_GB2312" w:eastAsia="仿宋_GB2312" w:cs="仿宋_GB2312"/>
          <w:color w:val="auto"/>
          <w:sz w:val="32"/>
          <w:szCs w:val="32"/>
        </w:rPr>
        <w:t>。</w:t>
      </w:r>
    </w:p>
    <w:p w14:paraId="04CE420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（十二）物业人员必须遵守甲方的各项规章制度，不能打听、传播、转发与审判执行工作有关的内容信息，一经发现追究其法律责任，并解除该合同。</w:t>
      </w:r>
    </w:p>
    <w:p w14:paraId="676DE64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（十三）乙方不得擅自占用和改变公用设施的使用功能，如需完善或扩建，须与甲方协商，经同意后方可实施。</w:t>
      </w:r>
    </w:p>
    <w:p w14:paraId="21904945">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（十四）根据工作需要，因乙方主观原因拒绝落实甲方安排的工作，甲方有偿邀请第三方，所需费用由乙方支付。</w:t>
      </w:r>
      <w:r>
        <w:rPr>
          <w:rFonts w:hint="eastAsia" w:ascii="仿宋_GB2312" w:hAnsi="仿宋_GB2312" w:eastAsia="仿宋_GB2312" w:cs="仿宋_GB2312"/>
          <w:color w:val="auto"/>
          <w:kern w:val="2"/>
          <w:sz w:val="32"/>
          <w:szCs w:val="32"/>
          <w:lang w:val="en-US" w:eastAsia="zh-CN" w:bidi="ar-SA"/>
        </w:rPr>
        <w:br w:type="page"/>
      </w:r>
    </w:p>
    <w:p w14:paraId="3205C5C8">
      <w:pPr>
        <w:pStyle w:val="6"/>
        <w:ind w:left="0" w:leftChars="0" w:firstLine="0" w:firstLineChars="0"/>
        <w:jc w:val="center"/>
        <w:rPr>
          <w:rFonts w:ascii="宋体" w:hAnsi="宋体"/>
          <w:b/>
          <w:bCs/>
          <w:color w:val="000000"/>
          <w:sz w:val="32"/>
          <w:szCs w:val="32"/>
        </w:rPr>
      </w:pPr>
      <w:r>
        <w:rPr>
          <w:rFonts w:hint="eastAsia" w:ascii="宋体" w:hAnsi="宋体"/>
          <w:b/>
          <w:bCs/>
          <w:color w:val="000000"/>
          <w:sz w:val="32"/>
          <w:szCs w:val="32"/>
        </w:rPr>
        <w:t>防城港市</w:t>
      </w:r>
      <w:r>
        <w:rPr>
          <w:rFonts w:hint="eastAsia" w:ascii="宋体" w:hAnsi="宋体"/>
          <w:b/>
          <w:bCs/>
          <w:color w:val="000000"/>
          <w:sz w:val="32"/>
          <w:szCs w:val="32"/>
          <w:lang w:eastAsia="zh-CN"/>
        </w:rPr>
        <w:t>中级人民法院</w:t>
      </w:r>
      <w:r>
        <w:rPr>
          <w:rFonts w:hint="eastAsia" w:ascii="宋体" w:hAnsi="宋体"/>
          <w:b/>
          <w:bCs/>
          <w:color w:val="000000"/>
          <w:sz w:val="32"/>
          <w:szCs w:val="32"/>
        </w:rPr>
        <w:t>物业管理服务考评</w:t>
      </w:r>
      <w:r>
        <w:rPr>
          <w:rFonts w:hint="eastAsia" w:ascii="宋体" w:hAnsi="宋体"/>
          <w:b/>
          <w:bCs/>
          <w:color w:val="000000"/>
          <w:sz w:val="32"/>
          <w:szCs w:val="32"/>
          <w:lang w:eastAsia="zh-CN"/>
        </w:rPr>
        <w:t>和</w:t>
      </w:r>
      <w:r>
        <w:rPr>
          <w:rFonts w:hint="eastAsia" w:ascii="宋体" w:hAnsi="宋体"/>
          <w:b/>
          <w:bCs/>
          <w:color w:val="000000"/>
          <w:sz w:val="32"/>
          <w:szCs w:val="32"/>
        </w:rPr>
        <w:t>扣罚标准</w:t>
      </w:r>
    </w:p>
    <w:tbl>
      <w:tblPr>
        <w:tblStyle w:val="20"/>
        <w:tblpPr w:leftFromText="180" w:rightFromText="180" w:vertAnchor="page" w:horzAnchor="page" w:tblpXSpec="center" w:tblpY="2256"/>
        <w:tblW w:w="10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4086"/>
        <w:gridCol w:w="1050"/>
        <w:gridCol w:w="3291"/>
        <w:gridCol w:w="982"/>
      </w:tblGrid>
      <w:tr w14:paraId="02083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130" w:type="dxa"/>
            <w:noWrap/>
            <w:vAlign w:val="center"/>
          </w:tcPr>
          <w:p w14:paraId="60503823">
            <w:pPr>
              <w:pStyle w:val="6"/>
              <w:spacing w:line="240" w:lineRule="auto"/>
              <w:ind w:left="0" w:leftChars="0" w:firstLine="0" w:firstLineChars="0"/>
              <w:jc w:val="center"/>
              <w:rPr>
                <w:rFonts w:ascii="宋体" w:hAnsi="宋体"/>
                <w:color w:val="000000"/>
              </w:rPr>
            </w:pPr>
            <w:r>
              <w:rPr>
                <w:rFonts w:hint="eastAsia" w:ascii="宋体" w:hAnsi="宋体"/>
                <w:color w:val="000000"/>
              </w:rPr>
              <w:t>考评项目</w:t>
            </w:r>
          </w:p>
        </w:tc>
        <w:tc>
          <w:tcPr>
            <w:tcW w:w="4086" w:type="dxa"/>
            <w:noWrap/>
            <w:vAlign w:val="center"/>
          </w:tcPr>
          <w:p w14:paraId="2084632B">
            <w:pPr>
              <w:pStyle w:val="6"/>
              <w:spacing w:line="240" w:lineRule="auto"/>
              <w:jc w:val="center"/>
              <w:rPr>
                <w:rFonts w:ascii="宋体" w:hAnsi="宋体"/>
                <w:color w:val="000000"/>
              </w:rPr>
            </w:pPr>
            <w:r>
              <w:rPr>
                <w:rFonts w:hint="eastAsia" w:ascii="宋体" w:hAnsi="宋体"/>
                <w:color w:val="000000"/>
              </w:rPr>
              <w:t>考评内容</w:t>
            </w:r>
          </w:p>
        </w:tc>
        <w:tc>
          <w:tcPr>
            <w:tcW w:w="1050" w:type="dxa"/>
            <w:noWrap/>
            <w:vAlign w:val="center"/>
          </w:tcPr>
          <w:p w14:paraId="48EDF1AA">
            <w:pPr>
              <w:pStyle w:val="6"/>
              <w:spacing w:line="240" w:lineRule="auto"/>
              <w:ind w:left="0" w:leftChars="0" w:firstLine="0" w:firstLineChars="0"/>
              <w:jc w:val="center"/>
              <w:rPr>
                <w:rFonts w:ascii="宋体" w:hAnsi="宋体"/>
                <w:color w:val="000000"/>
              </w:rPr>
            </w:pPr>
            <w:r>
              <w:rPr>
                <w:rFonts w:hint="eastAsia" w:ascii="宋体" w:hAnsi="宋体"/>
                <w:color w:val="000000"/>
              </w:rPr>
              <w:t>考评分值</w:t>
            </w:r>
          </w:p>
        </w:tc>
        <w:tc>
          <w:tcPr>
            <w:tcW w:w="3291" w:type="dxa"/>
            <w:noWrap/>
            <w:vAlign w:val="center"/>
          </w:tcPr>
          <w:p w14:paraId="1390D303">
            <w:pPr>
              <w:pStyle w:val="6"/>
              <w:spacing w:line="240" w:lineRule="auto"/>
              <w:ind w:left="0" w:leftChars="0" w:firstLine="0" w:firstLineChars="0"/>
              <w:jc w:val="center"/>
              <w:rPr>
                <w:rFonts w:ascii="宋体" w:hAnsi="宋体"/>
                <w:color w:val="000000"/>
              </w:rPr>
            </w:pPr>
            <w:r>
              <w:rPr>
                <w:rFonts w:hint="eastAsia" w:ascii="宋体" w:hAnsi="宋体"/>
                <w:color w:val="000000"/>
              </w:rPr>
              <w:t>扣罚额度及扣分值</w:t>
            </w:r>
          </w:p>
        </w:tc>
        <w:tc>
          <w:tcPr>
            <w:tcW w:w="982" w:type="dxa"/>
            <w:noWrap/>
            <w:vAlign w:val="center"/>
          </w:tcPr>
          <w:p w14:paraId="57F45E58">
            <w:pPr>
              <w:pStyle w:val="6"/>
              <w:spacing w:line="240" w:lineRule="auto"/>
              <w:ind w:left="0" w:leftChars="0" w:firstLine="0" w:firstLineChars="0"/>
              <w:jc w:val="center"/>
              <w:rPr>
                <w:rFonts w:ascii="宋体" w:hAnsi="宋体"/>
                <w:color w:val="000000"/>
              </w:rPr>
            </w:pPr>
            <w:r>
              <w:rPr>
                <w:rFonts w:hint="eastAsia" w:ascii="宋体" w:hAnsi="宋体"/>
                <w:color w:val="000000"/>
              </w:rPr>
              <w:t>备注</w:t>
            </w:r>
          </w:p>
        </w:tc>
      </w:tr>
      <w:tr w14:paraId="240E9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restart"/>
            <w:noWrap/>
            <w:vAlign w:val="center"/>
          </w:tcPr>
          <w:p w14:paraId="7E00D985">
            <w:pPr>
              <w:pStyle w:val="6"/>
              <w:ind w:left="0" w:leftChars="0" w:firstLine="0" w:firstLineChars="0"/>
              <w:jc w:val="center"/>
              <w:rPr>
                <w:rFonts w:ascii="宋体" w:hAnsi="宋体"/>
                <w:color w:val="000000"/>
              </w:rPr>
            </w:pPr>
            <w:r>
              <w:rPr>
                <w:rFonts w:hint="eastAsia" w:ascii="宋体" w:hAnsi="宋体"/>
                <w:color w:val="000000"/>
              </w:rPr>
              <w:t>综合考评（</w:t>
            </w:r>
            <w:r>
              <w:rPr>
                <w:rFonts w:ascii="宋体" w:hAnsi="宋体"/>
                <w:color w:val="000000"/>
              </w:rPr>
              <w:t>18</w:t>
            </w:r>
            <w:r>
              <w:rPr>
                <w:rFonts w:hint="eastAsia" w:ascii="宋体" w:hAnsi="宋体"/>
                <w:color w:val="000000"/>
              </w:rPr>
              <w:t>分）</w:t>
            </w:r>
          </w:p>
        </w:tc>
        <w:tc>
          <w:tcPr>
            <w:tcW w:w="4086" w:type="dxa"/>
            <w:noWrap/>
            <w:vAlign w:val="center"/>
          </w:tcPr>
          <w:p w14:paraId="3B661F07">
            <w:pPr>
              <w:pStyle w:val="6"/>
              <w:ind w:left="0" w:leftChars="0" w:firstLine="0" w:firstLineChars="0"/>
              <w:jc w:val="center"/>
              <w:rPr>
                <w:rFonts w:ascii="宋体" w:hAnsi="宋体"/>
                <w:color w:val="000000"/>
              </w:rPr>
            </w:pPr>
            <w:r>
              <w:rPr>
                <w:rFonts w:ascii="宋体" w:hAnsi="宋体"/>
                <w:color w:val="000000"/>
              </w:rPr>
              <w:t>1.</w:t>
            </w:r>
            <w:r>
              <w:rPr>
                <w:rFonts w:hint="eastAsia" w:ascii="宋体" w:hAnsi="宋体"/>
                <w:color w:val="000000"/>
              </w:rPr>
              <w:t>物业公司工作人员统一着装上岗，佩戴执勤袖标及工作牌，干净整洁。</w:t>
            </w:r>
          </w:p>
        </w:tc>
        <w:tc>
          <w:tcPr>
            <w:tcW w:w="1050" w:type="dxa"/>
            <w:noWrap/>
            <w:vAlign w:val="center"/>
          </w:tcPr>
          <w:p w14:paraId="750DDEB0">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6419037C">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4E107659">
            <w:pPr>
              <w:pStyle w:val="6"/>
              <w:jc w:val="center"/>
              <w:rPr>
                <w:rFonts w:ascii="宋体" w:hAnsi="宋体"/>
                <w:color w:val="000000"/>
              </w:rPr>
            </w:pPr>
          </w:p>
        </w:tc>
      </w:tr>
      <w:tr w14:paraId="2A539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5D3037CF">
            <w:pPr>
              <w:pStyle w:val="6"/>
              <w:jc w:val="center"/>
              <w:rPr>
                <w:rFonts w:ascii="宋体" w:hAnsi="宋体"/>
                <w:color w:val="000000"/>
              </w:rPr>
            </w:pPr>
          </w:p>
        </w:tc>
        <w:tc>
          <w:tcPr>
            <w:tcW w:w="4086" w:type="dxa"/>
            <w:noWrap/>
            <w:vAlign w:val="center"/>
          </w:tcPr>
          <w:p w14:paraId="64215727">
            <w:pPr>
              <w:pStyle w:val="6"/>
              <w:ind w:left="0" w:leftChars="0" w:firstLine="0" w:firstLineChars="0"/>
              <w:jc w:val="center"/>
              <w:rPr>
                <w:rFonts w:ascii="宋体" w:hAnsi="宋体"/>
                <w:color w:val="000000"/>
              </w:rPr>
            </w:pPr>
            <w:r>
              <w:rPr>
                <w:rFonts w:ascii="宋体" w:hAnsi="宋体"/>
                <w:color w:val="000000"/>
              </w:rPr>
              <w:t>2</w:t>
            </w:r>
            <w:r>
              <w:rPr>
                <w:rFonts w:hint="eastAsia" w:ascii="宋体" w:hAnsi="宋体"/>
                <w:color w:val="000000"/>
              </w:rPr>
              <w:t>．物业公司工作人员行为规范，礼貌待人，规范用语，服务主动、热情，树立主人翁精神，服务意识高，敬业精神、业务素质强。</w:t>
            </w:r>
          </w:p>
        </w:tc>
        <w:tc>
          <w:tcPr>
            <w:tcW w:w="1050" w:type="dxa"/>
            <w:noWrap/>
            <w:vAlign w:val="center"/>
          </w:tcPr>
          <w:p w14:paraId="65ACC762">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0ACF27CF">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44422934">
            <w:pPr>
              <w:pStyle w:val="6"/>
              <w:jc w:val="center"/>
              <w:rPr>
                <w:rFonts w:ascii="宋体" w:hAnsi="宋体"/>
                <w:color w:val="000000"/>
              </w:rPr>
            </w:pPr>
          </w:p>
        </w:tc>
      </w:tr>
      <w:tr w14:paraId="71BD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6B15F8F4">
            <w:pPr>
              <w:pStyle w:val="6"/>
              <w:jc w:val="center"/>
              <w:rPr>
                <w:rFonts w:ascii="宋体" w:hAnsi="宋体"/>
                <w:color w:val="000000"/>
              </w:rPr>
            </w:pPr>
          </w:p>
        </w:tc>
        <w:tc>
          <w:tcPr>
            <w:tcW w:w="4086" w:type="dxa"/>
            <w:noWrap/>
            <w:vAlign w:val="center"/>
          </w:tcPr>
          <w:p w14:paraId="74BFD5D7">
            <w:pPr>
              <w:pStyle w:val="6"/>
              <w:ind w:left="0" w:leftChars="0" w:firstLine="0" w:firstLineChars="0"/>
              <w:jc w:val="center"/>
              <w:rPr>
                <w:rFonts w:ascii="宋体" w:hAnsi="宋体"/>
                <w:color w:val="000000"/>
              </w:rPr>
            </w:pPr>
            <w:r>
              <w:rPr>
                <w:rFonts w:ascii="宋体" w:hAnsi="宋体"/>
                <w:color w:val="000000"/>
              </w:rPr>
              <w:t>3</w:t>
            </w:r>
            <w:r>
              <w:rPr>
                <w:rFonts w:hint="eastAsia" w:ascii="宋体" w:hAnsi="宋体"/>
                <w:color w:val="000000"/>
              </w:rPr>
              <w:t>．物业公司工作人员没有饮酒、脱岗睡岗、看电视、玩手机、聚众赌博等与工作无关或违反工作制度或违法的事。</w:t>
            </w:r>
          </w:p>
        </w:tc>
        <w:tc>
          <w:tcPr>
            <w:tcW w:w="1050" w:type="dxa"/>
            <w:noWrap/>
            <w:vAlign w:val="center"/>
          </w:tcPr>
          <w:p w14:paraId="70E8D746">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49562D01">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1CCEE4B6">
            <w:pPr>
              <w:pStyle w:val="6"/>
              <w:jc w:val="center"/>
              <w:rPr>
                <w:rFonts w:ascii="宋体" w:hAnsi="宋体"/>
                <w:color w:val="000000"/>
              </w:rPr>
            </w:pPr>
          </w:p>
        </w:tc>
      </w:tr>
      <w:tr w14:paraId="20854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57A5D72A">
            <w:pPr>
              <w:pStyle w:val="6"/>
              <w:jc w:val="center"/>
              <w:rPr>
                <w:rFonts w:ascii="宋体" w:hAnsi="宋体"/>
                <w:color w:val="000000"/>
              </w:rPr>
            </w:pPr>
          </w:p>
        </w:tc>
        <w:tc>
          <w:tcPr>
            <w:tcW w:w="4086" w:type="dxa"/>
            <w:noWrap/>
            <w:vAlign w:val="center"/>
          </w:tcPr>
          <w:p w14:paraId="5ADE285E">
            <w:pPr>
              <w:pStyle w:val="6"/>
              <w:ind w:left="0" w:leftChars="0" w:firstLine="0" w:firstLineChars="0"/>
              <w:jc w:val="center"/>
              <w:rPr>
                <w:rFonts w:ascii="宋体" w:hAnsi="宋体"/>
                <w:color w:val="000000"/>
              </w:rPr>
            </w:pPr>
            <w:r>
              <w:rPr>
                <w:rFonts w:ascii="宋体" w:hAnsi="宋体"/>
                <w:color w:val="000000"/>
              </w:rPr>
              <w:t>4</w:t>
            </w:r>
            <w:r>
              <w:rPr>
                <w:rFonts w:hint="eastAsia" w:ascii="宋体" w:hAnsi="宋体"/>
                <w:color w:val="000000"/>
              </w:rPr>
              <w:t>．物业公司拟配备的工作人员没有变动，如有变动，已经提前书面报</w:t>
            </w:r>
            <w:r>
              <w:rPr>
                <w:rFonts w:hint="eastAsia" w:ascii="宋体" w:hAnsi="宋体"/>
                <w:color w:val="000000"/>
                <w:lang w:eastAsia="zh-CN"/>
              </w:rPr>
              <w:t>甲方</w:t>
            </w:r>
            <w:r>
              <w:rPr>
                <w:rFonts w:hint="eastAsia" w:ascii="宋体" w:hAnsi="宋体"/>
                <w:color w:val="000000"/>
              </w:rPr>
              <w:t>确认，并在老员工离职前配备新员工到岗。</w:t>
            </w:r>
          </w:p>
        </w:tc>
        <w:tc>
          <w:tcPr>
            <w:tcW w:w="1050" w:type="dxa"/>
            <w:noWrap/>
            <w:vAlign w:val="center"/>
          </w:tcPr>
          <w:p w14:paraId="7B61277C">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663FB751">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18976F62">
            <w:pPr>
              <w:pStyle w:val="6"/>
              <w:jc w:val="center"/>
              <w:rPr>
                <w:rFonts w:ascii="宋体" w:hAnsi="宋体"/>
                <w:color w:val="000000"/>
              </w:rPr>
            </w:pPr>
          </w:p>
        </w:tc>
      </w:tr>
      <w:tr w14:paraId="5E323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6E383580">
            <w:pPr>
              <w:pStyle w:val="6"/>
              <w:jc w:val="center"/>
              <w:rPr>
                <w:rFonts w:ascii="宋体" w:hAnsi="宋体"/>
                <w:color w:val="000000"/>
              </w:rPr>
            </w:pPr>
          </w:p>
        </w:tc>
        <w:tc>
          <w:tcPr>
            <w:tcW w:w="4086" w:type="dxa"/>
            <w:noWrap/>
            <w:vAlign w:val="center"/>
          </w:tcPr>
          <w:p w14:paraId="33955AA1">
            <w:pPr>
              <w:pStyle w:val="6"/>
              <w:ind w:left="0" w:leftChars="0" w:firstLine="0" w:firstLineChars="0"/>
              <w:jc w:val="center"/>
              <w:rPr>
                <w:rFonts w:ascii="宋体" w:hAnsi="宋体"/>
                <w:color w:val="000000"/>
              </w:rPr>
            </w:pPr>
            <w:r>
              <w:rPr>
                <w:rFonts w:ascii="宋体" w:hAnsi="宋体"/>
                <w:color w:val="000000"/>
              </w:rPr>
              <w:t>5</w:t>
            </w:r>
            <w:r>
              <w:rPr>
                <w:rFonts w:hint="eastAsia" w:ascii="宋体" w:hAnsi="宋体"/>
                <w:color w:val="000000"/>
              </w:rPr>
              <w:t>．物业公司对物业工作人员进行入职培训和每月不少于</w:t>
            </w:r>
            <w:r>
              <w:rPr>
                <w:rFonts w:ascii="宋体" w:hAnsi="宋体"/>
                <w:color w:val="000000"/>
              </w:rPr>
              <w:t>1</w:t>
            </w:r>
            <w:r>
              <w:rPr>
                <w:rFonts w:hint="eastAsia" w:ascii="宋体" w:hAnsi="宋体"/>
                <w:color w:val="000000"/>
              </w:rPr>
              <w:t>次的业务培训，培训成果资料存档可随时查阅。</w:t>
            </w:r>
          </w:p>
        </w:tc>
        <w:tc>
          <w:tcPr>
            <w:tcW w:w="1050" w:type="dxa"/>
            <w:noWrap/>
            <w:vAlign w:val="center"/>
          </w:tcPr>
          <w:p w14:paraId="1634CCBD">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361E0672">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6E6531F4">
            <w:pPr>
              <w:pStyle w:val="6"/>
              <w:jc w:val="center"/>
              <w:rPr>
                <w:rFonts w:ascii="宋体" w:hAnsi="宋体"/>
                <w:color w:val="000000"/>
              </w:rPr>
            </w:pPr>
          </w:p>
        </w:tc>
      </w:tr>
      <w:tr w14:paraId="7ABE1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570FAABF">
            <w:pPr>
              <w:pStyle w:val="6"/>
              <w:jc w:val="center"/>
              <w:rPr>
                <w:rFonts w:ascii="宋体" w:hAnsi="宋体"/>
                <w:color w:val="000000"/>
              </w:rPr>
            </w:pPr>
          </w:p>
        </w:tc>
        <w:tc>
          <w:tcPr>
            <w:tcW w:w="4086" w:type="dxa"/>
            <w:noWrap/>
            <w:vAlign w:val="center"/>
          </w:tcPr>
          <w:p w14:paraId="209643C3">
            <w:pPr>
              <w:pStyle w:val="6"/>
              <w:ind w:left="0" w:leftChars="0" w:firstLine="0" w:firstLineChars="0"/>
              <w:jc w:val="center"/>
              <w:rPr>
                <w:rFonts w:ascii="宋体" w:hAnsi="宋体"/>
                <w:color w:val="000000"/>
              </w:rPr>
            </w:pPr>
            <w:r>
              <w:rPr>
                <w:rFonts w:ascii="宋体" w:hAnsi="宋体"/>
                <w:color w:val="000000"/>
              </w:rPr>
              <w:t>6</w:t>
            </w:r>
            <w:r>
              <w:rPr>
                <w:rFonts w:hint="eastAsia" w:ascii="宋体" w:hAnsi="宋体"/>
                <w:color w:val="000000"/>
              </w:rPr>
              <w:t>．签订合同之日起至考核日止，没有因物业公司工作人员失误造成不良行为后果，没有因物业公司原因发生失误，造成恶劣影响，重大管理责任事故发生率为“零”。</w:t>
            </w:r>
          </w:p>
        </w:tc>
        <w:tc>
          <w:tcPr>
            <w:tcW w:w="1050" w:type="dxa"/>
            <w:noWrap/>
            <w:vAlign w:val="center"/>
          </w:tcPr>
          <w:p w14:paraId="214FA960">
            <w:pPr>
              <w:pStyle w:val="6"/>
              <w:ind w:left="0" w:leftChars="0" w:firstLine="0" w:firstLineChars="0"/>
              <w:jc w:val="center"/>
              <w:rPr>
                <w:rFonts w:ascii="宋体" w:hAnsi="宋体"/>
                <w:color w:val="000000"/>
              </w:rPr>
            </w:pPr>
            <w:r>
              <w:rPr>
                <w:rFonts w:ascii="宋体" w:hAnsi="宋体"/>
                <w:color w:val="000000"/>
              </w:rPr>
              <w:t>10</w:t>
            </w:r>
          </w:p>
        </w:tc>
        <w:tc>
          <w:tcPr>
            <w:tcW w:w="3291" w:type="dxa"/>
            <w:noWrap/>
            <w:vAlign w:val="center"/>
          </w:tcPr>
          <w:p w14:paraId="043F6333">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1000</w:t>
            </w:r>
            <w:r>
              <w:rPr>
                <w:rFonts w:hint="eastAsia" w:ascii="宋体" w:hAnsi="宋体"/>
                <w:color w:val="000000"/>
              </w:rPr>
              <w:t>元，扣</w:t>
            </w:r>
            <w:r>
              <w:rPr>
                <w:rFonts w:ascii="宋体" w:hAnsi="宋体"/>
                <w:color w:val="000000"/>
              </w:rPr>
              <w:t>10</w:t>
            </w:r>
            <w:r>
              <w:rPr>
                <w:rFonts w:hint="eastAsia" w:ascii="宋体" w:hAnsi="宋体"/>
                <w:color w:val="000000"/>
              </w:rPr>
              <w:t>分。</w:t>
            </w:r>
          </w:p>
        </w:tc>
        <w:tc>
          <w:tcPr>
            <w:tcW w:w="982" w:type="dxa"/>
            <w:noWrap/>
            <w:vAlign w:val="center"/>
          </w:tcPr>
          <w:p w14:paraId="0ECB2674">
            <w:pPr>
              <w:pStyle w:val="6"/>
              <w:jc w:val="center"/>
              <w:rPr>
                <w:rFonts w:ascii="宋体" w:hAnsi="宋体"/>
                <w:color w:val="000000"/>
              </w:rPr>
            </w:pPr>
          </w:p>
        </w:tc>
      </w:tr>
      <w:tr w14:paraId="01EFE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23612A07">
            <w:pPr>
              <w:pStyle w:val="6"/>
              <w:jc w:val="center"/>
              <w:rPr>
                <w:rFonts w:ascii="宋体" w:hAnsi="宋体"/>
                <w:color w:val="000000"/>
              </w:rPr>
            </w:pPr>
          </w:p>
        </w:tc>
        <w:tc>
          <w:tcPr>
            <w:tcW w:w="4086" w:type="dxa"/>
            <w:noWrap/>
            <w:vAlign w:val="center"/>
          </w:tcPr>
          <w:p w14:paraId="46B1479E">
            <w:pPr>
              <w:pStyle w:val="6"/>
              <w:ind w:left="0" w:leftChars="0" w:firstLine="0" w:firstLineChars="0"/>
              <w:jc w:val="center"/>
              <w:rPr>
                <w:rFonts w:ascii="宋体" w:hAnsi="宋体"/>
                <w:color w:val="000000"/>
              </w:rPr>
            </w:pPr>
            <w:r>
              <w:rPr>
                <w:rFonts w:ascii="宋体" w:hAnsi="宋体"/>
                <w:color w:val="000000"/>
              </w:rPr>
              <w:t>7</w:t>
            </w:r>
            <w:r>
              <w:rPr>
                <w:rFonts w:hint="eastAsia" w:ascii="宋体" w:hAnsi="宋体"/>
                <w:color w:val="000000"/>
              </w:rPr>
              <w:t>．有完善的值班制度和交接班制度，工作记录。</w:t>
            </w:r>
          </w:p>
        </w:tc>
        <w:tc>
          <w:tcPr>
            <w:tcW w:w="1050" w:type="dxa"/>
            <w:noWrap/>
            <w:vAlign w:val="center"/>
          </w:tcPr>
          <w:p w14:paraId="7F51E676">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6B672AA9">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5072BE83">
            <w:pPr>
              <w:pStyle w:val="6"/>
              <w:jc w:val="center"/>
              <w:rPr>
                <w:rFonts w:ascii="宋体" w:hAnsi="宋体"/>
                <w:color w:val="000000"/>
              </w:rPr>
            </w:pPr>
          </w:p>
        </w:tc>
      </w:tr>
      <w:tr w14:paraId="108C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36E6527D">
            <w:pPr>
              <w:pStyle w:val="6"/>
              <w:jc w:val="center"/>
              <w:rPr>
                <w:rFonts w:ascii="宋体" w:hAnsi="宋体"/>
                <w:color w:val="000000"/>
              </w:rPr>
            </w:pPr>
          </w:p>
        </w:tc>
        <w:tc>
          <w:tcPr>
            <w:tcW w:w="4086" w:type="dxa"/>
            <w:noWrap/>
            <w:vAlign w:val="center"/>
          </w:tcPr>
          <w:p w14:paraId="13082C41">
            <w:pPr>
              <w:pStyle w:val="6"/>
              <w:ind w:left="0" w:leftChars="0" w:firstLine="0" w:firstLineChars="0"/>
              <w:jc w:val="center"/>
              <w:rPr>
                <w:rFonts w:ascii="宋体" w:hAnsi="宋体"/>
                <w:color w:val="000000"/>
              </w:rPr>
            </w:pPr>
            <w:r>
              <w:rPr>
                <w:rFonts w:ascii="宋体" w:hAnsi="宋体"/>
                <w:color w:val="000000"/>
              </w:rPr>
              <w:t>8</w:t>
            </w:r>
            <w:r>
              <w:rPr>
                <w:rFonts w:hint="eastAsia" w:ascii="宋体" w:hAnsi="宋体"/>
                <w:color w:val="000000"/>
              </w:rPr>
              <w:t>．建立项目物业管理档案</w:t>
            </w:r>
            <w:r>
              <w:rPr>
                <w:rFonts w:ascii="宋体" w:hAnsi="宋体"/>
                <w:color w:val="000000"/>
              </w:rPr>
              <w:t>[</w:t>
            </w:r>
            <w:r>
              <w:rPr>
                <w:rFonts w:hint="eastAsia" w:ascii="宋体" w:hAnsi="宋体"/>
                <w:color w:val="000000"/>
              </w:rPr>
              <w:t>包括设备管理档案、业主资料档案（含业主和使用人档案）等</w:t>
            </w:r>
            <w:r>
              <w:rPr>
                <w:rFonts w:ascii="宋体" w:hAnsi="宋体"/>
                <w:color w:val="000000"/>
              </w:rPr>
              <w:t>]</w:t>
            </w:r>
            <w:r>
              <w:rPr>
                <w:rFonts w:hint="eastAsia" w:ascii="宋体" w:hAnsi="宋体"/>
                <w:color w:val="000000"/>
              </w:rPr>
              <w:t>。分类成册，查阅方便。借阅及交接有详细签字记录，并做好保密。</w:t>
            </w:r>
          </w:p>
        </w:tc>
        <w:tc>
          <w:tcPr>
            <w:tcW w:w="1050" w:type="dxa"/>
            <w:noWrap/>
            <w:vAlign w:val="center"/>
          </w:tcPr>
          <w:p w14:paraId="4CD6804D">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6F9040CC">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6E18B2E5">
            <w:pPr>
              <w:pStyle w:val="6"/>
              <w:jc w:val="center"/>
              <w:rPr>
                <w:rFonts w:ascii="宋体" w:hAnsi="宋体"/>
                <w:color w:val="000000"/>
              </w:rPr>
            </w:pPr>
          </w:p>
        </w:tc>
      </w:tr>
      <w:tr w14:paraId="564CF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350A2581">
            <w:pPr>
              <w:pStyle w:val="6"/>
              <w:jc w:val="center"/>
              <w:rPr>
                <w:rFonts w:ascii="宋体" w:hAnsi="宋体"/>
                <w:color w:val="000000"/>
              </w:rPr>
            </w:pPr>
          </w:p>
        </w:tc>
        <w:tc>
          <w:tcPr>
            <w:tcW w:w="4086" w:type="dxa"/>
            <w:noWrap/>
            <w:vAlign w:val="center"/>
          </w:tcPr>
          <w:p w14:paraId="594F408A">
            <w:pPr>
              <w:pStyle w:val="6"/>
              <w:ind w:left="0" w:leftChars="0" w:firstLine="0" w:firstLineChars="0"/>
              <w:jc w:val="center"/>
              <w:rPr>
                <w:rFonts w:ascii="宋体" w:hAnsi="宋体"/>
                <w:color w:val="000000"/>
              </w:rPr>
            </w:pPr>
            <w:r>
              <w:rPr>
                <w:rFonts w:ascii="宋体" w:hAnsi="宋体"/>
                <w:color w:val="000000"/>
              </w:rPr>
              <w:t>9.</w:t>
            </w:r>
            <w:r>
              <w:rPr>
                <w:rFonts w:hint="eastAsia" w:ascii="宋体" w:hAnsi="宋体"/>
                <w:color w:val="000000"/>
              </w:rPr>
              <w:t>建立健全的财务管理制度，做到运作规范，账目清晰。</w:t>
            </w:r>
          </w:p>
        </w:tc>
        <w:tc>
          <w:tcPr>
            <w:tcW w:w="1050" w:type="dxa"/>
            <w:noWrap/>
            <w:vAlign w:val="center"/>
          </w:tcPr>
          <w:p w14:paraId="1090E91E">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1C9DEF1E">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4BDD224D">
            <w:pPr>
              <w:pStyle w:val="6"/>
              <w:jc w:val="center"/>
              <w:rPr>
                <w:rFonts w:ascii="宋体" w:hAnsi="宋体"/>
                <w:color w:val="000000"/>
              </w:rPr>
            </w:pPr>
          </w:p>
        </w:tc>
      </w:tr>
      <w:tr w14:paraId="16114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30" w:type="dxa"/>
            <w:vMerge w:val="restart"/>
            <w:noWrap/>
            <w:vAlign w:val="center"/>
          </w:tcPr>
          <w:p w14:paraId="3EC98F59">
            <w:pPr>
              <w:pStyle w:val="6"/>
              <w:ind w:left="0" w:leftChars="0" w:firstLine="0" w:firstLineChars="0"/>
              <w:jc w:val="center"/>
              <w:rPr>
                <w:rFonts w:ascii="宋体" w:hAnsi="宋体"/>
                <w:color w:val="000000"/>
              </w:rPr>
            </w:pPr>
            <w:r>
              <w:rPr>
                <w:rFonts w:hint="eastAsia" w:ascii="宋体" w:hAnsi="宋体"/>
                <w:color w:val="000000"/>
              </w:rPr>
              <w:t>工程管理考评（</w:t>
            </w:r>
            <w:r>
              <w:rPr>
                <w:rFonts w:ascii="宋体" w:hAnsi="宋体"/>
                <w:color w:val="000000"/>
              </w:rPr>
              <w:t>25</w:t>
            </w:r>
            <w:r>
              <w:rPr>
                <w:rFonts w:hint="eastAsia" w:ascii="宋体" w:hAnsi="宋体"/>
                <w:color w:val="000000"/>
              </w:rPr>
              <w:t>分）</w:t>
            </w:r>
          </w:p>
        </w:tc>
        <w:tc>
          <w:tcPr>
            <w:tcW w:w="4086" w:type="dxa"/>
            <w:noWrap/>
            <w:vAlign w:val="center"/>
          </w:tcPr>
          <w:p w14:paraId="054ABEFD">
            <w:pPr>
              <w:pStyle w:val="6"/>
              <w:ind w:left="0" w:leftChars="0" w:firstLine="0" w:firstLineChars="0"/>
              <w:jc w:val="center"/>
              <w:rPr>
                <w:rFonts w:ascii="宋体" w:hAnsi="宋体"/>
                <w:color w:val="000000"/>
              </w:rPr>
            </w:pPr>
            <w:r>
              <w:rPr>
                <w:rFonts w:ascii="宋体" w:hAnsi="宋体"/>
                <w:color w:val="000000"/>
              </w:rPr>
              <w:t>1.</w:t>
            </w:r>
            <w:r>
              <w:rPr>
                <w:rFonts w:hint="eastAsia" w:ascii="宋体" w:hAnsi="宋体"/>
                <w:color w:val="000000"/>
              </w:rPr>
              <w:t>配备专业技术人员，维修和操作人员持相关专业上岗证。</w:t>
            </w:r>
          </w:p>
        </w:tc>
        <w:tc>
          <w:tcPr>
            <w:tcW w:w="1050" w:type="dxa"/>
            <w:noWrap/>
            <w:vAlign w:val="center"/>
          </w:tcPr>
          <w:p w14:paraId="0C7B2F11">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7B68584F">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6214CFF9">
            <w:pPr>
              <w:pStyle w:val="6"/>
              <w:jc w:val="center"/>
              <w:rPr>
                <w:rFonts w:ascii="宋体" w:hAnsi="宋体"/>
                <w:color w:val="000000"/>
              </w:rPr>
            </w:pPr>
          </w:p>
        </w:tc>
      </w:tr>
      <w:tr w14:paraId="3CA5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78A03E0F">
            <w:pPr>
              <w:pStyle w:val="6"/>
              <w:jc w:val="center"/>
              <w:rPr>
                <w:rFonts w:ascii="宋体" w:hAnsi="宋体"/>
                <w:color w:val="000000"/>
              </w:rPr>
            </w:pPr>
          </w:p>
        </w:tc>
        <w:tc>
          <w:tcPr>
            <w:tcW w:w="4086" w:type="dxa"/>
            <w:noWrap/>
            <w:vAlign w:val="center"/>
          </w:tcPr>
          <w:p w14:paraId="7BBF0550">
            <w:pPr>
              <w:pStyle w:val="6"/>
              <w:ind w:left="0" w:leftChars="0" w:firstLine="0" w:firstLineChars="0"/>
              <w:jc w:val="center"/>
              <w:rPr>
                <w:rFonts w:ascii="宋体" w:hAnsi="宋体"/>
                <w:color w:val="000000"/>
              </w:rPr>
            </w:pPr>
            <w:r>
              <w:rPr>
                <w:rFonts w:ascii="宋体" w:hAnsi="宋体"/>
                <w:color w:val="000000"/>
              </w:rPr>
              <w:t>2.</w:t>
            </w:r>
            <w:r>
              <w:rPr>
                <w:rFonts w:hint="eastAsia" w:ascii="宋体" w:hAnsi="宋体"/>
                <w:color w:val="000000"/>
              </w:rPr>
              <w:t>每周清扫设备房，保持设备房室内环境整洁；无杂物、灰尘，鼠害。</w:t>
            </w:r>
          </w:p>
        </w:tc>
        <w:tc>
          <w:tcPr>
            <w:tcW w:w="1050" w:type="dxa"/>
            <w:noWrap/>
            <w:vAlign w:val="center"/>
          </w:tcPr>
          <w:p w14:paraId="7A786E6C">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373F0F34">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61B4522A">
            <w:pPr>
              <w:pStyle w:val="6"/>
              <w:jc w:val="center"/>
              <w:rPr>
                <w:rFonts w:ascii="宋体" w:hAnsi="宋体"/>
                <w:color w:val="000000"/>
              </w:rPr>
            </w:pPr>
          </w:p>
        </w:tc>
      </w:tr>
      <w:tr w14:paraId="2A2B9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4325EC29">
            <w:pPr>
              <w:pStyle w:val="6"/>
              <w:jc w:val="center"/>
              <w:rPr>
                <w:rFonts w:ascii="宋体" w:hAnsi="宋体"/>
                <w:color w:val="000000"/>
              </w:rPr>
            </w:pPr>
          </w:p>
        </w:tc>
        <w:tc>
          <w:tcPr>
            <w:tcW w:w="4086" w:type="dxa"/>
            <w:noWrap/>
            <w:vAlign w:val="center"/>
          </w:tcPr>
          <w:p w14:paraId="27D358F9">
            <w:pPr>
              <w:pStyle w:val="6"/>
              <w:ind w:left="0" w:leftChars="0" w:firstLine="0" w:firstLineChars="0"/>
              <w:jc w:val="center"/>
              <w:rPr>
                <w:rFonts w:ascii="宋体" w:hAnsi="宋体"/>
                <w:color w:val="000000"/>
              </w:rPr>
            </w:pPr>
            <w:r>
              <w:rPr>
                <w:rFonts w:ascii="宋体" w:hAnsi="宋体"/>
                <w:color w:val="000000"/>
              </w:rPr>
              <w:t>3.</w:t>
            </w:r>
            <w:r>
              <w:rPr>
                <w:rFonts w:hint="eastAsia" w:ascii="宋体" w:hAnsi="宋体"/>
                <w:color w:val="000000"/>
              </w:rPr>
              <w:t>每天巡视大楼供配电气系统、供排水系统、配电房、水泵房等系统，发现问题及时维修，有定期巡回检查测试和维修保养记录，可随时查阅。</w:t>
            </w:r>
          </w:p>
        </w:tc>
        <w:tc>
          <w:tcPr>
            <w:tcW w:w="1050" w:type="dxa"/>
            <w:noWrap/>
            <w:vAlign w:val="center"/>
          </w:tcPr>
          <w:p w14:paraId="7B1F9BB2">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067E2F7D">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4F45A246">
            <w:pPr>
              <w:pStyle w:val="6"/>
              <w:jc w:val="center"/>
              <w:rPr>
                <w:rFonts w:ascii="宋体" w:hAnsi="宋体"/>
                <w:color w:val="000000"/>
              </w:rPr>
            </w:pPr>
          </w:p>
        </w:tc>
      </w:tr>
      <w:tr w14:paraId="0FF1F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6FD95944">
            <w:pPr>
              <w:pStyle w:val="6"/>
              <w:jc w:val="center"/>
              <w:rPr>
                <w:rFonts w:ascii="宋体" w:hAnsi="宋体"/>
                <w:color w:val="000000"/>
              </w:rPr>
            </w:pPr>
          </w:p>
        </w:tc>
        <w:tc>
          <w:tcPr>
            <w:tcW w:w="4086" w:type="dxa"/>
            <w:noWrap/>
            <w:vAlign w:val="center"/>
          </w:tcPr>
          <w:p w14:paraId="7A9D9151">
            <w:pPr>
              <w:pStyle w:val="6"/>
              <w:ind w:left="0" w:leftChars="0" w:firstLine="0" w:firstLineChars="0"/>
              <w:jc w:val="center"/>
              <w:rPr>
                <w:rFonts w:ascii="宋体" w:hAnsi="宋体"/>
                <w:color w:val="000000"/>
              </w:rPr>
            </w:pPr>
            <w:r>
              <w:rPr>
                <w:rFonts w:ascii="宋体" w:hAnsi="宋体"/>
                <w:color w:val="000000"/>
              </w:rPr>
              <w:t>4.</w:t>
            </w:r>
            <w:r>
              <w:rPr>
                <w:rFonts w:hint="eastAsia" w:ascii="宋体" w:hAnsi="宋体"/>
                <w:color w:val="000000"/>
              </w:rPr>
              <w:t>观察电压表、水压表、电流表、计量表等设备和系统运行情况，仪表指示灯显示正常，并做有多种运行记录，可随时查阅。</w:t>
            </w:r>
          </w:p>
        </w:tc>
        <w:tc>
          <w:tcPr>
            <w:tcW w:w="1050" w:type="dxa"/>
            <w:noWrap/>
            <w:vAlign w:val="center"/>
          </w:tcPr>
          <w:p w14:paraId="0AFF3E57">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1C83C979">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365DE007">
            <w:pPr>
              <w:pStyle w:val="6"/>
              <w:jc w:val="center"/>
              <w:rPr>
                <w:rFonts w:ascii="宋体" w:hAnsi="宋体"/>
                <w:color w:val="000000"/>
              </w:rPr>
            </w:pPr>
          </w:p>
        </w:tc>
      </w:tr>
      <w:tr w14:paraId="05CDE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0EFF1867">
            <w:pPr>
              <w:pStyle w:val="6"/>
              <w:jc w:val="center"/>
              <w:rPr>
                <w:rFonts w:ascii="宋体" w:hAnsi="宋体"/>
                <w:color w:val="000000"/>
              </w:rPr>
            </w:pPr>
          </w:p>
        </w:tc>
        <w:tc>
          <w:tcPr>
            <w:tcW w:w="4086" w:type="dxa"/>
            <w:noWrap/>
            <w:vAlign w:val="center"/>
          </w:tcPr>
          <w:p w14:paraId="1D70D3F6">
            <w:pPr>
              <w:pStyle w:val="6"/>
              <w:ind w:left="0" w:leftChars="0" w:firstLine="0" w:firstLineChars="0"/>
              <w:jc w:val="center"/>
              <w:rPr>
                <w:rFonts w:ascii="宋体" w:hAnsi="宋体"/>
                <w:color w:val="000000"/>
              </w:rPr>
            </w:pPr>
            <w:r>
              <w:rPr>
                <w:rFonts w:ascii="宋体" w:hAnsi="宋体"/>
                <w:color w:val="000000"/>
              </w:rPr>
              <w:t>5.</w:t>
            </w:r>
            <w:r>
              <w:rPr>
                <w:rFonts w:hint="eastAsia" w:ascii="宋体" w:hAnsi="宋体"/>
                <w:color w:val="000000"/>
              </w:rPr>
              <w:t>相关设备图纸、档案资料齐全，建立设备台账，项目齐全、目录清楚、完善管理，可随时查阅。</w:t>
            </w:r>
          </w:p>
        </w:tc>
        <w:tc>
          <w:tcPr>
            <w:tcW w:w="1050" w:type="dxa"/>
            <w:noWrap/>
            <w:vAlign w:val="center"/>
          </w:tcPr>
          <w:p w14:paraId="253E090A">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7CDA8787">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3DD144D7">
            <w:pPr>
              <w:pStyle w:val="6"/>
              <w:jc w:val="center"/>
              <w:rPr>
                <w:rFonts w:ascii="宋体" w:hAnsi="宋体"/>
                <w:color w:val="000000"/>
              </w:rPr>
            </w:pPr>
          </w:p>
        </w:tc>
      </w:tr>
      <w:tr w14:paraId="7C0A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6C71C882">
            <w:pPr>
              <w:pStyle w:val="6"/>
              <w:jc w:val="center"/>
              <w:rPr>
                <w:rFonts w:ascii="宋体" w:hAnsi="宋体"/>
                <w:color w:val="000000"/>
              </w:rPr>
            </w:pPr>
          </w:p>
        </w:tc>
        <w:tc>
          <w:tcPr>
            <w:tcW w:w="4086" w:type="dxa"/>
            <w:noWrap/>
            <w:vAlign w:val="center"/>
          </w:tcPr>
          <w:p w14:paraId="28B5EC57">
            <w:pPr>
              <w:pStyle w:val="6"/>
              <w:ind w:left="0" w:leftChars="0" w:firstLine="0" w:firstLineChars="0"/>
              <w:jc w:val="center"/>
              <w:rPr>
                <w:rFonts w:ascii="宋体" w:hAnsi="宋体"/>
                <w:color w:val="000000"/>
              </w:rPr>
            </w:pPr>
            <w:r>
              <w:rPr>
                <w:rFonts w:ascii="宋体" w:hAnsi="宋体"/>
                <w:color w:val="000000"/>
              </w:rPr>
              <w:t>6.</w:t>
            </w:r>
            <w:r>
              <w:rPr>
                <w:rFonts w:hint="eastAsia" w:ascii="宋体" w:hAnsi="宋体"/>
                <w:color w:val="000000"/>
              </w:rPr>
              <w:t>相关设备出现故障，有完整的报修、维修和回访记录。</w:t>
            </w:r>
          </w:p>
        </w:tc>
        <w:tc>
          <w:tcPr>
            <w:tcW w:w="1050" w:type="dxa"/>
            <w:noWrap/>
            <w:vAlign w:val="center"/>
          </w:tcPr>
          <w:p w14:paraId="67CEE9B0">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313EDFE7">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3B6675E3">
            <w:pPr>
              <w:pStyle w:val="6"/>
              <w:jc w:val="center"/>
              <w:rPr>
                <w:rFonts w:ascii="宋体" w:hAnsi="宋体"/>
                <w:color w:val="000000"/>
              </w:rPr>
            </w:pPr>
          </w:p>
        </w:tc>
      </w:tr>
      <w:tr w14:paraId="48D60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43E90B8A">
            <w:pPr>
              <w:pStyle w:val="6"/>
              <w:jc w:val="center"/>
              <w:rPr>
                <w:rFonts w:ascii="宋体" w:hAnsi="宋体"/>
                <w:color w:val="000000"/>
              </w:rPr>
            </w:pPr>
          </w:p>
        </w:tc>
        <w:tc>
          <w:tcPr>
            <w:tcW w:w="4086" w:type="dxa"/>
            <w:noWrap/>
            <w:vAlign w:val="center"/>
          </w:tcPr>
          <w:p w14:paraId="67466E40">
            <w:pPr>
              <w:pStyle w:val="6"/>
              <w:ind w:left="0" w:leftChars="0" w:firstLine="0" w:firstLineChars="0"/>
              <w:jc w:val="center"/>
              <w:rPr>
                <w:rFonts w:ascii="宋体" w:hAnsi="宋体"/>
                <w:color w:val="000000"/>
              </w:rPr>
            </w:pPr>
            <w:r>
              <w:rPr>
                <w:rFonts w:ascii="宋体" w:hAnsi="宋体"/>
                <w:color w:val="000000"/>
              </w:rPr>
              <w:t>7.</w:t>
            </w:r>
            <w:r>
              <w:rPr>
                <w:rFonts w:hint="eastAsia" w:ascii="宋体" w:hAnsi="宋体"/>
                <w:color w:val="000000"/>
              </w:rPr>
              <w:t>相关设备良好、运行正常、签订合同之日起至考核日止没有因工程工作人员操作不当发生重大管理责任事故，严格按安全操作规程及管理制度操作。</w:t>
            </w:r>
          </w:p>
        </w:tc>
        <w:tc>
          <w:tcPr>
            <w:tcW w:w="1050" w:type="dxa"/>
            <w:noWrap/>
            <w:vAlign w:val="center"/>
          </w:tcPr>
          <w:p w14:paraId="12F28BC0">
            <w:pPr>
              <w:pStyle w:val="6"/>
              <w:ind w:left="0" w:leftChars="0" w:firstLine="0" w:firstLineChars="0"/>
              <w:jc w:val="center"/>
              <w:rPr>
                <w:rFonts w:ascii="宋体" w:hAnsi="宋体"/>
                <w:color w:val="000000"/>
              </w:rPr>
            </w:pPr>
            <w:r>
              <w:rPr>
                <w:rFonts w:ascii="宋体" w:hAnsi="宋体"/>
                <w:color w:val="000000"/>
              </w:rPr>
              <w:t>10</w:t>
            </w:r>
          </w:p>
        </w:tc>
        <w:tc>
          <w:tcPr>
            <w:tcW w:w="3291" w:type="dxa"/>
            <w:noWrap/>
            <w:vAlign w:val="center"/>
          </w:tcPr>
          <w:p w14:paraId="078AC9EB">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1000</w:t>
            </w:r>
            <w:r>
              <w:rPr>
                <w:rFonts w:hint="eastAsia" w:ascii="宋体" w:hAnsi="宋体"/>
                <w:color w:val="000000"/>
              </w:rPr>
              <w:t>元，扣</w:t>
            </w:r>
            <w:r>
              <w:rPr>
                <w:rFonts w:ascii="宋体" w:hAnsi="宋体"/>
                <w:color w:val="000000"/>
              </w:rPr>
              <w:t>10</w:t>
            </w:r>
            <w:r>
              <w:rPr>
                <w:rFonts w:hint="eastAsia" w:ascii="宋体" w:hAnsi="宋体"/>
                <w:color w:val="000000"/>
              </w:rPr>
              <w:t>分。</w:t>
            </w:r>
          </w:p>
        </w:tc>
        <w:tc>
          <w:tcPr>
            <w:tcW w:w="982" w:type="dxa"/>
            <w:noWrap/>
            <w:vAlign w:val="center"/>
          </w:tcPr>
          <w:p w14:paraId="10A12497">
            <w:pPr>
              <w:pStyle w:val="6"/>
              <w:jc w:val="center"/>
              <w:rPr>
                <w:rFonts w:ascii="宋体" w:hAnsi="宋体"/>
                <w:color w:val="000000"/>
              </w:rPr>
            </w:pPr>
          </w:p>
        </w:tc>
      </w:tr>
      <w:tr w14:paraId="43D95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7A2112C2">
            <w:pPr>
              <w:pStyle w:val="6"/>
              <w:jc w:val="center"/>
              <w:rPr>
                <w:rFonts w:ascii="宋体" w:hAnsi="宋体"/>
                <w:color w:val="000000"/>
              </w:rPr>
            </w:pPr>
          </w:p>
        </w:tc>
        <w:tc>
          <w:tcPr>
            <w:tcW w:w="4086" w:type="dxa"/>
            <w:noWrap/>
            <w:vAlign w:val="center"/>
          </w:tcPr>
          <w:p w14:paraId="1887D5ED">
            <w:pPr>
              <w:pStyle w:val="6"/>
              <w:ind w:left="0" w:leftChars="0" w:firstLine="0" w:firstLineChars="0"/>
              <w:jc w:val="center"/>
              <w:rPr>
                <w:rFonts w:ascii="宋体" w:hAnsi="宋体"/>
                <w:color w:val="000000"/>
              </w:rPr>
            </w:pPr>
            <w:r>
              <w:rPr>
                <w:rFonts w:ascii="宋体" w:hAnsi="宋体"/>
                <w:color w:val="000000"/>
              </w:rPr>
              <w:t>8.</w:t>
            </w:r>
            <w:r>
              <w:rPr>
                <w:rFonts w:hint="eastAsia" w:ascii="宋体" w:hAnsi="宋体"/>
                <w:color w:val="000000"/>
              </w:rPr>
              <w:t>楼层设有明显标志及引路方向指示或者平面图，没有违反规划私搭乱建。</w:t>
            </w:r>
          </w:p>
        </w:tc>
        <w:tc>
          <w:tcPr>
            <w:tcW w:w="1050" w:type="dxa"/>
            <w:noWrap/>
            <w:vAlign w:val="center"/>
          </w:tcPr>
          <w:p w14:paraId="294FB609">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3EFB5F24">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18D56CA1">
            <w:pPr>
              <w:pStyle w:val="6"/>
              <w:jc w:val="center"/>
              <w:rPr>
                <w:rFonts w:ascii="宋体" w:hAnsi="宋体"/>
                <w:color w:val="000000"/>
              </w:rPr>
            </w:pPr>
          </w:p>
        </w:tc>
      </w:tr>
      <w:tr w14:paraId="0361B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56499210">
            <w:pPr>
              <w:pStyle w:val="6"/>
              <w:jc w:val="center"/>
              <w:rPr>
                <w:rFonts w:ascii="宋体" w:hAnsi="宋体"/>
                <w:color w:val="000000"/>
              </w:rPr>
            </w:pPr>
          </w:p>
        </w:tc>
        <w:tc>
          <w:tcPr>
            <w:tcW w:w="4086" w:type="dxa"/>
            <w:noWrap/>
            <w:vAlign w:val="center"/>
          </w:tcPr>
          <w:p w14:paraId="1F81122D">
            <w:pPr>
              <w:pStyle w:val="6"/>
              <w:ind w:left="0" w:leftChars="0" w:firstLine="0" w:firstLineChars="0"/>
              <w:jc w:val="center"/>
              <w:rPr>
                <w:rFonts w:ascii="宋体" w:hAnsi="宋体"/>
                <w:color w:val="000000"/>
              </w:rPr>
            </w:pPr>
            <w:r>
              <w:rPr>
                <w:rFonts w:ascii="宋体" w:hAnsi="宋体"/>
                <w:color w:val="000000"/>
              </w:rPr>
              <w:t>9.</w:t>
            </w:r>
            <w:r>
              <w:rPr>
                <w:rFonts w:hint="eastAsia" w:ascii="宋体" w:hAnsi="宋体"/>
                <w:color w:val="000000"/>
              </w:rPr>
              <w:t>发生停电、停水或其他事故能提前通知</w:t>
            </w:r>
            <w:r>
              <w:rPr>
                <w:rFonts w:hint="eastAsia" w:ascii="宋体" w:hAnsi="宋体"/>
                <w:color w:val="000000"/>
                <w:lang w:eastAsia="zh-CN"/>
              </w:rPr>
              <w:t>甲方</w:t>
            </w:r>
            <w:r>
              <w:rPr>
                <w:rFonts w:hint="eastAsia" w:ascii="宋体" w:hAnsi="宋体"/>
                <w:color w:val="000000"/>
              </w:rPr>
              <w:t>，及时与供电、供水等部门取得联系，迅速奔赴现场查明原因并及时采取应急措施，没有遭遇投诉。</w:t>
            </w:r>
          </w:p>
        </w:tc>
        <w:tc>
          <w:tcPr>
            <w:tcW w:w="1050" w:type="dxa"/>
            <w:noWrap/>
            <w:vAlign w:val="center"/>
          </w:tcPr>
          <w:p w14:paraId="577C08F7">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01A059A4">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1F6BF01D">
            <w:pPr>
              <w:pStyle w:val="6"/>
              <w:jc w:val="center"/>
              <w:rPr>
                <w:rFonts w:ascii="宋体" w:hAnsi="宋体"/>
                <w:color w:val="000000"/>
              </w:rPr>
            </w:pPr>
          </w:p>
        </w:tc>
      </w:tr>
      <w:tr w14:paraId="572E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66B290E8">
            <w:pPr>
              <w:pStyle w:val="6"/>
              <w:jc w:val="center"/>
              <w:rPr>
                <w:rFonts w:ascii="宋体" w:hAnsi="宋体"/>
                <w:color w:val="000000"/>
              </w:rPr>
            </w:pPr>
          </w:p>
        </w:tc>
        <w:tc>
          <w:tcPr>
            <w:tcW w:w="4086" w:type="dxa"/>
            <w:noWrap/>
            <w:vAlign w:val="center"/>
          </w:tcPr>
          <w:p w14:paraId="144C3743">
            <w:pPr>
              <w:pStyle w:val="6"/>
              <w:ind w:left="0" w:leftChars="0" w:firstLine="0" w:firstLineChars="0"/>
              <w:jc w:val="center"/>
              <w:rPr>
                <w:rFonts w:ascii="宋体" w:hAnsi="宋体"/>
                <w:color w:val="000000"/>
              </w:rPr>
            </w:pPr>
            <w:r>
              <w:rPr>
                <w:rFonts w:ascii="宋体" w:hAnsi="宋体"/>
                <w:color w:val="000000"/>
              </w:rPr>
              <w:t>10.</w:t>
            </w:r>
            <w:r>
              <w:rPr>
                <w:rFonts w:hint="eastAsia" w:ascii="宋体" w:hAnsi="宋体"/>
                <w:color w:val="000000"/>
              </w:rPr>
              <w:t>维修及时率达到</w:t>
            </w:r>
            <w:r>
              <w:rPr>
                <w:rFonts w:ascii="宋体" w:hAnsi="宋体"/>
                <w:color w:val="000000"/>
              </w:rPr>
              <w:t>98%</w:t>
            </w:r>
            <w:r>
              <w:rPr>
                <w:rFonts w:hint="eastAsia" w:ascii="宋体" w:hAnsi="宋体"/>
                <w:color w:val="000000"/>
              </w:rPr>
              <w:t>，零星维修合格率达</w:t>
            </w:r>
            <w:r>
              <w:rPr>
                <w:rFonts w:ascii="宋体" w:hAnsi="宋体"/>
                <w:color w:val="000000"/>
              </w:rPr>
              <w:t>100%</w:t>
            </w:r>
            <w:r>
              <w:rPr>
                <w:rFonts w:hint="eastAsia" w:ascii="宋体" w:hAnsi="宋体"/>
                <w:color w:val="000000"/>
              </w:rPr>
              <w:t>，并建立回访制度和回访记录。</w:t>
            </w:r>
          </w:p>
        </w:tc>
        <w:tc>
          <w:tcPr>
            <w:tcW w:w="1050" w:type="dxa"/>
            <w:noWrap/>
            <w:vAlign w:val="center"/>
          </w:tcPr>
          <w:p w14:paraId="45EAEE09">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0D052EFA">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69EE2B82">
            <w:pPr>
              <w:pStyle w:val="6"/>
              <w:jc w:val="center"/>
              <w:rPr>
                <w:rFonts w:ascii="宋体" w:hAnsi="宋体"/>
                <w:color w:val="000000"/>
              </w:rPr>
            </w:pPr>
          </w:p>
        </w:tc>
      </w:tr>
      <w:tr w14:paraId="402C0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2144FBC4">
            <w:pPr>
              <w:pStyle w:val="6"/>
              <w:jc w:val="center"/>
              <w:rPr>
                <w:rFonts w:ascii="宋体" w:hAnsi="宋体"/>
                <w:color w:val="000000"/>
              </w:rPr>
            </w:pPr>
          </w:p>
        </w:tc>
        <w:tc>
          <w:tcPr>
            <w:tcW w:w="4086" w:type="dxa"/>
            <w:noWrap/>
            <w:vAlign w:val="center"/>
          </w:tcPr>
          <w:p w14:paraId="285EF392">
            <w:pPr>
              <w:pStyle w:val="6"/>
              <w:ind w:left="0" w:leftChars="0" w:firstLine="0" w:firstLineChars="0"/>
              <w:jc w:val="both"/>
              <w:rPr>
                <w:rFonts w:ascii="宋体" w:hAnsi="宋体"/>
                <w:color w:val="000000"/>
              </w:rPr>
            </w:pPr>
            <w:r>
              <w:rPr>
                <w:rFonts w:ascii="宋体" w:hAnsi="宋体"/>
                <w:color w:val="000000"/>
              </w:rPr>
              <w:t>1</w:t>
            </w:r>
            <w:r>
              <w:rPr>
                <w:rFonts w:hint="eastAsia" w:ascii="宋体" w:hAnsi="宋体"/>
                <w:color w:val="000000"/>
                <w:lang w:val="en-US" w:eastAsia="zh-CN"/>
              </w:rPr>
              <w:t>1</w:t>
            </w:r>
            <w:r>
              <w:rPr>
                <w:rFonts w:ascii="宋体" w:hAnsi="宋体"/>
                <w:color w:val="000000"/>
              </w:rPr>
              <w:t>.</w:t>
            </w:r>
            <w:r>
              <w:rPr>
                <w:rFonts w:hint="eastAsia" w:ascii="宋体" w:hAnsi="宋体"/>
                <w:color w:val="000000"/>
              </w:rPr>
              <w:t>按照规定对二次供水蓄水设备进行清洗、消毒并做好记录。二次供水需有卫生许可和水质化验清单。水箱周边环境清洁卫生。无二次污染隐患。</w:t>
            </w:r>
          </w:p>
        </w:tc>
        <w:tc>
          <w:tcPr>
            <w:tcW w:w="1050" w:type="dxa"/>
            <w:noWrap/>
            <w:vAlign w:val="center"/>
          </w:tcPr>
          <w:p w14:paraId="7AED0322">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26EA243C">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1A531577">
            <w:pPr>
              <w:pStyle w:val="6"/>
              <w:jc w:val="center"/>
              <w:rPr>
                <w:rFonts w:ascii="宋体" w:hAnsi="宋体"/>
                <w:color w:val="000000"/>
              </w:rPr>
            </w:pPr>
          </w:p>
        </w:tc>
      </w:tr>
      <w:tr w14:paraId="6A1B6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6961C17F">
            <w:pPr>
              <w:pStyle w:val="6"/>
              <w:jc w:val="center"/>
              <w:rPr>
                <w:rFonts w:ascii="宋体" w:hAnsi="宋体"/>
                <w:color w:val="000000"/>
              </w:rPr>
            </w:pPr>
          </w:p>
        </w:tc>
        <w:tc>
          <w:tcPr>
            <w:tcW w:w="4086" w:type="dxa"/>
            <w:noWrap/>
            <w:vAlign w:val="center"/>
          </w:tcPr>
          <w:p w14:paraId="6D58FFE9">
            <w:pPr>
              <w:pStyle w:val="6"/>
              <w:ind w:left="0" w:leftChars="0" w:firstLine="0" w:firstLineChars="0"/>
              <w:jc w:val="center"/>
              <w:rPr>
                <w:rFonts w:ascii="宋体" w:hAnsi="宋体"/>
                <w:color w:val="000000"/>
              </w:rPr>
            </w:pPr>
            <w:r>
              <w:rPr>
                <w:rFonts w:ascii="宋体" w:hAnsi="宋体"/>
                <w:color w:val="000000"/>
              </w:rPr>
              <w:t>1</w:t>
            </w:r>
            <w:r>
              <w:rPr>
                <w:rFonts w:hint="eastAsia" w:ascii="宋体" w:hAnsi="宋体"/>
                <w:color w:val="000000"/>
                <w:lang w:val="en-US" w:eastAsia="zh-CN"/>
              </w:rPr>
              <w:t>2</w:t>
            </w:r>
            <w:r>
              <w:rPr>
                <w:rFonts w:ascii="宋体" w:hAnsi="宋体"/>
                <w:color w:val="000000"/>
              </w:rPr>
              <w:t>.</w:t>
            </w:r>
            <w:r>
              <w:rPr>
                <w:rFonts w:hint="eastAsia" w:ascii="宋体" w:hAnsi="宋体"/>
                <w:color w:val="000000"/>
              </w:rPr>
              <w:t>设备阀门、管道、发电机等相关设备无跑冒滴漏。</w:t>
            </w:r>
          </w:p>
        </w:tc>
        <w:tc>
          <w:tcPr>
            <w:tcW w:w="1050" w:type="dxa"/>
            <w:noWrap/>
            <w:vAlign w:val="center"/>
          </w:tcPr>
          <w:p w14:paraId="2E6C9D63">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321E0463">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0A6E07A8">
            <w:pPr>
              <w:pStyle w:val="6"/>
              <w:jc w:val="center"/>
              <w:rPr>
                <w:rFonts w:ascii="宋体" w:hAnsi="宋体"/>
                <w:color w:val="000000"/>
              </w:rPr>
            </w:pPr>
          </w:p>
        </w:tc>
      </w:tr>
      <w:tr w14:paraId="260B3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058F252C">
            <w:pPr>
              <w:pStyle w:val="6"/>
              <w:jc w:val="center"/>
              <w:rPr>
                <w:rFonts w:ascii="宋体" w:hAnsi="宋体"/>
                <w:color w:val="000000"/>
              </w:rPr>
            </w:pPr>
          </w:p>
        </w:tc>
        <w:tc>
          <w:tcPr>
            <w:tcW w:w="4086" w:type="dxa"/>
            <w:noWrap/>
            <w:vAlign w:val="center"/>
          </w:tcPr>
          <w:p w14:paraId="2A76E343">
            <w:pPr>
              <w:pStyle w:val="6"/>
              <w:ind w:left="0" w:leftChars="0" w:firstLine="0" w:firstLineChars="0"/>
              <w:jc w:val="center"/>
              <w:rPr>
                <w:rFonts w:ascii="宋体" w:hAnsi="宋体"/>
                <w:color w:val="000000"/>
              </w:rPr>
            </w:pPr>
            <w:r>
              <w:rPr>
                <w:rFonts w:ascii="宋体" w:hAnsi="宋体"/>
                <w:color w:val="000000"/>
              </w:rPr>
              <w:t>1</w:t>
            </w:r>
            <w:r>
              <w:rPr>
                <w:rFonts w:hint="eastAsia" w:ascii="宋体" w:hAnsi="宋体"/>
                <w:color w:val="000000"/>
                <w:lang w:val="en-US" w:eastAsia="zh-CN"/>
              </w:rPr>
              <w:t>3</w:t>
            </w:r>
            <w:r>
              <w:rPr>
                <w:rFonts w:ascii="宋体" w:hAnsi="宋体"/>
                <w:color w:val="000000"/>
              </w:rPr>
              <w:t>.</w:t>
            </w:r>
            <w:r>
              <w:rPr>
                <w:rFonts w:hint="eastAsia" w:ascii="宋体" w:hAnsi="宋体"/>
                <w:color w:val="000000"/>
              </w:rPr>
              <w:t>排水系统通畅，雨季道路无积水，地下车库、地下室无积水、浸泡发生。</w:t>
            </w:r>
          </w:p>
        </w:tc>
        <w:tc>
          <w:tcPr>
            <w:tcW w:w="1050" w:type="dxa"/>
            <w:noWrap/>
            <w:vAlign w:val="center"/>
          </w:tcPr>
          <w:p w14:paraId="2EF1ECA7">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6AD562BE">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2CFD32B4">
            <w:pPr>
              <w:pStyle w:val="6"/>
              <w:jc w:val="center"/>
              <w:rPr>
                <w:rFonts w:ascii="宋体" w:hAnsi="宋体"/>
                <w:color w:val="000000"/>
              </w:rPr>
            </w:pPr>
          </w:p>
        </w:tc>
      </w:tr>
      <w:tr w14:paraId="7B289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7DB086C8">
            <w:pPr>
              <w:pStyle w:val="6"/>
              <w:jc w:val="center"/>
              <w:rPr>
                <w:rFonts w:ascii="宋体" w:hAnsi="宋体"/>
                <w:color w:val="000000"/>
              </w:rPr>
            </w:pPr>
          </w:p>
        </w:tc>
        <w:tc>
          <w:tcPr>
            <w:tcW w:w="4086" w:type="dxa"/>
            <w:noWrap/>
            <w:vAlign w:val="center"/>
          </w:tcPr>
          <w:p w14:paraId="3583DE34">
            <w:pPr>
              <w:pStyle w:val="6"/>
              <w:ind w:left="0" w:leftChars="0" w:firstLine="0" w:firstLineChars="0"/>
              <w:jc w:val="both"/>
              <w:rPr>
                <w:rFonts w:ascii="宋体" w:hAnsi="宋体"/>
                <w:color w:val="000000"/>
              </w:rPr>
            </w:pPr>
            <w:r>
              <w:rPr>
                <w:rFonts w:ascii="宋体" w:hAnsi="宋体"/>
                <w:color w:val="000000"/>
              </w:rPr>
              <w:t>1</w:t>
            </w:r>
            <w:r>
              <w:rPr>
                <w:rFonts w:hint="eastAsia" w:ascii="宋体" w:hAnsi="宋体"/>
                <w:color w:val="000000"/>
                <w:lang w:val="en-US" w:eastAsia="zh-CN"/>
              </w:rPr>
              <w:t>4.</w:t>
            </w:r>
            <w:r>
              <w:rPr>
                <w:rFonts w:hint="eastAsia" w:ascii="宋体" w:hAnsi="宋体"/>
                <w:color w:val="000000"/>
              </w:rPr>
              <w:t>电梯由专业人员保养维修，并持证上岗。</w:t>
            </w:r>
          </w:p>
        </w:tc>
        <w:tc>
          <w:tcPr>
            <w:tcW w:w="1050" w:type="dxa"/>
            <w:noWrap/>
            <w:vAlign w:val="center"/>
          </w:tcPr>
          <w:p w14:paraId="6769A9A5">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58947E72">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7DB75187">
            <w:pPr>
              <w:pStyle w:val="6"/>
              <w:jc w:val="center"/>
              <w:rPr>
                <w:rFonts w:ascii="宋体" w:hAnsi="宋体"/>
                <w:color w:val="000000"/>
              </w:rPr>
            </w:pPr>
          </w:p>
        </w:tc>
      </w:tr>
      <w:tr w14:paraId="27AC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62362888">
            <w:pPr>
              <w:pStyle w:val="6"/>
              <w:jc w:val="center"/>
              <w:rPr>
                <w:rFonts w:ascii="宋体" w:hAnsi="宋体"/>
                <w:color w:val="000000"/>
              </w:rPr>
            </w:pPr>
          </w:p>
        </w:tc>
        <w:tc>
          <w:tcPr>
            <w:tcW w:w="4086" w:type="dxa"/>
            <w:noWrap/>
            <w:vAlign w:val="center"/>
          </w:tcPr>
          <w:p w14:paraId="0158B8A0">
            <w:pPr>
              <w:pStyle w:val="6"/>
              <w:ind w:left="0" w:leftChars="0" w:firstLine="0" w:firstLineChars="0"/>
              <w:jc w:val="center"/>
              <w:rPr>
                <w:rFonts w:ascii="宋体" w:hAnsi="宋体"/>
                <w:color w:val="000000"/>
              </w:rPr>
            </w:pPr>
            <w:r>
              <w:rPr>
                <w:rFonts w:ascii="宋体" w:hAnsi="宋体"/>
                <w:color w:val="000000"/>
              </w:rPr>
              <w:t>1</w:t>
            </w:r>
            <w:r>
              <w:rPr>
                <w:rFonts w:hint="eastAsia" w:ascii="宋体" w:hAnsi="宋体"/>
                <w:color w:val="000000"/>
                <w:lang w:val="en-US" w:eastAsia="zh-CN"/>
              </w:rPr>
              <w:t>5</w:t>
            </w:r>
            <w:r>
              <w:rPr>
                <w:rFonts w:ascii="宋体" w:hAnsi="宋体"/>
                <w:color w:val="000000"/>
              </w:rPr>
              <w:t>.</w:t>
            </w:r>
            <w:r>
              <w:rPr>
                <w:rFonts w:hint="eastAsia" w:ascii="宋体" w:hAnsi="宋体"/>
                <w:color w:val="000000"/>
              </w:rPr>
              <w:t>每天对电梯机房的设备、温度、通风状况等巡视检查一遍并做好相关记录，电梯按规定时间允许，安全设施有效，通风、照明及其他附属设施完好。</w:t>
            </w:r>
          </w:p>
        </w:tc>
        <w:tc>
          <w:tcPr>
            <w:tcW w:w="1050" w:type="dxa"/>
            <w:noWrap/>
            <w:vAlign w:val="center"/>
          </w:tcPr>
          <w:p w14:paraId="043D7637">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46CB59F8">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6560A86B">
            <w:pPr>
              <w:pStyle w:val="6"/>
              <w:jc w:val="center"/>
              <w:rPr>
                <w:rFonts w:ascii="宋体" w:hAnsi="宋体"/>
                <w:color w:val="000000"/>
              </w:rPr>
            </w:pPr>
          </w:p>
        </w:tc>
      </w:tr>
      <w:tr w14:paraId="07D51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00C63847">
            <w:pPr>
              <w:pStyle w:val="6"/>
              <w:jc w:val="center"/>
              <w:rPr>
                <w:rFonts w:ascii="宋体" w:hAnsi="宋体"/>
                <w:color w:val="000000"/>
              </w:rPr>
            </w:pPr>
          </w:p>
        </w:tc>
        <w:tc>
          <w:tcPr>
            <w:tcW w:w="4086" w:type="dxa"/>
            <w:noWrap/>
            <w:vAlign w:val="center"/>
          </w:tcPr>
          <w:p w14:paraId="3716113E">
            <w:pPr>
              <w:pStyle w:val="6"/>
              <w:ind w:left="0" w:leftChars="0" w:firstLine="0" w:firstLineChars="0"/>
              <w:jc w:val="center"/>
              <w:rPr>
                <w:rFonts w:ascii="宋体" w:hAnsi="宋体"/>
                <w:color w:val="000000"/>
              </w:rPr>
            </w:pPr>
            <w:r>
              <w:rPr>
                <w:rFonts w:ascii="宋体" w:hAnsi="宋体"/>
                <w:color w:val="000000"/>
              </w:rPr>
              <w:t>1</w:t>
            </w:r>
            <w:r>
              <w:rPr>
                <w:rFonts w:hint="eastAsia" w:ascii="宋体" w:hAnsi="宋体"/>
                <w:color w:val="000000"/>
                <w:lang w:val="en-US" w:eastAsia="zh-CN"/>
              </w:rPr>
              <w:t>6</w:t>
            </w:r>
            <w:r>
              <w:rPr>
                <w:rFonts w:ascii="宋体" w:hAnsi="宋体"/>
                <w:color w:val="000000"/>
              </w:rPr>
              <w:t>.</w:t>
            </w:r>
            <w:r>
              <w:rPr>
                <w:rFonts w:hint="eastAsia" w:ascii="宋体" w:hAnsi="宋体"/>
                <w:color w:val="000000"/>
              </w:rPr>
              <w:t>电梯维保合同、维修保养记录、年检合格证完善，无遗漏。</w:t>
            </w:r>
          </w:p>
        </w:tc>
        <w:tc>
          <w:tcPr>
            <w:tcW w:w="1050" w:type="dxa"/>
            <w:noWrap/>
            <w:vAlign w:val="center"/>
          </w:tcPr>
          <w:p w14:paraId="35615CEF">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1C5CA830">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22D2C95E">
            <w:pPr>
              <w:pStyle w:val="6"/>
              <w:jc w:val="center"/>
              <w:rPr>
                <w:rFonts w:ascii="宋体" w:hAnsi="宋体"/>
                <w:color w:val="000000"/>
              </w:rPr>
            </w:pPr>
          </w:p>
        </w:tc>
      </w:tr>
      <w:tr w14:paraId="5AF8F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restart"/>
            <w:noWrap/>
            <w:vAlign w:val="center"/>
          </w:tcPr>
          <w:p w14:paraId="634BED1F">
            <w:pPr>
              <w:pStyle w:val="6"/>
              <w:ind w:left="0" w:leftChars="0" w:firstLine="0" w:firstLineChars="0"/>
              <w:jc w:val="center"/>
              <w:rPr>
                <w:rFonts w:ascii="宋体" w:hAnsi="宋体"/>
                <w:color w:val="000000"/>
              </w:rPr>
            </w:pPr>
            <w:r>
              <w:rPr>
                <w:rFonts w:hint="eastAsia" w:ascii="宋体" w:hAnsi="宋体"/>
                <w:color w:val="000000"/>
              </w:rPr>
              <w:t>保洁绿化管理考评（</w:t>
            </w:r>
            <w:r>
              <w:rPr>
                <w:rFonts w:ascii="宋体" w:hAnsi="宋体"/>
                <w:color w:val="000000"/>
              </w:rPr>
              <w:t>22</w:t>
            </w:r>
            <w:r>
              <w:rPr>
                <w:rFonts w:hint="eastAsia" w:ascii="宋体" w:hAnsi="宋体"/>
                <w:color w:val="000000"/>
              </w:rPr>
              <w:t>分）</w:t>
            </w:r>
          </w:p>
        </w:tc>
        <w:tc>
          <w:tcPr>
            <w:tcW w:w="4086" w:type="dxa"/>
            <w:noWrap/>
            <w:vAlign w:val="center"/>
          </w:tcPr>
          <w:p w14:paraId="5F21D5A2">
            <w:pPr>
              <w:pStyle w:val="6"/>
              <w:ind w:left="0" w:leftChars="0" w:firstLine="0" w:firstLineChars="0"/>
              <w:jc w:val="center"/>
              <w:rPr>
                <w:rFonts w:ascii="宋体" w:hAnsi="宋体"/>
                <w:color w:val="000000"/>
              </w:rPr>
            </w:pPr>
            <w:r>
              <w:rPr>
                <w:rFonts w:ascii="宋体" w:hAnsi="宋体"/>
                <w:color w:val="000000"/>
              </w:rPr>
              <w:t>1.</w:t>
            </w:r>
            <w:r>
              <w:rPr>
                <w:rFonts w:hint="eastAsia" w:ascii="宋体" w:hAnsi="宋体"/>
                <w:color w:val="000000"/>
                <w:lang w:eastAsia="zh-CN"/>
              </w:rPr>
              <w:t>办公楼、审判楼、执行指挥中心楼</w:t>
            </w:r>
            <w:r>
              <w:rPr>
                <w:rFonts w:hint="eastAsia" w:ascii="宋体" w:hAnsi="宋体"/>
                <w:color w:val="000000"/>
              </w:rPr>
              <w:t>台阶每天</w:t>
            </w:r>
            <w:r>
              <w:rPr>
                <w:rFonts w:hint="eastAsia" w:ascii="宋体" w:hAnsi="宋体"/>
                <w:color w:val="000000"/>
                <w:lang w:eastAsia="zh-CN"/>
              </w:rPr>
              <w:t>清扫</w:t>
            </w:r>
            <w:r>
              <w:rPr>
                <w:rFonts w:hint="eastAsia" w:ascii="宋体" w:hAnsi="宋体"/>
                <w:color w:val="000000"/>
              </w:rPr>
              <w:t>一次，大理石台阶及地砖每天用上过尘油的尘推保养一次，随时</w:t>
            </w:r>
            <w:r>
              <w:rPr>
                <w:rFonts w:hint="eastAsia" w:ascii="宋体" w:hAnsi="宋体"/>
                <w:color w:val="000000"/>
                <w:lang w:val="en-US" w:eastAsia="zh-CN"/>
              </w:rPr>
              <w:t>保持</w:t>
            </w:r>
            <w:r>
              <w:rPr>
                <w:rFonts w:hint="eastAsia" w:ascii="宋体" w:hAnsi="宋体"/>
                <w:color w:val="000000"/>
              </w:rPr>
              <w:t>地面干净，随时清抹污渍，无绿苔，痰迹。</w:t>
            </w:r>
          </w:p>
        </w:tc>
        <w:tc>
          <w:tcPr>
            <w:tcW w:w="1050" w:type="dxa"/>
            <w:noWrap/>
            <w:vAlign w:val="center"/>
          </w:tcPr>
          <w:p w14:paraId="798522F3">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40EEDC93">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1E9690C1">
            <w:pPr>
              <w:pStyle w:val="6"/>
              <w:jc w:val="center"/>
              <w:rPr>
                <w:rFonts w:ascii="宋体" w:hAnsi="宋体"/>
                <w:color w:val="000000"/>
              </w:rPr>
            </w:pPr>
          </w:p>
        </w:tc>
      </w:tr>
      <w:tr w14:paraId="70C1F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695F1DCC">
            <w:pPr>
              <w:pStyle w:val="6"/>
              <w:jc w:val="center"/>
              <w:rPr>
                <w:rFonts w:ascii="宋体" w:hAnsi="宋体"/>
                <w:color w:val="000000"/>
              </w:rPr>
            </w:pPr>
          </w:p>
        </w:tc>
        <w:tc>
          <w:tcPr>
            <w:tcW w:w="4086" w:type="dxa"/>
            <w:noWrap/>
            <w:vAlign w:val="center"/>
          </w:tcPr>
          <w:p w14:paraId="3C8CE0B1">
            <w:pPr>
              <w:pStyle w:val="6"/>
              <w:ind w:left="0" w:leftChars="0" w:firstLine="0" w:firstLineChars="0"/>
              <w:jc w:val="center"/>
              <w:rPr>
                <w:rFonts w:ascii="宋体" w:hAnsi="宋体"/>
                <w:color w:val="000000"/>
              </w:rPr>
            </w:pPr>
            <w:r>
              <w:rPr>
                <w:rFonts w:ascii="宋体" w:hAnsi="宋体"/>
                <w:color w:val="000000"/>
              </w:rPr>
              <w:t>2.</w:t>
            </w:r>
            <w:r>
              <w:rPr>
                <w:rFonts w:hint="eastAsia" w:ascii="宋体" w:hAnsi="宋体"/>
                <w:color w:val="000000"/>
                <w:lang w:eastAsia="zh-CN"/>
              </w:rPr>
              <w:t>各楼大厅</w:t>
            </w:r>
            <w:r>
              <w:rPr>
                <w:rFonts w:hint="eastAsia" w:ascii="宋体" w:hAnsi="宋体"/>
                <w:color w:val="000000"/>
              </w:rPr>
              <w:t>地面每天用尘油保养一次，做到无污渍、无灰尘，保持光洁晶亮。</w:t>
            </w:r>
          </w:p>
        </w:tc>
        <w:tc>
          <w:tcPr>
            <w:tcW w:w="1050" w:type="dxa"/>
            <w:noWrap/>
            <w:vAlign w:val="center"/>
          </w:tcPr>
          <w:p w14:paraId="007EAC76">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1C78B5C0">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3AE5701B">
            <w:pPr>
              <w:pStyle w:val="6"/>
              <w:jc w:val="center"/>
              <w:rPr>
                <w:rFonts w:ascii="宋体" w:hAnsi="宋体"/>
                <w:color w:val="000000"/>
              </w:rPr>
            </w:pPr>
          </w:p>
        </w:tc>
      </w:tr>
      <w:tr w14:paraId="16934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2DBBEA3E">
            <w:pPr>
              <w:pStyle w:val="6"/>
              <w:jc w:val="center"/>
              <w:rPr>
                <w:rFonts w:ascii="宋体" w:hAnsi="宋体"/>
                <w:color w:val="000000"/>
              </w:rPr>
            </w:pPr>
          </w:p>
        </w:tc>
        <w:tc>
          <w:tcPr>
            <w:tcW w:w="4086" w:type="dxa"/>
            <w:noWrap/>
            <w:vAlign w:val="center"/>
          </w:tcPr>
          <w:p w14:paraId="3C28A3A3">
            <w:pPr>
              <w:pStyle w:val="6"/>
              <w:ind w:left="0" w:leftChars="0" w:firstLine="0" w:firstLineChars="0"/>
              <w:jc w:val="center"/>
              <w:rPr>
                <w:rFonts w:ascii="宋体" w:hAnsi="宋体"/>
                <w:color w:val="000000"/>
              </w:rPr>
            </w:pPr>
            <w:r>
              <w:rPr>
                <w:rFonts w:ascii="宋体" w:hAnsi="宋体"/>
                <w:color w:val="000000"/>
              </w:rPr>
              <w:t>3.</w:t>
            </w:r>
            <w:r>
              <w:rPr>
                <w:rFonts w:hint="eastAsia" w:ascii="宋体" w:hAnsi="宋体"/>
                <w:color w:val="000000"/>
              </w:rPr>
              <w:t>大堂墙面每周清抹</w:t>
            </w:r>
            <w:r>
              <w:rPr>
                <w:rFonts w:ascii="宋体" w:hAnsi="宋体"/>
                <w:color w:val="000000"/>
              </w:rPr>
              <w:t>3</w:t>
            </w:r>
            <w:r>
              <w:rPr>
                <w:rFonts w:hint="eastAsia" w:ascii="宋体" w:hAnsi="宋体"/>
                <w:color w:val="000000"/>
              </w:rPr>
              <w:t>米以下墙面一次。无污渍、无灰尘。</w:t>
            </w:r>
          </w:p>
        </w:tc>
        <w:tc>
          <w:tcPr>
            <w:tcW w:w="1050" w:type="dxa"/>
            <w:noWrap/>
            <w:vAlign w:val="center"/>
          </w:tcPr>
          <w:p w14:paraId="54BFC1A2">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3F04609C">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699FB226">
            <w:pPr>
              <w:pStyle w:val="6"/>
              <w:jc w:val="center"/>
              <w:rPr>
                <w:rFonts w:ascii="宋体" w:hAnsi="宋体"/>
                <w:color w:val="000000"/>
              </w:rPr>
            </w:pPr>
          </w:p>
        </w:tc>
      </w:tr>
      <w:tr w14:paraId="2D1AB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3D5AAFB3">
            <w:pPr>
              <w:pStyle w:val="6"/>
              <w:jc w:val="center"/>
              <w:rPr>
                <w:rFonts w:ascii="宋体" w:hAnsi="宋体"/>
                <w:color w:val="000000"/>
              </w:rPr>
            </w:pPr>
          </w:p>
        </w:tc>
        <w:tc>
          <w:tcPr>
            <w:tcW w:w="4086" w:type="dxa"/>
            <w:noWrap/>
            <w:vAlign w:val="center"/>
          </w:tcPr>
          <w:p w14:paraId="483136FA">
            <w:pPr>
              <w:pStyle w:val="6"/>
              <w:ind w:left="0" w:leftChars="0" w:firstLine="0" w:firstLineChars="0"/>
              <w:jc w:val="center"/>
              <w:rPr>
                <w:rFonts w:ascii="宋体" w:hAnsi="宋体"/>
                <w:color w:val="000000"/>
              </w:rPr>
            </w:pPr>
            <w:r>
              <w:rPr>
                <w:rFonts w:ascii="宋体" w:hAnsi="宋体"/>
                <w:color w:val="000000"/>
              </w:rPr>
              <w:t>4.</w:t>
            </w:r>
            <w:r>
              <w:rPr>
                <w:rFonts w:hint="eastAsia" w:ascii="宋体" w:hAnsi="宋体"/>
                <w:color w:val="000000"/>
              </w:rPr>
              <w:t>玻璃墙面</w:t>
            </w:r>
            <w:r>
              <w:rPr>
                <w:rFonts w:ascii="宋体" w:hAnsi="宋体"/>
                <w:color w:val="000000"/>
              </w:rPr>
              <w:t>3</w:t>
            </w:r>
            <w:r>
              <w:rPr>
                <w:rFonts w:hint="eastAsia" w:ascii="宋体" w:hAnsi="宋体"/>
                <w:color w:val="000000"/>
              </w:rPr>
              <w:t>米以下的墙面每周清洗一次，无污渍、灰尘，无水印。</w:t>
            </w:r>
          </w:p>
        </w:tc>
        <w:tc>
          <w:tcPr>
            <w:tcW w:w="1050" w:type="dxa"/>
            <w:noWrap/>
            <w:vAlign w:val="center"/>
          </w:tcPr>
          <w:p w14:paraId="3B40FB38">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526737B0">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721E3764">
            <w:pPr>
              <w:pStyle w:val="6"/>
              <w:jc w:val="center"/>
              <w:rPr>
                <w:rFonts w:ascii="宋体" w:hAnsi="宋体"/>
                <w:color w:val="000000"/>
              </w:rPr>
            </w:pPr>
          </w:p>
        </w:tc>
      </w:tr>
      <w:tr w14:paraId="54168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069E01BF">
            <w:pPr>
              <w:pStyle w:val="6"/>
              <w:jc w:val="center"/>
              <w:rPr>
                <w:rFonts w:ascii="宋体" w:hAnsi="宋体"/>
                <w:color w:val="000000"/>
              </w:rPr>
            </w:pPr>
          </w:p>
        </w:tc>
        <w:tc>
          <w:tcPr>
            <w:tcW w:w="4086" w:type="dxa"/>
            <w:noWrap/>
            <w:vAlign w:val="center"/>
          </w:tcPr>
          <w:p w14:paraId="67B3660B">
            <w:pPr>
              <w:pStyle w:val="6"/>
              <w:ind w:left="0" w:leftChars="0" w:firstLine="0" w:firstLineChars="0"/>
              <w:jc w:val="center"/>
              <w:rPr>
                <w:rFonts w:ascii="宋体" w:hAnsi="宋体"/>
                <w:color w:val="000000"/>
              </w:rPr>
            </w:pPr>
            <w:r>
              <w:rPr>
                <w:rFonts w:ascii="宋体" w:hAnsi="宋体"/>
                <w:color w:val="000000"/>
              </w:rPr>
              <w:t>5.</w:t>
            </w:r>
            <w:r>
              <w:rPr>
                <w:rFonts w:hint="eastAsia" w:ascii="宋体" w:hAnsi="宋体"/>
                <w:color w:val="000000"/>
              </w:rPr>
              <w:t>电动门及门套每周清理一次，无污渍，无灰尘。</w:t>
            </w:r>
          </w:p>
        </w:tc>
        <w:tc>
          <w:tcPr>
            <w:tcW w:w="1050" w:type="dxa"/>
            <w:noWrap/>
            <w:vAlign w:val="center"/>
          </w:tcPr>
          <w:p w14:paraId="1C339764">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1F14AAD2">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19DFF344">
            <w:pPr>
              <w:pStyle w:val="6"/>
              <w:jc w:val="center"/>
              <w:rPr>
                <w:rFonts w:ascii="宋体" w:hAnsi="宋体"/>
                <w:color w:val="000000"/>
              </w:rPr>
            </w:pPr>
          </w:p>
        </w:tc>
      </w:tr>
      <w:tr w14:paraId="113FE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5051E716">
            <w:pPr>
              <w:pStyle w:val="6"/>
              <w:jc w:val="center"/>
              <w:rPr>
                <w:rFonts w:ascii="宋体" w:hAnsi="宋体"/>
                <w:color w:val="000000"/>
              </w:rPr>
            </w:pPr>
          </w:p>
        </w:tc>
        <w:tc>
          <w:tcPr>
            <w:tcW w:w="4086" w:type="dxa"/>
            <w:noWrap/>
            <w:vAlign w:val="center"/>
          </w:tcPr>
          <w:p w14:paraId="4C54EE42">
            <w:pPr>
              <w:pStyle w:val="6"/>
              <w:ind w:left="0" w:leftChars="0" w:firstLine="0" w:firstLineChars="0"/>
              <w:jc w:val="center"/>
              <w:rPr>
                <w:rFonts w:ascii="宋体" w:hAnsi="宋体"/>
                <w:color w:val="000000"/>
              </w:rPr>
            </w:pPr>
            <w:r>
              <w:rPr>
                <w:rFonts w:ascii="宋体" w:hAnsi="宋体"/>
                <w:color w:val="000000"/>
              </w:rPr>
              <w:t>6.</w:t>
            </w:r>
            <w:r>
              <w:rPr>
                <w:rFonts w:hint="eastAsia" w:ascii="宋体" w:hAnsi="宋体"/>
                <w:color w:val="000000"/>
              </w:rPr>
              <w:t>不锈钢信报箱每天上午用清洁剂清抹一次。并随时保洁，无污渍，锈印等其他印记。</w:t>
            </w:r>
          </w:p>
        </w:tc>
        <w:tc>
          <w:tcPr>
            <w:tcW w:w="1050" w:type="dxa"/>
            <w:noWrap/>
            <w:vAlign w:val="center"/>
          </w:tcPr>
          <w:p w14:paraId="7F005D82">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4C6907AC">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24335EF1">
            <w:pPr>
              <w:pStyle w:val="6"/>
              <w:jc w:val="center"/>
              <w:rPr>
                <w:rFonts w:ascii="宋体" w:hAnsi="宋体"/>
                <w:color w:val="000000"/>
              </w:rPr>
            </w:pPr>
          </w:p>
        </w:tc>
      </w:tr>
      <w:tr w14:paraId="1F516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6E430C1D">
            <w:pPr>
              <w:pStyle w:val="6"/>
              <w:jc w:val="center"/>
              <w:rPr>
                <w:rFonts w:ascii="宋体" w:hAnsi="宋体"/>
                <w:color w:val="000000"/>
              </w:rPr>
            </w:pPr>
          </w:p>
        </w:tc>
        <w:tc>
          <w:tcPr>
            <w:tcW w:w="4086" w:type="dxa"/>
            <w:noWrap/>
            <w:vAlign w:val="center"/>
          </w:tcPr>
          <w:p w14:paraId="648B7864">
            <w:pPr>
              <w:pStyle w:val="6"/>
              <w:ind w:left="0" w:leftChars="0" w:firstLine="0" w:firstLineChars="0"/>
              <w:jc w:val="center"/>
              <w:rPr>
                <w:rFonts w:ascii="宋体" w:hAnsi="宋体"/>
                <w:color w:val="000000"/>
              </w:rPr>
            </w:pPr>
            <w:r>
              <w:rPr>
                <w:rFonts w:ascii="宋体" w:hAnsi="宋体"/>
                <w:color w:val="000000"/>
              </w:rPr>
              <w:t>7.</w:t>
            </w:r>
            <w:r>
              <w:rPr>
                <w:rFonts w:hint="eastAsia" w:ascii="宋体" w:hAnsi="宋体"/>
                <w:color w:val="000000"/>
              </w:rPr>
              <w:t>消防标识及设备每天需清洁一次，要求随时做到保洁，无灰尘等其他印记。</w:t>
            </w:r>
          </w:p>
        </w:tc>
        <w:tc>
          <w:tcPr>
            <w:tcW w:w="1050" w:type="dxa"/>
            <w:noWrap/>
            <w:vAlign w:val="center"/>
          </w:tcPr>
          <w:p w14:paraId="26FA7324">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4666A8FC">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59FC8A3F">
            <w:pPr>
              <w:pStyle w:val="6"/>
              <w:jc w:val="center"/>
              <w:rPr>
                <w:rFonts w:ascii="宋体" w:hAnsi="宋体"/>
                <w:color w:val="000000"/>
              </w:rPr>
            </w:pPr>
          </w:p>
        </w:tc>
      </w:tr>
      <w:tr w14:paraId="438C0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6DAD02ED">
            <w:pPr>
              <w:pStyle w:val="6"/>
              <w:jc w:val="center"/>
              <w:rPr>
                <w:rFonts w:ascii="宋体" w:hAnsi="宋体"/>
                <w:color w:val="000000"/>
              </w:rPr>
            </w:pPr>
          </w:p>
        </w:tc>
        <w:tc>
          <w:tcPr>
            <w:tcW w:w="4086" w:type="dxa"/>
            <w:noWrap/>
            <w:vAlign w:val="center"/>
          </w:tcPr>
          <w:p w14:paraId="5905BD3F">
            <w:pPr>
              <w:pStyle w:val="6"/>
              <w:ind w:left="0" w:leftChars="0" w:firstLine="0" w:firstLineChars="0"/>
              <w:jc w:val="center"/>
              <w:rPr>
                <w:rFonts w:ascii="宋体" w:hAnsi="宋体"/>
                <w:color w:val="000000"/>
              </w:rPr>
            </w:pPr>
            <w:r>
              <w:rPr>
                <w:rFonts w:ascii="宋体" w:hAnsi="宋体"/>
                <w:color w:val="000000"/>
              </w:rPr>
              <w:t>8.</w:t>
            </w:r>
            <w:r>
              <w:rPr>
                <w:rFonts w:hint="eastAsia" w:ascii="宋体" w:hAnsi="宋体"/>
                <w:color w:val="000000"/>
              </w:rPr>
              <w:t>烟灰缸、垃圾桶每天清理</w:t>
            </w:r>
            <w:r>
              <w:rPr>
                <w:rFonts w:ascii="宋体" w:hAnsi="宋体"/>
                <w:color w:val="000000"/>
              </w:rPr>
              <w:t>2</w:t>
            </w:r>
            <w:r>
              <w:rPr>
                <w:rFonts w:hint="eastAsia" w:ascii="宋体" w:hAnsi="宋体"/>
                <w:color w:val="000000"/>
              </w:rPr>
              <w:t>次，烟灰缸干净整洁，桶身无污渍，无异味。</w:t>
            </w:r>
          </w:p>
        </w:tc>
        <w:tc>
          <w:tcPr>
            <w:tcW w:w="1050" w:type="dxa"/>
            <w:noWrap/>
            <w:vAlign w:val="center"/>
          </w:tcPr>
          <w:p w14:paraId="1DC973F3">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17FC713F">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5FC34B86">
            <w:pPr>
              <w:pStyle w:val="6"/>
              <w:jc w:val="center"/>
              <w:rPr>
                <w:rFonts w:ascii="宋体" w:hAnsi="宋体"/>
                <w:color w:val="000000"/>
              </w:rPr>
            </w:pPr>
          </w:p>
        </w:tc>
      </w:tr>
      <w:tr w14:paraId="39BA9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59CBB96F">
            <w:pPr>
              <w:pStyle w:val="6"/>
              <w:jc w:val="center"/>
              <w:rPr>
                <w:rFonts w:ascii="宋体" w:hAnsi="宋体"/>
                <w:color w:val="000000"/>
              </w:rPr>
            </w:pPr>
          </w:p>
        </w:tc>
        <w:tc>
          <w:tcPr>
            <w:tcW w:w="4086" w:type="dxa"/>
            <w:noWrap/>
            <w:vAlign w:val="center"/>
          </w:tcPr>
          <w:p w14:paraId="7F6EDE0A">
            <w:pPr>
              <w:pStyle w:val="6"/>
              <w:ind w:left="0" w:leftChars="0" w:firstLine="0" w:firstLineChars="0"/>
              <w:jc w:val="center"/>
              <w:rPr>
                <w:rFonts w:ascii="宋体" w:hAnsi="宋体"/>
                <w:color w:val="000000"/>
              </w:rPr>
            </w:pPr>
            <w:r>
              <w:rPr>
                <w:rFonts w:ascii="宋体" w:hAnsi="宋体"/>
                <w:color w:val="000000"/>
              </w:rPr>
              <w:t>9.</w:t>
            </w:r>
            <w:r>
              <w:rPr>
                <w:rFonts w:hint="eastAsia" w:ascii="宋体" w:hAnsi="宋体"/>
                <w:color w:val="000000"/>
              </w:rPr>
              <w:t>室内植物、花盆每天擦拭，无枯枝和枯叶，无蜘蛛网，无病虫害现象，花盆干净、整洁。</w:t>
            </w:r>
          </w:p>
        </w:tc>
        <w:tc>
          <w:tcPr>
            <w:tcW w:w="1050" w:type="dxa"/>
            <w:noWrap/>
            <w:vAlign w:val="center"/>
          </w:tcPr>
          <w:p w14:paraId="3A147D13">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4BEAF419">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1BCD9ACC">
            <w:pPr>
              <w:pStyle w:val="6"/>
              <w:jc w:val="center"/>
              <w:rPr>
                <w:rFonts w:ascii="宋体" w:hAnsi="宋体"/>
                <w:color w:val="000000"/>
              </w:rPr>
            </w:pPr>
          </w:p>
        </w:tc>
      </w:tr>
      <w:tr w14:paraId="34408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3B4593F6">
            <w:pPr>
              <w:pStyle w:val="6"/>
              <w:jc w:val="center"/>
              <w:rPr>
                <w:rFonts w:ascii="宋体" w:hAnsi="宋体"/>
                <w:color w:val="000000"/>
              </w:rPr>
            </w:pPr>
          </w:p>
        </w:tc>
        <w:tc>
          <w:tcPr>
            <w:tcW w:w="4086" w:type="dxa"/>
            <w:noWrap/>
            <w:vAlign w:val="center"/>
          </w:tcPr>
          <w:p w14:paraId="34630407">
            <w:pPr>
              <w:pStyle w:val="6"/>
              <w:ind w:left="0" w:leftChars="0" w:firstLine="0" w:firstLineChars="0"/>
              <w:jc w:val="center"/>
              <w:rPr>
                <w:rFonts w:ascii="宋体" w:hAnsi="宋体"/>
                <w:color w:val="000000"/>
              </w:rPr>
            </w:pPr>
            <w:r>
              <w:rPr>
                <w:rFonts w:ascii="宋体" w:hAnsi="宋体"/>
                <w:color w:val="000000"/>
              </w:rPr>
              <w:t>10.</w:t>
            </w:r>
            <w:r>
              <w:rPr>
                <w:rFonts w:hint="eastAsia" w:ascii="宋体" w:hAnsi="宋体"/>
                <w:color w:val="000000"/>
              </w:rPr>
              <w:t>室内植物、花盆摆设、造型要求美观。</w:t>
            </w:r>
          </w:p>
        </w:tc>
        <w:tc>
          <w:tcPr>
            <w:tcW w:w="1050" w:type="dxa"/>
            <w:noWrap/>
            <w:vAlign w:val="center"/>
          </w:tcPr>
          <w:p w14:paraId="14B1B875">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5F174687">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06F1AE93">
            <w:pPr>
              <w:pStyle w:val="6"/>
              <w:jc w:val="center"/>
              <w:rPr>
                <w:rFonts w:ascii="宋体" w:hAnsi="宋体"/>
                <w:color w:val="000000"/>
              </w:rPr>
            </w:pPr>
          </w:p>
        </w:tc>
      </w:tr>
      <w:tr w14:paraId="7CD9A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5963B455">
            <w:pPr>
              <w:pStyle w:val="6"/>
              <w:jc w:val="center"/>
              <w:rPr>
                <w:rFonts w:ascii="宋体" w:hAnsi="宋体"/>
                <w:color w:val="000000"/>
              </w:rPr>
            </w:pPr>
          </w:p>
        </w:tc>
        <w:tc>
          <w:tcPr>
            <w:tcW w:w="4086" w:type="dxa"/>
            <w:noWrap/>
            <w:vAlign w:val="center"/>
          </w:tcPr>
          <w:p w14:paraId="32DCF433">
            <w:pPr>
              <w:pStyle w:val="6"/>
              <w:ind w:left="0" w:leftChars="0" w:firstLine="0" w:firstLineChars="0"/>
              <w:jc w:val="center"/>
              <w:rPr>
                <w:rFonts w:ascii="宋体" w:hAnsi="宋体"/>
                <w:color w:val="000000"/>
              </w:rPr>
            </w:pPr>
            <w:r>
              <w:rPr>
                <w:rFonts w:ascii="宋体" w:hAnsi="宋体"/>
                <w:color w:val="000000"/>
              </w:rPr>
              <w:t>11.</w:t>
            </w:r>
            <w:r>
              <w:rPr>
                <w:rFonts w:hint="eastAsia" w:ascii="宋体" w:hAnsi="宋体"/>
                <w:color w:val="000000"/>
              </w:rPr>
              <w:t>走廊墙面</w:t>
            </w:r>
            <w:r>
              <w:rPr>
                <w:rFonts w:ascii="宋体" w:hAnsi="宋体"/>
                <w:color w:val="000000"/>
              </w:rPr>
              <w:t>3</w:t>
            </w:r>
            <w:r>
              <w:rPr>
                <w:rFonts w:hint="eastAsia" w:ascii="宋体" w:hAnsi="宋体"/>
                <w:color w:val="000000"/>
              </w:rPr>
              <w:t>米以下，每月擦拭一次，无蜘蛛网，无污渍和灰尘。</w:t>
            </w:r>
          </w:p>
        </w:tc>
        <w:tc>
          <w:tcPr>
            <w:tcW w:w="1050" w:type="dxa"/>
            <w:noWrap/>
            <w:vAlign w:val="center"/>
          </w:tcPr>
          <w:p w14:paraId="76C0AF85">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23426C2B">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5D119220">
            <w:pPr>
              <w:pStyle w:val="6"/>
              <w:jc w:val="center"/>
              <w:rPr>
                <w:rFonts w:ascii="宋体" w:hAnsi="宋体"/>
                <w:color w:val="000000"/>
              </w:rPr>
            </w:pPr>
          </w:p>
        </w:tc>
      </w:tr>
      <w:tr w14:paraId="0070C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0A7BA57A">
            <w:pPr>
              <w:pStyle w:val="6"/>
              <w:jc w:val="center"/>
              <w:rPr>
                <w:rFonts w:ascii="宋体" w:hAnsi="宋体"/>
                <w:color w:val="000000"/>
              </w:rPr>
            </w:pPr>
          </w:p>
        </w:tc>
        <w:tc>
          <w:tcPr>
            <w:tcW w:w="4086" w:type="dxa"/>
            <w:noWrap/>
            <w:vAlign w:val="center"/>
          </w:tcPr>
          <w:p w14:paraId="2659489D">
            <w:pPr>
              <w:pStyle w:val="6"/>
              <w:ind w:left="0" w:leftChars="0" w:firstLine="0" w:firstLineChars="0"/>
              <w:jc w:val="center"/>
              <w:rPr>
                <w:rFonts w:ascii="宋体" w:hAnsi="宋体"/>
                <w:color w:val="000000"/>
              </w:rPr>
            </w:pPr>
            <w:r>
              <w:rPr>
                <w:rFonts w:ascii="宋体" w:hAnsi="宋体"/>
                <w:color w:val="000000"/>
              </w:rPr>
              <w:t>12.</w:t>
            </w:r>
            <w:r>
              <w:rPr>
                <w:rFonts w:hint="eastAsia" w:ascii="宋体" w:hAnsi="宋体"/>
                <w:color w:val="000000"/>
              </w:rPr>
              <w:t>各楼层玻璃、窗户窗台每天擦拭一次，保持玻璃光亮，无污渍、无灰尘。</w:t>
            </w:r>
          </w:p>
        </w:tc>
        <w:tc>
          <w:tcPr>
            <w:tcW w:w="1050" w:type="dxa"/>
            <w:noWrap/>
            <w:vAlign w:val="center"/>
          </w:tcPr>
          <w:p w14:paraId="1E2DCB0F">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5F906D0C">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3F8A52B1">
            <w:pPr>
              <w:pStyle w:val="6"/>
              <w:jc w:val="center"/>
              <w:rPr>
                <w:rFonts w:ascii="宋体" w:hAnsi="宋体"/>
                <w:color w:val="000000"/>
              </w:rPr>
            </w:pPr>
          </w:p>
        </w:tc>
      </w:tr>
      <w:tr w14:paraId="57A4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4E083B25">
            <w:pPr>
              <w:pStyle w:val="6"/>
              <w:jc w:val="center"/>
              <w:rPr>
                <w:rFonts w:ascii="宋体" w:hAnsi="宋体"/>
                <w:color w:val="000000"/>
              </w:rPr>
            </w:pPr>
          </w:p>
        </w:tc>
        <w:tc>
          <w:tcPr>
            <w:tcW w:w="4086" w:type="dxa"/>
            <w:noWrap/>
            <w:vAlign w:val="center"/>
          </w:tcPr>
          <w:p w14:paraId="740D1D32">
            <w:pPr>
              <w:pStyle w:val="6"/>
              <w:ind w:left="0" w:leftChars="0" w:firstLine="0" w:firstLineChars="0"/>
              <w:jc w:val="center"/>
              <w:rPr>
                <w:rFonts w:ascii="宋体" w:hAnsi="宋体"/>
                <w:color w:val="000000"/>
              </w:rPr>
            </w:pPr>
            <w:r>
              <w:rPr>
                <w:rFonts w:ascii="宋体" w:hAnsi="宋体"/>
                <w:color w:val="000000"/>
              </w:rPr>
              <w:t>13.</w:t>
            </w:r>
            <w:r>
              <w:rPr>
                <w:rFonts w:hint="eastAsia" w:ascii="宋体" w:hAnsi="宋体"/>
                <w:color w:val="000000"/>
              </w:rPr>
              <w:t>天花板、灯饰，管道每天擦拭一次，目视无蜘蛛网、污渍。</w:t>
            </w:r>
          </w:p>
        </w:tc>
        <w:tc>
          <w:tcPr>
            <w:tcW w:w="1050" w:type="dxa"/>
            <w:noWrap/>
            <w:vAlign w:val="center"/>
          </w:tcPr>
          <w:p w14:paraId="0ED711E1">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63D1F6AA">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165C045F">
            <w:pPr>
              <w:pStyle w:val="6"/>
              <w:jc w:val="center"/>
              <w:rPr>
                <w:rFonts w:ascii="宋体" w:hAnsi="宋体"/>
                <w:color w:val="000000"/>
              </w:rPr>
            </w:pPr>
          </w:p>
        </w:tc>
      </w:tr>
      <w:tr w14:paraId="3143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3E651CCB">
            <w:pPr>
              <w:pStyle w:val="6"/>
              <w:jc w:val="center"/>
              <w:rPr>
                <w:rFonts w:ascii="宋体" w:hAnsi="宋体"/>
                <w:color w:val="000000"/>
              </w:rPr>
            </w:pPr>
          </w:p>
        </w:tc>
        <w:tc>
          <w:tcPr>
            <w:tcW w:w="4086" w:type="dxa"/>
            <w:noWrap/>
            <w:vAlign w:val="center"/>
          </w:tcPr>
          <w:p w14:paraId="3A632940">
            <w:pPr>
              <w:pStyle w:val="6"/>
              <w:ind w:left="0" w:leftChars="0" w:firstLine="0" w:firstLineChars="0"/>
              <w:jc w:val="center"/>
              <w:rPr>
                <w:rFonts w:ascii="宋体" w:hAnsi="宋体"/>
                <w:color w:val="000000"/>
              </w:rPr>
            </w:pPr>
            <w:r>
              <w:rPr>
                <w:rFonts w:ascii="宋体" w:hAnsi="宋体"/>
                <w:color w:val="000000"/>
              </w:rPr>
              <w:t>14.</w:t>
            </w:r>
            <w:r>
              <w:rPr>
                <w:rFonts w:hint="eastAsia" w:ascii="宋体" w:hAnsi="宋体"/>
                <w:color w:val="000000"/>
              </w:rPr>
              <w:t>卫生间挡板每天清抹一次，水池随时进行清洁，无污渍。</w:t>
            </w:r>
          </w:p>
        </w:tc>
        <w:tc>
          <w:tcPr>
            <w:tcW w:w="1050" w:type="dxa"/>
            <w:noWrap/>
            <w:vAlign w:val="center"/>
          </w:tcPr>
          <w:p w14:paraId="4C3B12C2">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37F250B5">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21818892">
            <w:pPr>
              <w:pStyle w:val="6"/>
              <w:jc w:val="center"/>
              <w:rPr>
                <w:rFonts w:ascii="宋体" w:hAnsi="宋体"/>
                <w:color w:val="000000"/>
              </w:rPr>
            </w:pPr>
          </w:p>
        </w:tc>
      </w:tr>
      <w:tr w14:paraId="2681E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712C9A64">
            <w:pPr>
              <w:pStyle w:val="6"/>
              <w:jc w:val="center"/>
              <w:rPr>
                <w:rFonts w:ascii="宋体" w:hAnsi="宋体"/>
                <w:color w:val="000000"/>
              </w:rPr>
            </w:pPr>
          </w:p>
        </w:tc>
        <w:tc>
          <w:tcPr>
            <w:tcW w:w="4086" w:type="dxa"/>
            <w:noWrap/>
            <w:vAlign w:val="center"/>
          </w:tcPr>
          <w:p w14:paraId="2DD8D94C">
            <w:pPr>
              <w:pStyle w:val="6"/>
              <w:ind w:left="0" w:leftChars="0" w:firstLine="0" w:firstLineChars="0"/>
              <w:jc w:val="center"/>
              <w:rPr>
                <w:rFonts w:ascii="宋体" w:hAnsi="宋体"/>
                <w:color w:val="000000"/>
              </w:rPr>
            </w:pPr>
            <w:r>
              <w:rPr>
                <w:rFonts w:ascii="宋体" w:hAnsi="宋体"/>
                <w:color w:val="000000"/>
              </w:rPr>
              <w:t>15.</w:t>
            </w:r>
            <w:r>
              <w:rPr>
                <w:rFonts w:hint="eastAsia" w:ascii="宋体" w:hAnsi="宋体"/>
                <w:color w:val="000000"/>
              </w:rPr>
              <w:t>垃圾桶，茶叶框每天清理两次，上、下午各一次，做到垃圾桶外表无污渍，无异味，垃圾无外溢。</w:t>
            </w:r>
          </w:p>
        </w:tc>
        <w:tc>
          <w:tcPr>
            <w:tcW w:w="1050" w:type="dxa"/>
            <w:noWrap/>
            <w:vAlign w:val="center"/>
          </w:tcPr>
          <w:p w14:paraId="76E628AD">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21CAB096">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2BEBDB56">
            <w:pPr>
              <w:pStyle w:val="6"/>
              <w:jc w:val="center"/>
              <w:rPr>
                <w:rFonts w:ascii="宋体" w:hAnsi="宋体"/>
                <w:color w:val="000000"/>
              </w:rPr>
            </w:pPr>
          </w:p>
        </w:tc>
      </w:tr>
      <w:tr w14:paraId="39D7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5210545A">
            <w:pPr>
              <w:pStyle w:val="6"/>
              <w:jc w:val="center"/>
              <w:rPr>
                <w:rFonts w:ascii="宋体" w:hAnsi="宋体"/>
                <w:color w:val="000000"/>
              </w:rPr>
            </w:pPr>
          </w:p>
        </w:tc>
        <w:tc>
          <w:tcPr>
            <w:tcW w:w="4086" w:type="dxa"/>
            <w:noWrap/>
            <w:vAlign w:val="center"/>
          </w:tcPr>
          <w:p w14:paraId="07EED14D">
            <w:pPr>
              <w:pStyle w:val="6"/>
              <w:ind w:left="0" w:leftChars="0" w:firstLine="0" w:firstLineChars="0"/>
              <w:jc w:val="both"/>
              <w:rPr>
                <w:rFonts w:ascii="宋体" w:hAnsi="宋体"/>
                <w:color w:val="000000"/>
              </w:rPr>
            </w:pPr>
            <w:r>
              <w:rPr>
                <w:rFonts w:ascii="宋体" w:hAnsi="宋体"/>
                <w:color w:val="000000"/>
              </w:rPr>
              <w:t>16.</w:t>
            </w:r>
            <w:r>
              <w:rPr>
                <w:rFonts w:hint="eastAsia" w:ascii="宋体" w:hAnsi="宋体"/>
                <w:color w:val="000000"/>
              </w:rPr>
              <w:t>镜面每天早上刮洗一次，无水印。</w:t>
            </w:r>
          </w:p>
        </w:tc>
        <w:tc>
          <w:tcPr>
            <w:tcW w:w="1050" w:type="dxa"/>
            <w:noWrap/>
            <w:vAlign w:val="center"/>
          </w:tcPr>
          <w:p w14:paraId="09F24BBA">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4B5835C6">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1BBC54DF">
            <w:pPr>
              <w:pStyle w:val="6"/>
              <w:jc w:val="center"/>
              <w:rPr>
                <w:rFonts w:ascii="宋体" w:hAnsi="宋体"/>
                <w:color w:val="000000"/>
              </w:rPr>
            </w:pPr>
          </w:p>
        </w:tc>
      </w:tr>
      <w:tr w14:paraId="76C9A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668C7F1E">
            <w:pPr>
              <w:pStyle w:val="6"/>
              <w:jc w:val="center"/>
              <w:rPr>
                <w:rFonts w:ascii="宋体" w:hAnsi="宋体"/>
                <w:color w:val="000000"/>
              </w:rPr>
            </w:pPr>
          </w:p>
        </w:tc>
        <w:tc>
          <w:tcPr>
            <w:tcW w:w="4086" w:type="dxa"/>
            <w:noWrap/>
            <w:vAlign w:val="center"/>
          </w:tcPr>
          <w:p w14:paraId="2EA906C7">
            <w:pPr>
              <w:pStyle w:val="6"/>
              <w:ind w:left="0" w:leftChars="0" w:firstLine="0" w:firstLineChars="0"/>
              <w:jc w:val="both"/>
              <w:rPr>
                <w:rFonts w:ascii="宋体" w:hAnsi="宋体"/>
                <w:color w:val="000000"/>
              </w:rPr>
            </w:pPr>
            <w:r>
              <w:rPr>
                <w:rFonts w:ascii="宋体" w:hAnsi="宋体"/>
                <w:color w:val="000000"/>
              </w:rPr>
              <w:t>17.</w:t>
            </w:r>
            <w:r>
              <w:rPr>
                <w:rFonts w:hint="eastAsia" w:ascii="宋体" w:hAnsi="宋体"/>
                <w:color w:val="000000"/>
              </w:rPr>
              <w:t>园林树木无病虫害现象，无枯枝未清理。</w:t>
            </w:r>
          </w:p>
        </w:tc>
        <w:tc>
          <w:tcPr>
            <w:tcW w:w="1050" w:type="dxa"/>
            <w:noWrap/>
            <w:vAlign w:val="center"/>
          </w:tcPr>
          <w:p w14:paraId="410723B2">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38FB13D9">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5ADC8C5F">
            <w:pPr>
              <w:pStyle w:val="6"/>
              <w:jc w:val="center"/>
              <w:rPr>
                <w:rFonts w:ascii="宋体" w:hAnsi="宋体"/>
                <w:color w:val="000000"/>
              </w:rPr>
            </w:pPr>
          </w:p>
        </w:tc>
      </w:tr>
      <w:tr w14:paraId="37698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1B835C74">
            <w:pPr>
              <w:pStyle w:val="6"/>
              <w:jc w:val="center"/>
              <w:rPr>
                <w:rFonts w:ascii="宋体" w:hAnsi="宋体"/>
                <w:color w:val="000000"/>
              </w:rPr>
            </w:pPr>
          </w:p>
        </w:tc>
        <w:tc>
          <w:tcPr>
            <w:tcW w:w="4086" w:type="dxa"/>
            <w:noWrap/>
            <w:vAlign w:val="center"/>
          </w:tcPr>
          <w:p w14:paraId="7263B930">
            <w:pPr>
              <w:pStyle w:val="6"/>
              <w:ind w:left="0" w:leftChars="0" w:firstLine="0" w:firstLineChars="0"/>
              <w:jc w:val="center"/>
              <w:rPr>
                <w:rFonts w:ascii="宋体" w:hAnsi="宋体"/>
                <w:color w:val="000000"/>
              </w:rPr>
            </w:pPr>
            <w:r>
              <w:rPr>
                <w:rFonts w:ascii="宋体" w:hAnsi="宋体"/>
                <w:color w:val="000000"/>
              </w:rPr>
              <w:t>18.</w:t>
            </w:r>
            <w:r>
              <w:rPr>
                <w:rFonts w:hint="eastAsia" w:ascii="宋体" w:hAnsi="宋体"/>
                <w:color w:val="000000"/>
              </w:rPr>
              <w:t>草坪每年不低于</w:t>
            </w:r>
            <w:r>
              <w:rPr>
                <w:rFonts w:ascii="宋体" w:hAnsi="宋体"/>
                <w:color w:val="000000"/>
              </w:rPr>
              <w:t>8</w:t>
            </w:r>
            <w:r>
              <w:rPr>
                <w:rFonts w:hint="eastAsia" w:ascii="宋体" w:hAnsi="宋体"/>
                <w:color w:val="000000"/>
              </w:rPr>
              <w:t>次修剪，草坪长度不能超过</w:t>
            </w:r>
            <w:r>
              <w:rPr>
                <w:rFonts w:ascii="宋体" w:hAnsi="宋体"/>
                <w:color w:val="000000"/>
              </w:rPr>
              <w:t>12</w:t>
            </w:r>
            <w:r>
              <w:rPr>
                <w:rFonts w:hint="eastAsia" w:ascii="宋体" w:hAnsi="宋体"/>
                <w:color w:val="000000"/>
              </w:rPr>
              <w:t>厘米，中间无杂草。灌木植物定时修剪造型，枝叶修剪整齐，无杂乱。</w:t>
            </w:r>
          </w:p>
        </w:tc>
        <w:tc>
          <w:tcPr>
            <w:tcW w:w="1050" w:type="dxa"/>
            <w:noWrap/>
            <w:vAlign w:val="center"/>
          </w:tcPr>
          <w:p w14:paraId="5994A40F">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7D8219BA">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0427DD18">
            <w:pPr>
              <w:pStyle w:val="6"/>
              <w:jc w:val="center"/>
              <w:rPr>
                <w:rFonts w:ascii="宋体" w:hAnsi="宋体"/>
                <w:color w:val="000000"/>
              </w:rPr>
            </w:pPr>
          </w:p>
        </w:tc>
      </w:tr>
      <w:tr w14:paraId="40D3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0E0C2B45">
            <w:pPr>
              <w:pStyle w:val="6"/>
              <w:jc w:val="center"/>
              <w:rPr>
                <w:rFonts w:ascii="宋体" w:hAnsi="宋体"/>
                <w:color w:val="000000"/>
              </w:rPr>
            </w:pPr>
          </w:p>
        </w:tc>
        <w:tc>
          <w:tcPr>
            <w:tcW w:w="4086" w:type="dxa"/>
            <w:noWrap/>
            <w:vAlign w:val="center"/>
          </w:tcPr>
          <w:p w14:paraId="5B4C0BAF">
            <w:pPr>
              <w:pStyle w:val="6"/>
              <w:ind w:left="0" w:leftChars="0" w:firstLine="0" w:firstLineChars="0"/>
              <w:jc w:val="center"/>
              <w:rPr>
                <w:rFonts w:ascii="宋体" w:hAnsi="宋体"/>
                <w:color w:val="000000"/>
              </w:rPr>
            </w:pPr>
            <w:r>
              <w:rPr>
                <w:rFonts w:ascii="宋体" w:hAnsi="宋体"/>
                <w:color w:val="000000"/>
              </w:rPr>
              <w:t>19.</w:t>
            </w:r>
            <w:r>
              <w:rPr>
                <w:rFonts w:hint="eastAsia" w:ascii="宋体" w:hAnsi="宋体"/>
                <w:color w:val="000000"/>
              </w:rPr>
              <w:t>台风季节需加强树木的防护，台风过后能组织人员及时清理因树木引起的道路中断情况，并及时组织人员抢修。</w:t>
            </w:r>
          </w:p>
        </w:tc>
        <w:tc>
          <w:tcPr>
            <w:tcW w:w="1050" w:type="dxa"/>
            <w:noWrap/>
            <w:vAlign w:val="center"/>
          </w:tcPr>
          <w:p w14:paraId="40DFA61E">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0340F4C0">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73FC75F2">
            <w:pPr>
              <w:pStyle w:val="6"/>
              <w:jc w:val="center"/>
              <w:rPr>
                <w:rFonts w:ascii="宋体" w:hAnsi="宋体"/>
                <w:color w:val="000000"/>
              </w:rPr>
            </w:pPr>
          </w:p>
        </w:tc>
      </w:tr>
      <w:tr w14:paraId="6E77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41D0B4DE">
            <w:pPr>
              <w:pStyle w:val="6"/>
              <w:jc w:val="center"/>
              <w:rPr>
                <w:rFonts w:ascii="宋体" w:hAnsi="宋体"/>
                <w:color w:val="000000"/>
              </w:rPr>
            </w:pPr>
          </w:p>
        </w:tc>
        <w:tc>
          <w:tcPr>
            <w:tcW w:w="4086" w:type="dxa"/>
            <w:noWrap/>
            <w:vAlign w:val="center"/>
          </w:tcPr>
          <w:p w14:paraId="48CDE589">
            <w:pPr>
              <w:pStyle w:val="6"/>
              <w:ind w:left="0" w:leftChars="0" w:firstLine="0" w:firstLineChars="0"/>
              <w:jc w:val="both"/>
              <w:rPr>
                <w:rFonts w:ascii="宋体" w:hAnsi="宋体"/>
                <w:color w:val="000000"/>
              </w:rPr>
            </w:pPr>
            <w:r>
              <w:rPr>
                <w:rFonts w:ascii="宋体" w:hAnsi="宋体"/>
                <w:color w:val="000000"/>
              </w:rPr>
              <w:t>20.</w:t>
            </w:r>
            <w:r>
              <w:rPr>
                <w:rFonts w:hint="eastAsia" w:ascii="宋体" w:hAnsi="宋体"/>
                <w:color w:val="000000"/>
              </w:rPr>
              <w:t>根据植物生长要求，定时施化肥。</w:t>
            </w:r>
          </w:p>
        </w:tc>
        <w:tc>
          <w:tcPr>
            <w:tcW w:w="1050" w:type="dxa"/>
            <w:noWrap/>
            <w:vAlign w:val="center"/>
          </w:tcPr>
          <w:p w14:paraId="0ABE65D2">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34A60EE9">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384711A9">
            <w:pPr>
              <w:pStyle w:val="6"/>
              <w:jc w:val="center"/>
              <w:rPr>
                <w:rFonts w:ascii="宋体" w:hAnsi="宋体"/>
                <w:color w:val="000000"/>
              </w:rPr>
            </w:pPr>
          </w:p>
        </w:tc>
      </w:tr>
      <w:tr w14:paraId="7E524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0F010467">
            <w:pPr>
              <w:pStyle w:val="6"/>
              <w:jc w:val="center"/>
              <w:rPr>
                <w:rFonts w:ascii="宋体" w:hAnsi="宋体"/>
                <w:color w:val="000000"/>
              </w:rPr>
            </w:pPr>
          </w:p>
        </w:tc>
        <w:tc>
          <w:tcPr>
            <w:tcW w:w="4086" w:type="dxa"/>
            <w:noWrap/>
            <w:vAlign w:val="center"/>
          </w:tcPr>
          <w:p w14:paraId="5C9719FA">
            <w:pPr>
              <w:pStyle w:val="6"/>
              <w:ind w:left="0" w:leftChars="0" w:firstLine="0" w:firstLineChars="0"/>
              <w:jc w:val="center"/>
              <w:rPr>
                <w:rFonts w:ascii="宋体" w:hAnsi="宋体"/>
                <w:color w:val="000000"/>
              </w:rPr>
            </w:pPr>
            <w:r>
              <w:rPr>
                <w:rFonts w:ascii="宋体" w:hAnsi="宋体"/>
                <w:color w:val="000000"/>
              </w:rPr>
              <w:t>21.</w:t>
            </w:r>
            <w:r>
              <w:rPr>
                <w:rFonts w:hint="eastAsia" w:ascii="宋体" w:hAnsi="宋体"/>
                <w:color w:val="000000"/>
              </w:rPr>
              <w:t>室内、室外植物定时浇水，保持湿润，不要过干或过湿。</w:t>
            </w:r>
          </w:p>
        </w:tc>
        <w:tc>
          <w:tcPr>
            <w:tcW w:w="1050" w:type="dxa"/>
            <w:noWrap/>
            <w:vAlign w:val="center"/>
          </w:tcPr>
          <w:p w14:paraId="49CDDACD">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73DFBD31">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4E87C83D">
            <w:pPr>
              <w:pStyle w:val="6"/>
              <w:jc w:val="center"/>
              <w:rPr>
                <w:rFonts w:ascii="宋体" w:hAnsi="宋体"/>
                <w:color w:val="000000"/>
              </w:rPr>
            </w:pPr>
          </w:p>
        </w:tc>
      </w:tr>
      <w:tr w14:paraId="60640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79DA6A48">
            <w:pPr>
              <w:pStyle w:val="6"/>
              <w:jc w:val="center"/>
              <w:rPr>
                <w:rFonts w:ascii="宋体" w:hAnsi="宋体"/>
                <w:color w:val="000000"/>
              </w:rPr>
            </w:pPr>
          </w:p>
        </w:tc>
        <w:tc>
          <w:tcPr>
            <w:tcW w:w="4086" w:type="dxa"/>
            <w:noWrap/>
            <w:vAlign w:val="center"/>
          </w:tcPr>
          <w:p w14:paraId="014CD99C">
            <w:pPr>
              <w:pStyle w:val="6"/>
              <w:ind w:left="0" w:leftChars="0" w:firstLine="0" w:firstLineChars="0"/>
              <w:jc w:val="center"/>
              <w:rPr>
                <w:rFonts w:ascii="宋体" w:hAnsi="宋体"/>
                <w:color w:val="000000"/>
              </w:rPr>
            </w:pPr>
            <w:r>
              <w:rPr>
                <w:rFonts w:ascii="宋体" w:hAnsi="宋体"/>
                <w:color w:val="000000"/>
              </w:rPr>
              <w:t>22.</w:t>
            </w:r>
            <w:r>
              <w:rPr>
                <w:rFonts w:hint="eastAsia" w:ascii="宋体" w:hAnsi="宋体"/>
                <w:color w:val="000000"/>
              </w:rPr>
              <w:t>物业区域室外道路、停车场等公共区域无泥砂，无垃圾</w:t>
            </w:r>
            <w:r>
              <w:rPr>
                <w:rFonts w:hint="eastAsia" w:ascii="宋体" w:hAnsi="宋体"/>
                <w:color w:val="000000"/>
                <w:lang w:eastAsia="zh-CN"/>
              </w:rPr>
              <w:t>，</w:t>
            </w:r>
            <w:r>
              <w:rPr>
                <w:rFonts w:hint="eastAsia" w:ascii="宋体" w:hAnsi="宋体"/>
                <w:color w:val="000000"/>
              </w:rPr>
              <w:t>无积水和其他废弃物。</w:t>
            </w:r>
          </w:p>
        </w:tc>
        <w:tc>
          <w:tcPr>
            <w:tcW w:w="1050" w:type="dxa"/>
            <w:noWrap/>
            <w:vAlign w:val="center"/>
          </w:tcPr>
          <w:p w14:paraId="18137FB8">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731C111F">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394FF94F">
            <w:pPr>
              <w:pStyle w:val="6"/>
              <w:jc w:val="center"/>
              <w:rPr>
                <w:rFonts w:ascii="宋体" w:hAnsi="宋体"/>
                <w:color w:val="000000"/>
              </w:rPr>
            </w:pPr>
          </w:p>
        </w:tc>
      </w:tr>
      <w:tr w14:paraId="46B4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restart"/>
            <w:noWrap/>
            <w:vAlign w:val="center"/>
          </w:tcPr>
          <w:p w14:paraId="68BCD992">
            <w:pPr>
              <w:pStyle w:val="6"/>
              <w:ind w:left="0" w:leftChars="0" w:firstLine="0" w:firstLineChars="0"/>
              <w:jc w:val="center"/>
              <w:rPr>
                <w:rFonts w:ascii="宋体" w:hAnsi="宋体"/>
                <w:color w:val="000000"/>
              </w:rPr>
            </w:pPr>
            <w:r>
              <w:rPr>
                <w:rFonts w:hint="eastAsia" w:ascii="宋体" w:hAnsi="宋体"/>
                <w:color w:val="000000"/>
              </w:rPr>
              <w:t>保安管理考评</w:t>
            </w:r>
          </w:p>
          <w:p w14:paraId="60438638">
            <w:pPr>
              <w:pStyle w:val="6"/>
              <w:ind w:left="0" w:leftChars="0" w:firstLine="0" w:firstLineChars="0"/>
              <w:jc w:val="center"/>
              <w:rPr>
                <w:rFonts w:ascii="宋体" w:hAnsi="宋体"/>
                <w:color w:val="000000"/>
              </w:rPr>
            </w:pPr>
            <w:r>
              <w:rPr>
                <w:rFonts w:hint="eastAsia" w:ascii="宋体" w:hAnsi="宋体"/>
                <w:color w:val="000000"/>
              </w:rPr>
              <w:t>（</w:t>
            </w:r>
            <w:r>
              <w:rPr>
                <w:rFonts w:ascii="宋体" w:hAnsi="宋体"/>
                <w:color w:val="000000"/>
              </w:rPr>
              <w:t>16</w:t>
            </w:r>
            <w:r>
              <w:rPr>
                <w:rFonts w:hint="eastAsia" w:ascii="宋体" w:hAnsi="宋体"/>
                <w:color w:val="000000"/>
              </w:rPr>
              <w:t>分）</w:t>
            </w:r>
          </w:p>
          <w:p w14:paraId="7CAF9C48">
            <w:pPr>
              <w:pStyle w:val="6"/>
              <w:jc w:val="center"/>
              <w:rPr>
                <w:rFonts w:ascii="宋体" w:hAnsi="宋体"/>
                <w:color w:val="000000"/>
              </w:rPr>
            </w:pPr>
          </w:p>
          <w:p w14:paraId="438022AD">
            <w:pPr>
              <w:pStyle w:val="6"/>
              <w:jc w:val="center"/>
              <w:rPr>
                <w:rFonts w:ascii="宋体" w:hAnsi="宋体"/>
                <w:color w:val="000000"/>
              </w:rPr>
            </w:pPr>
          </w:p>
          <w:p w14:paraId="53C16D5F">
            <w:pPr>
              <w:pStyle w:val="6"/>
              <w:jc w:val="center"/>
              <w:rPr>
                <w:rFonts w:ascii="宋体" w:hAnsi="宋体"/>
                <w:color w:val="000000"/>
              </w:rPr>
            </w:pPr>
          </w:p>
          <w:p w14:paraId="52E3DAB8">
            <w:pPr>
              <w:pStyle w:val="6"/>
              <w:jc w:val="center"/>
              <w:rPr>
                <w:rFonts w:ascii="宋体" w:hAnsi="宋体"/>
                <w:color w:val="000000"/>
              </w:rPr>
            </w:pPr>
          </w:p>
        </w:tc>
        <w:tc>
          <w:tcPr>
            <w:tcW w:w="4086" w:type="dxa"/>
            <w:noWrap/>
            <w:vAlign w:val="center"/>
          </w:tcPr>
          <w:p w14:paraId="34EC3D55">
            <w:pPr>
              <w:pStyle w:val="6"/>
              <w:ind w:left="0" w:leftChars="0" w:firstLine="0" w:firstLineChars="0"/>
              <w:jc w:val="center"/>
              <w:rPr>
                <w:rFonts w:ascii="宋体" w:hAnsi="宋体"/>
                <w:color w:val="000000"/>
              </w:rPr>
            </w:pPr>
            <w:r>
              <w:rPr>
                <w:rFonts w:ascii="宋体" w:hAnsi="宋体"/>
                <w:color w:val="000000"/>
              </w:rPr>
              <w:t>1.</w:t>
            </w:r>
            <w:r>
              <w:rPr>
                <w:rFonts w:hint="eastAsia" w:ascii="宋体" w:hAnsi="宋体"/>
                <w:color w:val="000000"/>
              </w:rPr>
              <w:t>值班室保持清洁、卫生，实行</w:t>
            </w:r>
            <w:r>
              <w:rPr>
                <w:rFonts w:ascii="宋体" w:hAnsi="宋体"/>
                <w:color w:val="000000"/>
              </w:rPr>
              <w:t>24</w:t>
            </w:r>
            <w:r>
              <w:rPr>
                <w:rFonts w:hint="eastAsia" w:ascii="宋体" w:hAnsi="宋体"/>
                <w:color w:val="000000"/>
              </w:rPr>
              <w:t>小时值班制度，保安人员熟悉大楼的环境，着装整齐，文明执勤。</w:t>
            </w:r>
          </w:p>
        </w:tc>
        <w:tc>
          <w:tcPr>
            <w:tcW w:w="1050" w:type="dxa"/>
            <w:noWrap/>
            <w:vAlign w:val="center"/>
          </w:tcPr>
          <w:p w14:paraId="4DE8C169">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5AF97A3A">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058F398A">
            <w:pPr>
              <w:pStyle w:val="6"/>
              <w:jc w:val="center"/>
              <w:rPr>
                <w:rFonts w:ascii="宋体" w:hAnsi="宋体"/>
                <w:color w:val="000000"/>
              </w:rPr>
            </w:pPr>
          </w:p>
        </w:tc>
      </w:tr>
      <w:tr w14:paraId="3BBAB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4FAA95B0">
            <w:pPr>
              <w:pStyle w:val="6"/>
              <w:jc w:val="center"/>
              <w:rPr>
                <w:rFonts w:ascii="宋体" w:hAnsi="宋体"/>
                <w:color w:val="000000"/>
              </w:rPr>
            </w:pPr>
          </w:p>
        </w:tc>
        <w:tc>
          <w:tcPr>
            <w:tcW w:w="4086" w:type="dxa"/>
            <w:noWrap/>
            <w:vAlign w:val="center"/>
          </w:tcPr>
          <w:p w14:paraId="03DF8AA0">
            <w:pPr>
              <w:pStyle w:val="6"/>
              <w:ind w:left="0" w:leftChars="0" w:firstLine="0" w:firstLineChars="0"/>
              <w:jc w:val="center"/>
              <w:rPr>
                <w:rFonts w:ascii="宋体" w:hAnsi="宋体"/>
                <w:color w:val="000000"/>
              </w:rPr>
            </w:pPr>
            <w:r>
              <w:rPr>
                <w:rFonts w:ascii="宋体" w:hAnsi="宋体"/>
                <w:color w:val="000000"/>
              </w:rPr>
              <w:t>2.</w:t>
            </w:r>
            <w:r>
              <w:rPr>
                <w:rFonts w:hint="eastAsia" w:ascii="宋体" w:hAnsi="宋体"/>
                <w:color w:val="000000"/>
              </w:rPr>
              <w:t>做好来人来访的检查，严禁易燃、易爆、有毒等危险物品进入办公区域，前后门办公区域附近管控有效。</w:t>
            </w:r>
          </w:p>
        </w:tc>
        <w:tc>
          <w:tcPr>
            <w:tcW w:w="1050" w:type="dxa"/>
            <w:noWrap/>
            <w:vAlign w:val="center"/>
          </w:tcPr>
          <w:p w14:paraId="422EA9B6">
            <w:pPr>
              <w:pStyle w:val="6"/>
              <w:ind w:left="0" w:leftChars="0" w:firstLine="0" w:firstLineChars="0"/>
              <w:jc w:val="center"/>
              <w:rPr>
                <w:rFonts w:ascii="宋体" w:hAnsi="宋体"/>
                <w:color w:val="000000"/>
              </w:rPr>
            </w:pPr>
            <w:r>
              <w:rPr>
                <w:rFonts w:ascii="宋体" w:hAnsi="宋体"/>
                <w:color w:val="000000"/>
              </w:rPr>
              <w:t>2</w:t>
            </w:r>
          </w:p>
        </w:tc>
        <w:tc>
          <w:tcPr>
            <w:tcW w:w="3291" w:type="dxa"/>
            <w:noWrap/>
            <w:vAlign w:val="center"/>
          </w:tcPr>
          <w:p w14:paraId="4A5ADE34">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200</w:t>
            </w:r>
            <w:r>
              <w:rPr>
                <w:rFonts w:hint="eastAsia" w:ascii="宋体" w:hAnsi="宋体"/>
                <w:color w:val="000000"/>
              </w:rPr>
              <w:t>元，扣</w:t>
            </w:r>
            <w:r>
              <w:rPr>
                <w:rFonts w:ascii="宋体" w:hAnsi="宋体"/>
                <w:color w:val="000000"/>
              </w:rPr>
              <w:t>2</w:t>
            </w:r>
            <w:r>
              <w:rPr>
                <w:rFonts w:hint="eastAsia" w:ascii="宋体" w:hAnsi="宋体"/>
                <w:color w:val="000000"/>
              </w:rPr>
              <w:t>分。</w:t>
            </w:r>
          </w:p>
        </w:tc>
        <w:tc>
          <w:tcPr>
            <w:tcW w:w="982" w:type="dxa"/>
            <w:noWrap/>
            <w:vAlign w:val="center"/>
          </w:tcPr>
          <w:p w14:paraId="5571823E">
            <w:pPr>
              <w:pStyle w:val="6"/>
              <w:jc w:val="center"/>
              <w:rPr>
                <w:rFonts w:ascii="宋体" w:hAnsi="宋体"/>
                <w:color w:val="000000"/>
              </w:rPr>
            </w:pPr>
          </w:p>
        </w:tc>
      </w:tr>
      <w:tr w14:paraId="57BD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6211FD5E">
            <w:pPr>
              <w:pStyle w:val="6"/>
              <w:jc w:val="center"/>
              <w:rPr>
                <w:rFonts w:ascii="宋体" w:hAnsi="宋体"/>
                <w:color w:val="000000"/>
              </w:rPr>
            </w:pPr>
          </w:p>
        </w:tc>
        <w:tc>
          <w:tcPr>
            <w:tcW w:w="4086" w:type="dxa"/>
            <w:noWrap/>
            <w:vAlign w:val="center"/>
          </w:tcPr>
          <w:p w14:paraId="07F3C341">
            <w:pPr>
              <w:pStyle w:val="6"/>
              <w:ind w:left="0" w:leftChars="0" w:firstLine="0" w:firstLineChars="0"/>
              <w:jc w:val="center"/>
              <w:rPr>
                <w:rFonts w:ascii="宋体" w:hAnsi="宋体"/>
                <w:color w:val="000000"/>
              </w:rPr>
            </w:pPr>
            <w:r>
              <w:rPr>
                <w:rFonts w:ascii="宋体" w:hAnsi="宋体"/>
                <w:color w:val="000000"/>
              </w:rPr>
              <w:t>3.</w:t>
            </w:r>
            <w:r>
              <w:rPr>
                <w:rFonts w:hint="eastAsia" w:ascii="宋体" w:hAnsi="宋体"/>
                <w:color w:val="000000"/>
              </w:rPr>
              <w:t>做好大门</w:t>
            </w:r>
            <w:r>
              <w:rPr>
                <w:rFonts w:hint="eastAsia" w:ascii="宋体" w:hAnsi="宋体"/>
                <w:color w:val="000000"/>
                <w:lang w:eastAsia="zh-CN"/>
              </w:rPr>
              <w:t>和侧门</w:t>
            </w:r>
            <w:r>
              <w:rPr>
                <w:rFonts w:hint="eastAsia" w:ascii="宋体" w:hAnsi="宋体"/>
                <w:color w:val="000000"/>
              </w:rPr>
              <w:t>进出口的车辆查验工作，车辆通行有序，无堵塞交通现象</w:t>
            </w:r>
            <w:r>
              <w:rPr>
                <w:rFonts w:hint="eastAsia" w:ascii="宋体" w:hAnsi="宋体"/>
                <w:color w:val="000000"/>
                <w:lang w:eastAsia="zh-CN"/>
              </w:rPr>
              <w:t>，无外来车辆私自进入情况</w:t>
            </w:r>
            <w:r>
              <w:rPr>
                <w:rFonts w:hint="eastAsia" w:ascii="宋体" w:hAnsi="宋体"/>
                <w:color w:val="000000"/>
              </w:rPr>
              <w:t>。</w:t>
            </w:r>
          </w:p>
        </w:tc>
        <w:tc>
          <w:tcPr>
            <w:tcW w:w="1050" w:type="dxa"/>
            <w:noWrap/>
            <w:vAlign w:val="center"/>
          </w:tcPr>
          <w:p w14:paraId="44C91B92">
            <w:pPr>
              <w:pStyle w:val="6"/>
              <w:ind w:left="0" w:leftChars="0" w:firstLine="0" w:firstLineChars="0"/>
              <w:jc w:val="center"/>
              <w:rPr>
                <w:rFonts w:ascii="宋体" w:hAnsi="宋体"/>
                <w:color w:val="000000"/>
              </w:rPr>
            </w:pPr>
            <w:r>
              <w:rPr>
                <w:rFonts w:ascii="宋体" w:hAnsi="宋体"/>
                <w:color w:val="000000"/>
              </w:rPr>
              <w:t>2</w:t>
            </w:r>
          </w:p>
        </w:tc>
        <w:tc>
          <w:tcPr>
            <w:tcW w:w="3291" w:type="dxa"/>
            <w:noWrap/>
            <w:vAlign w:val="center"/>
          </w:tcPr>
          <w:p w14:paraId="2E1D102A">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200</w:t>
            </w:r>
            <w:r>
              <w:rPr>
                <w:rFonts w:hint="eastAsia" w:ascii="宋体" w:hAnsi="宋体"/>
                <w:color w:val="000000"/>
              </w:rPr>
              <w:t>元，扣</w:t>
            </w:r>
            <w:r>
              <w:rPr>
                <w:rFonts w:ascii="宋体" w:hAnsi="宋体"/>
                <w:color w:val="000000"/>
              </w:rPr>
              <w:t>2</w:t>
            </w:r>
            <w:r>
              <w:rPr>
                <w:rFonts w:hint="eastAsia" w:ascii="宋体" w:hAnsi="宋体"/>
                <w:color w:val="000000"/>
              </w:rPr>
              <w:t>分。</w:t>
            </w:r>
          </w:p>
        </w:tc>
        <w:tc>
          <w:tcPr>
            <w:tcW w:w="982" w:type="dxa"/>
            <w:noWrap/>
            <w:vAlign w:val="center"/>
          </w:tcPr>
          <w:p w14:paraId="13466B56">
            <w:pPr>
              <w:pStyle w:val="6"/>
              <w:jc w:val="center"/>
              <w:rPr>
                <w:rFonts w:ascii="宋体" w:hAnsi="宋体"/>
                <w:color w:val="000000"/>
              </w:rPr>
            </w:pPr>
          </w:p>
        </w:tc>
      </w:tr>
      <w:tr w14:paraId="3B527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44899CA5">
            <w:pPr>
              <w:pStyle w:val="6"/>
              <w:jc w:val="center"/>
              <w:rPr>
                <w:rFonts w:ascii="宋体" w:hAnsi="宋体"/>
                <w:color w:val="000000"/>
              </w:rPr>
            </w:pPr>
          </w:p>
        </w:tc>
        <w:tc>
          <w:tcPr>
            <w:tcW w:w="4086" w:type="dxa"/>
            <w:noWrap/>
            <w:vAlign w:val="center"/>
          </w:tcPr>
          <w:p w14:paraId="7F97EB9D">
            <w:pPr>
              <w:pStyle w:val="6"/>
              <w:ind w:left="0" w:leftChars="0" w:firstLine="0" w:firstLineChars="0"/>
              <w:jc w:val="center"/>
              <w:rPr>
                <w:rFonts w:ascii="宋体" w:hAnsi="宋体"/>
                <w:color w:val="000000"/>
              </w:rPr>
            </w:pPr>
            <w:r>
              <w:rPr>
                <w:rFonts w:ascii="宋体" w:hAnsi="宋体"/>
                <w:color w:val="000000"/>
              </w:rPr>
              <w:t>4.</w:t>
            </w:r>
            <w:r>
              <w:rPr>
                <w:rFonts w:hint="eastAsia" w:ascii="宋体" w:hAnsi="宋体"/>
                <w:color w:val="000000"/>
              </w:rPr>
              <w:t>值班保安语言规范，使用礼貌用语，服务热情。</w:t>
            </w:r>
          </w:p>
        </w:tc>
        <w:tc>
          <w:tcPr>
            <w:tcW w:w="1050" w:type="dxa"/>
            <w:noWrap/>
            <w:vAlign w:val="center"/>
          </w:tcPr>
          <w:p w14:paraId="121DEF3C">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40F70863">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028DBE6F">
            <w:pPr>
              <w:pStyle w:val="6"/>
              <w:jc w:val="center"/>
              <w:rPr>
                <w:rFonts w:ascii="宋体" w:hAnsi="宋体"/>
                <w:color w:val="000000"/>
              </w:rPr>
            </w:pPr>
          </w:p>
        </w:tc>
      </w:tr>
      <w:tr w14:paraId="0554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4472E11D">
            <w:pPr>
              <w:pStyle w:val="6"/>
              <w:jc w:val="center"/>
              <w:rPr>
                <w:rFonts w:ascii="宋体" w:hAnsi="宋体"/>
                <w:color w:val="000000"/>
              </w:rPr>
            </w:pPr>
          </w:p>
        </w:tc>
        <w:tc>
          <w:tcPr>
            <w:tcW w:w="4086" w:type="dxa"/>
            <w:noWrap/>
            <w:vAlign w:val="center"/>
          </w:tcPr>
          <w:p w14:paraId="60B82EC3">
            <w:pPr>
              <w:pStyle w:val="6"/>
              <w:ind w:left="0" w:leftChars="0" w:firstLine="0" w:firstLineChars="0"/>
              <w:jc w:val="center"/>
              <w:rPr>
                <w:rFonts w:ascii="宋体" w:hAnsi="宋体"/>
                <w:color w:val="000000"/>
              </w:rPr>
            </w:pPr>
            <w:r>
              <w:rPr>
                <w:rFonts w:ascii="宋体" w:hAnsi="宋体"/>
                <w:color w:val="000000"/>
              </w:rPr>
              <w:t>5.</w:t>
            </w:r>
            <w:r>
              <w:rPr>
                <w:rFonts w:hint="eastAsia" w:ascii="宋体" w:hAnsi="宋体"/>
                <w:color w:val="000000"/>
              </w:rPr>
              <w:t>值班人员无迟到、早退、旷工、脱岗、酒后上岗、睡岗、玩手机等情况。</w:t>
            </w:r>
          </w:p>
        </w:tc>
        <w:tc>
          <w:tcPr>
            <w:tcW w:w="1050" w:type="dxa"/>
            <w:noWrap/>
            <w:vAlign w:val="center"/>
          </w:tcPr>
          <w:p w14:paraId="3C6D4777">
            <w:pPr>
              <w:pStyle w:val="6"/>
              <w:ind w:left="0" w:leftChars="0" w:firstLine="0" w:firstLineChars="0"/>
              <w:jc w:val="center"/>
              <w:rPr>
                <w:rFonts w:ascii="宋体" w:hAnsi="宋体"/>
                <w:color w:val="000000"/>
              </w:rPr>
            </w:pPr>
            <w:r>
              <w:rPr>
                <w:rFonts w:ascii="宋体" w:hAnsi="宋体"/>
                <w:color w:val="000000"/>
              </w:rPr>
              <w:t>2</w:t>
            </w:r>
          </w:p>
        </w:tc>
        <w:tc>
          <w:tcPr>
            <w:tcW w:w="3291" w:type="dxa"/>
            <w:noWrap/>
            <w:vAlign w:val="center"/>
          </w:tcPr>
          <w:p w14:paraId="13011853">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200</w:t>
            </w:r>
            <w:r>
              <w:rPr>
                <w:rFonts w:hint="eastAsia" w:ascii="宋体" w:hAnsi="宋体"/>
                <w:color w:val="000000"/>
              </w:rPr>
              <w:t>元，扣</w:t>
            </w:r>
            <w:r>
              <w:rPr>
                <w:rFonts w:ascii="宋体" w:hAnsi="宋体"/>
                <w:color w:val="000000"/>
              </w:rPr>
              <w:t>2</w:t>
            </w:r>
            <w:r>
              <w:rPr>
                <w:rFonts w:hint="eastAsia" w:ascii="宋体" w:hAnsi="宋体"/>
                <w:color w:val="000000"/>
              </w:rPr>
              <w:t>分。</w:t>
            </w:r>
          </w:p>
        </w:tc>
        <w:tc>
          <w:tcPr>
            <w:tcW w:w="982" w:type="dxa"/>
            <w:noWrap/>
            <w:vAlign w:val="center"/>
          </w:tcPr>
          <w:p w14:paraId="67AC6847">
            <w:pPr>
              <w:pStyle w:val="6"/>
              <w:jc w:val="center"/>
              <w:rPr>
                <w:rFonts w:ascii="宋体" w:hAnsi="宋体"/>
                <w:color w:val="000000"/>
              </w:rPr>
            </w:pPr>
          </w:p>
        </w:tc>
      </w:tr>
      <w:tr w14:paraId="39542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70A3F614">
            <w:pPr>
              <w:pStyle w:val="6"/>
              <w:jc w:val="center"/>
              <w:rPr>
                <w:rFonts w:ascii="宋体" w:hAnsi="宋体"/>
                <w:color w:val="000000"/>
              </w:rPr>
            </w:pPr>
          </w:p>
        </w:tc>
        <w:tc>
          <w:tcPr>
            <w:tcW w:w="4086" w:type="dxa"/>
            <w:noWrap/>
            <w:vAlign w:val="center"/>
          </w:tcPr>
          <w:p w14:paraId="0BB6FB3C">
            <w:pPr>
              <w:pStyle w:val="6"/>
              <w:ind w:left="0" w:leftChars="0" w:firstLine="0" w:firstLineChars="0"/>
              <w:jc w:val="center"/>
              <w:rPr>
                <w:rFonts w:ascii="宋体" w:hAnsi="宋体"/>
                <w:color w:val="000000"/>
              </w:rPr>
            </w:pPr>
            <w:r>
              <w:rPr>
                <w:rFonts w:ascii="宋体" w:hAnsi="宋体"/>
                <w:color w:val="000000"/>
              </w:rPr>
              <w:t>6.</w:t>
            </w:r>
            <w:r>
              <w:rPr>
                <w:rFonts w:hint="eastAsia" w:ascii="宋体" w:hAnsi="宋体"/>
                <w:color w:val="000000"/>
              </w:rPr>
              <w:t>危及人身安全的地方需有明显的标志和防范措施。</w:t>
            </w:r>
          </w:p>
        </w:tc>
        <w:tc>
          <w:tcPr>
            <w:tcW w:w="1050" w:type="dxa"/>
            <w:noWrap/>
            <w:vAlign w:val="center"/>
          </w:tcPr>
          <w:p w14:paraId="49B100EA">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1DB3004B">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7B397A0D">
            <w:pPr>
              <w:pStyle w:val="6"/>
              <w:jc w:val="center"/>
              <w:rPr>
                <w:rFonts w:ascii="宋体" w:hAnsi="宋体"/>
                <w:color w:val="000000"/>
              </w:rPr>
            </w:pPr>
          </w:p>
        </w:tc>
      </w:tr>
      <w:tr w14:paraId="54ED0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35304F8B">
            <w:pPr>
              <w:pStyle w:val="6"/>
              <w:jc w:val="center"/>
              <w:rPr>
                <w:rFonts w:ascii="宋体" w:hAnsi="宋体"/>
                <w:color w:val="000000"/>
              </w:rPr>
            </w:pPr>
          </w:p>
        </w:tc>
        <w:tc>
          <w:tcPr>
            <w:tcW w:w="4086" w:type="dxa"/>
            <w:noWrap/>
            <w:vAlign w:val="center"/>
          </w:tcPr>
          <w:p w14:paraId="3AEEC9D5">
            <w:pPr>
              <w:pStyle w:val="6"/>
              <w:ind w:left="0" w:leftChars="0" w:firstLine="0" w:firstLineChars="0"/>
              <w:jc w:val="center"/>
              <w:rPr>
                <w:rFonts w:ascii="宋体" w:hAnsi="宋体"/>
                <w:color w:val="000000"/>
              </w:rPr>
            </w:pPr>
            <w:r>
              <w:rPr>
                <w:rFonts w:ascii="宋体" w:hAnsi="宋体"/>
                <w:color w:val="000000"/>
              </w:rPr>
              <w:t>7.</w:t>
            </w:r>
            <w:r>
              <w:rPr>
                <w:rFonts w:hint="eastAsia" w:ascii="宋体" w:hAnsi="宋体"/>
                <w:color w:val="000000"/>
              </w:rPr>
              <w:t>有完善的治安安全防范制度和措施，加强巡逻防范。</w:t>
            </w:r>
          </w:p>
        </w:tc>
        <w:tc>
          <w:tcPr>
            <w:tcW w:w="1050" w:type="dxa"/>
            <w:noWrap/>
            <w:vAlign w:val="center"/>
          </w:tcPr>
          <w:p w14:paraId="520FFC57">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15CFA61E">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042212E4">
            <w:pPr>
              <w:pStyle w:val="6"/>
              <w:jc w:val="center"/>
              <w:rPr>
                <w:rFonts w:ascii="宋体" w:hAnsi="宋体"/>
                <w:color w:val="000000"/>
              </w:rPr>
            </w:pPr>
          </w:p>
        </w:tc>
      </w:tr>
      <w:tr w14:paraId="4AD54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51E95283">
            <w:pPr>
              <w:pStyle w:val="6"/>
              <w:jc w:val="center"/>
              <w:rPr>
                <w:rFonts w:ascii="宋体" w:hAnsi="宋体"/>
                <w:color w:val="000000"/>
              </w:rPr>
            </w:pPr>
          </w:p>
        </w:tc>
        <w:tc>
          <w:tcPr>
            <w:tcW w:w="4086" w:type="dxa"/>
            <w:noWrap/>
            <w:vAlign w:val="center"/>
          </w:tcPr>
          <w:p w14:paraId="40281439">
            <w:pPr>
              <w:pStyle w:val="6"/>
              <w:ind w:left="0" w:leftChars="0" w:firstLine="0" w:firstLineChars="0"/>
              <w:jc w:val="center"/>
              <w:rPr>
                <w:rFonts w:ascii="宋体" w:hAnsi="宋体"/>
                <w:color w:val="000000"/>
              </w:rPr>
            </w:pPr>
            <w:r>
              <w:rPr>
                <w:rFonts w:ascii="宋体" w:hAnsi="宋体"/>
                <w:color w:val="000000"/>
              </w:rPr>
              <w:t>8.</w:t>
            </w:r>
            <w:r>
              <w:rPr>
                <w:rFonts w:hint="eastAsia" w:ascii="宋体" w:hAnsi="宋体"/>
                <w:color w:val="000000"/>
              </w:rPr>
              <w:t>有完善的消防安全应急方案，演练、检查记录。</w:t>
            </w:r>
          </w:p>
        </w:tc>
        <w:tc>
          <w:tcPr>
            <w:tcW w:w="1050" w:type="dxa"/>
            <w:noWrap/>
            <w:vAlign w:val="center"/>
          </w:tcPr>
          <w:p w14:paraId="584895EB">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30715EF1">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5FE20BEB">
            <w:pPr>
              <w:pStyle w:val="6"/>
              <w:jc w:val="center"/>
              <w:rPr>
                <w:rFonts w:ascii="宋体" w:hAnsi="宋体"/>
                <w:color w:val="000000"/>
              </w:rPr>
            </w:pPr>
          </w:p>
        </w:tc>
      </w:tr>
      <w:tr w14:paraId="51FB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677FC6EC">
            <w:pPr>
              <w:pStyle w:val="6"/>
              <w:jc w:val="center"/>
              <w:rPr>
                <w:rFonts w:ascii="宋体" w:hAnsi="宋体"/>
                <w:color w:val="000000"/>
              </w:rPr>
            </w:pPr>
          </w:p>
        </w:tc>
        <w:tc>
          <w:tcPr>
            <w:tcW w:w="4086" w:type="dxa"/>
            <w:noWrap/>
            <w:vAlign w:val="center"/>
          </w:tcPr>
          <w:p w14:paraId="5BC3A281">
            <w:pPr>
              <w:pStyle w:val="6"/>
              <w:ind w:left="0" w:leftChars="0" w:firstLine="0" w:firstLineChars="0"/>
              <w:jc w:val="center"/>
              <w:rPr>
                <w:rFonts w:ascii="宋体" w:hAnsi="宋体"/>
                <w:color w:val="000000"/>
              </w:rPr>
            </w:pPr>
            <w:r>
              <w:rPr>
                <w:rFonts w:ascii="宋体" w:hAnsi="宋体"/>
                <w:color w:val="000000"/>
              </w:rPr>
              <w:t>9.</w:t>
            </w:r>
            <w:r>
              <w:rPr>
                <w:rFonts w:hint="eastAsia" w:ascii="宋体" w:hAnsi="宋体"/>
                <w:color w:val="000000"/>
              </w:rPr>
              <w:t>消防控制室设备正常工作，运行正常。</w:t>
            </w:r>
          </w:p>
        </w:tc>
        <w:tc>
          <w:tcPr>
            <w:tcW w:w="1050" w:type="dxa"/>
            <w:noWrap/>
            <w:vAlign w:val="center"/>
          </w:tcPr>
          <w:p w14:paraId="1BDDD399">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131469A8">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4E6C235F">
            <w:pPr>
              <w:pStyle w:val="6"/>
              <w:jc w:val="center"/>
              <w:rPr>
                <w:rFonts w:ascii="宋体" w:hAnsi="宋体"/>
                <w:color w:val="000000"/>
              </w:rPr>
            </w:pPr>
          </w:p>
        </w:tc>
      </w:tr>
      <w:tr w14:paraId="79F6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597CFD58">
            <w:pPr>
              <w:pStyle w:val="6"/>
              <w:jc w:val="center"/>
              <w:rPr>
                <w:rFonts w:ascii="宋体" w:hAnsi="宋体"/>
                <w:color w:val="000000"/>
              </w:rPr>
            </w:pPr>
          </w:p>
        </w:tc>
        <w:tc>
          <w:tcPr>
            <w:tcW w:w="4086" w:type="dxa"/>
            <w:noWrap/>
            <w:vAlign w:val="center"/>
          </w:tcPr>
          <w:p w14:paraId="147BA67B">
            <w:pPr>
              <w:pStyle w:val="6"/>
              <w:ind w:left="0" w:leftChars="0" w:firstLine="0" w:firstLineChars="0"/>
              <w:jc w:val="both"/>
              <w:rPr>
                <w:rFonts w:ascii="宋体" w:hAnsi="宋体"/>
                <w:color w:val="000000"/>
              </w:rPr>
            </w:pPr>
            <w:r>
              <w:rPr>
                <w:rFonts w:ascii="宋体" w:hAnsi="宋体"/>
                <w:color w:val="000000"/>
              </w:rPr>
              <w:t>10.</w:t>
            </w:r>
            <w:r>
              <w:rPr>
                <w:rFonts w:hint="eastAsia" w:ascii="宋体" w:hAnsi="宋体"/>
                <w:color w:val="000000"/>
              </w:rPr>
              <w:t>各疏散通达畅通无堵塞，疏散标志清晰，符合消防要求。</w:t>
            </w:r>
          </w:p>
        </w:tc>
        <w:tc>
          <w:tcPr>
            <w:tcW w:w="1050" w:type="dxa"/>
            <w:noWrap/>
            <w:vAlign w:val="center"/>
          </w:tcPr>
          <w:p w14:paraId="0224AB02">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11C42D12">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4473C381">
            <w:pPr>
              <w:pStyle w:val="6"/>
              <w:jc w:val="center"/>
              <w:rPr>
                <w:rFonts w:ascii="宋体" w:hAnsi="宋体"/>
                <w:color w:val="000000"/>
              </w:rPr>
            </w:pPr>
          </w:p>
        </w:tc>
      </w:tr>
      <w:tr w14:paraId="6A79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43EEFACC">
            <w:pPr>
              <w:pStyle w:val="6"/>
              <w:jc w:val="center"/>
              <w:rPr>
                <w:rFonts w:ascii="宋体" w:hAnsi="宋体"/>
                <w:color w:val="000000"/>
              </w:rPr>
            </w:pPr>
          </w:p>
        </w:tc>
        <w:tc>
          <w:tcPr>
            <w:tcW w:w="4086" w:type="dxa"/>
            <w:noWrap/>
            <w:vAlign w:val="center"/>
          </w:tcPr>
          <w:p w14:paraId="5B54774E">
            <w:pPr>
              <w:pStyle w:val="6"/>
              <w:ind w:left="0" w:leftChars="0" w:firstLine="0" w:firstLineChars="0"/>
              <w:jc w:val="center"/>
              <w:rPr>
                <w:rFonts w:ascii="宋体" w:hAnsi="宋体"/>
                <w:color w:val="000000"/>
              </w:rPr>
            </w:pPr>
            <w:r>
              <w:rPr>
                <w:rFonts w:ascii="宋体" w:hAnsi="宋体"/>
                <w:color w:val="000000"/>
              </w:rPr>
              <w:t>11.</w:t>
            </w:r>
            <w:r>
              <w:rPr>
                <w:rFonts w:hint="eastAsia" w:ascii="宋体" w:hAnsi="宋体"/>
                <w:color w:val="000000"/>
              </w:rPr>
              <w:t>各保安员能掌握消防器材的使用方法，能扑灭初期火灾。</w:t>
            </w:r>
          </w:p>
        </w:tc>
        <w:tc>
          <w:tcPr>
            <w:tcW w:w="1050" w:type="dxa"/>
            <w:noWrap/>
            <w:vAlign w:val="center"/>
          </w:tcPr>
          <w:p w14:paraId="6BDCB425">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33F15928">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753C8001">
            <w:pPr>
              <w:pStyle w:val="6"/>
              <w:jc w:val="center"/>
              <w:rPr>
                <w:rFonts w:ascii="宋体" w:hAnsi="宋体"/>
                <w:color w:val="000000"/>
              </w:rPr>
            </w:pPr>
          </w:p>
        </w:tc>
      </w:tr>
      <w:tr w14:paraId="43D8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7C4BA19D">
            <w:pPr>
              <w:pStyle w:val="6"/>
              <w:jc w:val="center"/>
              <w:rPr>
                <w:rFonts w:ascii="宋体" w:hAnsi="宋体"/>
                <w:color w:val="000000"/>
              </w:rPr>
            </w:pPr>
          </w:p>
        </w:tc>
        <w:tc>
          <w:tcPr>
            <w:tcW w:w="4086" w:type="dxa"/>
            <w:noWrap/>
            <w:vAlign w:val="center"/>
          </w:tcPr>
          <w:p w14:paraId="7CE92EC7">
            <w:pPr>
              <w:pStyle w:val="6"/>
              <w:ind w:left="0" w:leftChars="0" w:firstLine="0" w:firstLineChars="0"/>
              <w:jc w:val="center"/>
              <w:rPr>
                <w:rFonts w:ascii="宋体" w:hAnsi="宋体"/>
                <w:color w:val="000000"/>
              </w:rPr>
            </w:pPr>
            <w:r>
              <w:rPr>
                <w:rFonts w:ascii="宋体" w:hAnsi="宋体"/>
                <w:color w:val="000000"/>
              </w:rPr>
              <w:t>12.</w:t>
            </w:r>
            <w:r>
              <w:rPr>
                <w:rFonts w:hint="eastAsia" w:ascii="宋体" w:hAnsi="宋体"/>
                <w:color w:val="000000"/>
              </w:rPr>
              <w:t>发生突发情况能正确应对并及时上报。</w:t>
            </w:r>
          </w:p>
        </w:tc>
        <w:tc>
          <w:tcPr>
            <w:tcW w:w="1050" w:type="dxa"/>
            <w:noWrap/>
            <w:vAlign w:val="center"/>
          </w:tcPr>
          <w:p w14:paraId="22699C0D">
            <w:pPr>
              <w:pStyle w:val="6"/>
              <w:ind w:left="0" w:leftChars="0" w:firstLine="0" w:firstLineChars="0"/>
              <w:jc w:val="center"/>
              <w:rPr>
                <w:rFonts w:ascii="宋体" w:hAnsi="宋体"/>
                <w:color w:val="000000"/>
              </w:rPr>
            </w:pPr>
            <w:r>
              <w:rPr>
                <w:rFonts w:ascii="宋体" w:hAnsi="宋体"/>
                <w:color w:val="000000"/>
              </w:rPr>
              <w:t>2</w:t>
            </w:r>
          </w:p>
        </w:tc>
        <w:tc>
          <w:tcPr>
            <w:tcW w:w="3291" w:type="dxa"/>
            <w:noWrap/>
            <w:vAlign w:val="center"/>
          </w:tcPr>
          <w:p w14:paraId="61668E85">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200</w:t>
            </w:r>
            <w:r>
              <w:rPr>
                <w:rFonts w:hint="eastAsia" w:ascii="宋体" w:hAnsi="宋体"/>
                <w:color w:val="000000"/>
              </w:rPr>
              <w:t>元，扣</w:t>
            </w:r>
            <w:r>
              <w:rPr>
                <w:rFonts w:ascii="宋体" w:hAnsi="宋体"/>
                <w:color w:val="000000"/>
              </w:rPr>
              <w:t>2</w:t>
            </w:r>
            <w:r>
              <w:rPr>
                <w:rFonts w:hint="eastAsia" w:ascii="宋体" w:hAnsi="宋体"/>
                <w:color w:val="000000"/>
              </w:rPr>
              <w:t>分。</w:t>
            </w:r>
          </w:p>
        </w:tc>
        <w:tc>
          <w:tcPr>
            <w:tcW w:w="982" w:type="dxa"/>
            <w:noWrap/>
            <w:vAlign w:val="center"/>
          </w:tcPr>
          <w:p w14:paraId="742BA37A">
            <w:pPr>
              <w:pStyle w:val="6"/>
              <w:jc w:val="center"/>
              <w:rPr>
                <w:rFonts w:ascii="宋体" w:hAnsi="宋体"/>
                <w:color w:val="000000"/>
              </w:rPr>
            </w:pPr>
          </w:p>
        </w:tc>
      </w:tr>
      <w:tr w14:paraId="1DF5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restart"/>
            <w:noWrap/>
            <w:vAlign w:val="center"/>
          </w:tcPr>
          <w:p w14:paraId="55C0EB34">
            <w:pPr>
              <w:pStyle w:val="6"/>
              <w:ind w:left="0" w:leftChars="0" w:firstLine="0" w:firstLineChars="0"/>
              <w:jc w:val="center"/>
              <w:rPr>
                <w:rFonts w:ascii="宋体" w:hAnsi="宋体"/>
                <w:color w:val="000000"/>
              </w:rPr>
            </w:pPr>
            <w:r>
              <w:rPr>
                <w:rFonts w:hint="eastAsia" w:ascii="宋体" w:hAnsi="宋体"/>
                <w:color w:val="000000"/>
              </w:rPr>
              <w:t>履约方面考评</w:t>
            </w:r>
          </w:p>
          <w:p w14:paraId="648A6300">
            <w:pPr>
              <w:pStyle w:val="6"/>
              <w:ind w:left="0" w:leftChars="0" w:firstLine="0" w:firstLineChars="0"/>
              <w:jc w:val="center"/>
              <w:rPr>
                <w:rFonts w:ascii="宋体" w:hAnsi="宋体"/>
                <w:color w:val="000000"/>
              </w:rPr>
            </w:pPr>
            <w:r>
              <w:rPr>
                <w:rFonts w:hint="eastAsia" w:ascii="宋体" w:hAnsi="宋体"/>
                <w:color w:val="000000"/>
              </w:rPr>
              <w:t>（</w:t>
            </w:r>
            <w:r>
              <w:rPr>
                <w:rFonts w:ascii="宋体" w:hAnsi="宋体"/>
                <w:color w:val="000000"/>
              </w:rPr>
              <w:t>19</w:t>
            </w:r>
            <w:r>
              <w:rPr>
                <w:rFonts w:hint="eastAsia" w:ascii="宋体" w:hAnsi="宋体"/>
                <w:color w:val="000000"/>
              </w:rPr>
              <w:t>分）</w:t>
            </w:r>
          </w:p>
        </w:tc>
        <w:tc>
          <w:tcPr>
            <w:tcW w:w="4086" w:type="dxa"/>
            <w:noWrap/>
            <w:vAlign w:val="center"/>
          </w:tcPr>
          <w:p w14:paraId="6CA7DBD6">
            <w:pPr>
              <w:pStyle w:val="6"/>
              <w:ind w:left="0" w:leftChars="0" w:firstLine="0" w:firstLineChars="0"/>
              <w:jc w:val="center"/>
              <w:rPr>
                <w:rFonts w:ascii="宋体" w:hAnsi="宋体"/>
                <w:color w:val="000000"/>
              </w:rPr>
            </w:pPr>
            <w:r>
              <w:rPr>
                <w:rFonts w:ascii="宋体" w:hAnsi="宋体"/>
                <w:color w:val="000000"/>
              </w:rPr>
              <w:t>1.</w:t>
            </w:r>
            <w:r>
              <w:rPr>
                <w:rFonts w:hint="eastAsia" w:ascii="宋体" w:hAnsi="宋体"/>
                <w:color w:val="000000"/>
              </w:rPr>
              <w:t>未按合同规定派足工作人员或未执行合同规定任务的。</w:t>
            </w:r>
          </w:p>
        </w:tc>
        <w:tc>
          <w:tcPr>
            <w:tcW w:w="1050" w:type="dxa"/>
            <w:noWrap/>
            <w:vAlign w:val="center"/>
          </w:tcPr>
          <w:p w14:paraId="207265DF">
            <w:pPr>
              <w:pStyle w:val="6"/>
              <w:ind w:left="0" w:leftChars="0" w:firstLine="0" w:firstLineChars="0"/>
              <w:jc w:val="center"/>
              <w:rPr>
                <w:rFonts w:ascii="宋体" w:hAnsi="宋体"/>
                <w:color w:val="000000"/>
              </w:rPr>
            </w:pPr>
            <w:r>
              <w:rPr>
                <w:rFonts w:ascii="宋体" w:hAnsi="宋体"/>
                <w:color w:val="000000"/>
              </w:rPr>
              <w:t>10</w:t>
            </w:r>
          </w:p>
        </w:tc>
        <w:tc>
          <w:tcPr>
            <w:tcW w:w="3291" w:type="dxa"/>
            <w:noWrap/>
            <w:vAlign w:val="center"/>
          </w:tcPr>
          <w:p w14:paraId="17F095BA">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1000</w:t>
            </w:r>
            <w:r>
              <w:rPr>
                <w:rFonts w:hint="eastAsia" w:ascii="宋体" w:hAnsi="宋体"/>
                <w:color w:val="000000"/>
              </w:rPr>
              <w:t>元，扣</w:t>
            </w:r>
            <w:r>
              <w:rPr>
                <w:rFonts w:ascii="宋体" w:hAnsi="宋体"/>
                <w:color w:val="000000"/>
              </w:rPr>
              <w:t>10</w:t>
            </w:r>
            <w:r>
              <w:rPr>
                <w:rFonts w:hint="eastAsia" w:ascii="宋体" w:hAnsi="宋体"/>
                <w:color w:val="000000"/>
              </w:rPr>
              <w:t>分。</w:t>
            </w:r>
          </w:p>
        </w:tc>
        <w:tc>
          <w:tcPr>
            <w:tcW w:w="982" w:type="dxa"/>
            <w:noWrap/>
            <w:vAlign w:val="center"/>
          </w:tcPr>
          <w:p w14:paraId="0240968E">
            <w:pPr>
              <w:pStyle w:val="6"/>
              <w:jc w:val="center"/>
              <w:rPr>
                <w:rFonts w:ascii="宋体" w:hAnsi="宋体"/>
                <w:color w:val="000000"/>
              </w:rPr>
            </w:pPr>
          </w:p>
        </w:tc>
      </w:tr>
      <w:tr w14:paraId="3C3C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304EA01E">
            <w:pPr>
              <w:pStyle w:val="6"/>
              <w:jc w:val="center"/>
              <w:rPr>
                <w:rFonts w:ascii="宋体" w:hAnsi="宋体"/>
                <w:color w:val="000000"/>
              </w:rPr>
            </w:pPr>
          </w:p>
        </w:tc>
        <w:tc>
          <w:tcPr>
            <w:tcW w:w="4086" w:type="dxa"/>
            <w:noWrap/>
            <w:vAlign w:val="center"/>
          </w:tcPr>
          <w:p w14:paraId="4AAA937E">
            <w:pPr>
              <w:pStyle w:val="6"/>
              <w:ind w:left="0" w:leftChars="0" w:firstLine="0" w:firstLineChars="0"/>
              <w:jc w:val="center"/>
              <w:rPr>
                <w:rFonts w:ascii="宋体" w:hAnsi="宋体"/>
                <w:color w:val="000000"/>
              </w:rPr>
            </w:pPr>
            <w:r>
              <w:rPr>
                <w:rFonts w:ascii="宋体" w:hAnsi="宋体"/>
                <w:color w:val="000000"/>
              </w:rPr>
              <w:t>2.</w:t>
            </w:r>
            <w:r>
              <w:rPr>
                <w:rFonts w:hint="eastAsia" w:ascii="宋体" w:hAnsi="宋体"/>
                <w:color w:val="000000"/>
              </w:rPr>
              <w:t>未经甲方同意，擅自更换或一次性更换</w:t>
            </w:r>
            <w:r>
              <w:rPr>
                <w:rFonts w:ascii="宋体" w:hAnsi="宋体"/>
                <w:color w:val="000000"/>
              </w:rPr>
              <w:t>2</w:t>
            </w:r>
            <w:r>
              <w:rPr>
                <w:rFonts w:hint="eastAsia" w:ascii="宋体" w:hAnsi="宋体"/>
                <w:color w:val="000000"/>
              </w:rPr>
              <w:t>名以上工作人员的。</w:t>
            </w:r>
          </w:p>
        </w:tc>
        <w:tc>
          <w:tcPr>
            <w:tcW w:w="1050" w:type="dxa"/>
            <w:noWrap/>
            <w:vAlign w:val="center"/>
          </w:tcPr>
          <w:p w14:paraId="5C9E24A8">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744C409B">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54BF3D31">
            <w:pPr>
              <w:pStyle w:val="6"/>
              <w:jc w:val="center"/>
              <w:rPr>
                <w:rFonts w:ascii="宋体" w:hAnsi="宋体"/>
                <w:color w:val="000000"/>
              </w:rPr>
            </w:pPr>
          </w:p>
        </w:tc>
      </w:tr>
      <w:tr w14:paraId="6C192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20B233BB">
            <w:pPr>
              <w:pStyle w:val="6"/>
              <w:jc w:val="center"/>
              <w:rPr>
                <w:rFonts w:ascii="宋体" w:hAnsi="宋体"/>
                <w:color w:val="000000"/>
              </w:rPr>
            </w:pPr>
          </w:p>
        </w:tc>
        <w:tc>
          <w:tcPr>
            <w:tcW w:w="4086" w:type="dxa"/>
            <w:noWrap/>
            <w:vAlign w:val="center"/>
          </w:tcPr>
          <w:p w14:paraId="786DCB73">
            <w:pPr>
              <w:pStyle w:val="6"/>
              <w:ind w:left="0" w:leftChars="0" w:firstLine="0" w:firstLineChars="0"/>
              <w:jc w:val="center"/>
              <w:rPr>
                <w:rFonts w:ascii="宋体" w:hAnsi="宋体"/>
                <w:color w:val="000000"/>
              </w:rPr>
            </w:pPr>
            <w:r>
              <w:rPr>
                <w:rFonts w:ascii="宋体" w:hAnsi="宋体"/>
                <w:color w:val="000000"/>
              </w:rPr>
              <w:t>3.</w:t>
            </w:r>
            <w:r>
              <w:rPr>
                <w:rFonts w:hint="eastAsia" w:ascii="宋体" w:hAnsi="宋体"/>
                <w:color w:val="000000"/>
              </w:rPr>
              <w:t>未经甲方同意，擅自外调</w:t>
            </w:r>
            <w:r>
              <w:rPr>
                <w:rFonts w:hint="eastAsia" w:ascii="宋体" w:hAnsi="宋体"/>
                <w:color w:val="000000"/>
                <w:lang w:eastAsia="zh-CN"/>
              </w:rPr>
              <w:t>（</w:t>
            </w:r>
            <w:r>
              <w:rPr>
                <w:rFonts w:hint="eastAsia" w:ascii="宋体" w:hAnsi="宋体"/>
                <w:color w:val="000000"/>
              </w:rPr>
              <w:t>借</w:t>
            </w:r>
            <w:r>
              <w:rPr>
                <w:rFonts w:hint="eastAsia" w:ascii="宋体" w:hAnsi="宋体"/>
                <w:color w:val="000000"/>
                <w:lang w:eastAsia="zh-CN"/>
              </w:rPr>
              <w:t>）</w:t>
            </w:r>
            <w:r>
              <w:rPr>
                <w:rFonts w:hint="eastAsia" w:ascii="宋体" w:hAnsi="宋体"/>
                <w:color w:val="000000"/>
              </w:rPr>
              <w:t>工作人员的。</w:t>
            </w:r>
          </w:p>
        </w:tc>
        <w:tc>
          <w:tcPr>
            <w:tcW w:w="1050" w:type="dxa"/>
            <w:noWrap/>
            <w:vAlign w:val="center"/>
          </w:tcPr>
          <w:p w14:paraId="2F8B713C">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58CFC262">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529881C3">
            <w:pPr>
              <w:pStyle w:val="6"/>
              <w:jc w:val="center"/>
              <w:rPr>
                <w:rFonts w:ascii="宋体" w:hAnsi="宋体"/>
                <w:color w:val="000000"/>
              </w:rPr>
            </w:pPr>
          </w:p>
        </w:tc>
      </w:tr>
      <w:tr w14:paraId="73AB9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3E165D3F">
            <w:pPr>
              <w:pStyle w:val="6"/>
              <w:jc w:val="center"/>
              <w:rPr>
                <w:rFonts w:ascii="宋体" w:hAnsi="宋体"/>
                <w:color w:val="000000"/>
              </w:rPr>
            </w:pPr>
          </w:p>
        </w:tc>
        <w:tc>
          <w:tcPr>
            <w:tcW w:w="4086" w:type="dxa"/>
            <w:noWrap/>
            <w:vAlign w:val="center"/>
          </w:tcPr>
          <w:p w14:paraId="11537D0D">
            <w:pPr>
              <w:pStyle w:val="6"/>
              <w:ind w:left="0" w:leftChars="0" w:firstLine="0" w:firstLineChars="0"/>
              <w:jc w:val="center"/>
              <w:rPr>
                <w:rFonts w:ascii="宋体" w:hAnsi="宋体"/>
                <w:color w:val="000000"/>
              </w:rPr>
            </w:pPr>
            <w:r>
              <w:rPr>
                <w:rFonts w:ascii="宋体" w:hAnsi="宋体"/>
                <w:color w:val="000000"/>
              </w:rPr>
              <w:t>4.</w:t>
            </w:r>
            <w:r>
              <w:rPr>
                <w:rFonts w:hint="eastAsia" w:ascii="宋体" w:hAnsi="宋体"/>
                <w:color w:val="000000"/>
              </w:rPr>
              <w:t>未及时配备工作人员的统一服装及附属装备并给</w:t>
            </w:r>
            <w:r>
              <w:rPr>
                <w:rFonts w:hint="eastAsia" w:ascii="宋体" w:hAnsi="宋体"/>
                <w:color w:val="000000"/>
                <w:lang w:eastAsia="zh-CN"/>
              </w:rPr>
              <w:t>甲方</w:t>
            </w:r>
            <w:r>
              <w:rPr>
                <w:rFonts w:hint="eastAsia" w:ascii="宋体" w:hAnsi="宋体"/>
                <w:color w:val="000000"/>
              </w:rPr>
              <w:t>带来不良影响的。</w:t>
            </w:r>
          </w:p>
        </w:tc>
        <w:tc>
          <w:tcPr>
            <w:tcW w:w="1050" w:type="dxa"/>
            <w:noWrap/>
            <w:vAlign w:val="center"/>
          </w:tcPr>
          <w:p w14:paraId="46297425">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279A1697">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618C0C5E">
            <w:pPr>
              <w:pStyle w:val="6"/>
              <w:jc w:val="center"/>
              <w:rPr>
                <w:rFonts w:ascii="宋体" w:hAnsi="宋体"/>
                <w:color w:val="000000"/>
              </w:rPr>
            </w:pPr>
          </w:p>
        </w:tc>
      </w:tr>
      <w:tr w14:paraId="2B8B2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7ADDF6EE">
            <w:pPr>
              <w:pStyle w:val="6"/>
              <w:jc w:val="center"/>
              <w:rPr>
                <w:rFonts w:ascii="宋体" w:hAnsi="宋体"/>
                <w:color w:val="000000"/>
              </w:rPr>
            </w:pPr>
          </w:p>
        </w:tc>
        <w:tc>
          <w:tcPr>
            <w:tcW w:w="4086" w:type="dxa"/>
            <w:noWrap/>
            <w:vAlign w:val="center"/>
          </w:tcPr>
          <w:p w14:paraId="6780B82B">
            <w:pPr>
              <w:pStyle w:val="6"/>
              <w:ind w:left="0" w:leftChars="0" w:firstLine="0" w:firstLineChars="0"/>
              <w:jc w:val="center"/>
              <w:rPr>
                <w:rFonts w:ascii="宋体" w:hAnsi="宋体"/>
                <w:color w:val="000000"/>
              </w:rPr>
            </w:pPr>
            <w:r>
              <w:rPr>
                <w:rFonts w:ascii="宋体" w:hAnsi="宋体"/>
                <w:color w:val="000000"/>
              </w:rPr>
              <w:t>5.</w:t>
            </w:r>
            <w:r>
              <w:rPr>
                <w:rFonts w:hint="eastAsia" w:ascii="宋体" w:hAnsi="宋体"/>
                <w:color w:val="000000"/>
              </w:rPr>
              <w:t>发生有损</w:t>
            </w:r>
            <w:r>
              <w:rPr>
                <w:rFonts w:hint="eastAsia" w:ascii="宋体" w:hAnsi="宋体"/>
                <w:color w:val="000000"/>
                <w:lang w:eastAsia="zh-CN"/>
              </w:rPr>
              <w:t>甲方</w:t>
            </w:r>
            <w:r>
              <w:rPr>
                <w:rFonts w:hint="eastAsia" w:ascii="宋体" w:hAnsi="宋体"/>
                <w:color w:val="000000"/>
              </w:rPr>
              <w:t>形象或影响</w:t>
            </w:r>
            <w:r>
              <w:rPr>
                <w:rFonts w:hint="eastAsia" w:ascii="宋体" w:hAnsi="宋体"/>
                <w:color w:val="000000"/>
                <w:lang w:eastAsia="zh-CN"/>
              </w:rPr>
              <w:t>甲方</w:t>
            </w:r>
            <w:r>
              <w:rPr>
                <w:rFonts w:hint="eastAsia" w:ascii="宋体" w:hAnsi="宋体"/>
                <w:color w:val="000000"/>
              </w:rPr>
              <w:t>正常工作而造成损失的。</w:t>
            </w:r>
          </w:p>
        </w:tc>
        <w:tc>
          <w:tcPr>
            <w:tcW w:w="1050" w:type="dxa"/>
            <w:noWrap/>
            <w:vAlign w:val="center"/>
          </w:tcPr>
          <w:p w14:paraId="4BAA5913">
            <w:pPr>
              <w:pStyle w:val="6"/>
              <w:ind w:left="0" w:leftChars="0" w:firstLine="0" w:firstLineChars="0"/>
              <w:jc w:val="center"/>
              <w:rPr>
                <w:rFonts w:ascii="宋体" w:hAnsi="宋体"/>
                <w:color w:val="000000"/>
              </w:rPr>
            </w:pPr>
            <w:r>
              <w:rPr>
                <w:rFonts w:ascii="宋体" w:hAnsi="宋体"/>
                <w:color w:val="000000"/>
              </w:rPr>
              <w:t>5</w:t>
            </w:r>
          </w:p>
        </w:tc>
        <w:tc>
          <w:tcPr>
            <w:tcW w:w="3291" w:type="dxa"/>
            <w:noWrap/>
            <w:vAlign w:val="center"/>
          </w:tcPr>
          <w:p w14:paraId="6A6C0330">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500</w:t>
            </w:r>
            <w:r>
              <w:rPr>
                <w:rFonts w:hint="eastAsia" w:ascii="宋体" w:hAnsi="宋体"/>
                <w:color w:val="000000"/>
              </w:rPr>
              <w:t>元，扣</w:t>
            </w:r>
            <w:r>
              <w:rPr>
                <w:rFonts w:ascii="宋体" w:hAnsi="宋体"/>
                <w:color w:val="000000"/>
              </w:rPr>
              <w:t>5</w:t>
            </w:r>
            <w:r>
              <w:rPr>
                <w:rFonts w:hint="eastAsia" w:ascii="宋体" w:hAnsi="宋体"/>
                <w:color w:val="000000"/>
              </w:rPr>
              <w:t>分。</w:t>
            </w:r>
          </w:p>
        </w:tc>
        <w:tc>
          <w:tcPr>
            <w:tcW w:w="982" w:type="dxa"/>
            <w:noWrap/>
            <w:vAlign w:val="center"/>
          </w:tcPr>
          <w:p w14:paraId="7C7A6DD3">
            <w:pPr>
              <w:pStyle w:val="6"/>
              <w:jc w:val="center"/>
              <w:rPr>
                <w:rFonts w:ascii="宋体" w:hAnsi="宋体"/>
                <w:color w:val="000000"/>
              </w:rPr>
            </w:pPr>
          </w:p>
        </w:tc>
      </w:tr>
      <w:tr w14:paraId="220C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0" w:type="dxa"/>
            <w:vMerge w:val="continue"/>
            <w:noWrap/>
            <w:vAlign w:val="center"/>
          </w:tcPr>
          <w:p w14:paraId="024F317C">
            <w:pPr>
              <w:pStyle w:val="6"/>
              <w:jc w:val="center"/>
              <w:rPr>
                <w:rFonts w:ascii="宋体" w:hAnsi="宋体"/>
                <w:color w:val="000000"/>
              </w:rPr>
            </w:pPr>
          </w:p>
        </w:tc>
        <w:tc>
          <w:tcPr>
            <w:tcW w:w="4086" w:type="dxa"/>
            <w:noWrap/>
            <w:vAlign w:val="center"/>
          </w:tcPr>
          <w:p w14:paraId="7A9CB378">
            <w:pPr>
              <w:pStyle w:val="6"/>
              <w:ind w:left="0" w:leftChars="0" w:firstLine="0" w:firstLineChars="0"/>
              <w:jc w:val="center"/>
              <w:rPr>
                <w:rFonts w:ascii="宋体" w:hAnsi="宋体"/>
                <w:color w:val="000000"/>
              </w:rPr>
            </w:pPr>
            <w:r>
              <w:rPr>
                <w:rFonts w:ascii="宋体" w:hAnsi="宋体"/>
                <w:color w:val="000000"/>
              </w:rPr>
              <w:t>6.</w:t>
            </w:r>
            <w:r>
              <w:rPr>
                <w:rFonts w:hint="eastAsia" w:ascii="宋体" w:hAnsi="宋体"/>
                <w:color w:val="000000"/>
              </w:rPr>
              <w:t>乙方对甲方指出的工作中存在的问题与不足未能及时整改。</w:t>
            </w:r>
          </w:p>
        </w:tc>
        <w:tc>
          <w:tcPr>
            <w:tcW w:w="1050" w:type="dxa"/>
            <w:noWrap/>
            <w:vAlign w:val="center"/>
          </w:tcPr>
          <w:p w14:paraId="1114F393">
            <w:pPr>
              <w:pStyle w:val="6"/>
              <w:ind w:left="0" w:leftChars="0" w:firstLine="0" w:firstLineChars="0"/>
              <w:jc w:val="center"/>
              <w:rPr>
                <w:rFonts w:ascii="宋体" w:hAnsi="宋体"/>
                <w:color w:val="000000"/>
              </w:rPr>
            </w:pPr>
            <w:r>
              <w:rPr>
                <w:rFonts w:ascii="宋体" w:hAnsi="宋体"/>
                <w:color w:val="000000"/>
              </w:rPr>
              <w:t>1</w:t>
            </w:r>
          </w:p>
        </w:tc>
        <w:tc>
          <w:tcPr>
            <w:tcW w:w="3291" w:type="dxa"/>
            <w:noWrap/>
            <w:vAlign w:val="center"/>
          </w:tcPr>
          <w:p w14:paraId="20E2C701">
            <w:pPr>
              <w:pStyle w:val="6"/>
              <w:ind w:left="0" w:leftChars="0" w:firstLine="0" w:firstLineChars="0"/>
              <w:jc w:val="center"/>
              <w:rPr>
                <w:rFonts w:ascii="宋体" w:hAnsi="宋体"/>
                <w:color w:val="000000"/>
              </w:rPr>
            </w:pPr>
            <w:r>
              <w:rPr>
                <w:rFonts w:hint="eastAsia" w:ascii="宋体" w:hAnsi="宋体"/>
                <w:color w:val="000000"/>
              </w:rPr>
              <w:t>每发现一次不合格者罚款</w:t>
            </w:r>
            <w:r>
              <w:rPr>
                <w:rFonts w:ascii="宋体" w:hAnsi="宋体"/>
                <w:color w:val="000000"/>
              </w:rPr>
              <w:t>100</w:t>
            </w:r>
            <w:r>
              <w:rPr>
                <w:rFonts w:hint="eastAsia" w:ascii="宋体" w:hAnsi="宋体"/>
                <w:color w:val="000000"/>
              </w:rPr>
              <w:t>元，扣</w:t>
            </w:r>
            <w:r>
              <w:rPr>
                <w:rFonts w:ascii="宋体" w:hAnsi="宋体"/>
                <w:color w:val="000000"/>
              </w:rPr>
              <w:t>1</w:t>
            </w:r>
            <w:r>
              <w:rPr>
                <w:rFonts w:hint="eastAsia" w:ascii="宋体" w:hAnsi="宋体"/>
                <w:color w:val="000000"/>
              </w:rPr>
              <w:t>分。</w:t>
            </w:r>
          </w:p>
        </w:tc>
        <w:tc>
          <w:tcPr>
            <w:tcW w:w="982" w:type="dxa"/>
            <w:noWrap/>
            <w:vAlign w:val="center"/>
          </w:tcPr>
          <w:p w14:paraId="32B9F0BB">
            <w:pPr>
              <w:pStyle w:val="6"/>
              <w:jc w:val="center"/>
              <w:rPr>
                <w:rFonts w:ascii="宋体" w:hAnsi="宋体"/>
                <w:color w:val="000000"/>
              </w:rPr>
            </w:pPr>
          </w:p>
        </w:tc>
      </w:tr>
    </w:tbl>
    <w:p w14:paraId="2EBB4655">
      <w:pPr>
        <w:pStyle w:val="6"/>
        <w:ind w:firstLine="422"/>
        <w:rPr>
          <w:rFonts w:ascii="宋体" w:hAnsi="宋体"/>
          <w:b/>
          <w:bCs/>
          <w:color w:val="000000"/>
        </w:rPr>
      </w:pPr>
      <w:r>
        <w:rPr>
          <w:rFonts w:hint="eastAsia" w:ascii="宋体" w:hAnsi="宋体"/>
          <w:b/>
          <w:bCs/>
          <w:color w:val="000000"/>
        </w:rPr>
        <w:t>备注：</w:t>
      </w:r>
    </w:p>
    <w:p w14:paraId="33A99F61">
      <w:pPr>
        <w:pStyle w:val="6"/>
        <w:rPr>
          <w:rFonts w:ascii="宋体" w:hAnsi="宋体"/>
          <w:color w:val="000000"/>
        </w:rPr>
      </w:pPr>
      <w:r>
        <w:rPr>
          <w:rFonts w:hint="eastAsia" w:ascii="宋体" w:hAnsi="宋体"/>
          <w:color w:val="000000"/>
        </w:rPr>
        <w:t>一、防城港市</w:t>
      </w:r>
      <w:r>
        <w:rPr>
          <w:rFonts w:hint="eastAsia" w:ascii="宋体" w:hAnsi="宋体"/>
          <w:color w:val="000000"/>
          <w:lang w:eastAsia="zh-CN"/>
        </w:rPr>
        <w:t>中级人民法院司法行政装备管理科（</w:t>
      </w:r>
      <w:r>
        <w:rPr>
          <w:rFonts w:hint="eastAsia" w:ascii="宋体" w:hAnsi="宋体"/>
          <w:color w:val="000000"/>
        </w:rPr>
        <w:t>机关后勤服务中心</w:t>
      </w:r>
      <w:r>
        <w:rPr>
          <w:rFonts w:hint="eastAsia" w:ascii="宋体" w:hAnsi="宋体"/>
          <w:color w:val="000000"/>
          <w:lang w:eastAsia="zh-CN"/>
        </w:rPr>
        <w:t>）</w:t>
      </w:r>
      <w:r>
        <w:rPr>
          <w:rFonts w:hint="eastAsia" w:ascii="宋体" w:hAnsi="宋体"/>
          <w:color w:val="000000"/>
        </w:rPr>
        <w:t>将对物业管理服务进行全程监控管理，如成交方日常工作不到位、不达标或有违约现象，将依据《防城港市</w:t>
      </w:r>
      <w:r>
        <w:rPr>
          <w:rFonts w:hint="eastAsia" w:ascii="宋体" w:hAnsi="宋体"/>
          <w:color w:val="000000"/>
          <w:lang w:eastAsia="zh-CN"/>
        </w:rPr>
        <w:t>中级人民法院</w:t>
      </w:r>
      <w:r>
        <w:rPr>
          <w:rFonts w:hint="eastAsia" w:ascii="宋体" w:hAnsi="宋体"/>
          <w:color w:val="000000"/>
        </w:rPr>
        <w:t>物业管理服务考评</w:t>
      </w:r>
      <w:r>
        <w:rPr>
          <w:rFonts w:hint="eastAsia" w:ascii="宋体" w:hAnsi="宋体"/>
          <w:color w:val="000000"/>
          <w:lang w:eastAsia="zh-CN"/>
        </w:rPr>
        <w:t>和</w:t>
      </w:r>
      <w:r>
        <w:rPr>
          <w:rFonts w:hint="eastAsia" w:ascii="宋体" w:hAnsi="宋体"/>
          <w:color w:val="000000"/>
        </w:rPr>
        <w:t>扣罚标准》及合同约定给予处理和处罚。</w:t>
      </w:r>
    </w:p>
    <w:p w14:paraId="0DF6F8BC">
      <w:pPr>
        <w:pStyle w:val="6"/>
        <w:rPr>
          <w:rFonts w:hint="eastAsia" w:ascii="宋体" w:hAnsi="宋体"/>
          <w:color w:val="000000"/>
        </w:rPr>
      </w:pPr>
      <w:r>
        <w:rPr>
          <w:rFonts w:hint="eastAsia" w:ascii="宋体" w:hAnsi="宋体"/>
          <w:color w:val="000000"/>
        </w:rPr>
        <w:t>二、根据《防城港市中级人民法院物业管理服务考评和扣罚标准》，采购人每月至少1次派出专人对工作内容的完成情况进行督促检查，其余时间不定期抽查，检查人填写工作检查记录由服务单位被检查人签字认可并整理保存。根据平时检查结果，采购人有权针对出现的问题实施处罚，下达书面整改通知的必须限期内整改</w:t>
      </w:r>
      <w:r>
        <w:rPr>
          <w:rFonts w:hint="eastAsia" w:ascii="宋体" w:hAnsi="宋体"/>
          <w:color w:val="000000"/>
          <w:lang w:eastAsia="zh-CN"/>
        </w:rPr>
        <w:t>。</w:t>
      </w:r>
      <w:r>
        <w:rPr>
          <w:rFonts w:hint="eastAsia" w:ascii="宋体" w:hAnsi="宋体"/>
          <w:color w:val="000000"/>
        </w:rPr>
        <w:t>同类问题下达书面整改通知达到三次，采购人有权依法解除合同。</w:t>
      </w:r>
    </w:p>
    <w:p w14:paraId="315BE689">
      <w:pPr>
        <w:pStyle w:val="6"/>
        <w:rPr>
          <w:rFonts w:hint="eastAsia" w:ascii="宋体" w:hAnsi="宋体" w:eastAsia="宋体" w:cs="Times New Roman"/>
          <w:color w:val="000000"/>
        </w:rPr>
      </w:pPr>
      <w:r>
        <w:rPr>
          <w:rFonts w:hint="eastAsia" w:ascii="宋体" w:hAnsi="宋体"/>
          <w:color w:val="000000"/>
        </w:rPr>
        <w:t>三、</w:t>
      </w:r>
      <w:r>
        <w:rPr>
          <w:rFonts w:hint="eastAsia" w:ascii="宋体" w:hAnsi="宋体" w:eastAsia="宋体" w:cs="Times New Roman"/>
          <w:color w:val="000000"/>
        </w:rPr>
        <w:t>扣分处罚标准不仅限于以上考评内容标准，如有其他违规违纪行为，按照相关法律法规、业主单位有关规定处理。</w:t>
      </w:r>
    </w:p>
    <w:p w14:paraId="2CF3399D">
      <w:pPr>
        <w:rPr>
          <w:rFonts w:hint="eastAsia"/>
          <w:lang w:val="en-US" w:eastAsia="zh-CN"/>
        </w:rPr>
      </w:pPr>
      <w:r>
        <w:rPr>
          <w:rFonts w:hint="eastAsia"/>
          <w:lang w:val="en-US" w:eastAsia="zh-CN"/>
        </w:rPr>
        <w:br w:type="page"/>
      </w:r>
    </w:p>
    <w:p w14:paraId="3EC20B02">
      <w:pPr>
        <w:pStyle w:val="3"/>
        <w:pageBreakBefore w:val="0"/>
        <w:numPr>
          <w:ilvl w:val="0"/>
          <w:numId w:val="3"/>
        </w:numPr>
        <w:tabs>
          <w:tab w:val="left" w:pos="0"/>
          <w:tab w:val="left" w:pos="3165"/>
          <w:tab w:val="center" w:pos="4153"/>
        </w:tabs>
        <w:kinsoku/>
        <w:overflowPunct/>
        <w:topLinePunct w:val="0"/>
        <w:autoSpaceDE w:val="0"/>
        <w:autoSpaceDN w:val="0"/>
        <w:bidi w:val="0"/>
        <w:adjustRightInd w:val="0"/>
        <w:spacing w:before="0" w:after="0" w:line="240" w:lineRule="auto"/>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lang w:val="en-US" w:eastAsia="zh-CN"/>
        </w:rPr>
        <w:t xml:space="preserve"> </w:t>
      </w:r>
      <w:bookmarkStart w:id="31" w:name="_Toc29035"/>
      <w:r>
        <w:rPr>
          <w:rFonts w:hint="eastAsia" w:ascii="宋体" w:hAnsi="宋体" w:eastAsia="宋体" w:cs="宋体"/>
          <w:color w:val="auto"/>
          <w:sz w:val="40"/>
          <w:szCs w:val="40"/>
          <w:highlight w:val="none"/>
        </w:rPr>
        <w:t>投标人须知</w:t>
      </w:r>
      <w:bookmarkEnd w:id="31"/>
    </w:p>
    <w:p w14:paraId="1EF98BBA">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32" w:name="_Toc254970667"/>
      <w:bookmarkStart w:id="33" w:name="_Toc254970526"/>
      <w:r>
        <w:rPr>
          <w:rFonts w:hint="eastAsia" w:ascii="宋体" w:hAnsi="宋体" w:eastAsia="宋体" w:cs="宋体"/>
          <w:color w:val="auto"/>
          <w:sz w:val="21"/>
          <w:szCs w:val="21"/>
          <w:highlight w:val="none"/>
        </w:rPr>
        <w:t>投标人须知前附表</w:t>
      </w:r>
      <w:bookmarkEnd w:id="32"/>
      <w:bookmarkEnd w:id="33"/>
    </w:p>
    <w:tbl>
      <w:tblPr>
        <w:tblStyle w:val="20"/>
        <w:tblW w:w="9039"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144"/>
      </w:tblGrid>
      <w:tr w14:paraId="5FAFA5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622DFA42">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8144" w:type="dxa"/>
            <w:tcBorders>
              <w:top w:val="single" w:color="auto" w:sz="4" w:space="0"/>
              <w:left w:val="single" w:color="auto" w:sz="4" w:space="0"/>
              <w:bottom w:val="single" w:color="auto" w:sz="4" w:space="0"/>
              <w:right w:val="single" w:color="auto" w:sz="4" w:space="0"/>
            </w:tcBorders>
            <w:vAlign w:val="center"/>
          </w:tcPr>
          <w:p w14:paraId="7FC2C7DE">
            <w:pPr>
              <w:pageBreakBefore w:val="0"/>
              <w:kinsoku/>
              <w:overflowPunct/>
              <w:topLinePunct w:val="0"/>
              <w:bidi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14:paraId="0C890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1FD79C2C">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144" w:type="dxa"/>
            <w:tcBorders>
              <w:top w:val="single" w:color="auto" w:sz="4" w:space="0"/>
              <w:left w:val="single" w:color="auto" w:sz="4" w:space="0"/>
              <w:bottom w:val="single" w:color="auto" w:sz="4" w:space="0"/>
              <w:right w:val="single" w:color="auto" w:sz="4" w:space="0"/>
            </w:tcBorders>
            <w:vAlign w:val="center"/>
          </w:tcPr>
          <w:p w14:paraId="39B184A9">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1.投标人的资格要求详见</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公告。</w:t>
            </w:r>
          </w:p>
          <w:p w14:paraId="70323411">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2.投标人出现下列情形之一的，不得参加政府采购活动：</w:t>
            </w:r>
          </w:p>
          <w:p w14:paraId="5477F25D">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5837571">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14302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61D7E633">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34" w:name="_8.1"/>
            <w:bookmarkEnd w:id="34"/>
            <w:bookmarkStart w:id="35" w:name="_9.2"/>
            <w:bookmarkEnd w:id="35"/>
            <w:bookmarkStart w:id="36" w:name="_5"/>
            <w:bookmarkEnd w:id="36"/>
            <w:r>
              <w:rPr>
                <w:rFonts w:hint="eastAsia" w:ascii="宋体" w:hAnsi="宋体" w:eastAsia="宋体" w:cs="宋体"/>
                <w:color w:val="auto"/>
                <w:sz w:val="21"/>
                <w:szCs w:val="21"/>
                <w:highlight w:val="none"/>
              </w:rPr>
              <w:t>6.1</w:t>
            </w:r>
          </w:p>
        </w:tc>
        <w:tc>
          <w:tcPr>
            <w:tcW w:w="8144" w:type="dxa"/>
            <w:tcBorders>
              <w:top w:val="single" w:color="auto" w:sz="4" w:space="0"/>
              <w:left w:val="single" w:color="auto" w:sz="4" w:space="0"/>
              <w:bottom w:val="single" w:color="auto" w:sz="4" w:space="0"/>
              <w:right w:val="single" w:color="auto" w:sz="4" w:space="0"/>
            </w:tcBorders>
            <w:vAlign w:val="center"/>
          </w:tcPr>
          <w:p w14:paraId="3268355A">
            <w:pPr>
              <w:pStyle w:val="7"/>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本项目是否接受联合体投标：详见</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公告。</w:t>
            </w:r>
          </w:p>
        </w:tc>
      </w:tr>
      <w:tr w14:paraId="2EC638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4EBBA806">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8144" w:type="dxa"/>
            <w:tcBorders>
              <w:top w:val="single" w:color="auto" w:sz="4" w:space="0"/>
              <w:left w:val="single" w:color="auto" w:sz="4" w:space="0"/>
              <w:bottom w:val="single" w:color="auto" w:sz="4" w:space="0"/>
              <w:right w:val="single" w:color="auto" w:sz="4" w:space="0"/>
            </w:tcBorders>
            <w:vAlign w:val="center"/>
          </w:tcPr>
          <w:p w14:paraId="46FA040C">
            <w:pPr>
              <w:pStyle w:val="7"/>
              <w:pageBreakBefore w:val="0"/>
              <w:kinsoku/>
              <w:overflowPunct/>
              <w:topLinePunct w:val="0"/>
              <w:bidi w:val="0"/>
              <w:spacing w:line="240" w:lineRule="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不允许分包</w:t>
            </w:r>
            <w:r>
              <w:rPr>
                <w:rFonts w:hint="eastAsia" w:ascii="宋体" w:hAnsi="宋体" w:eastAsia="宋体" w:cs="宋体"/>
                <w:color w:val="auto"/>
                <w:sz w:val="21"/>
                <w:szCs w:val="21"/>
                <w:highlight w:val="none"/>
                <w:lang w:eastAsia="zh-CN"/>
              </w:rPr>
              <w:t>。</w:t>
            </w:r>
          </w:p>
        </w:tc>
      </w:tr>
      <w:tr w14:paraId="78986D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62E8E6C1">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w:t>
            </w:r>
          </w:p>
        </w:tc>
        <w:tc>
          <w:tcPr>
            <w:tcW w:w="8144" w:type="dxa"/>
            <w:tcBorders>
              <w:top w:val="single" w:color="auto" w:sz="4" w:space="0"/>
              <w:left w:val="single" w:color="auto" w:sz="4" w:space="0"/>
              <w:bottom w:val="single" w:color="auto" w:sz="4" w:space="0"/>
              <w:right w:val="single" w:color="auto" w:sz="4" w:space="0"/>
            </w:tcBorders>
            <w:vAlign w:val="center"/>
          </w:tcPr>
          <w:p w14:paraId="40D2CC84">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采用综合评分法的采购项目，提供相同品牌产品（非单一产品采购项目的，指核心产品）的不同投标人评审得分相同时，按照下列方式确定一个投标人获得中标人推荐资格：</w:t>
            </w:r>
          </w:p>
          <w:p w14:paraId="480AD8C7">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依次按投标报价低的优先、政策分得分高的优先、技术评分高的优先、商务评分高的优先、保修期长优先、交货期短优先、故障响应时间短优先的顺序推荐。</w:t>
            </w:r>
          </w:p>
        </w:tc>
      </w:tr>
      <w:tr w14:paraId="448D1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895" w:type="dxa"/>
            <w:vMerge w:val="restart"/>
            <w:tcBorders>
              <w:top w:val="single" w:color="auto" w:sz="4" w:space="0"/>
              <w:left w:val="single" w:color="auto" w:sz="4" w:space="0"/>
              <w:right w:val="single" w:color="auto" w:sz="4" w:space="0"/>
            </w:tcBorders>
            <w:vAlign w:val="center"/>
          </w:tcPr>
          <w:p w14:paraId="37D23A40">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8144" w:type="dxa"/>
            <w:tcBorders>
              <w:top w:val="single" w:color="auto" w:sz="4" w:space="0"/>
              <w:left w:val="single" w:color="auto" w:sz="4" w:space="0"/>
              <w:bottom w:val="single" w:color="auto" w:sz="4" w:space="0"/>
              <w:right w:val="single" w:color="auto" w:sz="4" w:space="0"/>
            </w:tcBorders>
            <w:vAlign w:val="center"/>
          </w:tcPr>
          <w:p w14:paraId="3FDA053A">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不组织现场考察。</w:t>
            </w:r>
          </w:p>
        </w:tc>
      </w:tr>
      <w:tr w14:paraId="2C161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895" w:type="dxa"/>
            <w:vMerge w:val="continue"/>
            <w:tcBorders>
              <w:left w:val="single" w:color="auto" w:sz="4" w:space="0"/>
              <w:bottom w:val="single" w:color="auto" w:sz="4" w:space="0"/>
              <w:right w:val="single" w:color="auto" w:sz="4" w:space="0"/>
            </w:tcBorders>
            <w:vAlign w:val="center"/>
          </w:tcPr>
          <w:p w14:paraId="3442DC8F">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p>
        </w:tc>
        <w:tc>
          <w:tcPr>
            <w:tcW w:w="8144" w:type="dxa"/>
            <w:tcBorders>
              <w:top w:val="single" w:color="auto" w:sz="4" w:space="0"/>
              <w:left w:val="single" w:color="auto" w:sz="4" w:space="0"/>
              <w:bottom w:val="single" w:color="auto" w:sz="4" w:space="0"/>
              <w:right w:val="single" w:color="auto" w:sz="4" w:space="0"/>
            </w:tcBorders>
            <w:vAlign w:val="center"/>
          </w:tcPr>
          <w:p w14:paraId="2AFECBDA">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不组织召开开标前答疑会。</w:t>
            </w:r>
          </w:p>
        </w:tc>
      </w:tr>
      <w:tr w14:paraId="10A75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restart"/>
            <w:tcBorders>
              <w:top w:val="single" w:color="auto" w:sz="4" w:space="0"/>
              <w:left w:val="single" w:color="auto" w:sz="4" w:space="0"/>
              <w:right w:val="single" w:color="auto" w:sz="4" w:space="0"/>
            </w:tcBorders>
            <w:vAlign w:val="center"/>
          </w:tcPr>
          <w:p w14:paraId="064F8E09">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37" w:name="_13.1"/>
            <w:bookmarkEnd w:id="37"/>
            <w:r>
              <w:rPr>
                <w:rFonts w:hint="eastAsia" w:ascii="宋体" w:hAnsi="宋体" w:eastAsia="宋体" w:cs="宋体"/>
                <w:color w:val="auto"/>
                <w:sz w:val="21"/>
                <w:szCs w:val="21"/>
                <w:highlight w:val="none"/>
              </w:rPr>
              <w:t>13</w:t>
            </w:r>
          </w:p>
        </w:tc>
        <w:tc>
          <w:tcPr>
            <w:tcW w:w="8144" w:type="dxa"/>
            <w:tcBorders>
              <w:top w:val="single" w:color="auto" w:sz="4" w:space="0"/>
              <w:left w:val="single" w:color="auto" w:sz="4" w:space="0"/>
              <w:bottom w:val="single" w:color="auto" w:sz="4" w:space="0"/>
              <w:right w:val="single" w:color="auto" w:sz="4" w:space="0"/>
            </w:tcBorders>
            <w:vAlign w:val="center"/>
          </w:tcPr>
          <w:p w14:paraId="4A292D5C">
            <w:pPr>
              <w:pageBreakBefore w:val="0"/>
              <w:kinsoku/>
              <w:overflowPunct/>
              <w:topLinePunct w:val="0"/>
              <w:bidi w:val="0"/>
              <w:snapToGrid w:val="0"/>
              <w:spacing w:line="24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报价文件：</w:t>
            </w:r>
          </w:p>
          <w:p w14:paraId="2544FA41">
            <w:pPr>
              <w:pageBreakBefore w:val="0"/>
              <w:tabs>
                <w:tab w:val="left" w:pos="459"/>
              </w:tabs>
              <w:kinsoku/>
              <w:overflowPunct/>
              <w:topLinePunct w:val="0"/>
              <w:bidi w:val="0"/>
              <w:snapToGrid w:val="0"/>
              <w:spacing w:line="240" w:lineRule="auto"/>
              <w:ind w:left="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1.投标函（格式后附）；</w:t>
            </w:r>
            <w:r>
              <w:rPr>
                <w:rFonts w:hint="eastAsia" w:ascii="宋体" w:hAnsi="宋体" w:eastAsia="宋体" w:cs="宋体"/>
                <w:b/>
                <w:color w:val="auto"/>
                <w:sz w:val="21"/>
                <w:szCs w:val="21"/>
                <w:highlight w:val="none"/>
              </w:rPr>
              <w:t>（必须提供，否则按无效投标处理）</w:t>
            </w:r>
          </w:p>
          <w:p w14:paraId="1747E943">
            <w:pPr>
              <w:pageBreakBefore w:val="0"/>
              <w:tabs>
                <w:tab w:val="left" w:pos="459"/>
              </w:tabs>
              <w:kinsoku/>
              <w:overflowPunct/>
              <w:topLinePunct w:val="0"/>
              <w:bidi w:val="0"/>
              <w:snapToGrid w:val="0"/>
              <w:spacing w:line="240" w:lineRule="auto"/>
              <w:ind w:left="420"/>
              <w:jc w:val="left"/>
              <w:rPr>
                <w:rFonts w:hint="eastAsia" w:ascii="宋体" w:hAnsi="宋体" w:eastAsia="宋体" w:cs="宋体"/>
                <w:color w:val="auto"/>
                <w:sz w:val="21"/>
                <w:szCs w:val="21"/>
                <w:highlight w:val="none"/>
              </w:rPr>
            </w:pPr>
            <w:bookmarkStart w:id="38" w:name="_Hlk71299233"/>
            <w:r>
              <w:rPr>
                <w:rFonts w:hint="eastAsia" w:ascii="宋体" w:hAnsi="宋体" w:eastAsia="宋体" w:cs="宋体"/>
                <w:color w:val="auto"/>
                <w:sz w:val="21"/>
                <w:szCs w:val="21"/>
                <w:highlight w:val="none"/>
              </w:rPr>
              <w:t>2.</w:t>
            </w:r>
            <w:bookmarkEnd w:id="38"/>
            <w:r>
              <w:rPr>
                <w:rFonts w:hint="eastAsia" w:ascii="宋体" w:hAnsi="宋体" w:eastAsia="宋体" w:cs="宋体"/>
                <w:color w:val="auto"/>
                <w:sz w:val="21"/>
                <w:szCs w:val="21"/>
                <w:highlight w:val="none"/>
                <w:lang w:eastAsia="zh-CN"/>
              </w:rPr>
              <w:t>开标一览表</w:t>
            </w:r>
            <w:r>
              <w:rPr>
                <w:rFonts w:hint="eastAsia" w:ascii="宋体" w:hAnsi="宋体" w:eastAsia="宋体" w:cs="宋体"/>
                <w:color w:val="auto"/>
                <w:sz w:val="21"/>
                <w:szCs w:val="21"/>
                <w:highlight w:val="none"/>
              </w:rPr>
              <w:t>（格式后附）；</w:t>
            </w:r>
            <w:r>
              <w:rPr>
                <w:rFonts w:hint="eastAsia" w:ascii="宋体" w:hAnsi="宋体" w:eastAsia="宋体" w:cs="宋体"/>
                <w:b/>
                <w:color w:val="auto"/>
                <w:sz w:val="21"/>
                <w:szCs w:val="21"/>
                <w:highlight w:val="none"/>
              </w:rPr>
              <w:t>（必须提供，否则按无效投标处理）</w:t>
            </w:r>
          </w:p>
          <w:p w14:paraId="093D7536">
            <w:pPr>
              <w:pageBreakBefore w:val="0"/>
              <w:tabs>
                <w:tab w:val="left" w:pos="459"/>
              </w:tabs>
              <w:kinsoku/>
              <w:overflowPunct/>
              <w:topLinePunct w:val="0"/>
              <w:bidi w:val="0"/>
              <w:snapToGrid w:val="0"/>
              <w:spacing w:line="240" w:lineRule="auto"/>
              <w:ind w:left="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3.投标人针对报价需要说明的其他文件和说明（格式自拟）。</w:t>
            </w:r>
          </w:p>
          <w:p w14:paraId="42D347DC">
            <w:pPr>
              <w:pageBreakBefore w:val="0"/>
              <w:tabs>
                <w:tab w:val="left" w:pos="459"/>
              </w:tabs>
              <w:kinsoku/>
              <w:overflowPunct/>
              <w:topLinePunct w:val="0"/>
              <w:bidi w:val="0"/>
              <w:snapToGrid w:val="0"/>
              <w:spacing w:line="240" w:lineRule="auto"/>
              <w:jc w:val="left"/>
              <w:rPr>
                <w:rFonts w:hint="eastAsia"/>
              </w:rPr>
            </w:pPr>
            <w:r>
              <w:rPr>
                <w:rFonts w:hint="eastAsia" w:ascii="宋体" w:hAnsi="宋体" w:eastAsia="宋体" w:cs="宋体"/>
                <w:b/>
                <w:bCs/>
                <w:color w:val="auto"/>
                <w:sz w:val="21"/>
                <w:szCs w:val="21"/>
                <w:highlight w:val="none"/>
              </w:rPr>
              <w:t>注：以上标明“必须提供”的材料属于复印件的，必须加盖投标人公章，否则按无效投标处理。</w:t>
            </w:r>
          </w:p>
        </w:tc>
      </w:tr>
      <w:tr w14:paraId="2FFEF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right w:val="single" w:color="auto" w:sz="4" w:space="0"/>
            </w:tcBorders>
            <w:vAlign w:val="center"/>
          </w:tcPr>
          <w:p w14:paraId="196016AF">
            <w:pPr>
              <w:pageBreakBefore w:val="0"/>
              <w:kinsoku/>
              <w:overflowPunct/>
              <w:topLinePunct w:val="0"/>
              <w:bidi w:val="0"/>
              <w:spacing w:line="240" w:lineRule="auto"/>
              <w:rPr>
                <w:rFonts w:hint="eastAsia" w:ascii="宋体" w:hAnsi="宋体" w:eastAsia="宋体" w:cs="宋体"/>
                <w:color w:val="auto"/>
                <w:sz w:val="21"/>
                <w:szCs w:val="21"/>
                <w:highlight w:val="none"/>
              </w:rPr>
            </w:pPr>
            <w:bookmarkStart w:id="39" w:name="_13.2"/>
            <w:bookmarkEnd w:id="39"/>
          </w:p>
        </w:tc>
        <w:tc>
          <w:tcPr>
            <w:tcW w:w="8144" w:type="dxa"/>
            <w:tcBorders>
              <w:top w:val="single" w:color="auto" w:sz="4" w:space="0"/>
              <w:left w:val="single" w:color="auto" w:sz="4" w:space="0"/>
              <w:bottom w:val="single" w:color="auto" w:sz="4" w:space="0"/>
              <w:right w:val="single" w:color="auto" w:sz="4" w:space="0"/>
            </w:tcBorders>
            <w:vAlign w:val="center"/>
          </w:tcPr>
          <w:p w14:paraId="123ED325">
            <w:pPr>
              <w:pageBreakBefore w:val="0"/>
              <w:kinsoku/>
              <w:overflowPunct/>
              <w:topLinePunct w:val="0"/>
              <w:bidi w:val="0"/>
              <w:snapToGrid w:val="0"/>
              <w:spacing w:line="240" w:lineRule="auto"/>
              <w:jc w:val="left"/>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资格证明文件</w:t>
            </w:r>
            <w:r>
              <w:rPr>
                <w:rFonts w:hint="eastAsia" w:ascii="宋体" w:hAnsi="宋体" w:eastAsia="宋体" w:cs="宋体"/>
                <w:b/>
                <w:color w:val="auto"/>
                <w:sz w:val="21"/>
                <w:szCs w:val="21"/>
                <w:highlight w:val="none"/>
                <w:lang w:eastAsia="zh-CN"/>
              </w:rPr>
              <w:t>：</w:t>
            </w:r>
          </w:p>
          <w:p w14:paraId="03693D74">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相关注册或登记等证明材料，其中：投标人是企业（包括合伙企业）的，应提供其在工商部门注册的有效“企业法人营业执照”或“营业执照”的复印件；投标人是事业单位的，应提供其有效的“事业单位法人证书”复印件；投标人是非企业专业服务机构的，应提供其有效的执业许可证复印件；投标人是个体工商户的，应提供其有效的“个体工商户营业执照”复印件</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rPr>
              <w:t>（必须提供，否则按无效投标处理）</w:t>
            </w:r>
          </w:p>
          <w:p w14:paraId="2241BEC4">
            <w:pPr>
              <w:pageBreakBefore w:val="0"/>
              <w:kinsoku/>
              <w:overflowPunct/>
              <w:topLinePunct w:val="0"/>
              <w:bidi w:val="0"/>
              <w:snapToGrid w:val="0"/>
              <w:spacing w:line="240" w:lineRule="auto"/>
              <w:ind w:firstLine="420" w:firstLineChars="200"/>
              <w:jc w:val="left"/>
              <w:rPr>
                <w:rFonts w:hint="eastAsia" w:ascii="宋体" w:hAnsi="宋体" w:eastAsia="宋体" w:cs="宋体"/>
                <w:b/>
                <w:bCs/>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.防城港市政府采购供应商信用承诺函（格式后附）；</w:t>
            </w:r>
            <w:r>
              <w:rPr>
                <w:rFonts w:hint="eastAsia" w:ascii="宋体" w:hAnsi="宋体" w:eastAsia="宋体" w:cs="宋体"/>
                <w:b/>
                <w:bCs/>
                <w:color w:val="auto"/>
                <w:sz w:val="21"/>
                <w:szCs w:val="21"/>
                <w:highlight w:val="none"/>
              </w:rPr>
              <w:t>（必须提供，否则按无效投标处理）</w:t>
            </w:r>
          </w:p>
          <w:p w14:paraId="2D0F8E09">
            <w:pPr>
              <w:pageBreakBefore w:val="0"/>
              <w:kinsoku/>
              <w:overflowPunct/>
              <w:topLinePunct w:val="0"/>
              <w:bidi w:val="0"/>
              <w:snapToGrid w:val="0"/>
              <w:spacing w:line="240" w:lineRule="auto"/>
              <w:ind w:firstLine="420" w:firstLineChars="200"/>
              <w:jc w:val="left"/>
              <w:rPr>
                <w:rFonts w:hint="eastAsia" w:ascii="宋体" w:hAnsi="宋体" w:eastAsia="宋体" w:cs="宋体"/>
                <w:b/>
                <w:bCs/>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.投标人直接控股、管理关系信息表（格式后附）；</w:t>
            </w:r>
            <w:r>
              <w:rPr>
                <w:rFonts w:hint="eastAsia" w:ascii="宋体" w:hAnsi="宋体" w:eastAsia="宋体" w:cs="宋体"/>
                <w:b/>
                <w:bCs/>
                <w:color w:val="auto"/>
                <w:sz w:val="21"/>
                <w:szCs w:val="21"/>
                <w:highlight w:val="none"/>
              </w:rPr>
              <w:t>（必须提供，否则按无效投标处理）</w:t>
            </w:r>
          </w:p>
          <w:p w14:paraId="2840617B">
            <w:pPr>
              <w:pageBreakBefore w:val="0"/>
              <w:kinsoku/>
              <w:overflowPunct/>
              <w:topLinePunct w:val="0"/>
              <w:bidi w:val="0"/>
              <w:snapToGrid w:val="0"/>
              <w:spacing w:line="240" w:lineRule="auto"/>
              <w:ind w:firstLine="420" w:firstLineChars="200"/>
              <w:jc w:val="left"/>
              <w:rPr>
                <w:rFonts w:hint="eastAsia" w:ascii="宋体" w:hAnsi="宋体" w:eastAsia="宋体" w:cs="宋体"/>
                <w:b/>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.投标声明（格式后附）；</w:t>
            </w:r>
            <w:r>
              <w:rPr>
                <w:rFonts w:hint="eastAsia" w:ascii="宋体" w:hAnsi="宋体" w:eastAsia="宋体" w:cs="宋体"/>
                <w:b/>
                <w:bCs/>
                <w:color w:val="auto"/>
                <w:sz w:val="21"/>
                <w:szCs w:val="21"/>
                <w:highlight w:val="none"/>
              </w:rPr>
              <w:t>（必须提供，否则按无效投标处理）</w:t>
            </w:r>
          </w:p>
          <w:p w14:paraId="630AB18A">
            <w:pPr>
              <w:pageBreakBefore w:val="0"/>
              <w:kinsoku/>
              <w:overflowPunct/>
              <w:topLinePunct w:val="0"/>
              <w:bidi w:val="0"/>
              <w:snapToGrid w:val="0"/>
              <w:spacing w:line="240" w:lineRule="auto"/>
              <w:ind w:firstLine="420" w:firstLineChars="200"/>
              <w:jc w:val="left"/>
              <w:rPr>
                <w:rFonts w:hint="eastAsia" w:ascii="宋体" w:hAnsi="宋体" w:eastAsia="宋体" w:cs="宋体"/>
                <w:b/>
                <w:bCs/>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cs="宋体"/>
                <w:bCs/>
                <w:color w:val="auto"/>
                <w:sz w:val="21"/>
                <w:szCs w:val="21"/>
                <w:highlight w:val="none"/>
                <w:lang w:val="en-US" w:eastAsia="zh-CN"/>
              </w:rPr>
              <w:t>中小</w:t>
            </w:r>
            <w:r>
              <w:rPr>
                <w:rFonts w:hint="eastAsia" w:ascii="宋体" w:hAnsi="宋体" w:eastAsia="宋体" w:cs="宋体"/>
                <w:bCs/>
                <w:color w:val="auto"/>
                <w:sz w:val="21"/>
                <w:szCs w:val="21"/>
                <w:highlight w:val="none"/>
              </w:rPr>
              <w:t>企业声明函或监狱企业证明材料或</w:t>
            </w:r>
            <w:r>
              <w:rPr>
                <w:rFonts w:hint="eastAsia" w:ascii="宋体" w:hAnsi="宋体" w:cs="宋体"/>
                <w:bCs/>
                <w:color w:val="auto"/>
                <w:sz w:val="21"/>
                <w:szCs w:val="21"/>
                <w:highlight w:val="none"/>
                <w:lang w:val="en-US" w:eastAsia="zh-CN"/>
              </w:rPr>
              <w:t>残疾人福利性单位声明函</w:t>
            </w:r>
            <w:r>
              <w:rPr>
                <w:rFonts w:hint="eastAsia" w:ascii="宋体" w:hAnsi="宋体" w:eastAsia="宋体" w:cs="宋体"/>
                <w:color w:val="auto"/>
                <w:sz w:val="21"/>
                <w:szCs w:val="21"/>
                <w:highlight w:val="none"/>
              </w:rPr>
              <w:t>（格式后附）；</w:t>
            </w:r>
            <w:r>
              <w:rPr>
                <w:rFonts w:hint="eastAsia" w:ascii="宋体" w:hAnsi="宋体" w:eastAsia="宋体" w:cs="宋体"/>
                <w:b/>
                <w:bCs/>
                <w:color w:val="auto"/>
                <w:sz w:val="21"/>
                <w:szCs w:val="21"/>
                <w:highlight w:val="none"/>
              </w:rPr>
              <w:t>（必须提供，否则按无效投标处理）</w:t>
            </w:r>
          </w:p>
          <w:p w14:paraId="1DFE773C">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.投标人认为需要提供的其他证明材料。</w:t>
            </w:r>
          </w:p>
          <w:p w14:paraId="286F8B64">
            <w:pPr>
              <w:pageBreakBefore w:val="0"/>
              <w:kinsoku/>
              <w:overflowPunct/>
              <w:topLinePunct w:val="0"/>
              <w:bidi w:val="0"/>
              <w:snapToGrid w:val="0"/>
              <w:spacing w:line="24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注：1.以上标明“必须提供”的材料属于复印件的，必须加盖投标人公章，否则按无效投标</w:t>
            </w:r>
            <w:r>
              <w:rPr>
                <w:rFonts w:hint="eastAsia" w:ascii="宋体" w:hAnsi="宋体" w:eastAsia="宋体" w:cs="宋体"/>
                <w:b/>
                <w:color w:val="auto"/>
                <w:sz w:val="21"/>
                <w:szCs w:val="21"/>
                <w:highlight w:val="none"/>
              </w:rPr>
              <w:t>处理。</w:t>
            </w:r>
            <w:r>
              <w:rPr>
                <w:rFonts w:hint="eastAsia" w:ascii="宋体" w:hAnsi="宋体" w:eastAsia="宋体" w:cs="宋体"/>
                <w:b/>
                <w:bCs/>
                <w:color w:val="auto"/>
                <w:sz w:val="21"/>
                <w:szCs w:val="21"/>
                <w:highlight w:val="none"/>
              </w:rPr>
              <w:t>2.分公司参加投标的，应当取得总公司授权，否则按无效投标</w:t>
            </w:r>
            <w:r>
              <w:rPr>
                <w:rFonts w:hint="eastAsia" w:ascii="宋体" w:hAnsi="宋体" w:eastAsia="宋体" w:cs="宋体"/>
                <w:b/>
                <w:color w:val="auto"/>
                <w:sz w:val="21"/>
                <w:szCs w:val="21"/>
                <w:highlight w:val="none"/>
              </w:rPr>
              <w:t>处理。</w:t>
            </w:r>
          </w:p>
        </w:tc>
      </w:tr>
      <w:tr w14:paraId="0A8EBC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2" w:hRule="atLeast"/>
        </w:trPr>
        <w:tc>
          <w:tcPr>
            <w:tcW w:w="895" w:type="dxa"/>
            <w:vMerge w:val="continue"/>
            <w:tcBorders>
              <w:left w:val="single" w:color="auto" w:sz="4" w:space="0"/>
              <w:right w:val="single" w:color="auto" w:sz="4" w:space="0"/>
            </w:tcBorders>
            <w:vAlign w:val="center"/>
          </w:tcPr>
          <w:p w14:paraId="131C608A">
            <w:pPr>
              <w:pageBreakBefore w:val="0"/>
              <w:kinsoku/>
              <w:overflowPunct/>
              <w:topLinePunct w:val="0"/>
              <w:bidi w:val="0"/>
              <w:spacing w:line="240" w:lineRule="auto"/>
              <w:rPr>
                <w:rFonts w:hint="eastAsia" w:ascii="宋体" w:hAnsi="宋体" w:eastAsia="宋体" w:cs="宋体"/>
                <w:color w:val="auto"/>
                <w:sz w:val="21"/>
                <w:szCs w:val="21"/>
                <w:highlight w:val="none"/>
              </w:rPr>
            </w:pPr>
            <w:bookmarkStart w:id="40" w:name="_13.3"/>
            <w:bookmarkEnd w:id="40"/>
          </w:p>
        </w:tc>
        <w:tc>
          <w:tcPr>
            <w:tcW w:w="8144" w:type="dxa"/>
            <w:tcBorders>
              <w:top w:val="single" w:color="auto" w:sz="4" w:space="0"/>
              <w:left w:val="single" w:color="auto" w:sz="4" w:space="0"/>
              <w:bottom w:val="single" w:color="auto" w:sz="4" w:space="0"/>
              <w:right w:val="single" w:color="auto" w:sz="4" w:space="0"/>
            </w:tcBorders>
            <w:vAlign w:val="center"/>
          </w:tcPr>
          <w:p w14:paraId="63478469">
            <w:pPr>
              <w:pageBreakBefore w:val="0"/>
              <w:kinsoku/>
              <w:overflowPunct/>
              <w:topLinePunct w:val="0"/>
              <w:bidi w:val="0"/>
              <w:snapToGrid w:val="0"/>
              <w:spacing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商务文件：</w:t>
            </w:r>
          </w:p>
          <w:p w14:paraId="7D22B1F3">
            <w:pPr>
              <w:pageBreakBefore w:val="0"/>
              <w:kinsoku/>
              <w:overflowPunct/>
              <w:topLinePunct w:val="0"/>
              <w:bidi w:val="0"/>
              <w:snapToGrid w:val="0"/>
              <w:spacing w:line="240" w:lineRule="auto"/>
              <w:ind w:left="4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1.无串通投标行为的承诺函（格式后附）；</w:t>
            </w:r>
            <w:r>
              <w:rPr>
                <w:rFonts w:hint="eastAsia" w:ascii="宋体" w:hAnsi="宋体" w:eastAsia="宋体" w:cs="宋体"/>
                <w:b/>
                <w:bCs/>
                <w:color w:val="auto"/>
                <w:sz w:val="21"/>
                <w:szCs w:val="21"/>
                <w:highlight w:val="none"/>
              </w:rPr>
              <w:t>（必须提供，否则按无效投标处理）</w:t>
            </w:r>
          </w:p>
          <w:p w14:paraId="2909D8C3">
            <w:pPr>
              <w:pageBreakBefore w:val="0"/>
              <w:kinsoku/>
              <w:overflowPunct/>
              <w:topLinePunct w:val="0"/>
              <w:bidi w:val="0"/>
              <w:snapToGrid w:val="0"/>
              <w:spacing w:line="240" w:lineRule="auto"/>
              <w:ind w:firstLine="420" w:firstLineChars="20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2.法定代表人身份证明及法定代表人有效身份证正反面复印件（格式后附）；</w:t>
            </w:r>
            <w:r>
              <w:rPr>
                <w:rFonts w:hint="eastAsia" w:ascii="宋体" w:hAnsi="宋体" w:eastAsia="宋体" w:cs="宋体"/>
                <w:b/>
                <w:bCs/>
                <w:color w:val="auto"/>
                <w:sz w:val="21"/>
                <w:szCs w:val="21"/>
                <w:highlight w:val="none"/>
              </w:rPr>
              <w:t>（除自然人投标外必须提供，否则按无效投标处理）</w:t>
            </w:r>
          </w:p>
          <w:p w14:paraId="7A5BABDC">
            <w:pPr>
              <w:pageBreakBefore w:val="0"/>
              <w:kinsoku/>
              <w:overflowPunct/>
              <w:topLinePunct w:val="0"/>
              <w:bidi w:val="0"/>
              <w:snapToGrid w:val="0"/>
              <w:spacing w:line="240" w:lineRule="auto"/>
              <w:ind w:firstLine="420" w:firstLineChars="20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3.授权委托书及委托代理人有效身份证正反面复印件（格式后附）；</w:t>
            </w:r>
            <w:r>
              <w:rPr>
                <w:rFonts w:hint="eastAsia" w:ascii="宋体" w:hAnsi="宋体" w:eastAsia="宋体" w:cs="宋体"/>
                <w:b/>
                <w:bCs/>
                <w:color w:val="auto"/>
                <w:sz w:val="21"/>
                <w:szCs w:val="21"/>
                <w:highlight w:val="none"/>
              </w:rPr>
              <w:t>（委托时必须提供，否则按无效投标处理）</w:t>
            </w:r>
          </w:p>
          <w:p w14:paraId="35C59D46">
            <w:pPr>
              <w:pageBreakBefore w:val="0"/>
              <w:kinsoku/>
              <w:overflowPunct/>
              <w:topLinePunct w:val="0"/>
              <w:bidi w:val="0"/>
              <w:snapToGrid w:val="0"/>
              <w:spacing w:line="240" w:lineRule="auto"/>
              <w:ind w:left="4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4.商务要求偏离表（格式后附）；</w:t>
            </w:r>
            <w:r>
              <w:rPr>
                <w:rFonts w:hint="eastAsia" w:ascii="宋体" w:hAnsi="宋体" w:eastAsia="宋体" w:cs="宋体"/>
                <w:b/>
                <w:bCs/>
                <w:color w:val="auto"/>
                <w:sz w:val="21"/>
                <w:szCs w:val="21"/>
                <w:highlight w:val="none"/>
              </w:rPr>
              <w:t>（必须提供，否则按无效投标处理）</w:t>
            </w:r>
          </w:p>
          <w:p w14:paraId="59296735">
            <w:pPr>
              <w:pageBreakBefore w:val="0"/>
              <w:kinsoku/>
              <w:overflowPunct/>
              <w:topLinePunct w:val="0"/>
              <w:bidi w:val="0"/>
              <w:snapToGrid w:val="0"/>
              <w:spacing w:line="240" w:lineRule="auto"/>
              <w:ind w:left="413"/>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bCs/>
                <w:color w:val="auto"/>
                <w:sz w:val="21"/>
                <w:szCs w:val="21"/>
                <w:highlight w:val="none"/>
              </w:rPr>
              <w:t>服务</w:t>
            </w:r>
            <w:r>
              <w:rPr>
                <w:rFonts w:hint="eastAsia" w:ascii="宋体" w:hAnsi="宋体" w:eastAsia="宋体" w:cs="宋体"/>
                <w:color w:val="auto"/>
                <w:sz w:val="21"/>
                <w:szCs w:val="21"/>
                <w:highlight w:val="none"/>
              </w:rPr>
              <w:t>承诺（格式自拟）；</w:t>
            </w:r>
            <w:r>
              <w:rPr>
                <w:rFonts w:hint="eastAsia" w:ascii="宋体" w:hAnsi="宋体" w:eastAsia="宋体" w:cs="宋体"/>
                <w:b/>
                <w:bCs/>
                <w:color w:val="auto"/>
                <w:sz w:val="21"/>
                <w:szCs w:val="21"/>
                <w:highlight w:val="none"/>
              </w:rPr>
              <w:t>（必须提供，否则按无效投标处理）</w:t>
            </w:r>
          </w:p>
          <w:p w14:paraId="33E268BC">
            <w:pPr>
              <w:pageBreakBefore w:val="0"/>
              <w:kinsoku/>
              <w:overflowPunct/>
              <w:topLinePunct w:val="0"/>
              <w:bidi w:val="0"/>
              <w:snapToGrid w:val="0"/>
              <w:spacing w:line="240" w:lineRule="auto"/>
              <w:ind w:left="4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6.投标人情况介绍（格式自拟）；</w:t>
            </w:r>
          </w:p>
          <w:p w14:paraId="086F918F">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7.投标人认为需要提供的其他证明材料（格式自拟）（投标人根据“第二章 采购需求”及“第四章 评标方法及评标标准”提供有关证明材料）。</w:t>
            </w:r>
          </w:p>
          <w:p w14:paraId="003A317B">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注：以上标明“必须提供”的材料属于复印件的，必须加盖投标人公章，否则按无效投标</w:t>
            </w:r>
            <w:r>
              <w:rPr>
                <w:rFonts w:hint="eastAsia" w:ascii="宋体" w:hAnsi="宋体" w:eastAsia="宋体" w:cs="宋体"/>
                <w:b/>
                <w:color w:val="auto"/>
                <w:sz w:val="21"/>
                <w:szCs w:val="21"/>
                <w:highlight w:val="none"/>
              </w:rPr>
              <w:t>处理</w:t>
            </w:r>
            <w:r>
              <w:rPr>
                <w:rFonts w:hint="eastAsia" w:ascii="宋体" w:hAnsi="宋体" w:eastAsia="宋体" w:cs="宋体"/>
                <w:b/>
                <w:bCs/>
                <w:color w:val="auto"/>
                <w:sz w:val="21"/>
                <w:szCs w:val="21"/>
                <w:highlight w:val="none"/>
              </w:rPr>
              <w:t>。</w:t>
            </w:r>
          </w:p>
        </w:tc>
      </w:tr>
      <w:tr w14:paraId="2320F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bottom w:val="single" w:color="auto" w:sz="4" w:space="0"/>
              <w:right w:val="single" w:color="auto" w:sz="4" w:space="0"/>
            </w:tcBorders>
            <w:vAlign w:val="center"/>
          </w:tcPr>
          <w:p w14:paraId="07F23833">
            <w:pPr>
              <w:pageBreakBefore w:val="0"/>
              <w:kinsoku/>
              <w:overflowPunct/>
              <w:topLinePunct w:val="0"/>
              <w:bidi w:val="0"/>
              <w:spacing w:line="240" w:lineRule="auto"/>
              <w:rPr>
                <w:rFonts w:hint="eastAsia" w:ascii="宋体" w:hAnsi="宋体" w:eastAsia="宋体" w:cs="宋体"/>
                <w:color w:val="auto"/>
                <w:sz w:val="21"/>
                <w:szCs w:val="21"/>
                <w:highlight w:val="none"/>
              </w:rPr>
            </w:pPr>
            <w:bookmarkStart w:id="41" w:name="_13.4"/>
            <w:bookmarkEnd w:id="41"/>
          </w:p>
        </w:tc>
        <w:tc>
          <w:tcPr>
            <w:tcW w:w="8144" w:type="dxa"/>
            <w:tcBorders>
              <w:top w:val="single" w:color="auto" w:sz="4" w:space="0"/>
              <w:left w:val="single" w:color="auto" w:sz="4" w:space="0"/>
              <w:bottom w:val="single" w:color="auto" w:sz="4" w:space="0"/>
              <w:right w:val="single" w:color="auto" w:sz="4" w:space="0"/>
            </w:tcBorders>
            <w:vAlign w:val="center"/>
          </w:tcPr>
          <w:p w14:paraId="58380690">
            <w:pPr>
              <w:pageBreakBefore w:val="0"/>
              <w:kinsoku/>
              <w:overflowPunct/>
              <w:topLinePunct w:val="0"/>
              <w:bidi w:val="0"/>
              <w:snapToGrid w:val="0"/>
              <w:spacing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技术文件：</w:t>
            </w:r>
          </w:p>
          <w:p w14:paraId="79CE3094">
            <w:pPr>
              <w:pageBreakBefore w:val="0"/>
              <w:kinsoku/>
              <w:overflowPunct/>
              <w:topLinePunct w:val="0"/>
              <w:bidi w:val="0"/>
              <w:snapToGrid w:val="0"/>
              <w:spacing w:line="240" w:lineRule="auto"/>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1.技术要求偏离表（格式后附）；</w:t>
            </w:r>
            <w:r>
              <w:rPr>
                <w:rFonts w:hint="eastAsia" w:ascii="宋体" w:hAnsi="宋体" w:eastAsia="宋体" w:cs="宋体"/>
                <w:b/>
                <w:color w:val="auto"/>
                <w:sz w:val="21"/>
                <w:szCs w:val="21"/>
                <w:highlight w:val="none"/>
              </w:rPr>
              <w:t>（必须提供，否则按无效投标处理）</w:t>
            </w:r>
          </w:p>
          <w:p w14:paraId="258B87CD">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2.服务方案（格式自拟）；</w:t>
            </w:r>
          </w:p>
          <w:p w14:paraId="05A1211A">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3.项目实施人员一览表（格式后附）；</w:t>
            </w:r>
          </w:p>
          <w:p w14:paraId="7C31AF47">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4.除</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文件规定必须提供以外，投标人需要说明的其他文件和说明（格式自拟）。</w:t>
            </w:r>
          </w:p>
          <w:p w14:paraId="400B8CF6">
            <w:pPr>
              <w:pageBreakBefore w:val="0"/>
              <w:kinsoku/>
              <w:overflowPunct/>
              <w:topLinePunct w:val="0"/>
              <w:bidi w:val="0"/>
              <w:snapToGrid w:val="0"/>
              <w:spacing w:line="24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注：以上标明“必须提供”的材料属于复印件的，必须加盖投标人公章，否则按无效投标</w:t>
            </w:r>
            <w:r>
              <w:rPr>
                <w:rFonts w:hint="eastAsia" w:ascii="宋体" w:hAnsi="宋体" w:eastAsia="宋体" w:cs="宋体"/>
                <w:b/>
                <w:color w:val="auto"/>
                <w:sz w:val="21"/>
                <w:szCs w:val="21"/>
                <w:highlight w:val="none"/>
              </w:rPr>
              <w:t>处理</w:t>
            </w:r>
            <w:r>
              <w:rPr>
                <w:rFonts w:hint="eastAsia" w:ascii="宋体" w:hAnsi="宋体" w:eastAsia="宋体" w:cs="宋体"/>
                <w:b/>
                <w:bCs/>
                <w:color w:val="auto"/>
                <w:sz w:val="21"/>
                <w:szCs w:val="21"/>
                <w:highlight w:val="none"/>
              </w:rPr>
              <w:t>。</w:t>
            </w:r>
          </w:p>
        </w:tc>
      </w:tr>
      <w:tr w14:paraId="4D665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37D40B56">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42" w:name="_16.2"/>
            <w:bookmarkEnd w:id="42"/>
            <w:bookmarkStart w:id="43" w:name="_13.5"/>
            <w:bookmarkEnd w:id="43"/>
            <w:r>
              <w:rPr>
                <w:rFonts w:hint="eastAsia" w:ascii="宋体" w:hAnsi="宋体" w:eastAsia="宋体" w:cs="宋体"/>
                <w:color w:val="auto"/>
                <w:sz w:val="21"/>
                <w:szCs w:val="21"/>
                <w:highlight w:val="none"/>
              </w:rPr>
              <w:t>16</w:t>
            </w:r>
            <w:bookmarkStart w:id="44" w:name="_Hlt19693758"/>
            <w:bookmarkStart w:id="45" w:name="_Hlt19194067"/>
            <w:bookmarkStart w:id="46" w:name="_Hlt19693759"/>
            <w:bookmarkStart w:id="47" w:name="_Hlt19194066"/>
            <w:r>
              <w:rPr>
                <w:rFonts w:hint="eastAsia" w:ascii="宋体" w:hAnsi="宋体" w:eastAsia="宋体" w:cs="宋体"/>
                <w:color w:val="auto"/>
                <w:sz w:val="21"/>
                <w:szCs w:val="21"/>
                <w:highlight w:val="none"/>
              </w:rPr>
              <w:t>.</w:t>
            </w:r>
            <w:bookmarkEnd w:id="44"/>
            <w:bookmarkEnd w:id="45"/>
            <w:bookmarkEnd w:id="46"/>
            <w:bookmarkEnd w:id="47"/>
            <w:r>
              <w:rPr>
                <w:rFonts w:hint="eastAsia" w:ascii="宋体" w:hAnsi="宋体" w:eastAsia="宋体" w:cs="宋体"/>
                <w:color w:val="auto"/>
                <w:sz w:val="21"/>
                <w:szCs w:val="21"/>
                <w:highlight w:val="none"/>
              </w:rPr>
              <w:t>2</w:t>
            </w:r>
          </w:p>
        </w:tc>
        <w:tc>
          <w:tcPr>
            <w:tcW w:w="8144" w:type="dxa"/>
            <w:tcBorders>
              <w:top w:val="single" w:color="auto" w:sz="4" w:space="0"/>
              <w:left w:val="single" w:color="auto" w:sz="4" w:space="0"/>
              <w:bottom w:val="single" w:color="auto" w:sz="4" w:space="0"/>
              <w:right w:val="single" w:color="auto" w:sz="4" w:space="0"/>
            </w:tcBorders>
            <w:vAlign w:val="center"/>
          </w:tcPr>
          <w:p w14:paraId="4E94FB0C">
            <w:pPr>
              <w:pageBreakBefore w:val="0"/>
              <w:tabs>
                <w:tab w:val="left" w:pos="2155"/>
              </w:tabs>
              <w:kinsoku/>
              <w:overflowPunct/>
              <w:topLinePunct w:val="0"/>
              <w:bidi w:val="0"/>
              <w:spacing w:line="24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报价是含税的报价；</w:t>
            </w:r>
            <w:r>
              <w:rPr>
                <w:rFonts w:hint="eastAsia" w:ascii="宋体" w:hAnsi="宋体" w:cs="宋体"/>
                <w:color w:val="000000" w:themeColor="text1"/>
                <w14:textFill>
                  <w14:solidFill>
                    <w14:schemeClr w14:val="tx1"/>
                  </w14:solidFill>
                </w14:textFill>
              </w:rPr>
              <w:t>投标人报价以本项目采购预算为最高限价，本项目报价为一口价。</w:t>
            </w:r>
          </w:p>
          <w:p w14:paraId="52BA7A5A">
            <w:pPr>
              <w:pageBreakBefore w:val="0"/>
              <w:kinsoku/>
              <w:overflowPunct/>
              <w:topLinePunct w:val="0"/>
              <w:bidi w:val="0"/>
              <w:spacing w:line="240" w:lineRule="auto"/>
              <w:ind w:firstLine="420" w:firstLineChars="200"/>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结合本招标文件在采购需求下的说明，请投标人谨慎注意：</w:t>
            </w:r>
          </w:p>
          <w:p w14:paraId="23CF24C6">
            <w:pPr>
              <w:pStyle w:val="26"/>
              <w:pageBreakBefore w:val="0"/>
              <w:kinsoku/>
              <w:overflowPunct/>
              <w:topLinePunct w:val="0"/>
              <w:bidi w:val="0"/>
              <w:spacing w:line="240" w:lineRule="auto"/>
              <w:ind w:firstLine="420" w:firstLineChars="200"/>
              <w:rPr>
                <w:rFonts w:hint="eastAsia" w:ascii="黑体" w:hAnsi="黑体" w:eastAsia="黑体" w:cs="宋体"/>
                <w:color w:val="000000" w:themeColor="text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w:t>
            </w:r>
            <w:r>
              <w:rPr>
                <w:rFonts w:ascii="黑体" w:hAnsi="黑体" w:eastAsia="黑体"/>
                <w:color w:val="000000" w:themeColor="text1"/>
                <w:szCs w:val="21"/>
                <w14:textFill>
                  <w14:solidFill>
                    <w14:schemeClr w14:val="tx1"/>
                  </w14:solidFill>
                </w14:textFill>
              </w:rPr>
              <w:t>除</w:t>
            </w:r>
            <w:r>
              <w:rPr>
                <w:rFonts w:hint="eastAsia" w:ascii="黑体" w:hAnsi="黑体" w:eastAsia="黑体"/>
                <w:color w:val="000000" w:themeColor="text1"/>
                <w:szCs w:val="21"/>
                <w14:textFill>
                  <w14:solidFill>
                    <w14:schemeClr w14:val="tx1"/>
                  </w14:solidFill>
                </w14:textFill>
              </w:rPr>
              <w:t>招标文件载明的</w:t>
            </w:r>
            <w:r>
              <w:rPr>
                <w:rFonts w:hint="eastAsia" w:ascii="黑体" w:hAnsi="黑体" w:eastAsia="黑体"/>
                <w:bCs/>
                <w:color w:val="000000" w:themeColor="text1"/>
                <w:szCs w:val="21"/>
                <w14:textFill>
                  <w14:solidFill>
                    <w14:schemeClr w14:val="tx1"/>
                  </w14:solidFill>
                </w14:textFill>
              </w:rPr>
              <w:t>另有由招标人承担、由第三方服务商承担</w:t>
            </w:r>
            <w:r>
              <w:rPr>
                <w:rFonts w:ascii="黑体" w:hAnsi="黑体" w:eastAsia="黑体"/>
                <w:color w:val="000000" w:themeColor="text1"/>
                <w:szCs w:val="21"/>
                <w14:textFill>
                  <w14:solidFill>
                    <w14:schemeClr w14:val="tx1"/>
                  </w14:solidFill>
                </w14:textFill>
              </w:rPr>
              <w:t>的</w:t>
            </w:r>
            <w:r>
              <w:rPr>
                <w:rFonts w:hint="eastAsia" w:ascii="黑体" w:hAnsi="黑体" w:eastAsia="黑体"/>
                <w:color w:val="000000" w:themeColor="text1"/>
                <w:szCs w:val="21"/>
                <w14:textFill>
                  <w14:solidFill>
                    <w14:schemeClr w14:val="tx1"/>
                  </w14:solidFill>
                </w14:textFill>
              </w:rPr>
              <w:t>事项（费用）</w:t>
            </w:r>
            <w:r>
              <w:rPr>
                <w:rFonts w:ascii="黑体" w:hAnsi="黑体" w:eastAsia="黑体"/>
                <w:color w:val="000000" w:themeColor="text1"/>
                <w:szCs w:val="21"/>
                <w14:textFill>
                  <w14:solidFill>
                    <w14:schemeClr w14:val="tx1"/>
                  </w14:solidFill>
                </w14:textFill>
              </w:rPr>
              <w:t>外，凡在合同范围内已明确为</w:t>
            </w:r>
            <w:r>
              <w:rPr>
                <w:rFonts w:hint="eastAsia" w:ascii="黑体" w:hAnsi="黑体" w:eastAsia="黑体"/>
                <w:color w:val="000000" w:themeColor="text1"/>
                <w:szCs w:val="21"/>
                <w14:textFill>
                  <w14:solidFill>
                    <w14:schemeClr w14:val="tx1"/>
                  </w14:solidFill>
                </w14:textFill>
              </w:rPr>
              <w:t>中标人</w:t>
            </w:r>
            <w:r>
              <w:rPr>
                <w:rFonts w:ascii="黑体" w:hAnsi="黑体" w:eastAsia="黑体"/>
                <w:color w:val="000000" w:themeColor="text1"/>
                <w:szCs w:val="21"/>
                <w14:textFill>
                  <w14:solidFill>
                    <w14:schemeClr w14:val="tx1"/>
                  </w14:solidFill>
                </w14:textFill>
              </w:rPr>
              <w:t>义务的内容以及由</w:t>
            </w:r>
            <w:r>
              <w:rPr>
                <w:rFonts w:hint="eastAsia" w:ascii="黑体" w:hAnsi="黑体" w:eastAsia="黑体"/>
                <w:color w:val="000000" w:themeColor="text1"/>
                <w:szCs w:val="21"/>
                <w14:textFill>
                  <w14:solidFill>
                    <w14:schemeClr w14:val="tx1"/>
                  </w14:solidFill>
                </w14:textFill>
              </w:rPr>
              <w:t>中标人</w:t>
            </w:r>
            <w:r>
              <w:rPr>
                <w:rFonts w:ascii="黑体" w:hAnsi="黑体" w:eastAsia="黑体"/>
                <w:color w:val="000000" w:themeColor="text1"/>
                <w:szCs w:val="21"/>
                <w14:textFill>
                  <w14:solidFill>
                    <w14:schemeClr w14:val="tx1"/>
                  </w14:solidFill>
                </w14:textFill>
              </w:rPr>
              <w:t>实施的行为（事项），其对价和成本均</w:t>
            </w:r>
            <w:r>
              <w:rPr>
                <w:rFonts w:hint="eastAsia" w:ascii="黑体" w:hAnsi="黑体" w:eastAsia="黑体"/>
                <w:color w:val="000000" w:themeColor="text1"/>
                <w:szCs w:val="21"/>
                <w14:textFill>
                  <w14:solidFill>
                    <w14:schemeClr w14:val="tx1"/>
                  </w14:solidFill>
                </w14:textFill>
              </w:rPr>
              <w:t>应</w:t>
            </w:r>
            <w:r>
              <w:rPr>
                <w:rFonts w:ascii="黑体" w:hAnsi="黑体" w:eastAsia="黑体"/>
                <w:color w:val="000000" w:themeColor="text1"/>
                <w:szCs w:val="21"/>
                <w14:textFill>
                  <w14:solidFill>
                    <w14:schemeClr w14:val="tx1"/>
                  </w14:solidFill>
                </w14:textFill>
              </w:rPr>
              <w:t>包含在投标人</w:t>
            </w:r>
            <w:r>
              <w:rPr>
                <w:rFonts w:hint="eastAsia" w:ascii="黑体" w:hAnsi="黑体" w:eastAsia="黑体"/>
                <w:color w:val="000000" w:themeColor="text1"/>
                <w:szCs w:val="21"/>
                <w14:textFill>
                  <w14:solidFill>
                    <w14:schemeClr w14:val="tx1"/>
                  </w14:solidFill>
                </w14:textFill>
              </w:rPr>
              <w:t>的</w:t>
            </w:r>
            <w:r>
              <w:rPr>
                <w:rFonts w:ascii="黑体" w:hAnsi="黑体" w:eastAsia="黑体"/>
                <w:color w:val="000000" w:themeColor="text1"/>
                <w:szCs w:val="21"/>
                <w14:textFill>
                  <w14:solidFill>
                    <w14:schemeClr w14:val="tx1"/>
                  </w14:solidFill>
                </w14:textFill>
              </w:rPr>
              <w:t>报价之内</w:t>
            </w:r>
            <w:r>
              <w:rPr>
                <w:rFonts w:hint="eastAsia" w:ascii="黑体" w:hAnsi="黑体" w:eastAsia="黑体" w:cs="宋体"/>
                <w:color w:val="000000" w:themeColor="text1"/>
                <w14:textFill>
                  <w14:solidFill>
                    <w14:schemeClr w14:val="tx1"/>
                  </w14:solidFill>
                </w14:textFill>
              </w:rPr>
              <w:t>（包括但不限于：投标人为提供服务所需的人力、车辆、器材、器械、设备、劳动器具、装备、服装、消耗品、耗材、管理、办公、工具、税费、或有风险等全部应有、或有的事项成本，投标人应负担其服务人员的工资、加班工资、补贴、补助、待遇、奖金、交通、住宿、伙食、用工保障、劳动保护、体检、社会保险、医疗保险、商业保险等全部应有、或有的用人用工费用以及事项成本</w:t>
            </w:r>
            <w:r>
              <w:rPr>
                <w:rFonts w:hint="eastAsia" w:ascii="黑体" w:hAnsi="黑体" w:eastAsia="黑体"/>
                <w:color w:val="000000" w:themeColor="text1"/>
                <w:szCs w:val="21"/>
                <w:lang w:bidi="zh-CN"/>
                <w14:textFill>
                  <w14:solidFill>
                    <w14:schemeClr w14:val="tx1"/>
                  </w14:solidFill>
                </w14:textFill>
              </w:rPr>
              <w:t>；其他的经由本项目政府采购确定后的、合同明确的由中标人履行的行为、义务之对价和成本；招标文件</w:t>
            </w:r>
            <w:r>
              <w:rPr>
                <w:rFonts w:ascii="黑体" w:hAnsi="黑体" w:eastAsia="黑体"/>
                <w:color w:val="000000" w:themeColor="text1"/>
                <w:szCs w:val="21"/>
                <w:lang w:bidi="zh-CN"/>
                <w14:textFill>
                  <w14:solidFill>
                    <w14:schemeClr w14:val="tx1"/>
                  </w14:solidFill>
                </w14:textFill>
              </w:rPr>
              <w:t>明示或暗示的中标人</w:t>
            </w:r>
            <w:r>
              <w:rPr>
                <w:rFonts w:hint="eastAsia" w:ascii="黑体" w:hAnsi="黑体" w:eastAsia="黑体"/>
                <w:color w:val="000000" w:themeColor="text1"/>
                <w:szCs w:val="21"/>
                <w:lang w:bidi="zh-CN"/>
                <w14:textFill>
                  <w14:solidFill>
                    <w14:schemeClr w14:val="tx1"/>
                  </w14:solidFill>
                </w14:textFill>
              </w:rPr>
              <w:t>的</w:t>
            </w:r>
            <w:r>
              <w:rPr>
                <w:rFonts w:ascii="黑体" w:hAnsi="黑体" w:eastAsia="黑体"/>
                <w:color w:val="000000" w:themeColor="text1"/>
                <w:szCs w:val="21"/>
                <w:lang w:bidi="zh-CN"/>
                <w14:textFill>
                  <w14:solidFill>
                    <w14:schemeClr w14:val="tx1"/>
                  </w14:solidFill>
                </w14:textFill>
              </w:rPr>
              <w:t>所有责任、义务和风险等</w:t>
            </w:r>
            <w:r>
              <w:rPr>
                <w:rFonts w:hint="eastAsia" w:ascii="黑体" w:hAnsi="黑体" w:eastAsia="黑体"/>
                <w:color w:val="000000" w:themeColor="text1"/>
                <w:szCs w:val="21"/>
                <w:lang w:bidi="zh-CN"/>
                <w14:textFill>
                  <w14:solidFill>
                    <w14:schemeClr w14:val="tx1"/>
                  </w14:solidFill>
                </w14:textFill>
              </w:rPr>
              <w:t>中标人</w:t>
            </w:r>
            <w:r>
              <w:rPr>
                <w:rFonts w:ascii="黑体" w:hAnsi="黑体" w:eastAsia="黑体"/>
                <w:color w:val="000000" w:themeColor="text1"/>
                <w:szCs w:val="21"/>
                <w:lang w:bidi="zh-CN"/>
                <w14:textFill>
                  <w14:solidFill>
                    <w14:schemeClr w14:val="tx1"/>
                  </w14:solidFill>
                </w14:textFill>
              </w:rPr>
              <w:t>完成本项目所需一切费用</w:t>
            </w:r>
            <w:r>
              <w:rPr>
                <w:rFonts w:hint="eastAsia" w:ascii="黑体" w:hAnsi="黑体" w:eastAsia="黑体" w:cs="宋体"/>
                <w:color w:val="000000" w:themeColor="text1"/>
                <w14:textFill>
                  <w14:solidFill>
                    <w14:schemeClr w14:val="tx1"/>
                  </w14:solidFill>
                </w14:textFill>
              </w:rPr>
              <w:t>）。</w:t>
            </w:r>
          </w:p>
          <w:p w14:paraId="0B68D1FA">
            <w:pPr>
              <w:pageBreakBefore w:val="0"/>
              <w:kinsoku/>
              <w:overflowPunct/>
              <w:topLinePunct w:val="0"/>
              <w:bidi w:val="0"/>
              <w:spacing w:line="240" w:lineRule="auto"/>
              <w:ind w:firstLine="420" w:firstLineChars="200"/>
              <w:rPr>
                <w:rFonts w:hint="eastAsia" w:ascii="黑体" w:hAnsi="黑体" w:eastAsia="黑体"/>
                <w:color w:val="000000" w:themeColor="text1"/>
                <w:szCs w:val="2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2.</w:t>
            </w:r>
            <w:r>
              <w:rPr>
                <w:rFonts w:hint="eastAsia" w:ascii="黑体" w:hAnsi="黑体" w:eastAsia="黑体"/>
                <w:color w:val="000000" w:themeColor="text1"/>
                <w:szCs w:val="21"/>
                <w14:textFill>
                  <w14:solidFill>
                    <w14:schemeClr w14:val="tx1"/>
                  </w14:solidFill>
                </w14:textFill>
              </w:rPr>
              <w:t>中标后，以</w:t>
            </w:r>
            <w:r>
              <w:rPr>
                <w:rFonts w:ascii="黑体" w:hAnsi="黑体" w:eastAsia="黑体"/>
                <w:color w:val="000000" w:themeColor="text1"/>
                <w:szCs w:val="21"/>
                <w14:textFill>
                  <w14:solidFill>
                    <w14:schemeClr w14:val="tx1"/>
                  </w14:solidFill>
                </w14:textFill>
              </w:rPr>
              <w:t>合同主文为依据结算的合同价款</w:t>
            </w:r>
            <w:r>
              <w:rPr>
                <w:rFonts w:hint="eastAsia" w:ascii="黑体" w:hAnsi="黑体" w:eastAsia="黑体"/>
                <w:color w:val="000000" w:themeColor="text1"/>
                <w:szCs w:val="21"/>
                <w14:textFill>
                  <w14:solidFill>
                    <w14:schemeClr w14:val="tx1"/>
                  </w14:solidFill>
                </w14:textFill>
              </w:rPr>
              <w:t>将会是</w:t>
            </w:r>
            <w:r>
              <w:rPr>
                <w:rFonts w:hint="eastAsia" w:ascii="黑体" w:hAnsi="黑体" w:eastAsia="黑体"/>
                <w:color w:val="000000" w:themeColor="text1"/>
                <w:szCs w:val="21"/>
                <w:lang w:bidi="zh-CN"/>
                <w14:textFill>
                  <w14:solidFill>
                    <w14:schemeClr w14:val="tx1"/>
                  </w14:solidFill>
                </w14:textFill>
              </w:rPr>
              <w:t>完全涵盖中标人依合同实施的全部行为、履行合同中全部的中标人义务、实施合同明确约定应由中标人实施的事项所应获得的所有对价及所应支出的所有成本，不论是否能实际涵盖上述所有对价及所应支出的所有成本，以合同主文为依据结算的合同价款即中标人为实施本项目、为签订和履行合同所应获得的价款总额，若有未能实际涵盖的部分由中标人自行承担</w:t>
            </w:r>
            <w:r>
              <w:rPr>
                <w:rFonts w:hint="eastAsia" w:ascii="黑体" w:hAnsi="黑体" w:eastAsia="黑体" w:cs="宋体"/>
                <w:color w:val="000000" w:themeColor="text1"/>
                <w:kern w:val="0"/>
                <w:szCs w:val="21"/>
                <w:lang w:val="zh-CN" w:bidi="zh-CN"/>
                <w14:textFill>
                  <w14:solidFill>
                    <w14:schemeClr w14:val="tx1"/>
                  </w14:solidFill>
                </w14:textFill>
              </w:rPr>
              <w:t>。</w:t>
            </w:r>
          </w:p>
          <w:p w14:paraId="70F69A26">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hAnsi="宋体"/>
                <w:color w:val="000000" w:themeColor="text1"/>
                <w:szCs w:val="21"/>
                <w14:textFill>
                  <w14:solidFill>
                    <w14:schemeClr w14:val="tx1"/>
                  </w14:solidFill>
                </w14:textFill>
              </w:rPr>
              <w:t>因此，</w:t>
            </w:r>
            <w:r>
              <w:rPr>
                <w:rFonts w:hAnsi="宋体"/>
                <w:color w:val="000000" w:themeColor="text1"/>
                <w:szCs w:val="21"/>
                <w14:textFill>
                  <w14:solidFill>
                    <w14:schemeClr w14:val="tx1"/>
                  </w14:solidFill>
                </w14:textFill>
              </w:rPr>
              <w:t>投标人</w:t>
            </w:r>
            <w:r>
              <w:rPr>
                <w:rFonts w:hint="eastAsia" w:hAnsi="宋体"/>
                <w:color w:val="000000" w:themeColor="text1"/>
                <w:szCs w:val="21"/>
                <w14:textFill>
                  <w14:solidFill>
                    <w14:schemeClr w14:val="tx1"/>
                  </w14:solidFill>
                </w14:textFill>
              </w:rPr>
              <w:t>的</w:t>
            </w:r>
            <w:r>
              <w:rPr>
                <w:rFonts w:hAnsi="宋体"/>
                <w:color w:val="000000" w:themeColor="text1"/>
                <w:szCs w:val="21"/>
                <w14:textFill>
                  <w14:solidFill>
                    <w14:schemeClr w14:val="tx1"/>
                  </w14:solidFill>
                </w14:textFill>
              </w:rPr>
              <w:t>报价必须充分考虑，中标后，</w:t>
            </w:r>
            <w:r>
              <w:rPr>
                <w:rFonts w:hint="eastAsia" w:hAnsi="宋体"/>
                <w:color w:val="000000" w:themeColor="text1"/>
                <w:szCs w:val="21"/>
                <w14:textFill>
                  <w14:solidFill>
                    <w14:schemeClr w14:val="tx1"/>
                  </w14:solidFill>
                </w14:textFill>
              </w:rPr>
              <w:t>中标</w:t>
            </w:r>
            <w:r>
              <w:rPr>
                <w:rFonts w:hAnsi="宋体"/>
                <w:color w:val="000000" w:themeColor="text1"/>
                <w:szCs w:val="21"/>
                <w14:textFill>
                  <w14:solidFill>
                    <w14:schemeClr w14:val="tx1"/>
                  </w14:solidFill>
                </w14:textFill>
              </w:rPr>
              <w:t>人不得以</w:t>
            </w:r>
            <w:r>
              <w:rPr>
                <w:rFonts w:hint="eastAsia" w:hAnsi="宋体"/>
                <w:color w:val="000000" w:themeColor="text1"/>
                <w:szCs w:val="21"/>
                <w14:textFill>
                  <w14:solidFill>
                    <w14:schemeClr w14:val="tx1"/>
                  </w14:solidFill>
                </w14:textFill>
              </w:rPr>
              <w:t>其</w:t>
            </w:r>
            <w:r>
              <w:rPr>
                <w:rFonts w:hAnsi="宋体"/>
                <w:color w:val="000000" w:themeColor="text1"/>
                <w:szCs w:val="21"/>
                <w14:textFill>
                  <w14:solidFill>
                    <w14:schemeClr w14:val="tx1"/>
                  </w14:solidFill>
                </w14:textFill>
              </w:rPr>
              <w:t>报价未能涵盖</w:t>
            </w:r>
            <w:r>
              <w:rPr>
                <w:rFonts w:hint="eastAsia" w:hAnsi="宋体"/>
                <w:color w:val="000000" w:themeColor="text1"/>
                <w:szCs w:val="21"/>
                <w14:textFill>
                  <w14:solidFill>
                    <w14:schemeClr w14:val="tx1"/>
                  </w14:solidFill>
                </w14:textFill>
              </w:rPr>
              <w:t>合同范围内</w:t>
            </w:r>
            <w:r>
              <w:rPr>
                <w:rFonts w:hAnsi="宋体"/>
                <w:color w:val="000000" w:themeColor="text1"/>
                <w:szCs w:val="21"/>
                <w14:textFill>
                  <w14:solidFill>
                    <w14:schemeClr w14:val="tx1"/>
                  </w14:solidFill>
                </w14:textFill>
              </w:rPr>
              <w:t>为</w:t>
            </w:r>
            <w:r>
              <w:rPr>
                <w:rFonts w:hint="eastAsia" w:hAnsi="宋体"/>
                <w:color w:val="000000" w:themeColor="text1"/>
                <w:szCs w:val="21"/>
                <w14:textFill>
                  <w14:solidFill>
                    <w14:schemeClr w14:val="tx1"/>
                  </w14:solidFill>
                </w14:textFill>
              </w:rPr>
              <w:t>提供</w:t>
            </w:r>
            <w:r>
              <w:rPr>
                <w:rFonts w:hAnsi="宋体"/>
                <w:color w:val="000000" w:themeColor="text1"/>
                <w:szCs w:val="21"/>
                <w14:textFill>
                  <w14:solidFill>
                    <w14:schemeClr w14:val="tx1"/>
                  </w14:solidFill>
                </w14:textFill>
              </w:rPr>
              <w:t>本项目服务、为签订和履行合同所应获得的所有对价及所应支出的所有成本费用等任何理由，而要求</w:t>
            </w:r>
            <w:r>
              <w:rPr>
                <w:rFonts w:hint="eastAsia" w:hAnsi="宋体"/>
                <w:color w:val="000000" w:themeColor="text1"/>
                <w:szCs w:val="21"/>
                <w14:textFill>
                  <w14:solidFill>
                    <w14:schemeClr w14:val="tx1"/>
                  </w14:solidFill>
                </w14:textFill>
              </w:rPr>
              <w:t>在其</w:t>
            </w:r>
            <w:r>
              <w:rPr>
                <w:rFonts w:hAnsi="宋体"/>
                <w:color w:val="000000" w:themeColor="text1"/>
                <w:szCs w:val="21"/>
                <w14:textFill>
                  <w14:solidFill>
                    <w14:schemeClr w14:val="tx1"/>
                  </w14:solidFill>
                </w14:textFill>
              </w:rPr>
              <w:t>报价以外</w:t>
            </w:r>
            <w:r>
              <w:rPr>
                <w:rFonts w:hint="eastAsia" w:hAnsi="宋体"/>
                <w:color w:val="000000" w:themeColor="text1"/>
                <w:szCs w:val="21"/>
                <w14:textFill>
                  <w14:solidFill>
                    <w14:schemeClr w14:val="tx1"/>
                  </w14:solidFill>
                </w14:textFill>
              </w:rPr>
              <w:t>实施本项目的</w:t>
            </w:r>
            <w:r>
              <w:rPr>
                <w:rFonts w:hAnsi="宋体"/>
                <w:color w:val="000000" w:themeColor="text1"/>
                <w:szCs w:val="21"/>
                <w14:textFill>
                  <w14:solidFill>
                    <w14:schemeClr w14:val="tx1"/>
                  </w14:solidFill>
                </w14:textFill>
              </w:rPr>
              <w:t>其他费用，对这些费用，不再另外支付</w:t>
            </w:r>
            <w:r>
              <w:rPr>
                <w:rFonts w:hint="eastAsia" w:hAnsi="宋体" w:cs="宋体"/>
                <w:color w:val="000000" w:themeColor="text1"/>
                <w14:textFill>
                  <w14:solidFill>
                    <w14:schemeClr w14:val="tx1"/>
                  </w14:solidFill>
                </w14:textFill>
              </w:rPr>
              <w:t>。</w:t>
            </w:r>
          </w:p>
        </w:tc>
      </w:tr>
      <w:tr w14:paraId="5F391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7F457AAE">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48" w:name="_17.1"/>
            <w:bookmarkEnd w:id="48"/>
            <w:r>
              <w:rPr>
                <w:rFonts w:hint="eastAsia" w:ascii="宋体" w:hAnsi="宋体" w:eastAsia="宋体" w:cs="宋体"/>
                <w:color w:val="auto"/>
                <w:sz w:val="21"/>
                <w:szCs w:val="21"/>
                <w:highlight w:val="none"/>
              </w:rPr>
              <w:t>17.2</w:t>
            </w:r>
          </w:p>
        </w:tc>
        <w:tc>
          <w:tcPr>
            <w:tcW w:w="8144" w:type="dxa"/>
            <w:tcBorders>
              <w:top w:val="single" w:color="auto" w:sz="4" w:space="0"/>
              <w:left w:val="single" w:color="auto" w:sz="4" w:space="0"/>
              <w:bottom w:val="single" w:color="auto" w:sz="4" w:space="0"/>
              <w:right w:val="single" w:color="auto" w:sz="4" w:space="0"/>
            </w:tcBorders>
            <w:vAlign w:val="center"/>
          </w:tcPr>
          <w:p w14:paraId="423591B0">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投标有效期：自投标截止之日起</w:t>
            </w:r>
            <w:r>
              <w:rPr>
                <w:rFonts w:hint="eastAsia" w:ascii="宋体" w:hAnsi="宋体" w:eastAsia="宋体" w:cs="宋体"/>
                <w:color w:val="auto"/>
                <w:sz w:val="21"/>
                <w:szCs w:val="21"/>
                <w:highlight w:val="none"/>
                <w:u w:val="single"/>
              </w:rPr>
              <w:t>60</w:t>
            </w:r>
            <w:r>
              <w:rPr>
                <w:rFonts w:hint="eastAsia" w:ascii="宋体" w:hAnsi="宋体" w:eastAsia="宋体" w:cs="宋体"/>
                <w:color w:val="auto"/>
                <w:sz w:val="21"/>
                <w:szCs w:val="21"/>
                <w:highlight w:val="none"/>
              </w:rPr>
              <w:t>日。</w:t>
            </w:r>
          </w:p>
        </w:tc>
      </w:tr>
      <w:tr w14:paraId="345F14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6177804C">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49" w:name="_18"/>
            <w:bookmarkEnd w:id="49"/>
            <w:r>
              <w:rPr>
                <w:rFonts w:hint="eastAsia" w:ascii="宋体" w:hAnsi="宋体" w:eastAsia="宋体" w:cs="宋体"/>
                <w:color w:val="auto"/>
                <w:sz w:val="21"/>
                <w:szCs w:val="21"/>
                <w:highlight w:val="none"/>
              </w:rPr>
              <w:t>18.1</w:t>
            </w:r>
          </w:p>
        </w:tc>
        <w:tc>
          <w:tcPr>
            <w:tcW w:w="8144" w:type="dxa"/>
            <w:tcBorders>
              <w:top w:val="single" w:color="auto" w:sz="4" w:space="0"/>
              <w:left w:val="single" w:color="auto" w:sz="4" w:space="0"/>
              <w:bottom w:val="single" w:color="auto" w:sz="4" w:space="0"/>
              <w:right w:val="single" w:color="auto" w:sz="4" w:space="0"/>
            </w:tcBorders>
            <w:vAlign w:val="center"/>
          </w:tcPr>
          <w:p w14:paraId="0CBADE61">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本项目不收取投标保证金。</w:t>
            </w:r>
          </w:p>
        </w:tc>
      </w:tr>
      <w:tr w14:paraId="6065E5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4B278850">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50" w:name="_19.2"/>
            <w:bookmarkEnd w:id="50"/>
            <w:r>
              <w:rPr>
                <w:rFonts w:hint="eastAsia" w:ascii="宋体" w:hAnsi="宋体" w:eastAsia="宋体" w:cs="宋体"/>
                <w:color w:val="auto"/>
                <w:sz w:val="21"/>
                <w:szCs w:val="21"/>
                <w:highlight w:val="none"/>
              </w:rPr>
              <w:t>20</w:t>
            </w:r>
          </w:p>
        </w:tc>
        <w:tc>
          <w:tcPr>
            <w:tcW w:w="8144" w:type="dxa"/>
            <w:tcBorders>
              <w:top w:val="single" w:color="auto" w:sz="4" w:space="0"/>
              <w:left w:val="single" w:color="auto" w:sz="4" w:space="0"/>
              <w:bottom w:val="single" w:color="auto" w:sz="4" w:space="0"/>
              <w:right w:val="single" w:color="auto" w:sz="4" w:space="0"/>
            </w:tcBorders>
            <w:vAlign w:val="center"/>
          </w:tcPr>
          <w:p w14:paraId="4C31DC1E">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本项目不接受电子备份投标文件。</w:t>
            </w:r>
          </w:p>
        </w:tc>
      </w:tr>
      <w:tr w14:paraId="503106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95" w:type="dxa"/>
            <w:tcBorders>
              <w:top w:val="single" w:color="auto" w:sz="4" w:space="0"/>
              <w:left w:val="single" w:color="auto" w:sz="4" w:space="0"/>
              <w:bottom w:val="single" w:color="auto" w:sz="4" w:space="0"/>
              <w:right w:val="single" w:color="auto" w:sz="4" w:space="0"/>
            </w:tcBorders>
            <w:vAlign w:val="center"/>
          </w:tcPr>
          <w:p w14:paraId="4161F700">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51" w:name="_21.1"/>
            <w:bookmarkEnd w:id="51"/>
            <w:r>
              <w:rPr>
                <w:rFonts w:hint="eastAsia" w:ascii="宋体" w:hAnsi="宋体" w:eastAsia="宋体" w:cs="宋体"/>
                <w:color w:val="auto"/>
                <w:sz w:val="21"/>
                <w:szCs w:val="21"/>
                <w:highlight w:val="none"/>
              </w:rPr>
              <w:t>21.1</w:t>
            </w:r>
          </w:p>
        </w:tc>
        <w:tc>
          <w:tcPr>
            <w:tcW w:w="8144" w:type="dxa"/>
            <w:tcBorders>
              <w:top w:val="single" w:color="auto" w:sz="4" w:space="0"/>
              <w:left w:val="single" w:color="auto" w:sz="4" w:space="0"/>
              <w:bottom w:val="single" w:color="auto" w:sz="4" w:space="0"/>
              <w:right w:val="single" w:color="auto" w:sz="4" w:space="0"/>
            </w:tcBorders>
            <w:vAlign w:val="center"/>
          </w:tcPr>
          <w:p w14:paraId="28D8264F">
            <w:pPr>
              <w:pageBreakBefore w:val="0"/>
              <w:kinsoku/>
              <w:overflowPunct/>
              <w:topLinePunct w:val="0"/>
              <w:bidi w:val="0"/>
              <w:snapToGrid w:val="0"/>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1.投标文件提交截止时间：详见</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公告。</w:t>
            </w:r>
          </w:p>
          <w:p w14:paraId="32BE13BF">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2.投标地点：详见</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公告。</w:t>
            </w:r>
          </w:p>
        </w:tc>
      </w:tr>
      <w:tr w14:paraId="319F67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732ED2B8">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52" w:name="_23"/>
            <w:bookmarkEnd w:id="52"/>
            <w:r>
              <w:rPr>
                <w:rFonts w:hint="eastAsia" w:ascii="宋体" w:hAnsi="宋体" w:eastAsia="宋体" w:cs="宋体"/>
                <w:color w:val="auto"/>
                <w:sz w:val="21"/>
                <w:szCs w:val="21"/>
                <w:highlight w:val="none"/>
              </w:rPr>
              <w:t>23</w:t>
            </w:r>
          </w:p>
        </w:tc>
        <w:tc>
          <w:tcPr>
            <w:tcW w:w="8144" w:type="dxa"/>
            <w:tcBorders>
              <w:top w:val="single" w:color="auto" w:sz="4" w:space="0"/>
              <w:left w:val="single" w:color="auto" w:sz="4" w:space="0"/>
              <w:bottom w:val="single" w:color="auto" w:sz="4" w:space="0"/>
              <w:right w:val="single" w:color="auto" w:sz="4" w:space="0"/>
            </w:tcBorders>
            <w:vAlign w:val="center"/>
          </w:tcPr>
          <w:p w14:paraId="146ACA8D">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1.开标时间：详见</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公告。</w:t>
            </w:r>
          </w:p>
          <w:p w14:paraId="5E00B529">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2.开标地点：详见</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公告。</w:t>
            </w:r>
          </w:p>
        </w:tc>
      </w:tr>
      <w:tr w14:paraId="72B2E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1533A0FC">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24.3（1）</w:t>
            </w:r>
          </w:p>
        </w:tc>
        <w:tc>
          <w:tcPr>
            <w:tcW w:w="8144" w:type="dxa"/>
            <w:tcBorders>
              <w:top w:val="single" w:color="auto" w:sz="4" w:space="0"/>
              <w:left w:val="single" w:color="auto" w:sz="4" w:space="0"/>
              <w:bottom w:val="single" w:color="auto" w:sz="4" w:space="0"/>
              <w:right w:val="single" w:color="auto" w:sz="4" w:space="0"/>
            </w:tcBorders>
            <w:vAlign w:val="center"/>
          </w:tcPr>
          <w:p w14:paraId="5C568F45">
            <w:pPr>
              <w:pageBreakBefore w:val="0"/>
              <w:kinsoku/>
              <w:overflowPunct/>
              <w:topLinePunct w:val="0"/>
              <w:bidi w:val="0"/>
              <w:snapToGrid w:val="0"/>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电子投标文件解密时间：30分钟</w:t>
            </w:r>
          </w:p>
        </w:tc>
      </w:tr>
      <w:tr w14:paraId="63643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346A1D99">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24.3（2）</w:t>
            </w:r>
          </w:p>
        </w:tc>
        <w:tc>
          <w:tcPr>
            <w:tcW w:w="8144" w:type="dxa"/>
            <w:tcBorders>
              <w:top w:val="single" w:color="auto" w:sz="4" w:space="0"/>
              <w:left w:val="single" w:color="auto" w:sz="4" w:space="0"/>
              <w:bottom w:val="single" w:color="auto" w:sz="4" w:space="0"/>
              <w:right w:val="single" w:color="auto" w:sz="4" w:space="0"/>
            </w:tcBorders>
            <w:vAlign w:val="center"/>
          </w:tcPr>
          <w:p w14:paraId="30EC88BB">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宣布的内容：投标人名称、投标价格。</w:t>
            </w:r>
          </w:p>
        </w:tc>
      </w:tr>
      <w:tr w14:paraId="533D5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3708C846">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53" w:name="_25.3"/>
            <w:bookmarkEnd w:id="53"/>
            <w:r>
              <w:rPr>
                <w:rFonts w:hint="eastAsia" w:ascii="宋体" w:hAnsi="宋体" w:eastAsia="宋体" w:cs="宋体"/>
                <w:color w:val="auto"/>
                <w:sz w:val="21"/>
                <w:szCs w:val="21"/>
                <w:highlight w:val="none"/>
              </w:rPr>
              <w:t>25.3（2）</w:t>
            </w:r>
          </w:p>
        </w:tc>
        <w:tc>
          <w:tcPr>
            <w:tcW w:w="8144" w:type="dxa"/>
            <w:tcBorders>
              <w:top w:val="single" w:color="auto" w:sz="4" w:space="0"/>
              <w:left w:val="single" w:color="auto" w:sz="4" w:space="0"/>
              <w:bottom w:val="single" w:color="auto" w:sz="4" w:space="0"/>
              <w:right w:val="single" w:color="auto" w:sz="4" w:space="0"/>
            </w:tcBorders>
            <w:vAlign w:val="center"/>
          </w:tcPr>
          <w:p w14:paraId="7D9D9C04">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采购人或者采购代理机构在资格审查结束前，对投标人进行信用查询。</w:t>
            </w:r>
          </w:p>
          <w:p w14:paraId="3B67146F">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查询渠道：“信用中国”网站（www.creditchina.gov.cn）、中国政府采购网（www.ccgp.gov.cn）。</w:t>
            </w:r>
          </w:p>
        </w:tc>
      </w:tr>
      <w:tr w14:paraId="105C83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3CA09600">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54" w:name="_26"/>
            <w:bookmarkEnd w:id="54"/>
            <w:r>
              <w:rPr>
                <w:rFonts w:hint="eastAsia" w:ascii="宋体" w:hAnsi="宋体" w:eastAsia="宋体" w:cs="宋体"/>
                <w:color w:val="auto"/>
                <w:sz w:val="21"/>
                <w:szCs w:val="21"/>
                <w:highlight w:val="none"/>
              </w:rPr>
              <w:t>26.1</w:t>
            </w:r>
          </w:p>
        </w:tc>
        <w:tc>
          <w:tcPr>
            <w:tcW w:w="8144" w:type="dxa"/>
            <w:tcBorders>
              <w:top w:val="single" w:color="auto" w:sz="4" w:space="0"/>
              <w:left w:val="single" w:color="auto" w:sz="4" w:space="0"/>
              <w:bottom w:val="single" w:color="auto" w:sz="4" w:space="0"/>
              <w:right w:val="single" w:color="auto" w:sz="4" w:space="0"/>
            </w:tcBorders>
            <w:vAlign w:val="center"/>
          </w:tcPr>
          <w:p w14:paraId="750A0A55">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评标委员会的人数：</w:t>
            </w:r>
            <w:r>
              <w:rPr>
                <w:rFonts w:hint="eastAsia" w:ascii="宋体" w:hAnsi="宋体" w:eastAsia="宋体" w:cs="宋体"/>
                <w:color w:val="auto"/>
                <w:sz w:val="21"/>
                <w:szCs w:val="21"/>
                <w:highlight w:val="none"/>
                <w:u w:val="single"/>
              </w:rPr>
              <w:t>5</w:t>
            </w:r>
            <w:r>
              <w:rPr>
                <w:rFonts w:hint="eastAsia" w:ascii="宋体" w:hAnsi="宋体" w:eastAsia="宋体" w:cs="宋体"/>
                <w:color w:val="auto"/>
                <w:sz w:val="21"/>
                <w:szCs w:val="21"/>
                <w:highlight w:val="none"/>
              </w:rPr>
              <w:t>人。</w:t>
            </w:r>
          </w:p>
        </w:tc>
      </w:tr>
      <w:tr w14:paraId="48B2AB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00F155AC">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55" w:name="_28.3"/>
            <w:bookmarkEnd w:id="55"/>
            <w:r>
              <w:rPr>
                <w:rFonts w:hint="eastAsia" w:ascii="宋体" w:hAnsi="宋体" w:eastAsia="宋体" w:cs="宋体"/>
                <w:color w:val="auto"/>
                <w:sz w:val="21"/>
                <w:szCs w:val="21"/>
                <w:highlight w:val="none"/>
              </w:rPr>
              <w:t>29.1</w:t>
            </w:r>
          </w:p>
        </w:tc>
        <w:tc>
          <w:tcPr>
            <w:tcW w:w="8144" w:type="dxa"/>
            <w:tcBorders>
              <w:top w:val="single" w:color="auto" w:sz="4" w:space="0"/>
              <w:left w:val="single" w:color="auto" w:sz="4" w:space="0"/>
              <w:bottom w:val="single" w:color="auto" w:sz="4" w:space="0"/>
              <w:right w:val="single" w:color="auto" w:sz="4" w:space="0"/>
            </w:tcBorders>
            <w:vAlign w:val="center"/>
          </w:tcPr>
          <w:p w14:paraId="60922612">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评标方法：综合评分法。</w:t>
            </w:r>
          </w:p>
        </w:tc>
      </w:tr>
      <w:tr w14:paraId="1A724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95" w:type="dxa"/>
            <w:tcBorders>
              <w:top w:val="single" w:color="auto" w:sz="4" w:space="0"/>
              <w:left w:val="single" w:color="auto" w:sz="4" w:space="0"/>
              <w:bottom w:val="single" w:color="auto" w:sz="4" w:space="0"/>
              <w:right w:val="single" w:color="auto" w:sz="4" w:space="0"/>
            </w:tcBorders>
            <w:vAlign w:val="center"/>
          </w:tcPr>
          <w:p w14:paraId="090B25C7">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56" w:name="_29.2.2（2）"/>
            <w:bookmarkEnd w:id="56"/>
            <w:r>
              <w:rPr>
                <w:rFonts w:hint="eastAsia" w:ascii="宋体" w:hAnsi="宋体" w:eastAsia="宋体" w:cs="宋体"/>
                <w:color w:val="auto"/>
                <w:sz w:val="21"/>
                <w:szCs w:val="21"/>
                <w:highlight w:val="none"/>
              </w:rPr>
              <w:t>29.2</w:t>
            </w:r>
          </w:p>
        </w:tc>
        <w:tc>
          <w:tcPr>
            <w:tcW w:w="8144" w:type="dxa"/>
            <w:tcBorders>
              <w:top w:val="single" w:color="auto" w:sz="4" w:space="0"/>
              <w:left w:val="single" w:color="auto" w:sz="4" w:space="0"/>
              <w:right w:val="single" w:color="auto" w:sz="4" w:space="0"/>
            </w:tcBorders>
            <w:vAlign w:val="center"/>
          </w:tcPr>
          <w:p w14:paraId="42F6090B">
            <w:pPr>
              <w:pageBreakBefore w:val="0"/>
              <w:kinsoku/>
              <w:overflowPunct/>
              <w:topLinePunct w:val="0"/>
              <w:bidi w:val="0"/>
              <w:snapToGrid w:val="0"/>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商务要求评审中允许负偏离的条款数为</w:t>
            </w:r>
            <w:r>
              <w:rPr>
                <w:rFonts w:hint="eastAsia" w:ascii="宋体" w:hAnsi="宋体" w:cs="宋体"/>
                <w:color w:val="000000" w:themeColor="text1"/>
                <w:sz w:val="21"/>
                <w:szCs w:val="21"/>
                <w:highlight w:val="none"/>
                <w:u w:val="singl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项。</w:t>
            </w:r>
          </w:p>
          <w:p w14:paraId="4284262C">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技术要求评审中允许负偏离的条款数为</w:t>
            </w:r>
            <w:r>
              <w:rPr>
                <w:rFonts w:hint="eastAsia" w:ascii="宋体" w:hAnsi="宋体" w:cs="宋体"/>
                <w:color w:val="000000" w:themeColor="text1"/>
                <w:sz w:val="21"/>
                <w:szCs w:val="21"/>
                <w:highlight w:val="none"/>
                <w:u w:val="single"/>
                <w:lang w:val="en-US" w:eastAsia="zh-CN"/>
                <w14:textFill>
                  <w14:solidFill>
                    <w14:schemeClr w14:val="tx1"/>
                  </w14:solidFill>
                </w14:textFill>
              </w:rPr>
              <w:t>0</w:t>
            </w:r>
            <w:r>
              <w:rPr>
                <w:rFonts w:hint="eastAsia" w:ascii="宋体" w:hAnsi="宋体" w:eastAsia="宋体" w:cs="宋体"/>
                <w:color w:val="auto"/>
                <w:sz w:val="21"/>
                <w:szCs w:val="21"/>
                <w:highlight w:val="none"/>
              </w:rPr>
              <w:t>项。</w:t>
            </w:r>
          </w:p>
        </w:tc>
      </w:tr>
      <w:tr w14:paraId="1D6759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95" w:type="dxa"/>
            <w:tcBorders>
              <w:top w:val="single" w:color="auto" w:sz="4" w:space="0"/>
              <w:left w:val="single" w:color="auto" w:sz="4" w:space="0"/>
              <w:bottom w:val="single" w:color="auto" w:sz="4" w:space="0"/>
              <w:right w:val="single" w:color="auto" w:sz="4" w:space="0"/>
            </w:tcBorders>
            <w:vAlign w:val="center"/>
          </w:tcPr>
          <w:p w14:paraId="73F55833">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29.3</w:t>
            </w:r>
          </w:p>
        </w:tc>
        <w:tc>
          <w:tcPr>
            <w:tcW w:w="8144" w:type="dxa"/>
            <w:tcBorders>
              <w:top w:val="single" w:color="auto" w:sz="4" w:space="0"/>
              <w:left w:val="single" w:color="auto" w:sz="4" w:space="0"/>
              <w:right w:val="single" w:color="auto" w:sz="4" w:space="0"/>
            </w:tcBorders>
            <w:vAlign w:val="center"/>
          </w:tcPr>
          <w:p w14:paraId="346D93CF">
            <w:pPr>
              <w:pageBreakBefore w:val="0"/>
              <w:kinsoku/>
              <w:overflowPunct/>
              <w:topLinePunct w:val="0"/>
              <w:bidi w:val="0"/>
              <w:snapToGrid w:val="0"/>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中标候选人推荐数量：</w:t>
            </w:r>
            <w:r>
              <w:rPr>
                <w:rFonts w:hint="eastAsia" w:ascii="宋体" w:hAnsi="宋体" w:eastAsia="宋体" w:cs="宋体"/>
                <w:color w:val="auto"/>
                <w:sz w:val="21"/>
                <w:szCs w:val="21"/>
                <w:highlight w:val="none"/>
                <w:u w:val="single"/>
              </w:rPr>
              <w:t>3</w:t>
            </w:r>
            <w:r>
              <w:rPr>
                <w:rFonts w:hint="eastAsia" w:ascii="宋体" w:hAnsi="宋体" w:eastAsia="宋体" w:cs="宋体"/>
                <w:color w:val="auto"/>
                <w:sz w:val="21"/>
                <w:szCs w:val="21"/>
                <w:highlight w:val="none"/>
              </w:rPr>
              <w:t>名。</w:t>
            </w:r>
          </w:p>
        </w:tc>
      </w:tr>
      <w:tr w14:paraId="397B1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2FB37181">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w:t>
            </w:r>
          </w:p>
        </w:tc>
        <w:tc>
          <w:tcPr>
            <w:tcW w:w="8144" w:type="dxa"/>
            <w:tcBorders>
              <w:top w:val="single" w:color="auto" w:sz="4" w:space="0"/>
              <w:left w:val="single" w:color="auto" w:sz="4" w:space="0"/>
              <w:bottom w:val="single" w:color="auto" w:sz="4" w:space="0"/>
              <w:right w:val="single" w:color="auto" w:sz="4" w:space="0"/>
            </w:tcBorders>
            <w:vAlign w:val="center"/>
          </w:tcPr>
          <w:p w14:paraId="1A62ADEC">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采用综合评分法的采购项目，采购人确定中标人时，出现中标候选人并列的情形，采购人按以下的方式确定中标人：按综合评分中服务水平、售后服务、履约能力得分高低依次确定。</w:t>
            </w:r>
          </w:p>
          <w:p w14:paraId="41089629">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最低评标价法的采购项目，采购人确定中标人时，出现中标候选人并列的情形，采购人按以下的方式确定中标人：按服务水平技术指标高优先、服务方案好优先、拟投入人员多优先、服务响应时间短优先的顺序依次确定。</w:t>
            </w:r>
          </w:p>
        </w:tc>
      </w:tr>
      <w:tr w14:paraId="7C0DAE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auto" w:sz="4" w:space="0"/>
              <w:left w:val="single" w:color="auto" w:sz="4" w:space="0"/>
              <w:bottom w:val="single" w:color="auto" w:sz="4" w:space="0"/>
              <w:right w:val="single" w:color="auto" w:sz="4" w:space="0"/>
            </w:tcBorders>
            <w:vAlign w:val="center"/>
          </w:tcPr>
          <w:p w14:paraId="587F6C30">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57" w:name="_39.1"/>
            <w:bookmarkEnd w:id="57"/>
            <w:r>
              <w:rPr>
                <w:rFonts w:hint="eastAsia" w:ascii="宋体" w:hAnsi="宋体" w:eastAsia="宋体" w:cs="宋体"/>
                <w:color w:val="auto"/>
                <w:sz w:val="21"/>
                <w:szCs w:val="21"/>
                <w:highlight w:val="none"/>
              </w:rPr>
              <w:t>35.1</w:t>
            </w:r>
          </w:p>
        </w:tc>
        <w:tc>
          <w:tcPr>
            <w:tcW w:w="8144" w:type="dxa"/>
            <w:tcBorders>
              <w:top w:val="single" w:color="auto" w:sz="4" w:space="0"/>
              <w:left w:val="single" w:color="auto" w:sz="4" w:space="0"/>
              <w:bottom w:val="single" w:color="auto" w:sz="4" w:space="0"/>
              <w:right w:val="single" w:color="auto" w:sz="4" w:space="0"/>
            </w:tcBorders>
            <w:vAlign w:val="center"/>
          </w:tcPr>
          <w:p w14:paraId="1D47D217">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不收取</w:t>
            </w:r>
            <w:r>
              <w:rPr>
                <w:rFonts w:hint="eastAsia" w:ascii="宋体" w:hAnsi="宋体" w:eastAsia="宋体" w:cs="宋体"/>
                <w:color w:val="auto"/>
                <w:sz w:val="21"/>
                <w:szCs w:val="21"/>
                <w:highlight w:val="none"/>
              </w:rPr>
              <w:t>履约保证金。</w:t>
            </w:r>
          </w:p>
        </w:tc>
      </w:tr>
      <w:tr w14:paraId="3B33C3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38FC5A12">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58" w:name="_40.1"/>
            <w:bookmarkEnd w:id="58"/>
            <w:r>
              <w:rPr>
                <w:rFonts w:hint="eastAsia" w:ascii="宋体" w:hAnsi="宋体" w:eastAsia="宋体" w:cs="宋体"/>
                <w:color w:val="auto"/>
                <w:sz w:val="21"/>
                <w:szCs w:val="21"/>
                <w:highlight w:val="none"/>
              </w:rPr>
              <w:t>36.1</w:t>
            </w:r>
          </w:p>
        </w:tc>
        <w:tc>
          <w:tcPr>
            <w:tcW w:w="8144" w:type="dxa"/>
            <w:tcBorders>
              <w:top w:val="single" w:color="auto" w:sz="4" w:space="0"/>
              <w:left w:val="single" w:color="auto" w:sz="4" w:space="0"/>
              <w:bottom w:val="single" w:color="auto" w:sz="4" w:space="0"/>
              <w:right w:val="single" w:color="auto" w:sz="4" w:space="0"/>
            </w:tcBorders>
            <w:vAlign w:val="center"/>
          </w:tcPr>
          <w:p w14:paraId="27ED642D">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签订合同携带的证明材料：</w:t>
            </w:r>
          </w:p>
          <w:p w14:paraId="5BEF1BF6">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委托代理人负责签订合同的，须携带授权委托书及委托代理人身份证原件等其他资格证件。</w:t>
            </w:r>
          </w:p>
          <w:p w14:paraId="17199BC0">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法定代表人负责签订合同的，须携带法定代表人身份证明原件及身份证原件等其他证明材料。</w:t>
            </w:r>
          </w:p>
        </w:tc>
      </w:tr>
      <w:tr w14:paraId="769EC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05679CA7">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38.2</w:t>
            </w:r>
          </w:p>
        </w:tc>
        <w:tc>
          <w:tcPr>
            <w:tcW w:w="8144" w:type="dxa"/>
            <w:tcBorders>
              <w:top w:val="single" w:color="auto" w:sz="4" w:space="0"/>
              <w:left w:val="single" w:color="auto" w:sz="4" w:space="0"/>
              <w:bottom w:val="single" w:color="auto" w:sz="4" w:space="0"/>
              <w:right w:val="single" w:color="auto" w:sz="4" w:space="0"/>
            </w:tcBorders>
            <w:vAlign w:val="center"/>
          </w:tcPr>
          <w:p w14:paraId="20996DCC">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接收质疑函方式：以书面形式，通讯地址：</w:t>
            </w:r>
            <w:r>
              <w:rPr>
                <w:rFonts w:hint="eastAsia" w:ascii="宋体" w:hAnsi="宋体" w:cs="宋体"/>
                <w:color w:val="auto"/>
                <w:sz w:val="21"/>
                <w:szCs w:val="21"/>
                <w:highlight w:val="none"/>
                <w:lang w:val="en-US" w:eastAsia="zh-CN"/>
              </w:rPr>
              <w:t>防城港市中心区红树林大厦东塔6楼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联系方式：</w:t>
            </w:r>
            <w:r>
              <w:rPr>
                <w:rFonts w:hint="eastAsia" w:ascii="宋体" w:hAnsi="宋体" w:eastAsia="宋体" w:cs="宋体"/>
                <w:color w:val="auto"/>
                <w:sz w:val="21"/>
                <w:szCs w:val="21"/>
                <w:highlight w:val="none"/>
                <w:lang w:eastAsia="zh-CN"/>
              </w:rPr>
              <w:t>0770-</w:t>
            </w:r>
            <w:r>
              <w:rPr>
                <w:rFonts w:hint="eastAsia" w:ascii="宋体" w:hAnsi="宋体" w:cs="宋体"/>
                <w:color w:val="auto"/>
                <w:sz w:val="21"/>
                <w:szCs w:val="21"/>
                <w:highlight w:val="none"/>
                <w:lang w:val="en-US" w:eastAsia="zh-CN"/>
              </w:rPr>
              <w:t>6126192</w:t>
            </w:r>
            <w:r>
              <w:rPr>
                <w:rFonts w:hint="eastAsia" w:ascii="宋体" w:hAnsi="宋体" w:eastAsia="宋体" w:cs="宋体"/>
                <w:color w:val="auto"/>
                <w:sz w:val="21"/>
                <w:szCs w:val="21"/>
                <w:highlight w:val="none"/>
              </w:rPr>
              <w:t>。</w:t>
            </w:r>
          </w:p>
          <w:p w14:paraId="223C18A2">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业务时间：每天上午9时00分到12时00分，下午</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0分到</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0分，双休日和法定节假日不办理业务。</w:t>
            </w:r>
          </w:p>
        </w:tc>
      </w:tr>
      <w:tr w14:paraId="0317E9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680493ED">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59" w:name="_41"/>
            <w:bookmarkEnd w:id="59"/>
            <w:bookmarkStart w:id="60" w:name="_42"/>
            <w:bookmarkEnd w:id="60"/>
            <w:bookmarkStart w:id="61" w:name="_Hlt17709148"/>
            <w:r>
              <w:rPr>
                <w:rFonts w:hint="eastAsia" w:ascii="宋体" w:hAnsi="宋体" w:eastAsia="宋体" w:cs="宋体"/>
                <w:color w:val="auto"/>
                <w:sz w:val="21"/>
                <w:szCs w:val="21"/>
                <w:highlight w:val="none"/>
              </w:rPr>
              <w:t>3</w:t>
            </w:r>
            <w:bookmarkEnd w:id="61"/>
            <w:r>
              <w:rPr>
                <w:rFonts w:hint="eastAsia" w:ascii="宋体" w:hAnsi="宋体" w:eastAsia="宋体" w:cs="宋体"/>
                <w:color w:val="auto"/>
                <w:sz w:val="21"/>
                <w:szCs w:val="21"/>
                <w:highlight w:val="none"/>
              </w:rPr>
              <w:t>9.1</w:t>
            </w:r>
          </w:p>
        </w:tc>
        <w:tc>
          <w:tcPr>
            <w:tcW w:w="8144" w:type="dxa"/>
            <w:tcBorders>
              <w:top w:val="single" w:color="auto" w:sz="4" w:space="0"/>
              <w:left w:val="single" w:color="auto" w:sz="4" w:space="0"/>
              <w:bottom w:val="single" w:color="auto" w:sz="4" w:space="0"/>
              <w:right w:val="single" w:color="auto" w:sz="4" w:space="0"/>
            </w:tcBorders>
            <w:vAlign w:val="center"/>
          </w:tcPr>
          <w:p w14:paraId="3638149A">
            <w:pPr>
              <w:pageBreakBefore w:val="0"/>
              <w:kinsoku/>
              <w:overflowPunct/>
              <w:topLinePunct w:val="0"/>
              <w:bidi w:val="0"/>
              <w:snapToGrid w:val="0"/>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000000" w:themeColor="text1"/>
                <w:sz w:val="21"/>
                <w:szCs w:val="21"/>
                <w:highlight w:val="none"/>
                <w14:textFill>
                  <w14:solidFill>
                    <w14:schemeClr w14:val="tx1"/>
                  </w14:solidFill>
                </w14:textFill>
              </w:rPr>
              <w:t>本项目</w:t>
            </w:r>
            <w:r>
              <w:rPr>
                <w:rFonts w:hint="eastAsia" w:ascii="宋体" w:hAnsi="宋体" w:cs="宋体"/>
                <w:color w:val="000000" w:themeColor="text1"/>
                <w:sz w:val="21"/>
                <w:szCs w:val="21"/>
                <w:highlight w:val="none"/>
                <w:lang w:val="en-US" w:eastAsia="zh-CN"/>
                <w14:textFill>
                  <w14:solidFill>
                    <w14:schemeClr w14:val="tx1"/>
                  </w14:solidFill>
                </w14:textFill>
              </w:rPr>
              <w:t>不收取</w:t>
            </w:r>
            <w:r>
              <w:rPr>
                <w:rFonts w:hint="eastAsia" w:ascii="宋体" w:hAnsi="宋体" w:eastAsia="宋体" w:cs="宋体"/>
                <w:bCs/>
                <w:color w:val="000000" w:themeColor="text1"/>
                <w:sz w:val="21"/>
                <w:szCs w:val="21"/>
                <w:highlight w:val="none"/>
                <w14:textFill>
                  <w14:solidFill>
                    <w14:schemeClr w14:val="tx1"/>
                  </w14:solidFill>
                </w14:textFill>
              </w:rPr>
              <w:t>代理服务费</w:t>
            </w:r>
            <w:r>
              <w:rPr>
                <w:rFonts w:hint="eastAsia" w:ascii="宋体" w:hAnsi="宋体" w:eastAsia="宋体" w:cs="宋体"/>
                <w:bCs/>
                <w:color w:val="000000" w:themeColor="text1"/>
                <w:sz w:val="21"/>
                <w:szCs w:val="21"/>
                <w:highlight w:val="none"/>
                <w:lang w:eastAsia="zh-CN"/>
                <w14:textFill>
                  <w14:solidFill>
                    <w14:schemeClr w14:val="tx1"/>
                  </w14:solidFill>
                </w14:textFill>
              </w:rPr>
              <w:t>。</w:t>
            </w:r>
          </w:p>
        </w:tc>
      </w:tr>
      <w:tr w14:paraId="609F6A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1EE484B1">
            <w:pPr>
              <w:pageBreakBefore w:val="0"/>
              <w:kinsoku/>
              <w:overflowPunct/>
              <w:topLinePunct w:val="0"/>
              <w:bidi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40.1</w:t>
            </w:r>
          </w:p>
        </w:tc>
        <w:tc>
          <w:tcPr>
            <w:tcW w:w="8144" w:type="dxa"/>
            <w:tcBorders>
              <w:top w:val="single" w:color="auto" w:sz="4" w:space="0"/>
              <w:left w:val="single" w:color="auto" w:sz="4" w:space="0"/>
              <w:bottom w:val="single" w:color="auto" w:sz="4" w:space="0"/>
              <w:right w:val="single" w:color="auto" w:sz="4" w:space="0"/>
            </w:tcBorders>
            <w:vAlign w:val="center"/>
          </w:tcPr>
          <w:p w14:paraId="4436AD92">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解释：构成本</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文件的各个组成文件应互为解释，互为说明；除</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文件中有特别规定外，仅适用于</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投标阶段的规定，按更正公告（澄清公告）、</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文件不一致时以更正公告（澄清公告）为准。按本款前述规定仍不能形成结论的，由采购人或者采购代理机构负责解释。</w:t>
            </w:r>
          </w:p>
        </w:tc>
      </w:tr>
      <w:tr w14:paraId="36CBFA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895" w:type="dxa"/>
            <w:tcBorders>
              <w:top w:val="single" w:color="auto" w:sz="4" w:space="0"/>
              <w:left w:val="single" w:color="auto" w:sz="4" w:space="0"/>
              <w:bottom w:val="single" w:color="auto" w:sz="4" w:space="0"/>
              <w:right w:val="single" w:color="auto" w:sz="4" w:space="0"/>
            </w:tcBorders>
            <w:vAlign w:val="center"/>
          </w:tcPr>
          <w:p w14:paraId="76A1A343">
            <w:pPr>
              <w:pageBreakBefore w:val="0"/>
              <w:kinsoku/>
              <w:overflowPunct/>
              <w:topLinePunct w:val="0"/>
              <w:bidi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40.2</w:t>
            </w:r>
          </w:p>
        </w:tc>
        <w:tc>
          <w:tcPr>
            <w:tcW w:w="8144" w:type="dxa"/>
            <w:tcBorders>
              <w:top w:val="single" w:color="auto" w:sz="4" w:space="0"/>
              <w:left w:val="single" w:color="auto" w:sz="4" w:space="0"/>
              <w:bottom w:val="single" w:color="auto" w:sz="4" w:space="0"/>
              <w:right w:val="single" w:color="auto" w:sz="4" w:space="0"/>
            </w:tcBorders>
            <w:vAlign w:val="center"/>
          </w:tcPr>
          <w:p w14:paraId="463C1455">
            <w:pPr>
              <w:pStyle w:val="15"/>
              <w:pageBreakBefore w:val="0"/>
              <w:kinsoku/>
              <w:overflowPunct/>
              <w:topLinePunct w:val="0"/>
              <w:bidi w:val="0"/>
              <w:snapToGrid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1.本</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文件中描述投标人的“公章”是指根据我国对公章的管理规定，用投标人法定主体行为名称制作的印章，除本</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文件有特殊规定外，投标人的财务章、部门章、分公司章、工会章、合同章、投标专用章、业务专用章及银行的转账章、现金收讫章、现金付讫章等其他形式印章均不能代替公章。</w:t>
            </w:r>
          </w:p>
          <w:p w14:paraId="5F536B2B">
            <w:pPr>
              <w:pStyle w:val="15"/>
              <w:pageBreakBefore w:val="0"/>
              <w:kinsoku/>
              <w:overflowPunct/>
              <w:topLinePunct w:val="0"/>
              <w:bidi w:val="0"/>
              <w:snapToGrid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2.本</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文件所称的“</w:t>
            </w:r>
            <w:r>
              <w:rPr>
                <w:rFonts w:hint="eastAsia" w:ascii="宋体" w:hAnsi="宋体" w:eastAsia="宋体" w:cs="宋体"/>
                <w:color w:val="auto"/>
                <w:sz w:val="21"/>
                <w:szCs w:val="21"/>
                <w:highlight w:val="none"/>
              </w:rPr>
              <w:t>电子签章</w:t>
            </w:r>
            <w:r>
              <w:rPr>
                <w:rFonts w:hint="eastAsia" w:ascii="宋体" w:hAnsi="宋体" w:eastAsia="宋体" w:cs="宋体"/>
                <w:bCs/>
                <w:color w:val="auto"/>
                <w:sz w:val="21"/>
                <w:szCs w:val="21"/>
                <w:highlight w:val="none"/>
              </w:rPr>
              <w:t>”、“电子签名”</w:t>
            </w:r>
            <w:r>
              <w:rPr>
                <w:rFonts w:hint="eastAsia" w:ascii="宋体" w:hAnsi="宋体" w:eastAsia="宋体" w:cs="宋体"/>
                <w:color w:val="auto"/>
                <w:sz w:val="21"/>
                <w:szCs w:val="21"/>
                <w:highlight w:val="none"/>
              </w:rPr>
              <w:t>，是指经</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认可的CA认证的电子签名数据为表现形式的印章，可用于签署电子投标文件，电子印章与实物印章具有同等法律效力，不因其采用电子化表现形式而否定其法律效力。</w:t>
            </w:r>
          </w:p>
          <w:p w14:paraId="2143B4DE">
            <w:pPr>
              <w:pStyle w:val="15"/>
              <w:pageBreakBefore w:val="0"/>
              <w:kinsoku/>
              <w:overflowPunct/>
              <w:topLinePunct w:val="0"/>
              <w:bidi w:val="0"/>
              <w:snapToGrid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3.投标人为其他组织或者自然人时，本</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文件规定的法定代表人指负责人或者自然人。本</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文件所称负责人是指参加投标的其他组织营业执照或者执业许可证等证照上的负责人，本</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文件所称自然人指参与投标的自然人本人，且应具备独立承担民事责任能力，自然人应当为年满18岁以上成年人（十六周岁以上的未成年人，以自己的劳动收入为主要生活来源的，视为完全民事行为能力人）。</w:t>
            </w:r>
          </w:p>
          <w:p w14:paraId="577E7003">
            <w:pPr>
              <w:pStyle w:val="15"/>
              <w:pageBreakBefore w:val="0"/>
              <w:kinsoku/>
              <w:overflowPunct/>
              <w:topLinePunct w:val="0"/>
              <w:bidi w:val="0"/>
              <w:snapToGrid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4.本</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文件中描述投标人的“签字”是指投标人的法定代表人或者委托代理人亲自在文件规定签字处亲笔写上个人的名字的行为，私章、签字章、印鉴、影印等其他形式均不能代替亲笔签字。</w:t>
            </w:r>
          </w:p>
          <w:p w14:paraId="41139EA6">
            <w:pPr>
              <w:pStyle w:val="15"/>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5.本</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文件所称的“以上”“以下”“以内”“届满”，包括本数；所称的“不满”“超过”“以外”，不包括本数。</w:t>
            </w:r>
          </w:p>
        </w:tc>
      </w:tr>
    </w:tbl>
    <w:p w14:paraId="7F0E61AD">
      <w:pPr>
        <w:rPr>
          <w:rFonts w:hint="eastAsia"/>
        </w:rPr>
      </w:pPr>
    </w:p>
    <w:p w14:paraId="7E87F2C7">
      <w:pPr>
        <w:rPr>
          <w:rFonts w:hint="eastAsia"/>
          <w:lang w:val="en-US" w:eastAsia="zh-CN"/>
        </w:rPr>
      </w:pPr>
      <w:r>
        <w:rPr>
          <w:rFonts w:hint="eastAsia"/>
          <w:lang w:val="en-US" w:eastAsia="zh-CN"/>
        </w:rPr>
        <w:br w:type="page"/>
      </w:r>
    </w:p>
    <w:p w14:paraId="53ABC37E">
      <w:pPr>
        <w:pageBreakBefore w:val="0"/>
        <w:kinsoku/>
        <w:overflowPunct/>
        <w:topLinePunct w:val="0"/>
        <w:bidi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投标人须知正文</w:t>
      </w:r>
    </w:p>
    <w:p w14:paraId="224332B4">
      <w:pPr>
        <w:pStyle w:val="4"/>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一、总</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则</w:t>
      </w:r>
    </w:p>
    <w:p w14:paraId="065C0D1B">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bookmarkStart w:id="62" w:name="_Toc254970527"/>
      <w:bookmarkStart w:id="63" w:name="_Toc254970668"/>
      <w:r>
        <w:rPr>
          <w:rFonts w:hint="eastAsia" w:ascii="宋体" w:hAnsi="宋体" w:eastAsia="宋体" w:cs="宋体"/>
          <w:color w:val="auto"/>
          <w:sz w:val="21"/>
          <w:szCs w:val="21"/>
          <w:highlight w:val="none"/>
        </w:rPr>
        <w:t>1.适用范围</w:t>
      </w:r>
      <w:bookmarkEnd w:id="62"/>
      <w:bookmarkEnd w:id="63"/>
    </w:p>
    <w:p w14:paraId="7714665F">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4AABF76D">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1.2本</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w:t>
      </w:r>
      <w:r>
        <w:rPr>
          <w:rFonts w:hint="eastAsia" w:ascii="宋体" w:hAnsi="宋体" w:eastAsia="宋体" w:cs="宋体"/>
          <w:color w:val="auto"/>
          <w:spacing w:val="-6"/>
          <w:sz w:val="21"/>
          <w:szCs w:val="21"/>
          <w:highlight w:val="none"/>
        </w:rPr>
        <w:t>适用于本项目的所有采购程序和环节（法律、法规另有规定的，从其规定）。</w:t>
      </w:r>
    </w:p>
    <w:p w14:paraId="2E4F610C">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bookmarkStart w:id="64" w:name="_Toc254970669"/>
      <w:bookmarkStart w:id="65" w:name="_Toc254970528"/>
      <w:r>
        <w:rPr>
          <w:rFonts w:hint="eastAsia" w:ascii="宋体" w:hAnsi="宋体" w:eastAsia="宋体" w:cs="宋体"/>
          <w:color w:val="auto"/>
          <w:sz w:val="21"/>
          <w:szCs w:val="21"/>
          <w:highlight w:val="none"/>
        </w:rPr>
        <w:t>2.定义</w:t>
      </w:r>
      <w:bookmarkEnd w:id="64"/>
      <w:bookmarkEnd w:id="65"/>
    </w:p>
    <w:p w14:paraId="185C9726">
      <w:pPr>
        <w:pStyle w:val="5"/>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2.1“采购人”是指依法进行政府采购的国家机关、事业单位、团体组织。</w:t>
      </w:r>
    </w:p>
    <w:p w14:paraId="4A7D9384">
      <w:pPr>
        <w:pStyle w:val="5"/>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2.2“采购代理机构”是指政府采购集中采购机构和集中采购机构以外的采购代理机构。</w:t>
      </w:r>
    </w:p>
    <w:p w14:paraId="70D72876">
      <w:pPr>
        <w:pStyle w:val="5"/>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2.3“供应商”是指向采购人提供货物、工程或者服务的法人、其他组织或者自然人。</w:t>
      </w:r>
    </w:p>
    <w:p w14:paraId="6FE9EA29">
      <w:pPr>
        <w:pStyle w:val="6"/>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2.4“投标人”是指响应</w:t>
      </w:r>
      <w:r>
        <w:rPr>
          <w:rFonts w:hint="eastAsia" w:ascii="宋体" w:hAnsi="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auto"/>
          <w:sz w:val="21"/>
          <w:szCs w:val="21"/>
          <w:highlight w:val="none"/>
        </w:rPr>
        <w:t>、参加投标竞争的法人、其他组织或者自然人。</w:t>
      </w:r>
    </w:p>
    <w:p w14:paraId="0E1B0549">
      <w:pPr>
        <w:pStyle w:val="5"/>
        <w:pageBreakBefore w:val="0"/>
        <w:kinsoku/>
        <w:overflowPunct/>
        <w:topLinePunct w:val="0"/>
        <w:bidi w:val="0"/>
        <w:spacing w:before="0" w:after="0" w:line="24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2.5“货物”是指各种形态和种类的物品，包括原材料、燃料、设备、产品等。</w:t>
      </w:r>
    </w:p>
    <w:p w14:paraId="5E99BB3E">
      <w:pPr>
        <w:pStyle w:val="5"/>
        <w:pageBreakBefore w:val="0"/>
        <w:kinsoku/>
        <w:overflowPunct/>
        <w:topLinePunct w:val="0"/>
        <w:bidi w:val="0"/>
        <w:spacing w:before="0" w:after="0" w:line="24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2.6“售后服务”是指商品出售以后所提供的各种服务，包含但不限于投标人须承担的备品备件、包装、运输、装卸、保险、货到就位以及安装、调试、培训、保修以及其他各种服务。</w:t>
      </w:r>
    </w:p>
    <w:p w14:paraId="70881C9B">
      <w:pPr>
        <w:pStyle w:val="5"/>
        <w:pageBreakBefore w:val="0"/>
        <w:kinsoku/>
        <w:overflowPunct/>
        <w:topLinePunct w:val="0"/>
        <w:bidi w:val="0"/>
        <w:spacing w:before="0" w:after="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2.7“书面形式”是指合同书、信件和数据电文（包括电报、电传、传真、电子数据交换和电子邮件）等可以有形地表现所载内容的形式。</w:t>
      </w:r>
    </w:p>
    <w:p w14:paraId="179B0EB9">
      <w:pPr>
        <w:pStyle w:val="5"/>
        <w:pageBreakBefore w:val="0"/>
        <w:kinsoku/>
        <w:overflowPunct/>
        <w:topLinePunct w:val="0"/>
        <w:bidi w:val="0"/>
        <w:spacing w:before="0" w:after="0" w:line="24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2.8“实质性要求”是指</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文件中已经指明不满足则投标无效的条款，或者不能负偏离的条款，或者采购需求中带“▲”的条款。</w:t>
      </w:r>
    </w:p>
    <w:p w14:paraId="5215CAAF">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2.9“正偏离”，是指投标文件对</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文件“采购需求”中有关条款作出的响应优于条款要求并有利于采购人的情形。</w:t>
      </w:r>
    </w:p>
    <w:p w14:paraId="1C03CCBB">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2.10“负偏离”，是指投标文件对</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文件“采购需求”中有关条款作出的响应不满足条款要求，导致采购人要求不能得到满足的情形。</w:t>
      </w:r>
    </w:p>
    <w:p w14:paraId="0A64388A">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2.11“允许负偏离的条款”是指采购需求中的不属于“实质性要求”的条款。</w:t>
      </w:r>
      <w:bookmarkStart w:id="66" w:name="_Toc254970529"/>
      <w:bookmarkStart w:id="67" w:name="_Toc254970670"/>
    </w:p>
    <w:p w14:paraId="4F3F7462">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End w:id="66"/>
      <w:bookmarkEnd w:id="67"/>
      <w:r>
        <w:rPr>
          <w:rFonts w:hint="eastAsia" w:ascii="宋体" w:hAnsi="宋体" w:eastAsia="宋体" w:cs="宋体"/>
          <w:color w:val="auto"/>
          <w:sz w:val="21"/>
          <w:szCs w:val="21"/>
          <w:highlight w:val="none"/>
        </w:rPr>
        <w:t>投标人的资格要求</w:t>
      </w:r>
    </w:p>
    <w:p w14:paraId="5AB5CBEA">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投标人的资格要求详见“投标人须知前附表”。</w:t>
      </w:r>
    </w:p>
    <w:p w14:paraId="3B58D41A">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bookmarkStart w:id="68" w:name="_Toc254970671"/>
      <w:bookmarkStart w:id="69" w:name="_Toc254970530"/>
      <w:r>
        <w:rPr>
          <w:rFonts w:hint="eastAsia" w:ascii="宋体" w:hAnsi="宋体" w:eastAsia="宋体" w:cs="宋体"/>
          <w:color w:val="auto"/>
          <w:sz w:val="21"/>
          <w:szCs w:val="21"/>
          <w:highlight w:val="none"/>
        </w:rPr>
        <w:t>4.投标委托</w:t>
      </w:r>
      <w:bookmarkEnd w:id="68"/>
      <w:bookmarkEnd w:id="69"/>
    </w:p>
    <w:p w14:paraId="70C7004D">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投标人代表参加投标活动过程中必须携带个人有效身份证件。如投标人代表不是法定代表人，须持有授权委托书（按第六章要求格式填写）。</w:t>
      </w:r>
    </w:p>
    <w:p w14:paraId="09F502C0">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bookmarkStart w:id="70" w:name="_5.投标费用"/>
      <w:bookmarkEnd w:id="70"/>
      <w:bookmarkStart w:id="71" w:name="_Toc254970531"/>
      <w:bookmarkStart w:id="72" w:name="_Toc254970672"/>
      <w:r>
        <w:rPr>
          <w:rFonts w:hint="eastAsia" w:ascii="宋体" w:hAnsi="宋体" w:eastAsia="宋体" w:cs="宋体"/>
          <w:color w:val="auto"/>
          <w:sz w:val="21"/>
          <w:szCs w:val="21"/>
          <w:highlight w:val="none"/>
        </w:rPr>
        <w:t>5.投标费用</w:t>
      </w:r>
      <w:bookmarkEnd w:id="71"/>
      <w:bookmarkEnd w:id="72"/>
    </w:p>
    <w:p w14:paraId="08411538">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投标费用：投标人应承担参与本次采购活动有关的所有费用，包括但不限于获取</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文件、勘查现场、编制和提交投标文件、参加澄清说明、签订合同等，不论投标结果如何，均应自行承担。</w:t>
      </w:r>
    </w:p>
    <w:p w14:paraId="38AF41C6">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6.联合体投标</w:t>
      </w:r>
    </w:p>
    <w:p w14:paraId="308D17F1">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6.1本项目不接受联合体投标。</w:t>
      </w:r>
    </w:p>
    <w:p w14:paraId="17F7B00A">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7.转包与分包</w:t>
      </w:r>
    </w:p>
    <w:p w14:paraId="4E27B13F">
      <w:pPr>
        <w:pStyle w:val="5"/>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7.1本项目不允许转包。</w:t>
      </w:r>
    </w:p>
    <w:p w14:paraId="663046EB">
      <w:pPr>
        <w:pStyle w:val="5"/>
        <w:pageBreakBefore w:val="0"/>
        <w:kinsoku/>
        <w:overflowPunct/>
        <w:topLinePunct w:val="0"/>
        <w:bidi w:val="0"/>
        <w:spacing w:before="0" w:after="0" w:line="24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7.2本项目不允许分包。</w:t>
      </w:r>
    </w:p>
    <w:p w14:paraId="46D05295">
      <w:pPr>
        <w:pStyle w:val="2"/>
        <w:spacing w:line="240" w:lineRule="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8.特别说明</w:t>
      </w:r>
    </w:p>
    <w:p w14:paraId="0426017C">
      <w:pPr>
        <w:pStyle w:val="2"/>
        <w:spacing w:line="240" w:lineRule="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8.1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eastAsia="宋体" w:cs="宋体"/>
          <w:b/>
          <w:bCs/>
          <w:color w:val="auto"/>
          <w:kern w:val="2"/>
          <w:sz w:val="21"/>
          <w:szCs w:val="21"/>
          <w:highlight w:val="none"/>
          <w:lang w:val="en-US" w:eastAsia="zh-CN" w:bidi="ar-SA"/>
        </w:rPr>
        <w:t>其他投标无效。</w:t>
      </w:r>
    </w:p>
    <w:p w14:paraId="65277F3A">
      <w:pPr>
        <w:pStyle w:val="2"/>
        <w:spacing w:line="240" w:lineRule="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432B999E">
      <w:pPr>
        <w:pStyle w:val="2"/>
        <w:spacing w:line="240" w:lineRule="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非单一产品采购项目，多家投标人提供的核心产品品牌相同的，按前两款规定处理。</w:t>
      </w:r>
    </w:p>
    <w:p w14:paraId="522210AE">
      <w:pPr>
        <w:pStyle w:val="2"/>
        <w:spacing w:line="240" w:lineRule="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 xml:space="preserve"> 8.2如果本采购文件要求提供投标人或制造商的资格、信誉、荣誉、业绩与企业认证等材料的，资格、信誉、荣誉、业绩与企业认证等必须为投标人或者制造商所拥有或自身获得。</w:t>
      </w:r>
    </w:p>
    <w:p w14:paraId="696D940B">
      <w:pPr>
        <w:pStyle w:val="2"/>
        <w:spacing w:line="240" w:lineRule="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 xml:space="preserve"> 8.3投标人应仔细阅读采购文件的所有内容，按照采购文件的要求提交投标文件，并对所提供的全部资料的真实性承担法律责任。</w:t>
      </w:r>
    </w:p>
    <w:p w14:paraId="7A18454B">
      <w:pPr>
        <w:pStyle w:val="2"/>
        <w:spacing w:line="240" w:lineRule="auto"/>
        <w:rPr>
          <w:rFonts w:hint="eastAsia"/>
        </w:rPr>
      </w:pPr>
      <w:r>
        <w:rPr>
          <w:rFonts w:hint="eastAsia" w:ascii="宋体" w:hAnsi="宋体" w:eastAsia="宋体" w:cs="宋体"/>
          <w:b w:val="0"/>
          <w:color w:val="auto"/>
          <w:kern w:val="2"/>
          <w:sz w:val="21"/>
          <w:szCs w:val="21"/>
          <w:highlight w:val="none"/>
          <w:lang w:val="en-US" w:eastAsia="zh-CN" w:bidi="ar-SA"/>
        </w:rPr>
        <w:t xml:space="preserve"> 8.4投标人在投标活动中提供任何虚假材料，将报监管部门查处；中标后发现的，中标人须依照《中华人民共和国消费者</w:t>
      </w:r>
      <w:r>
        <w:rPr>
          <w:rFonts w:hint="eastAsia"/>
        </w:rPr>
        <w:t>权益保护法》规定赔偿采购人，且民事赔偿并不免除违法投标人的行政与刑事责任。</w:t>
      </w:r>
    </w:p>
    <w:p w14:paraId="437F46DA">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9.回避与串通投标</w:t>
      </w:r>
    </w:p>
    <w:p w14:paraId="33D0DABA">
      <w:pPr>
        <w:pStyle w:val="5"/>
        <w:pageBreakBefore w:val="0"/>
        <w:kinsoku/>
        <w:overflowPunct/>
        <w:topLinePunct w:val="0"/>
        <w:bidi w:val="0"/>
        <w:spacing w:before="0" w:after="0" w:line="240" w:lineRule="auto"/>
        <w:ind w:firstLine="367" w:firstLineChars="175"/>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9.1在政府采购活动中，采购人员及相关人员与供应商有下列利害关系之一的，应当回避：</w:t>
      </w:r>
    </w:p>
    <w:p w14:paraId="64C8B2D7">
      <w:pPr>
        <w:pStyle w:val="15"/>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（1）参加采购活动前3年内与供应商存在劳动关系；</w:t>
      </w:r>
    </w:p>
    <w:p w14:paraId="17E82B4A">
      <w:pPr>
        <w:pStyle w:val="15"/>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（2）参加采购活动前3年内担任供应商的董事、监事；</w:t>
      </w:r>
    </w:p>
    <w:p w14:paraId="367A4DA8">
      <w:pPr>
        <w:pStyle w:val="15"/>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（3）参加采购活动前3年内是供应商的控股股东或者实际控制人；</w:t>
      </w:r>
    </w:p>
    <w:p w14:paraId="6861428B">
      <w:pPr>
        <w:pStyle w:val="15"/>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（4）与供应商的法定代表人或者负责人有夫妻、直系血亲、三代以内旁系血亲或者近姻亲关系；</w:t>
      </w:r>
    </w:p>
    <w:p w14:paraId="1B497444">
      <w:pPr>
        <w:pStyle w:val="15"/>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（5）与供应商有其他可能影响政府采购活动公平、公正进行的关系。</w:t>
      </w:r>
    </w:p>
    <w:p w14:paraId="3FBB3B03">
      <w:pPr>
        <w:pStyle w:val="15"/>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002297F">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9.2有下列情形之一的视为投标人相互串通投标，投标文件将被视为无效：</w:t>
      </w:r>
    </w:p>
    <w:p w14:paraId="1C51CA59">
      <w:pPr>
        <w:pStyle w:val="15"/>
        <w:pageBreakBefore w:val="0"/>
        <w:kinsoku/>
        <w:overflowPunct/>
        <w:topLinePunct w:val="0"/>
        <w:bidi w:val="0"/>
        <w:snapToGrid w:val="0"/>
        <w:spacing w:line="240" w:lineRule="auto"/>
        <w:ind w:left="2" w:leftChars="1" w:firstLine="422" w:firstLineChars="20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（1）不同投标人的投标文件由同一单位或者个人编制；</w:t>
      </w:r>
    </w:p>
    <w:p w14:paraId="139AA307">
      <w:pPr>
        <w:pStyle w:val="15"/>
        <w:pageBreakBefore w:val="0"/>
        <w:kinsoku/>
        <w:overflowPunct/>
        <w:topLinePunct w:val="0"/>
        <w:bidi w:val="0"/>
        <w:snapToGrid w:val="0"/>
        <w:spacing w:line="240" w:lineRule="auto"/>
        <w:ind w:left="2" w:leftChars="1" w:firstLine="422" w:firstLineChars="20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（2）不同投标人委托同一单位或者个人办理投标事宜；</w:t>
      </w:r>
    </w:p>
    <w:p w14:paraId="0BD91A17">
      <w:pPr>
        <w:pStyle w:val="15"/>
        <w:pageBreakBefore w:val="0"/>
        <w:kinsoku/>
        <w:overflowPunct/>
        <w:topLinePunct w:val="0"/>
        <w:bidi w:val="0"/>
        <w:snapToGrid w:val="0"/>
        <w:spacing w:line="240" w:lineRule="auto"/>
        <w:ind w:left="2" w:leftChars="1" w:firstLine="422" w:firstLineChars="20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（3）不同的投标人的投标文件载明的项目管理员为同一个人；</w:t>
      </w:r>
    </w:p>
    <w:p w14:paraId="19B28034">
      <w:pPr>
        <w:pStyle w:val="15"/>
        <w:pageBreakBefore w:val="0"/>
        <w:kinsoku/>
        <w:overflowPunct/>
        <w:topLinePunct w:val="0"/>
        <w:bidi w:val="0"/>
        <w:snapToGrid w:val="0"/>
        <w:spacing w:line="240" w:lineRule="auto"/>
        <w:ind w:left="2" w:leftChars="1" w:firstLine="422" w:firstLineChars="20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（4）不同投标人的投标文件异常一致或者投标报价呈规律性差异；</w:t>
      </w:r>
    </w:p>
    <w:p w14:paraId="11F96620">
      <w:pPr>
        <w:pStyle w:val="15"/>
        <w:pageBreakBefore w:val="0"/>
        <w:kinsoku/>
        <w:overflowPunct/>
        <w:topLinePunct w:val="0"/>
        <w:bidi w:val="0"/>
        <w:snapToGrid w:val="0"/>
        <w:spacing w:line="240" w:lineRule="auto"/>
        <w:ind w:left="2" w:leftChars="1" w:firstLine="422" w:firstLineChars="20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（5）不同投标人的投标文件相互混装。</w:t>
      </w:r>
    </w:p>
    <w:p w14:paraId="64B371C4">
      <w:pPr>
        <w:pStyle w:val="5"/>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9.3供应商有下列情形之一的，属于恶意串通行为，将报同级监督管理部门：</w:t>
      </w:r>
    </w:p>
    <w:p w14:paraId="04E07E52">
      <w:pPr>
        <w:pStyle w:val="15"/>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（1）供应商直接或者间接从采购人或者采购代理机构处获得其他供应商的相关信息并修改其投标文件或者投标文件；</w:t>
      </w:r>
    </w:p>
    <w:p w14:paraId="2397EAC7">
      <w:pPr>
        <w:pStyle w:val="15"/>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（2）供应商按照采购人或者采购代理机构的授意撤换、修改投标文件或者投标文件；</w:t>
      </w:r>
    </w:p>
    <w:p w14:paraId="71B69034">
      <w:pPr>
        <w:pStyle w:val="15"/>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（3）供应商之间协商报价、技术方案等投标文件或者投标文件的实质性内容；</w:t>
      </w:r>
    </w:p>
    <w:p w14:paraId="3AC08D79">
      <w:pPr>
        <w:pStyle w:val="15"/>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（4）属于同一集团、协会、商会等组织成员的供应商按照该组织要求协同参加政府采购活动；</w:t>
      </w:r>
    </w:p>
    <w:p w14:paraId="65C9AC33">
      <w:pPr>
        <w:pStyle w:val="15"/>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（5）供应商之间事先约定一致抬高或者压低投标报价，或者在</w:t>
      </w:r>
      <w:r>
        <w:rPr>
          <w:rFonts w:hint="eastAsia" w:hAnsi="宋体" w:cs="宋体"/>
          <w:color w:val="auto"/>
          <w:kern w:val="2"/>
          <w:sz w:val="21"/>
          <w:szCs w:val="21"/>
          <w:highlight w:val="none"/>
          <w:lang w:eastAsia="zh-CN"/>
        </w:rPr>
        <w:t>采购</w:t>
      </w:r>
      <w:r>
        <w:rPr>
          <w:rFonts w:hint="eastAsia" w:ascii="宋体" w:hAnsi="宋体" w:eastAsia="宋体" w:cs="宋体"/>
          <w:color w:val="auto"/>
          <w:kern w:val="2"/>
          <w:sz w:val="21"/>
          <w:szCs w:val="21"/>
          <w:highlight w:val="none"/>
        </w:rPr>
        <w:t>项目中事先约定轮流以高价位或者低价位中标，或者事先约定由某一特定供应商中标，然后再参加投标；</w:t>
      </w:r>
    </w:p>
    <w:p w14:paraId="64F93AD7">
      <w:pPr>
        <w:pStyle w:val="15"/>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（6）供应商之间商定部分供应商放弃参加政府采购活动或者放弃中标；</w:t>
      </w:r>
    </w:p>
    <w:p w14:paraId="7106BEBE">
      <w:pPr>
        <w:pStyle w:val="15"/>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（7）供应商与采购人或者采购代理机构之间、供应商相互之间，为谋求特定供应商中标或者排斥其他供应商的其他串通行为。</w:t>
      </w:r>
    </w:p>
    <w:p w14:paraId="345952DC">
      <w:pPr>
        <w:pStyle w:val="4"/>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73" w:name="_Toc254970675"/>
      <w:bookmarkStart w:id="74" w:name="_Toc254970534"/>
      <w:r>
        <w:rPr>
          <w:rFonts w:hint="eastAsia" w:ascii="宋体" w:hAnsi="宋体" w:eastAsia="宋体" w:cs="宋体"/>
          <w:color w:val="auto"/>
          <w:sz w:val="21"/>
          <w:szCs w:val="21"/>
          <w:highlight w:val="none"/>
        </w:rPr>
        <w:t>二、</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w:t>
      </w:r>
      <w:bookmarkEnd w:id="73"/>
      <w:bookmarkEnd w:id="74"/>
    </w:p>
    <w:p w14:paraId="6A7F4033">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文件的组成</w:t>
      </w:r>
    </w:p>
    <w:p w14:paraId="495A2A32">
      <w:pPr>
        <w:pageBreakBefore w:val="0"/>
        <w:kinsoku/>
        <w:overflowPunct/>
        <w:topLinePunct w:val="0"/>
        <w:bidi w:val="0"/>
        <w:snapToGrid w:val="0"/>
        <w:spacing w:line="24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公告；</w:t>
      </w:r>
    </w:p>
    <w:p w14:paraId="26CCE4E8">
      <w:pPr>
        <w:pageBreakBefore w:val="0"/>
        <w:kinsoku/>
        <w:overflowPunct/>
        <w:topLinePunct w:val="0"/>
        <w:bidi w:val="0"/>
        <w:snapToGrid w:val="0"/>
        <w:spacing w:line="24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（2）采购需求；</w:t>
      </w:r>
    </w:p>
    <w:p w14:paraId="3EBC845B">
      <w:pPr>
        <w:pageBreakBefore w:val="0"/>
        <w:kinsoku/>
        <w:overflowPunct/>
        <w:topLinePunct w:val="0"/>
        <w:bidi w:val="0"/>
        <w:snapToGrid w:val="0"/>
        <w:spacing w:line="24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（3）投标人须知；</w:t>
      </w:r>
    </w:p>
    <w:p w14:paraId="04428C15">
      <w:pPr>
        <w:pageBreakBefore w:val="0"/>
        <w:kinsoku/>
        <w:overflowPunct/>
        <w:topLinePunct w:val="0"/>
        <w:bidi w:val="0"/>
        <w:snapToGrid w:val="0"/>
        <w:spacing w:line="24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（4）评标方法及评标标准；</w:t>
      </w:r>
    </w:p>
    <w:p w14:paraId="55392FA3">
      <w:pPr>
        <w:pageBreakBefore w:val="0"/>
        <w:kinsoku/>
        <w:overflowPunct/>
        <w:topLinePunct w:val="0"/>
        <w:bidi w:val="0"/>
        <w:snapToGrid w:val="0"/>
        <w:spacing w:line="24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（5）拟签订的合同文本；</w:t>
      </w:r>
    </w:p>
    <w:p w14:paraId="05F704F7">
      <w:pPr>
        <w:pageBreakBefore w:val="0"/>
        <w:kinsoku/>
        <w:overflowPunct/>
        <w:topLinePunct w:val="0"/>
        <w:bidi w:val="0"/>
        <w:snapToGrid w:val="0"/>
        <w:spacing w:line="24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（6）投标文件格式。</w:t>
      </w:r>
    </w:p>
    <w:p w14:paraId="3F6D5298">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文件的澄清、修改、现场考察和答疑会</w:t>
      </w:r>
    </w:p>
    <w:p w14:paraId="0C4F37E2">
      <w:pPr>
        <w:pStyle w:val="5"/>
        <w:pageBreakBefore w:val="0"/>
        <w:kinsoku/>
        <w:overflowPunct/>
        <w:topLinePunct w:val="0"/>
        <w:bidi w:val="0"/>
        <w:spacing w:before="0" w:after="0" w:line="24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11.1采购人或者采购代理机构可以对已发出的</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文件进行必要的澄清或者修改，但不得改变采购标的和资格条件。澄清或者修改应当在原公告发布媒体上发布澄清公告。澄清或者修改的内容为</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文件的组成部分。</w:t>
      </w:r>
    </w:p>
    <w:p w14:paraId="2EAAF54E">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澄清或者修改的内容可能影响投标文件编制的，采购人或者采购代理机构应当在投标截止时间至少15日前，以书面形式通知所有获取</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文件的潜在投标人；不足15日的，采购人或者采购代理机构应当顺延提交投标文件的截止时间。</w:t>
      </w:r>
    </w:p>
    <w:p w14:paraId="19A6AEB7">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bookmarkStart w:id="75" w:name="_Hlk53134511"/>
      <w:r>
        <w:rPr>
          <w:rFonts w:hint="eastAsia" w:ascii="宋体" w:hAnsi="宋体" w:eastAsia="宋体" w:cs="宋体"/>
          <w:color w:val="auto"/>
          <w:sz w:val="21"/>
          <w:szCs w:val="21"/>
          <w:highlight w:val="none"/>
        </w:rPr>
        <w:t>采购人或者采购代理机构可以在</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文件提供期限截止后，组织已获取</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文件的潜在投标人现场考察或者召开开标前答疑会，具体详见“投标人须知前附表”。</w:t>
      </w:r>
    </w:p>
    <w:bookmarkEnd w:id="75"/>
    <w:p w14:paraId="7D49D279">
      <w:pPr>
        <w:pStyle w:val="4"/>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76" w:name="_Toc254970535"/>
      <w:bookmarkStart w:id="77" w:name="_Toc254970676"/>
      <w:r>
        <w:rPr>
          <w:rFonts w:hint="eastAsia" w:ascii="宋体" w:hAnsi="宋体" w:eastAsia="宋体" w:cs="宋体"/>
          <w:color w:val="auto"/>
          <w:sz w:val="21"/>
          <w:szCs w:val="21"/>
          <w:highlight w:val="none"/>
        </w:rPr>
        <w:t>三、投标文件的编制</w:t>
      </w:r>
      <w:bookmarkEnd w:id="76"/>
      <w:bookmarkEnd w:id="77"/>
    </w:p>
    <w:p w14:paraId="73AC714C">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bookmarkStart w:id="78" w:name="_Toc254970536"/>
      <w:bookmarkStart w:id="79" w:name="_Toc254970677"/>
      <w:r>
        <w:rPr>
          <w:rFonts w:hint="eastAsia" w:ascii="宋体" w:hAnsi="宋体" w:eastAsia="宋体" w:cs="宋体"/>
          <w:color w:val="auto"/>
          <w:sz w:val="21"/>
          <w:szCs w:val="21"/>
          <w:highlight w:val="none"/>
        </w:rPr>
        <w:t>12.投标文件的编制原则</w:t>
      </w:r>
    </w:p>
    <w:p w14:paraId="087EAD89">
      <w:pPr>
        <w:pageBreakBefore w:val="0"/>
        <w:kinsoku/>
        <w:overflowPunct/>
        <w:topLinePunct w:val="0"/>
        <w:bidi w:val="0"/>
        <w:snapToGrid w:val="0"/>
        <w:spacing w:line="24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投标人必须按照</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文件的要求编制投标文件。投标文件必须对</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文件提出的要求和条件作出明确响应。</w:t>
      </w:r>
    </w:p>
    <w:p w14:paraId="27235E88">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13.投标文件的组成</w:t>
      </w:r>
      <w:bookmarkEnd w:id="78"/>
      <w:bookmarkEnd w:id="79"/>
    </w:p>
    <w:p w14:paraId="1A6F803E">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投标文件由报价文件、资格证明文件、商务文件、技术文件四部分组成。</w:t>
      </w:r>
    </w:p>
    <w:p w14:paraId="59E13B39">
      <w:pPr>
        <w:pStyle w:val="5"/>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bookmarkStart w:id="80" w:name="_13.1报价文件:_具体材料见“投标人须知前附表”。"/>
      <w:bookmarkEnd w:id="80"/>
      <w:r>
        <w:rPr>
          <w:rFonts w:hint="eastAsia" w:ascii="宋体" w:hAnsi="宋体" w:eastAsia="宋体" w:cs="宋体"/>
          <w:b w:val="0"/>
          <w:color w:val="auto"/>
          <w:sz w:val="21"/>
          <w:szCs w:val="21"/>
          <w:highlight w:val="none"/>
        </w:rPr>
        <w:t>（1）报价文件：具体材料见“投标人须知前附表”。</w:t>
      </w:r>
    </w:p>
    <w:p w14:paraId="1AFF94D8">
      <w:pPr>
        <w:pStyle w:val="5"/>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bookmarkStart w:id="81" w:name="_13.2资格证明文件：具体材料见“投标人须知前附表”。"/>
      <w:bookmarkEnd w:id="81"/>
      <w:r>
        <w:rPr>
          <w:rFonts w:hint="eastAsia" w:ascii="宋体" w:hAnsi="宋体" w:eastAsia="宋体" w:cs="宋体"/>
          <w:b w:val="0"/>
          <w:color w:val="auto"/>
          <w:sz w:val="21"/>
          <w:szCs w:val="21"/>
          <w:highlight w:val="none"/>
        </w:rPr>
        <w:t>（2）资格证明文件：具体材料见“投标人须知前附表”。</w:t>
      </w:r>
    </w:p>
    <w:p w14:paraId="52BB3975">
      <w:pPr>
        <w:pStyle w:val="5"/>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bookmarkStart w:id="82" w:name="_13.3商务文件:_具体材料见“投标人须知前附表”。"/>
      <w:bookmarkEnd w:id="82"/>
      <w:r>
        <w:rPr>
          <w:rFonts w:hint="eastAsia" w:ascii="宋体" w:hAnsi="宋体" w:eastAsia="宋体" w:cs="宋体"/>
          <w:b w:val="0"/>
          <w:color w:val="auto"/>
          <w:sz w:val="21"/>
          <w:szCs w:val="21"/>
          <w:highlight w:val="none"/>
        </w:rPr>
        <w:t>（3）商务文件：具体材料见“投标人须知前附表”。</w:t>
      </w:r>
    </w:p>
    <w:p w14:paraId="78939CBB">
      <w:pPr>
        <w:pStyle w:val="5"/>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bookmarkStart w:id="83" w:name="_13.4技术文件：具体材料见“投标人须知前附表”。"/>
      <w:bookmarkEnd w:id="83"/>
      <w:r>
        <w:rPr>
          <w:rFonts w:hint="eastAsia" w:ascii="宋体" w:hAnsi="宋体" w:eastAsia="宋体" w:cs="宋体"/>
          <w:b w:val="0"/>
          <w:color w:val="auto"/>
          <w:sz w:val="21"/>
          <w:szCs w:val="21"/>
          <w:highlight w:val="none"/>
        </w:rPr>
        <w:t>（4）技术文件：具体材料见“投标人须知前附表”。</w:t>
      </w:r>
    </w:p>
    <w:p w14:paraId="01A52AF8">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bookmarkStart w:id="84" w:name="_13.5投标文件电子版：具体材料见“投标人须知前附表”。"/>
      <w:bookmarkEnd w:id="84"/>
      <w:bookmarkStart w:id="85" w:name="_Toc254970678"/>
      <w:bookmarkStart w:id="86" w:name="_Toc254970537"/>
      <w:r>
        <w:rPr>
          <w:rFonts w:hint="eastAsia" w:ascii="宋体" w:hAnsi="宋体" w:eastAsia="宋体" w:cs="宋体"/>
          <w:color w:val="auto"/>
          <w:sz w:val="21"/>
          <w:szCs w:val="21"/>
          <w:highlight w:val="none"/>
        </w:rPr>
        <w:t>14.投标文件的语言及计量</w:t>
      </w:r>
      <w:bookmarkEnd w:id="85"/>
      <w:bookmarkEnd w:id="86"/>
    </w:p>
    <w:p w14:paraId="2BA76682">
      <w:pPr>
        <w:pStyle w:val="5"/>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14.1语言文字</w:t>
      </w:r>
    </w:p>
    <w:p w14:paraId="5670BB47">
      <w:pPr>
        <w:pStyle w:val="5"/>
        <w:pageBreakBefore w:val="0"/>
        <w:kinsoku/>
        <w:overflowPunct/>
        <w:topLinePunct w:val="0"/>
        <w:bidi w:val="0"/>
        <w:spacing w:before="0" w:after="0" w:line="24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投标文件以及投标人与采购人就有关投标事宜的所有来往函电，均应以中文书写（除专用术语外，与</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EC8BB21">
      <w:pPr>
        <w:pStyle w:val="5"/>
        <w:pageBreakBefore w:val="0"/>
        <w:kinsoku/>
        <w:overflowPunct/>
        <w:topLinePunct w:val="0"/>
        <w:bidi w:val="0"/>
        <w:spacing w:before="0" w:after="0" w:line="24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14.2投标计量单位</w:t>
      </w:r>
    </w:p>
    <w:p w14:paraId="6B997DFD">
      <w:pPr>
        <w:pStyle w:val="5"/>
        <w:pageBreakBefore w:val="0"/>
        <w:kinsoku/>
        <w:overflowPunct/>
        <w:topLinePunct w:val="0"/>
        <w:bidi w:val="0"/>
        <w:spacing w:before="0" w:after="0" w:line="240" w:lineRule="auto"/>
        <w:ind w:firstLine="420" w:firstLineChars="200"/>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文件已有明确规定的，使用</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文件规定的计量单位；</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文件没有规定的，应采用中华人民共和国法定计量单位，货币种类为人民币，</w:t>
      </w:r>
      <w:r>
        <w:rPr>
          <w:rFonts w:hint="eastAsia" w:ascii="宋体" w:hAnsi="宋体" w:eastAsia="宋体" w:cs="宋体"/>
          <w:color w:val="auto"/>
          <w:sz w:val="21"/>
          <w:szCs w:val="21"/>
          <w:highlight w:val="none"/>
        </w:rPr>
        <w:t>否则视同未响应。</w:t>
      </w:r>
    </w:p>
    <w:p w14:paraId="2A9CAC8A">
      <w:pPr>
        <w:pStyle w:val="5"/>
        <w:pageBreakBefore w:val="0"/>
        <w:kinsoku/>
        <w:overflowPunct/>
        <w:topLinePunct w:val="0"/>
        <w:bidi w:val="0"/>
        <w:spacing w:before="0" w:after="0" w:line="240" w:lineRule="auto"/>
        <w:ind w:left="42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15.投标的风险</w:t>
      </w:r>
    </w:p>
    <w:p w14:paraId="33553AE3">
      <w:pPr>
        <w:pStyle w:val="15"/>
        <w:pageBreakBefore w:val="0"/>
        <w:kinsoku/>
        <w:overflowPunct/>
        <w:topLinePunct w:val="0"/>
        <w:bidi w:val="0"/>
        <w:snapToGrid w:val="0"/>
        <w:spacing w:line="240" w:lineRule="auto"/>
        <w:ind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投标人没有按照</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文件要求提供全部资料，或者投标人没有对</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文件作出实质性响应是投标人的风险，并可能导致其投标被拒绝。</w:t>
      </w:r>
      <w:bookmarkStart w:id="87" w:name="_Toc254970679"/>
      <w:bookmarkStart w:id="88" w:name="_Toc254970538"/>
    </w:p>
    <w:p w14:paraId="7BADFA42">
      <w:pPr>
        <w:pStyle w:val="15"/>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lang w:val="en-US" w:eastAsia="zh-CN" w:bidi="ar-SA"/>
        </w:rPr>
        <w:t>16.</w:t>
      </w:r>
      <w:r>
        <w:rPr>
          <w:rFonts w:hint="eastAsia" w:ascii="宋体" w:hAnsi="宋体" w:eastAsia="宋体" w:cs="宋体"/>
          <w:color w:val="auto"/>
          <w:sz w:val="21"/>
          <w:szCs w:val="21"/>
          <w:highlight w:val="none"/>
        </w:rPr>
        <w:t>投标报价</w:t>
      </w:r>
      <w:bookmarkEnd w:id="87"/>
      <w:bookmarkEnd w:id="88"/>
    </w:p>
    <w:p w14:paraId="4606EFF1">
      <w:pPr>
        <w:pStyle w:val="15"/>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16.1投标报价应按“第六章　投标文件格式”中“开标一览表”格式填写。</w:t>
      </w:r>
      <w:bookmarkStart w:id="89" w:name="_16.2投标报价具体定义见投标人须知前附表。"/>
      <w:bookmarkEnd w:id="89"/>
    </w:p>
    <w:p w14:paraId="5DC103FD">
      <w:pPr>
        <w:pStyle w:val="15"/>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16.2投标报价具体包括内容详见“投标人须知前附表”。</w:t>
      </w:r>
    </w:p>
    <w:p w14:paraId="0D292A24">
      <w:pPr>
        <w:pStyle w:val="15"/>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16.3投标人必须就所投每个分标的全部内容分别作完整唯一总价报价，不得存在漏项报价；投标人必须就所投分标的单项内容作唯一报价。</w:t>
      </w:r>
    </w:p>
    <w:p w14:paraId="71006AD8">
      <w:pPr>
        <w:pStyle w:val="15"/>
        <w:pageBreakBefore w:val="0"/>
        <w:numPr>
          <w:ilvl w:val="0"/>
          <w:numId w:val="0"/>
        </w:numPr>
        <w:kinsoku/>
        <w:overflowPunct/>
        <w:topLinePunct w:val="0"/>
        <w:bidi w:val="0"/>
        <w:snapToGrid w:val="0"/>
        <w:spacing w:line="24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lang w:val="en-US" w:eastAsia="zh-CN" w:bidi="ar-SA"/>
        </w:rPr>
        <w:t>17.</w:t>
      </w:r>
      <w:r>
        <w:rPr>
          <w:rFonts w:hint="eastAsia" w:ascii="宋体" w:hAnsi="宋体" w:eastAsia="宋体" w:cs="宋体"/>
          <w:color w:val="auto"/>
          <w:sz w:val="21"/>
          <w:szCs w:val="21"/>
          <w:highlight w:val="none"/>
        </w:rPr>
        <w:t>投标有效期</w:t>
      </w:r>
      <w:bookmarkStart w:id="90" w:name="_17.1投标有效期应按“投标人须知中的前附表”规定的期限。"/>
      <w:bookmarkEnd w:id="90"/>
    </w:p>
    <w:p w14:paraId="138C4610">
      <w:pPr>
        <w:pStyle w:val="15"/>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0AD21F54">
      <w:pPr>
        <w:pStyle w:val="15"/>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17.2</w:t>
      </w:r>
      <w:bookmarkStart w:id="91" w:name="_Toc254970681"/>
      <w:bookmarkStart w:id="92" w:name="_Toc254970540"/>
      <w:r>
        <w:rPr>
          <w:rFonts w:hint="eastAsia" w:ascii="宋体" w:hAnsi="宋体" w:eastAsia="宋体" w:cs="宋体"/>
          <w:b w:val="0"/>
          <w:color w:val="auto"/>
          <w:sz w:val="21"/>
          <w:szCs w:val="21"/>
          <w:highlight w:val="none"/>
        </w:rPr>
        <w:t>投标有效期应按规定的期限作出承诺，具体详见“投标人须知前附表”。</w:t>
      </w:r>
    </w:p>
    <w:p w14:paraId="701B5C7B">
      <w:pPr>
        <w:pStyle w:val="15"/>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17.3投标人的投标文件在投标有效期内均保持有效。</w:t>
      </w:r>
      <w:bookmarkEnd w:id="91"/>
      <w:bookmarkEnd w:id="92"/>
      <w:bookmarkStart w:id="93" w:name="_18.投标保证金"/>
      <w:bookmarkEnd w:id="93"/>
      <w:bookmarkStart w:id="94" w:name="_Toc254970682"/>
      <w:bookmarkStart w:id="95" w:name="_Toc254970541"/>
    </w:p>
    <w:p w14:paraId="7423039B">
      <w:pPr>
        <w:pStyle w:val="15"/>
        <w:pageBreakBefore w:val="0"/>
        <w:numPr>
          <w:ilvl w:val="0"/>
          <w:numId w:val="0"/>
        </w:numPr>
        <w:kinsoku/>
        <w:overflowPunct/>
        <w:topLinePunct w:val="0"/>
        <w:bidi w:val="0"/>
        <w:snapToGrid w:val="0"/>
        <w:spacing w:line="240" w:lineRule="auto"/>
        <w:ind w:left="0"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kern w:val="0"/>
          <w:sz w:val="21"/>
          <w:szCs w:val="21"/>
          <w:lang w:val="en-US" w:eastAsia="zh-CN" w:bidi="ar-SA"/>
        </w:rPr>
        <w:t>18.</w:t>
      </w:r>
      <w:r>
        <w:rPr>
          <w:rFonts w:hint="eastAsia" w:ascii="宋体" w:hAnsi="宋体" w:eastAsia="宋体" w:cs="宋体"/>
          <w:color w:val="auto"/>
          <w:sz w:val="21"/>
          <w:szCs w:val="21"/>
          <w:highlight w:val="none"/>
        </w:rPr>
        <w:t>投标保证金</w:t>
      </w:r>
      <w:bookmarkEnd w:id="94"/>
      <w:bookmarkEnd w:id="95"/>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本项目不收取投标保证金。</w:t>
      </w:r>
      <w:bookmarkStart w:id="96" w:name="_Toc254970683"/>
      <w:bookmarkStart w:id="97" w:name="_Toc254970542"/>
    </w:p>
    <w:p w14:paraId="186223F6">
      <w:pPr>
        <w:pStyle w:val="15"/>
        <w:pageBreakBefore w:val="0"/>
        <w:numPr>
          <w:ilvl w:val="0"/>
          <w:numId w:val="0"/>
        </w:numPr>
        <w:kinsoku/>
        <w:overflowPunct/>
        <w:topLinePunct w:val="0"/>
        <w:bidi w:val="0"/>
        <w:snapToGrid w:val="0"/>
        <w:spacing w:line="24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lang w:val="en-US" w:eastAsia="zh-CN" w:bidi="ar-SA"/>
        </w:rPr>
        <w:t>19.</w:t>
      </w:r>
      <w:r>
        <w:rPr>
          <w:rFonts w:hint="eastAsia" w:ascii="宋体" w:hAnsi="宋体" w:eastAsia="宋体" w:cs="宋体"/>
          <w:color w:val="auto"/>
          <w:sz w:val="21"/>
          <w:szCs w:val="21"/>
          <w:highlight w:val="none"/>
        </w:rPr>
        <w:t>投标文件的</w:t>
      </w:r>
      <w:bookmarkEnd w:id="96"/>
      <w:bookmarkEnd w:id="97"/>
      <w:r>
        <w:rPr>
          <w:rFonts w:hint="eastAsia" w:ascii="宋体" w:hAnsi="宋体" w:eastAsia="宋体" w:cs="宋体"/>
          <w:color w:val="auto"/>
          <w:sz w:val="21"/>
          <w:szCs w:val="21"/>
          <w:highlight w:val="none"/>
        </w:rPr>
        <w:t>编制</w:t>
      </w:r>
    </w:p>
    <w:p w14:paraId="58FBB36D">
      <w:pPr>
        <w:pStyle w:val="15"/>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19.1投标人应先安装“政采云电子投标客户端”（请自行前往</w:t>
      </w:r>
      <w:r>
        <w:rPr>
          <w:rFonts w:hint="eastAsia" w:ascii="宋体" w:hAnsi="宋体" w:eastAsia="宋体" w:cs="宋体"/>
          <w:b w:val="0"/>
          <w:color w:val="auto"/>
          <w:sz w:val="21"/>
          <w:szCs w:val="21"/>
          <w:highlight w:val="none"/>
          <w:lang w:eastAsia="zh-CN"/>
        </w:rPr>
        <w:t>广西政府采购云平台</w:t>
      </w:r>
      <w:r>
        <w:rPr>
          <w:rFonts w:hint="eastAsia" w:ascii="宋体" w:hAnsi="宋体" w:eastAsia="宋体" w:cs="宋体"/>
          <w:b w:val="0"/>
          <w:color w:val="auto"/>
          <w:sz w:val="21"/>
          <w:szCs w:val="21"/>
          <w:highlight w:val="none"/>
        </w:rPr>
        <w:t>进行下载），并按照本项目</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文件规定的格式和顺序和</w:t>
      </w:r>
      <w:r>
        <w:rPr>
          <w:rFonts w:hint="eastAsia" w:ascii="宋体" w:hAnsi="宋体" w:eastAsia="宋体" w:cs="宋体"/>
          <w:b w:val="0"/>
          <w:color w:val="auto"/>
          <w:sz w:val="21"/>
          <w:szCs w:val="21"/>
          <w:highlight w:val="none"/>
          <w:lang w:eastAsia="zh-CN"/>
        </w:rPr>
        <w:t>广西政府采购云平台</w:t>
      </w:r>
      <w:r>
        <w:rPr>
          <w:rFonts w:hint="eastAsia" w:ascii="宋体" w:hAnsi="宋体" w:eastAsia="宋体" w:cs="宋体"/>
          <w:b w:val="0"/>
          <w:color w:val="auto"/>
          <w:sz w:val="21"/>
          <w:szCs w:val="21"/>
          <w:highlight w:val="none"/>
        </w:rPr>
        <w:t>的要求编制并加密。投标文件内容不完整、编排混乱导致投标文件被误读、漏读或者查找不到相关内容的，由此引发的后果由投标人承担。</w:t>
      </w:r>
      <w:bookmarkStart w:id="98" w:name="_19.2投标文件应按报价文件、资格证明文件、商务文件、技术文件分别编制"/>
      <w:bookmarkEnd w:id="98"/>
    </w:p>
    <w:p w14:paraId="061845F0">
      <w:pPr>
        <w:pStyle w:val="15"/>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19.2为确保网上操作合法、有效和安全，投标人应当在投标截止时间前完成在</w:t>
      </w:r>
      <w:r>
        <w:rPr>
          <w:rFonts w:hint="eastAsia" w:ascii="宋体" w:hAnsi="宋体" w:eastAsia="宋体" w:cs="宋体"/>
          <w:b w:val="0"/>
          <w:color w:val="auto"/>
          <w:sz w:val="21"/>
          <w:szCs w:val="21"/>
          <w:highlight w:val="none"/>
          <w:lang w:eastAsia="zh-CN"/>
        </w:rPr>
        <w:t>广西政府采购云平台</w:t>
      </w:r>
      <w:r>
        <w:rPr>
          <w:rFonts w:hint="eastAsia" w:ascii="宋体" w:hAnsi="宋体" w:eastAsia="宋体" w:cs="宋体"/>
          <w:b w:val="0"/>
          <w:color w:val="auto"/>
          <w:sz w:val="21"/>
          <w:szCs w:val="21"/>
          <w:highlight w:val="none"/>
        </w:rPr>
        <w:t>的身份认证，确保在电子投标过程中能够对相关数据电文进行加密和使用电子签章。</w:t>
      </w:r>
    </w:p>
    <w:p w14:paraId="2A4AA47A">
      <w:pPr>
        <w:pStyle w:val="15"/>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19.3投标文件须由投标人在规定位置签字（或者电子签名）、盖章（具体以投标人须知前附表或投标文件格式规定为准），</w:t>
      </w:r>
      <w:r>
        <w:rPr>
          <w:rFonts w:hint="eastAsia" w:ascii="宋体" w:hAnsi="宋体" w:eastAsia="宋体" w:cs="宋体"/>
          <w:bCs/>
          <w:color w:val="auto"/>
          <w:sz w:val="21"/>
          <w:szCs w:val="21"/>
          <w:highlight w:val="none"/>
        </w:rPr>
        <w:t>否则按无效投标处理</w:t>
      </w:r>
      <w:r>
        <w:rPr>
          <w:rFonts w:hint="eastAsia" w:ascii="宋体" w:hAnsi="宋体" w:eastAsia="宋体" w:cs="宋体"/>
          <w:b w:val="0"/>
          <w:color w:val="auto"/>
          <w:sz w:val="21"/>
          <w:szCs w:val="21"/>
          <w:highlight w:val="none"/>
        </w:rPr>
        <w:t>。</w:t>
      </w:r>
    </w:p>
    <w:p w14:paraId="446A2425">
      <w:pPr>
        <w:pStyle w:val="15"/>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19.4投标文件中标注的投标人名称应与主体资格证明（如营业执照或者事业单位法人证书或者执业许可证或者登记证书等）及公章一致，并与“政采云”中获取</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文件的投标人名称一致，投标人为自然人的，标注的投标人名称应与身份证姓名及签名一致，</w:t>
      </w:r>
      <w:r>
        <w:rPr>
          <w:rFonts w:hint="eastAsia" w:ascii="宋体" w:hAnsi="宋体" w:eastAsia="宋体" w:cs="宋体"/>
          <w:color w:val="auto"/>
          <w:sz w:val="21"/>
          <w:szCs w:val="21"/>
          <w:highlight w:val="none"/>
        </w:rPr>
        <w:t>否则按无效投标处理</w:t>
      </w:r>
      <w:r>
        <w:rPr>
          <w:rFonts w:hint="eastAsia" w:ascii="宋体" w:hAnsi="宋体" w:eastAsia="宋体" w:cs="宋体"/>
          <w:b w:val="0"/>
          <w:color w:val="auto"/>
          <w:sz w:val="21"/>
          <w:szCs w:val="21"/>
          <w:highlight w:val="none"/>
        </w:rPr>
        <w:t>。</w:t>
      </w:r>
    </w:p>
    <w:p w14:paraId="1A6E1EC4">
      <w:pPr>
        <w:pStyle w:val="5"/>
        <w:pageBreakBefore w:val="0"/>
        <w:kinsoku/>
        <w:overflowPunct/>
        <w:topLinePunct w:val="0"/>
        <w:bidi w:val="0"/>
        <w:spacing w:before="0" w:after="0" w:line="24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0F9F6F87">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20.电子备份投标文件</w:t>
      </w:r>
    </w:p>
    <w:p w14:paraId="08EBFC8F">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电子备份投标文件是指通过“政采云电子投标客户端”在线编制生成且后缀名为“bfbs”的文件，是否接受电子备份投标文件</w:t>
      </w:r>
      <w:r>
        <w:rPr>
          <w:rFonts w:hint="eastAsia" w:ascii="宋体" w:hAnsi="宋体" w:eastAsia="宋体" w:cs="宋体"/>
          <w:bCs/>
          <w:color w:val="auto"/>
          <w:sz w:val="21"/>
          <w:szCs w:val="21"/>
          <w:highlight w:val="none"/>
        </w:rPr>
        <w:t>详见在“投标人须知前附表”。</w:t>
      </w:r>
    </w:p>
    <w:p w14:paraId="57059645">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21.投标文件的提交</w:t>
      </w:r>
    </w:p>
    <w:p w14:paraId="44FEB017">
      <w:pPr>
        <w:pageBreakBefore w:val="0"/>
        <w:kinsoku/>
        <w:overflowPunct/>
        <w:topLinePunct w:val="0"/>
        <w:bidi w:val="0"/>
        <w:spacing w:line="240" w:lineRule="auto"/>
        <w:ind w:firstLine="420" w:firstLineChars="200"/>
        <w:rPr>
          <w:rFonts w:hint="eastAsia" w:ascii="宋体" w:hAnsi="宋体" w:eastAsia="宋体" w:cs="宋体"/>
          <w:b/>
          <w:color w:val="auto"/>
          <w:sz w:val="21"/>
          <w:szCs w:val="21"/>
          <w:highlight w:val="none"/>
        </w:rPr>
      </w:pPr>
      <w:bookmarkStart w:id="99" w:name="_21.1投标人必须在“投标人须知中的前附表”规定的投标文件接收时间和投"/>
      <w:bookmarkEnd w:id="99"/>
      <w:r>
        <w:rPr>
          <w:rFonts w:hint="eastAsia" w:ascii="宋体" w:hAnsi="宋体" w:eastAsia="宋体" w:cs="宋体"/>
          <w:bCs/>
          <w:color w:val="auto"/>
          <w:sz w:val="21"/>
          <w:szCs w:val="21"/>
          <w:highlight w:val="none"/>
        </w:rPr>
        <w:t>21.1投标人必须在“投标人须知前附表”规定的</w:t>
      </w:r>
      <w:r>
        <w:rPr>
          <w:rFonts w:hint="eastAsia" w:ascii="宋体" w:hAnsi="宋体" w:eastAsia="宋体" w:cs="宋体"/>
          <w:color w:val="auto"/>
          <w:sz w:val="21"/>
          <w:szCs w:val="21"/>
          <w:highlight w:val="none"/>
        </w:rPr>
        <w:t>投标文件提交截止时间前将</w:t>
      </w:r>
      <w:r>
        <w:rPr>
          <w:rFonts w:hint="eastAsia" w:ascii="宋体" w:hAnsi="宋体" w:eastAsia="宋体" w:cs="宋体"/>
          <w:bCs/>
          <w:color w:val="auto"/>
          <w:sz w:val="21"/>
          <w:szCs w:val="21"/>
          <w:highlight w:val="none"/>
        </w:rPr>
        <w:t>电子投标文件提交至投标地点。电子投标文件应在制作完成后，在投标截止时间前通过有效数字证书（CA认证锁）进行电子签章、加密，然后通过网络将加密的电子投标文件递交至</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bCs/>
          <w:color w:val="auto"/>
          <w:sz w:val="21"/>
          <w:szCs w:val="21"/>
          <w:highlight w:val="none"/>
        </w:rPr>
        <w:t>。</w:t>
      </w:r>
    </w:p>
    <w:p w14:paraId="2D343140">
      <w:pPr>
        <w:pageBreakBefore w:val="0"/>
        <w:kinsoku/>
        <w:overflowPunct/>
        <w:topLinePunct w:val="0"/>
        <w:bidi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21.2未在规定时间内提交或者未按照</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文件要求加密的电子投标文件，</w:t>
      </w:r>
      <w:r>
        <w:rPr>
          <w:rFonts w:hint="eastAsia" w:ascii="宋体" w:hAnsi="宋体" w:eastAsia="宋体" w:cs="宋体"/>
          <w:b/>
          <w:color w:val="auto"/>
          <w:sz w:val="21"/>
          <w:szCs w:val="21"/>
          <w:highlight w:val="none"/>
          <w:lang w:eastAsia="zh-CN"/>
        </w:rPr>
        <w:t>广西政府采购云平台</w:t>
      </w:r>
      <w:r>
        <w:rPr>
          <w:rFonts w:hint="eastAsia" w:ascii="宋体" w:hAnsi="宋体" w:eastAsia="宋体" w:cs="宋体"/>
          <w:b/>
          <w:color w:val="auto"/>
          <w:sz w:val="21"/>
          <w:szCs w:val="21"/>
          <w:highlight w:val="none"/>
        </w:rPr>
        <w:t>将拒收。</w:t>
      </w:r>
    </w:p>
    <w:p w14:paraId="17D9BBDE">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22.投标文件的补充、修改、撤回与退回</w:t>
      </w:r>
    </w:p>
    <w:p w14:paraId="30A50073">
      <w:pPr>
        <w:pageBreakBefore w:val="0"/>
        <w:kinsoku/>
        <w:overflowPunct/>
        <w:topLinePunct w:val="0"/>
        <w:bidi w:val="0"/>
        <w:snapToGrid w:val="0"/>
        <w:spacing w:line="240" w:lineRule="auto"/>
        <w:ind w:firstLine="420"/>
        <w:jc w:val="left"/>
        <w:rPr>
          <w:rFonts w:hint="eastAsia" w:ascii="宋体" w:hAnsi="宋体" w:eastAsia="宋体" w:cs="宋体"/>
          <w:color w:val="auto"/>
          <w:sz w:val="21"/>
          <w:szCs w:val="21"/>
          <w:highlight w:val="none"/>
        </w:rPr>
      </w:pPr>
      <w:bookmarkStart w:id="100" w:name="_Toc254970684"/>
      <w:bookmarkStart w:id="101" w:name="_Toc254970543"/>
      <w:r>
        <w:rPr>
          <w:rFonts w:hint="eastAsia" w:ascii="宋体" w:hAnsi="宋体" w:eastAsia="宋体" w:cs="宋体"/>
          <w:color w:val="auto"/>
          <w:sz w:val="21"/>
          <w:szCs w:val="21"/>
          <w:highlight w:val="none"/>
        </w:rPr>
        <w:t>22.1</w:t>
      </w:r>
      <w:r>
        <w:rPr>
          <w:rFonts w:hint="eastAsia" w:ascii="宋体" w:hAnsi="宋体" w:eastAsia="宋体" w:cs="宋体"/>
          <w:bCs/>
          <w:color w:val="auto"/>
          <w:sz w:val="21"/>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宋体" w:hAnsi="宋体" w:eastAsia="宋体" w:cs="宋体"/>
          <w:bCs/>
          <w:color w:val="auto"/>
          <w:sz w:val="21"/>
          <w:szCs w:val="21"/>
          <w:highlight w:val="none"/>
          <w:lang w:eastAsia="zh-CN"/>
        </w:rPr>
        <w:t>广西政府采购云平台</w:t>
      </w:r>
      <w:r>
        <w:rPr>
          <w:rFonts w:hint="eastAsia" w:ascii="宋体" w:hAnsi="宋体" w:eastAsia="宋体" w:cs="宋体"/>
          <w:bCs/>
          <w:color w:val="auto"/>
          <w:sz w:val="21"/>
          <w:szCs w:val="21"/>
          <w:highlight w:val="none"/>
        </w:rPr>
        <w:t>将予以拒收。</w:t>
      </w:r>
      <w:r>
        <w:rPr>
          <w:rFonts w:hint="eastAsia" w:ascii="宋体" w:hAnsi="宋体" w:eastAsia="宋体" w:cs="宋体"/>
          <w:color w:val="auto"/>
          <w:sz w:val="21"/>
          <w:szCs w:val="21"/>
          <w:highlight w:val="none"/>
        </w:rPr>
        <w:t>（补充、修改或者撤回方式可登陆</w:t>
      </w:r>
      <w:r>
        <w:rPr>
          <w:rFonts w:hint="eastAsia" w:ascii="宋体" w:hAnsi="宋体" w:eastAsia="宋体" w:cs="宋体"/>
          <w:color w:val="auto"/>
          <w:kern w:val="0"/>
          <w:sz w:val="21"/>
          <w:szCs w:val="21"/>
          <w:highlight w:val="none"/>
          <w:lang w:eastAsia="zh-CN"/>
        </w:rPr>
        <w:t>广西政府采购云平台</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进入“服务中心”中查看“电子投标文件制作与投送教程”）</w:t>
      </w:r>
    </w:p>
    <w:bookmarkEnd w:id="100"/>
    <w:bookmarkEnd w:id="101"/>
    <w:p w14:paraId="2CFF91AB">
      <w:pPr>
        <w:pStyle w:val="28"/>
        <w:pageBreakBefore w:val="0"/>
        <w:kinsoku/>
        <w:overflowPunct/>
        <w:topLinePunct w:val="0"/>
        <w:bidi w:val="0"/>
        <w:spacing w:before="0" w:line="24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收到投标文件后向供应商发出确认回执通知。在投标截止时间前，除供应商补充、修改或者撤回投标文件外，任何单位和个人不得解密或提取投标文件。</w:t>
      </w:r>
    </w:p>
    <w:p w14:paraId="079AE69E">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22.3在投标截止时间后，采购人和采购代理机构对已提交的投标文件概不退回。</w:t>
      </w:r>
    </w:p>
    <w:p w14:paraId="594DF43D">
      <w:pPr>
        <w:pStyle w:val="4"/>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102" w:name="_Toc254970685"/>
      <w:bookmarkStart w:id="103" w:name="_Toc254970544"/>
      <w:r>
        <w:rPr>
          <w:rFonts w:hint="eastAsia" w:ascii="宋体" w:hAnsi="宋体" w:eastAsia="宋体" w:cs="宋体"/>
          <w:color w:val="auto"/>
          <w:sz w:val="21"/>
          <w:szCs w:val="21"/>
          <w:highlight w:val="none"/>
        </w:rPr>
        <w:t>四、开    标</w:t>
      </w:r>
      <w:bookmarkEnd w:id="102"/>
      <w:bookmarkEnd w:id="103"/>
    </w:p>
    <w:p w14:paraId="6EED6A8B">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bookmarkStart w:id="104" w:name="_23.开标时间和地点"/>
      <w:bookmarkEnd w:id="104"/>
      <w:r>
        <w:rPr>
          <w:rFonts w:hint="eastAsia" w:ascii="宋体" w:hAnsi="宋体" w:eastAsia="宋体" w:cs="宋体"/>
          <w:color w:val="auto"/>
          <w:sz w:val="21"/>
          <w:szCs w:val="21"/>
          <w:highlight w:val="none"/>
        </w:rPr>
        <w:t>23.开标时间和地点</w:t>
      </w:r>
    </w:p>
    <w:p w14:paraId="053C2E7B">
      <w:pPr>
        <w:pageBreakBefore w:val="0"/>
        <w:kinsoku/>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开标时间及地点详见“投标人须知前附表”</w:t>
      </w:r>
    </w:p>
    <w:p w14:paraId="5BF03C2A">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24.开标程序</w:t>
      </w:r>
    </w:p>
    <w:p w14:paraId="6628668A">
      <w:pPr>
        <w:pStyle w:val="6"/>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24.1提交投标文件截止时间止，投标人不足3家的，不得开标。</w:t>
      </w:r>
    </w:p>
    <w:p w14:paraId="6F46EDC0">
      <w:pPr>
        <w:pStyle w:val="6"/>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24.2采购代理机构将按照</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文件规定的时间通过</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组织线上开标活动，所有供应商均应当准时在线参加，投标人因未在线参加开标而导致投标文件无法按时解密等一切后果由投标人自己承担。</w:t>
      </w:r>
    </w:p>
    <w:p w14:paraId="1FC41FBE">
      <w:pPr>
        <w:pStyle w:val="6"/>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24.3开标程序</w:t>
      </w:r>
    </w:p>
    <w:p w14:paraId="5C3B35B2">
      <w:pPr>
        <w:pStyle w:val="6"/>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（1）解密电子投标文件。</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按开标时间自动提取所有投标文件。采购代理机构依托</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向各投标人发出电子加密投标文件【开始解密】通知，由投标人按</w:t>
      </w:r>
      <w:r>
        <w:rPr>
          <w:rFonts w:hint="eastAsia" w:ascii="宋体" w:hAnsi="宋体" w:eastAsia="宋体" w:cs="宋体"/>
          <w:bCs/>
          <w:color w:val="auto"/>
          <w:sz w:val="21"/>
          <w:szCs w:val="21"/>
          <w:highlight w:val="none"/>
        </w:rPr>
        <w:t>“投标人须知前附表”</w:t>
      </w:r>
      <w:r>
        <w:rPr>
          <w:rFonts w:hint="eastAsia" w:ascii="宋体" w:hAnsi="宋体" w:eastAsia="宋体" w:cs="宋体"/>
          <w:color w:val="auto"/>
          <w:sz w:val="21"/>
          <w:szCs w:val="21"/>
          <w:highlight w:val="none"/>
        </w:rPr>
        <w:t>规定的时间内自行进行投标文件解密。投标人的法定代表人或其委托代理人须凭加密时所用的CA锁准时登录到</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电子开标大厅签到并对电子投标文件解密。</w:t>
      </w:r>
      <w:r>
        <w:rPr>
          <w:rFonts w:hint="eastAsia" w:ascii="宋体" w:hAnsi="宋体" w:eastAsia="宋体" w:cs="宋体"/>
          <w:b/>
          <w:color w:val="auto"/>
          <w:sz w:val="21"/>
          <w:szCs w:val="21"/>
          <w:highlight w:val="none"/>
        </w:rPr>
        <w:t>投标人未在规定的时间内解密投标文件或者解密失败的，投标人的投标文件作无效处理。</w:t>
      </w:r>
    </w:p>
    <w:p w14:paraId="194C76D8">
      <w:pPr>
        <w:pStyle w:val="6"/>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（2）电子唱标。投标文件解密结束，宣布的内容均在</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远程开标大厅展示，具体详见</w:t>
      </w:r>
      <w:r>
        <w:rPr>
          <w:rFonts w:hint="eastAsia" w:ascii="宋体" w:hAnsi="宋体" w:eastAsia="宋体" w:cs="宋体"/>
          <w:bCs/>
          <w:color w:val="auto"/>
          <w:sz w:val="21"/>
          <w:szCs w:val="21"/>
          <w:highlight w:val="none"/>
        </w:rPr>
        <w:t>“投标人须知前附表”</w:t>
      </w:r>
      <w:r>
        <w:rPr>
          <w:rFonts w:hint="eastAsia" w:ascii="宋体" w:hAnsi="宋体" w:eastAsia="宋体" w:cs="宋体"/>
          <w:color w:val="auto"/>
          <w:sz w:val="21"/>
          <w:szCs w:val="21"/>
          <w:highlight w:val="none"/>
        </w:rPr>
        <w:t>；</w:t>
      </w:r>
    </w:p>
    <w:p w14:paraId="5601C34F">
      <w:pPr>
        <w:pStyle w:val="6"/>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（3）开标过程由采购代理机构如实记录，并电子留痕，由参加电子开标的各投标人代表对电子开标记录在开标记录公布后15分钟内进行校核及勘误，并线上确认是否有异议，未确认的视同认可开标结果。</w:t>
      </w:r>
    </w:p>
    <w:p w14:paraId="1D16B81E">
      <w:pPr>
        <w:pStyle w:val="6"/>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5C592ED6">
      <w:pPr>
        <w:pStyle w:val="6"/>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（5）开标结束。</w:t>
      </w:r>
    </w:p>
    <w:p w14:paraId="471B3AF7">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特别说明：如遇</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电子化开标或评审程序调整的，按调整后执行。</w:t>
      </w:r>
    </w:p>
    <w:p w14:paraId="48AFC0C8">
      <w:pPr>
        <w:pStyle w:val="4"/>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五、资格审查</w:t>
      </w:r>
    </w:p>
    <w:p w14:paraId="708DBBC6">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25.资格审查</w:t>
      </w:r>
    </w:p>
    <w:p w14:paraId="12C8FC06">
      <w:pPr>
        <w:pStyle w:val="5"/>
        <w:pageBreakBefore w:val="0"/>
        <w:kinsoku/>
        <w:overflowPunct/>
        <w:topLinePunct w:val="0"/>
        <w:bidi w:val="0"/>
        <w:spacing w:before="0" w:after="0" w:line="24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25.1开标结束后，采购人或者采购代理机构通过电子开评标系统依据</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文件对电子投标文件进行线上资格审查。</w:t>
      </w:r>
    </w:p>
    <w:p w14:paraId="4F40621A">
      <w:pPr>
        <w:pStyle w:val="5"/>
        <w:pageBreakBefore w:val="0"/>
        <w:kinsoku/>
        <w:overflowPunct/>
        <w:topLinePunct w:val="0"/>
        <w:bidi w:val="0"/>
        <w:spacing w:before="0" w:after="0" w:line="24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25.2资格审查标准为本</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文件中载明对投标人资格要求的条件。本项目资格审查采用合格制，凡符合</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文件规定的投标人资格要求的投标人均通过资格审查。</w:t>
      </w:r>
    </w:p>
    <w:p w14:paraId="5DE67539">
      <w:pPr>
        <w:pStyle w:val="5"/>
        <w:pageBreakBefore w:val="0"/>
        <w:numPr>
          <w:ilvl w:val="4"/>
          <w:numId w:val="0"/>
        </w:numPr>
        <w:kinsoku/>
        <w:overflowPunct/>
        <w:topLinePunct w:val="0"/>
        <w:bidi w:val="0"/>
        <w:spacing w:before="0" w:after="0" w:line="240" w:lineRule="auto"/>
        <w:ind w:firstLine="422" w:firstLineChars="200"/>
        <w:rPr>
          <w:rFonts w:hint="eastAsia" w:ascii="宋体" w:hAnsi="宋体" w:eastAsia="宋体" w:cs="宋体"/>
          <w:color w:val="auto"/>
          <w:sz w:val="21"/>
          <w:szCs w:val="21"/>
          <w:highlight w:val="none"/>
        </w:rPr>
      </w:pPr>
      <w:bookmarkStart w:id="105" w:name="_25.3_投标人有下列情形之一的，资格审查不通过而导致其投标无效："/>
      <w:bookmarkEnd w:id="105"/>
      <w:r>
        <w:rPr>
          <w:rFonts w:hint="eastAsia" w:ascii="宋体" w:hAnsi="宋体" w:eastAsia="宋体" w:cs="宋体"/>
          <w:color w:val="auto"/>
          <w:sz w:val="21"/>
          <w:szCs w:val="21"/>
          <w:highlight w:val="none"/>
        </w:rPr>
        <w:t>25.3投标人有下列情形之一的，资格审查不通过，作无效投标处理：</w:t>
      </w:r>
    </w:p>
    <w:p w14:paraId="484DCA20">
      <w:pPr>
        <w:pStyle w:val="15"/>
        <w:pageBreakBefore w:val="0"/>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（1）不具备</w:t>
      </w:r>
      <w:r>
        <w:rPr>
          <w:rFonts w:hint="eastAsia"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文件中规定的资格要求的；</w:t>
      </w:r>
    </w:p>
    <w:p w14:paraId="6DD512EF">
      <w:pPr>
        <w:pStyle w:val="15"/>
        <w:pageBreakBefore w:val="0"/>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在“信用中国”网站（www.creditchina.gov.cn）、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r>
        <w:rPr>
          <w:rFonts w:hint="eastAsia" w:ascii="宋体" w:hAnsi="宋体" w:eastAsia="宋体" w:cs="宋体"/>
          <w:b/>
          <w:color w:val="auto"/>
          <w:sz w:val="21"/>
          <w:szCs w:val="21"/>
          <w:highlight w:val="none"/>
          <w:lang w:eastAsia="zh-CN"/>
        </w:rPr>
        <w:t>广西政府采购云平台</w:t>
      </w:r>
      <w:r>
        <w:rPr>
          <w:rFonts w:hint="eastAsia" w:ascii="宋体" w:hAnsi="宋体" w:eastAsia="宋体" w:cs="宋体"/>
          <w:b/>
          <w:color w:val="auto"/>
          <w:sz w:val="21"/>
          <w:szCs w:val="21"/>
          <w:highlight w:val="none"/>
        </w:rPr>
        <w:t>已与“信用中国”网站、中国政府采购网实现数据对接，可直接在线查询）</w:t>
      </w:r>
    </w:p>
    <w:p w14:paraId="401AA96F">
      <w:pPr>
        <w:pStyle w:val="15"/>
        <w:pageBreakBefore w:val="0"/>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14:paraId="58989FD6">
      <w:pPr>
        <w:pStyle w:val="15"/>
        <w:pageBreakBefore w:val="0"/>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（4）投标文件中的资格证明文件缺少任一项“投标人须知前附表”资格证明文件规定“必须提供”的文件资料的；</w:t>
      </w:r>
    </w:p>
    <w:p w14:paraId="7E365D09">
      <w:pPr>
        <w:pStyle w:val="15"/>
        <w:pageBreakBefore w:val="0"/>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（5）投标文件中的资格证明文件出现任一项不符合“投标人须知前附表”资格证明文件规定“必须提供”的文件资料要求或者无效的。</w:t>
      </w:r>
    </w:p>
    <w:p w14:paraId="1696D191">
      <w:pPr>
        <w:pStyle w:val="5"/>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color w:val="auto"/>
          <w:sz w:val="21"/>
          <w:szCs w:val="21"/>
          <w:highlight w:val="none"/>
        </w:rPr>
        <w:t>25.4合格投标人不足3家的，不得评标。</w:t>
      </w:r>
    </w:p>
    <w:p w14:paraId="7073774D">
      <w:pPr>
        <w:pStyle w:val="4"/>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六、评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标</w:t>
      </w:r>
    </w:p>
    <w:p w14:paraId="04C258C0">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bookmarkStart w:id="106" w:name="_26.组建评标委员会"/>
      <w:bookmarkEnd w:id="106"/>
      <w:r>
        <w:rPr>
          <w:rFonts w:hint="eastAsia" w:ascii="宋体" w:hAnsi="宋体" w:eastAsia="宋体" w:cs="宋体"/>
          <w:color w:val="auto"/>
          <w:sz w:val="21"/>
          <w:szCs w:val="21"/>
          <w:highlight w:val="none"/>
        </w:rPr>
        <w:t>26.组建评标委员会</w:t>
      </w:r>
    </w:p>
    <w:p w14:paraId="0E37E9D4">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26.1评标委员会由采购人代表和评审专家组成，具体人数详见“投标人须知前附表”，其中评审专家不得少于成员总数的三分之二。</w:t>
      </w:r>
    </w:p>
    <w:p w14:paraId="36AF7BBB">
      <w:pPr>
        <w:pStyle w:val="15"/>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26.2参加过采购项目前期咨询论证的专家，不得参加该采购项目的评审活动。</w:t>
      </w:r>
    </w:p>
    <w:p w14:paraId="2982749F">
      <w:pPr>
        <w:pStyle w:val="15"/>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26.3</w:t>
      </w:r>
      <w:r>
        <w:rPr>
          <w:rFonts w:hint="eastAsia" w:ascii="宋体" w:hAnsi="宋体" w:eastAsia="宋体" w:cs="宋体"/>
          <w:bCs/>
          <w:color w:val="auto"/>
          <w:sz w:val="21"/>
          <w:szCs w:val="21"/>
          <w:highlight w:val="none"/>
        </w:rPr>
        <w:t>采购代理机构应当基于</w:t>
      </w:r>
      <w:r>
        <w:rPr>
          <w:rFonts w:hint="eastAsia" w:ascii="宋体" w:hAnsi="宋体" w:eastAsia="宋体" w:cs="宋体"/>
          <w:bCs/>
          <w:color w:val="auto"/>
          <w:sz w:val="21"/>
          <w:szCs w:val="21"/>
          <w:highlight w:val="none"/>
          <w:lang w:eastAsia="zh-CN"/>
        </w:rPr>
        <w:t>广西政府采购云平台</w:t>
      </w:r>
      <w:r>
        <w:rPr>
          <w:rFonts w:hint="eastAsia" w:ascii="宋体" w:hAnsi="宋体" w:eastAsia="宋体" w:cs="宋体"/>
          <w:bCs/>
          <w:color w:val="auto"/>
          <w:sz w:val="21"/>
          <w:szCs w:val="21"/>
          <w:highlight w:val="none"/>
        </w:rPr>
        <w:t>抽（选）取评审专家。</w:t>
      </w:r>
    </w:p>
    <w:p w14:paraId="3672CA76">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27.评标的依据</w:t>
      </w:r>
    </w:p>
    <w:p w14:paraId="69D6FCD7">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评标委员会以“第四章 评标方法和评标标准”为依据对投标文件进行评审，没有规定的方法、评审因素和标准，不作为评标依据。</w:t>
      </w:r>
    </w:p>
    <w:p w14:paraId="2DD586DB">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28.评标原则</w:t>
      </w:r>
    </w:p>
    <w:p w14:paraId="364B45D3">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13CE04FF">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28.2</w:t>
      </w:r>
      <w:bookmarkStart w:id="107" w:name="_28.3评标方法。本项目将按须知前附表规定的评标办法进行评标，具体评标"/>
      <w:bookmarkEnd w:id="107"/>
      <w:r>
        <w:rPr>
          <w:rFonts w:hint="eastAsia" w:ascii="宋体" w:hAnsi="宋体" w:eastAsia="宋体" w:cs="宋体"/>
          <w:color w:val="auto"/>
          <w:sz w:val="21"/>
          <w:szCs w:val="21"/>
          <w:highlight w:val="none"/>
        </w:rPr>
        <w:t>评委表决。评标委员会成员对需要共同认定的事项存在争议的，应当按照少数服从多数的原则作出结论。</w:t>
      </w:r>
    </w:p>
    <w:p w14:paraId="79F97FA9">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8994F06">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28.4评标过程的监控。本项目电子评标过程实行网上留痕、全程录音、录像监控，</w:t>
      </w:r>
      <w:r>
        <w:rPr>
          <w:rFonts w:hint="eastAsia" w:ascii="宋体" w:hAnsi="宋体" w:eastAsia="宋体" w:cs="宋体"/>
          <w:b/>
          <w:color w:val="auto"/>
          <w:sz w:val="21"/>
          <w:szCs w:val="21"/>
          <w:highlight w:val="none"/>
        </w:rPr>
        <w:t>投标人在评标过程中所进行的试图影响评标结果的不公正活动，可能导致其投标按无效处理。</w:t>
      </w:r>
    </w:p>
    <w:p w14:paraId="6EE08A73">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29.评标方法及中标候选人推荐</w:t>
      </w:r>
    </w:p>
    <w:p w14:paraId="4FFA9F19">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29.1本项目的评标方法详见“投标人须知前附表”。</w:t>
      </w:r>
    </w:p>
    <w:p w14:paraId="1C2C8C61">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29.2商务/技术要求允许负偏离的条款数详见“投标人须知前附表”。</w:t>
      </w:r>
    </w:p>
    <w:p w14:paraId="4658741D">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29.3中标候选人推荐数量详见“投标人须知前附表”。</w:t>
      </w:r>
    </w:p>
    <w:p w14:paraId="40F0D487">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29.4电子交易活动的中止。采购过程中出现以下情形，导致电子交易平台无法正常运行，或者无法保证电子交易的公平、公正和安全时，采购代理机构可以中止电子交易活动：</w:t>
      </w:r>
    </w:p>
    <w:p w14:paraId="4F949FF6">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（1）电子交易平台发生故障而无法登录访问的；</w:t>
      </w:r>
    </w:p>
    <w:p w14:paraId="45D12D70">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（2）电子交易平台应用或数据库出现错误，不能进行正常操作的；</w:t>
      </w:r>
    </w:p>
    <w:p w14:paraId="1A0521A3">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（3）电子交易平台发现严重安全漏洞，有潜在泄密危险的；</w:t>
      </w:r>
    </w:p>
    <w:p w14:paraId="3F32D033">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（4）病毒发作导致不能进行正常操作的；</w:t>
      </w:r>
    </w:p>
    <w:p w14:paraId="450ADE8E">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（5）其他无法保证电子交易的公平、公正和安全的情况。</w:t>
      </w:r>
    </w:p>
    <w:p w14:paraId="5824FB79">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619413AF">
      <w:pPr>
        <w:pStyle w:val="4"/>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108" w:name="_Toc254970687"/>
      <w:bookmarkStart w:id="109" w:name="_Toc254970546"/>
      <w:r>
        <w:rPr>
          <w:rFonts w:hint="eastAsia" w:ascii="宋体" w:hAnsi="宋体" w:eastAsia="宋体" w:cs="宋体"/>
          <w:color w:val="auto"/>
          <w:sz w:val="21"/>
          <w:szCs w:val="21"/>
          <w:highlight w:val="none"/>
        </w:rPr>
        <w:t>七、</w:t>
      </w:r>
      <w:bookmarkEnd w:id="108"/>
      <w:bookmarkEnd w:id="109"/>
      <w:r>
        <w:rPr>
          <w:rFonts w:hint="eastAsia" w:ascii="宋体" w:hAnsi="宋体" w:eastAsia="宋体" w:cs="宋体"/>
          <w:color w:val="auto"/>
          <w:sz w:val="21"/>
          <w:szCs w:val="21"/>
          <w:highlight w:val="none"/>
        </w:rPr>
        <w:t>中标和合同</w:t>
      </w:r>
    </w:p>
    <w:p w14:paraId="4F194709">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确定中标人</w:t>
      </w:r>
    </w:p>
    <w:p w14:paraId="21B1CFCB">
      <w:pPr>
        <w:pStyle w:val="5"/>
        <w:pageBreakBefore w:val="0"/>
        <w:kinsoku/>
        <w:overflowPunct/>
        <w:topLinePunct w:val="0"/>
        <w:bidi w:val="0"/>
        <w:spacing w:before="0" w:after="0" w:line="24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4831C273">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30.2采购人在收到评标报告5个工作日内未按评标报告推荐的中标候选人顺序确定中标人，又不能说明合法理由的，视同按评标报告推荐的顺序确定排名第一的中标候选人为中标人。</w:t>
      </w:r>
    </w:p>
    <w:p w14:paraId="335C6007">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30.3出现下列情形之一的，应予废标：</w:t>
      </w:r>
    </w:p>
    <w:p w14:paraId="5B3A2BF6">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（1）符合专业条件的供应商或者对</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文件作实质响应的供应商不足三家的；</w:t>
      </w:r>
    </w:p>
    <w:p w14:paraId="33D2ECAC">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（2）出现影响采购公正的违法、违规行为的；</w:t>
      </w:r>
    </w:p>
    <w:p w14:paraId="2FA7330E">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（3）投标人的报价均超过了采购预算，采购人不能支付的；</w:t>
      </w:r>
    </w:p>
    <w:p w14:paraId="44C25623">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（4）因重大变故，采购任务取消的。</w:t>
      </w:r>
    </w:p>
    <w:p w14:paraId="214F4AA9">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废标后，采购人应当将废标理由通知所有投标人。</w:t>
      </w:r>
    </w:p>
    <w:p w14:paraId="4BB7568F">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31.结果公告</w:t>
      </w:r>
    </w:p>
    <w:p w14:paraId="5BBA251B">
      <w:pPr>
        <w:pStyle w:val="5"/>
        <w:pageBreakBefore w:val="0"/>
        <w:kinsoku/>
        <w:overflowPunct/>
        <w:topLinePunct w:val="0"/>
        <w:bidi w:val="0"/>
        <w:spacing w:before="0" w:after="0" w:line="240" w:lineRule="auto"/>
        <w:ind w:firstLine="420" w:firstLineChars="200"/>
        <w:rPr>
          <w:rFonts w:hint="eastAsia" w:ascii="宋体" w:hAnsi="宋体" w:eastAsia="宋体" w:cs="宋体"/>
          <w:b w:val="0"/>
          <w:color w:val="FF0000"/>
          <w:sz w:val="21"/>
          <w:szCs w:val="21"/>
          <w:highlight w:val="none"/>
        </w:rPr>
      </w:pPr>
      <w:r>
        <w:rPr>
          <w:rFonts w:hint="eastAsia" w:ascii="宋体" w:hAnsi="宋体" w:eastAsia="宋体" w:cs="宋体"/>
          <w:b w:val="0"/>
          <w:color w:val="auto"/>
          <w:sz w:val="21"/>
          <w:szCs w:val="21"/>
          <w:highlight w:val="none"/>
        </w:rPr>
        <w:t>31.1</w:t>
      </w:r>
      <w:r>
        <w:rPr>
          <w:rFonts w:hint="eastAsia" w:ascii="宋体" w:hAnsi="宋体" w:eastAsia="宋体" w:cs="宋体"/>
          <w:b w:val="0"/>
          <w:color w:val="000000" w:themeColor="text1"/>
          <w:sz w:val="21"/>
          <w:szCs w:val="21"/>
          <w:highlight w:val="none"/>
          <w14:textFill>
            <w14:solidFill>
              <w14:schemeClr w14:val="tx1"/>
            </w14:solidFill>
          </w14:textFill>
        </w:rPr>
        <w:t>采购人或者采购代理机构应当自中标人确定之日起2个工作日内，在省级以上财政部门指定的媒体上公告中标结果，</w:t>
      </w:r>
      <w:r>
        <w:rPr>
          <w:rFonts w:hint="eastAsia" w:ascii="宋体" w:hAnsi="宋体" w:cs="宋体"/>
          <w:b w:val="0"/>
          <w:color w:val="000000" w:themeColor="text1"/>
          <w:sz w:val="21"/>
          <w:szCs w:val="21"/>
          <w:highlight w:val="none"/>
          <w:lang w:eastAsia="zh-CN"/>
          <w14:textFill>
            <w14:solidFill>
              <w14:schemeClr w14:val="tx1"/>
            </w14:solidFill>
          </w14:textFill>
        </w:rPr>
        <w:t>采购</w:t>
      </w:r>
      <w:r>
        <w:rPr>
          <w:rFonts w:hint="eastAsia" w:ascii="宋体" w:hAnsi="宋体" w:eastAsia="宋体" w:cs="宋体"/>
          <w:b w:val="0"/>
          <w:color w:val="000000" w:themeColor="text1"/>
          <w:sz w:val="21"/>
          <w:szCs w:val="21"/>
          <w:highlight w:val="none"/>
          <w14:textFill>
            <w14:solidFill>
              <w14:schemeClr w14:val="tx1"/>
            </w14:solidFill>
          </w14:textFill>
        </w:rPr>
        <w:t>文件应当随中标结果同时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3746CE14">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以上信息查询记录及相关证据与采购文件一并保存。</w:t>
      </w:r>
    </w:p>
    <w:p w14:paraId="57A4888F">
      <w:pPr>
        <w:pStyle w:val="5"/>
        <w:pageBreakBefore w:val="0"/>
        <w:kinsoku/>
        <w:overflowPunct/>
        <w:topLinePunct w:val="0"/>
        <w:bidi w:val="0"/>
        <w:spacing w:before="0" w:after="0" w:line="24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52979519">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32.发出中标通知书</w:t>
      </w:r>
    </w:p>
    <w:p w14:paraId="3B2FC29A">
      <w:pPr>
        <w:pStyle w:val="5"/>
        <w:pageBreakBefore w:val="0"/>
        <w:kinsoku/>
        <w:overflowPunct/>
        <w:topLinePunct w:val="0"/>
        <w:bidi w:val="0"/>
        <w:spacing w:before="0" w:after="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在发布中标公告的同时，采购代理机构向中标人通过</w:t>
      </w:r>
      <w:r>
        <w:rPr>
          <w:rFonts w:hint="eastAsia" w:ascii="宋体" w:hAnsi="宋体" w:eastAsia="宋体" w:cs="宋体"/>
          <w:b w:val="0"/>
          <w:color w:val="auto"/>
          <w:sz w:val="21"/>
          <w:szCs w:val="21"/>
          <w:highlight w:val="none"/>
          <w:lang w:eastAsia="zh-CN"/>
        </w:rPr>
        <w:t>广西政府采购云平台</w:t>
      </w:r>
      <w:r>
        <w:rPr>
          <w:rFonts w:hint="eastAsia" w:ascii="宋体" w:hAnsi="宋体" w:eastAsia="宋体" w:cs="宋体"/>
          <w:b w:val="0"/>
          <w:color w:val="auto"/>
          <w:sz w:val="21"/>
          <w:szCs w:val="21"/>
          <w:highlight w:val="none"/>
        </w:rPr>
        <w:t>发出电子中标通知书。对未通过资格审查的投标人，应当告知其未通过的原因；采用综合评分办法评审的，还应当告知未中标人本人的评审得分与排序。</w:t>
      </w:r>
    </w:p>
    <w:p w14:paraId="4D2DD757">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33.无义务解释未中标原因</w:t>
      </w:r>
    </w:p>
    <w:p w14:paraId="43515859">
      <w:pPr>
        <w:pStyle w:val="5"/>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采购代理机构无义务向未中标的投标人解释未中标原因。</w:t>
      </w:r>
    </w:p>
    <w:p w14:paraId="4BC19598">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34.合同授予标准</w:t>
      </w:r>
    </w:p>
    <w:p w14:paraId="429C401A">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合同将授予被确定实质上响应</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文件要求，具备履行合同能力的中标人。</w:t>
      </w:r>
    </w:p>
    <w:p w14:paraId="4B3200A3">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35.履约保证金</w:t>
      </w:r>
    </w:p>
    <w:p w14:paraId="33AF77B0">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bookmarkStart w:id="110" w:name="_39.1中标人须于签订合同前按本须知前附表规定的金额转账或电汇到指定账"/>
      <w:bookmarkEnd w:id="110"/>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不收取</w:t>
      </w:r>
      <w:r>
        <w:rPr>
          <w:rFonts w:hint="eastAsia" w:ascii="宋体" w:hAnsi="宋体" w:eastAsia="宋体" w:cs="宋体"/>
          <w:color w:val="auto"/>
          <w:sz w:val="21"/>
          <w:szCs w:val="21"/>
          <w:highlight w:val="none"/>
        </w:rPr>
        <w:t>履约保证金。</w:t>
      </w:r>
    </w:p>
    <w:p w14:paraId="48F8A17A">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36.签订合同</w:t>
      </w:r>
    </w:p>
    <w:p w14:paraId="14207130">
      <w:pPr>
        <w:pStyle w:val="5"/>
        <w:pageBreakBefore w:val="0"/>
        <w:kinsoku/>
        <w:overflowPunct/>
        <w:topLinePunct w:val="0"/>
        <w:bidi w:val="0"/>
        <w:spacing w:before="0" w:after="0" w:line="240" w:lineRule="auto"/>
        <w:ind w:firstLine="315" w:firstLineChars="150"/>
        <w:rPr>
          <w:rFonts w:hint="eastAsia" w:ascii="宋体" w:hAnsi="宋体" w:eastAsia="宋体" w:cs="宋体"/>
          <w:b w:val="0"/>
          <w:color w:val="auto"/>
          <w:sz w:val="21"/>
          <w:szCs w:val="21"/>
          <w:highlight w:val="none"/>
        </w:rPr>
      </w:pPr>
      <w:bookmarkStart w:id="111" w:name="_40.1投标人接到中标通知书后，按须知前附表规定向采购人出示相关资格证"/>
      <w:bookmarkEnd w:id="111"/>
      <w:r>
        <w:rPr>
          <w:rFonts w:hint="eastAsia" w:ascii="宋体" w:hAnsi="宋体" w:eastAsia="宋体" w:cs="宋体"/>
          <w:b w:val="0"/>
          <w:color w:val="auto"/>
          <w:sz w:val="21"/>
          <w:szCs w:val="21"/>
          <w:highlight w:val="none"/>
        </w:rPr>
        <w:t xml:space="preserve"> </w:t>
      </w:r>
      <w:r>
        <w:rPr>
          <w:rFonts w:hint="eastAsia" w:ascii="宋体" w:hAnsi="宋体" w:eastAsia="宋体" w:cs="宋体"/>
          <w:color w:val="auto"/>
          <w:sz w:val="21"/>
          <w:szCs w:val="21"/>
          <w:highlight w:val="none"/>
        </w:rPr>
        <w:t>36.1签订电子采购合同：中标人领取电子中标通知书后，</w:t>
      </w:r>
      <w:r>
        <w:rPr>
          <w:rFonts w:hint="eastAsia" w:ascii="宋体" w:hAnsi="宋体" w:eastAsia="宋体" w:cs="宋体"/>
          <w:color w:val="auto"/>
          <w:kern w:val="0"/>
          <w:sz w:val="21"/>
          <w:szCs w:val="21"/>
          <w:highlight w:val="none"/>
        </w:rPr>
        <w:t>在</w:t>
      </w:r>
      <w:r>
        <w:rPr>
          <w:rFonts w:hint="eastAsia" w:ascii="宋体" w:hAnsi="宋体" w:eastAsia="宋体" w:cs="宋体"/>
          <w:color w:val="auto"/>
          <w:kern w:val="0"/>
          <w:sz w:val="21"/>
          <w:szCs w:val="21"/>
          <w:highlight w:val="none"/>
          <w:lang w:val="zh-CN"/>
        </w:rPr>
        <w:t>规定的日期、时间、地点，由法定代表人或其授权代表与采购人代表签订电子采购合同。</w:t>
      </w:r>
    </w:p>
    <w:p w14:paraId="1DE60727">
      <w:pPr>
        <w:pStyle w:val="5"/>
        <w:pageBreakBefore w:val="0"/>
        <w:kinsoku/>
        <w:overflowPunct/>
        <w:topLinePunct w:val="0"/>
        <w:bidi w:val="0"/>
        <w:spacing w:before="0" w:after="0" w:line="24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线下签订纸质合同：投标人领取中标通知书后，按“投标人须知前附表”规定向采购人出示相关证明材料，经采购人核验合格后方可签订合同。</w:t>
      </w:r>
    </w:p>
    <w:p w14:paraId="76CACEE2">
      <w:pPr>
        <w:pStyle w:val="5"/>
        <w:pageBreakBefore w:val="0"/>
        <w:numPr>
          <w:ilvl w:val="4"/>
          <w:numId w:val="0"/>
        </w:numPr>
        <w:kinsoku/>
        <w:overflowPunct/>
        <w:topLinePunct w:val="0"/>
        <w:bidi w:val="0"/>
        <w:spacing w:before="0" w:after="0" w:line="24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36.2签订合同时间：按中标通知书规定的时间与采购人签订合同。</w:t>
      </w:r>
    </w:p>
    <w:p w14:paraId="550854A9">
      <w:pPr>
        <w:pStyle w:val="5"/>
        <w:pageBreakBefore w:val="0"/>
        <w:kinsoku/>
        <w:overflowPunct/>
        <w:topLinePunct w:val="0"/>
        <w:bidi w:val="0"/>
        <w:spacing w:before="0" w:after="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36.3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6C9C9B67">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B299D8E">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36.5采购人或中标供应商不得单方面向合同另一方提出任何</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文件没有约定的条件或不合理的要求，作为签订合同的条件；也不得协商另行订立背离</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文件和合同实质性内容的协议。</w:t>
      </w:r>
    </w:p>
    <w:p w14:paraId="4413904F">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36.6如签订合同并生效后，供应商无故拒绝或延期，除按照合同条款处理外，将承担相应的法律责任。</w:t>
      </w:r>
    </w:p>
    <w:p w14:paraId="4C159454">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36.7政府采购合同履行中，采购人需追加与合同标的相同的货物、工程或者服务的，在不改变合同其他条款的前提下，可以与供应商协商签订补充合同，但所有补充合同的采购金额不得超过原合同采购金额的10%。</w:t>
      </w:r>
    </w:p>
    <w:p w14:paraId="26DA856D">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bookmarkStart w:id="112" w:name="_41.政府采购合同公告"/>
      <w:bookmarkEnd w:id="112"/>
      <w:r>
        <w:rPr>
          <w:rFonts w:hint="eastAsia" w:ascii="宋体" w:hAnsi="宋体" w:eastAsia="宋体" w:cs="宋体"/>
          <w:color w:val="auto"/>
          <w:sz w:val="21"/>
          <w:szCs w:val="21"/>
          <w:highlight w:val="none"/>
        </w:rPr>
        <w:t>37.政府采购合同公告</w:t>
      </w:r>
    </w:p>
    <w:p w14:paraId="450EBFEE">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14:paraId="21306F0F">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38.询问、质疑和投诉</w:t>
      </w:r>
    </w:p>
    <w:p w14:paraId="46570B76">
      <w:pPr>
        <w:pStyle w:val="6"/>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38.1供应商对政府采购活动事项有疑问的，可以向采购人提出询问，采购人或者采购代理机构应当在3个工作日内对供应商依法提出的询问作出答复，但答复的内容不得涉及商业秘密。</w:t>
      </w:r>
    </w:p>
    <w:p w14:paraId="279D984C">
      <w:pPr>
        <w:pStyle w:val="5"/>
        <w:pageBreakBefore w:val="0"/>
        <w:kinsoku/>
        <w:overflowPunct/>
        <w:topLinePunct w:val="0"/>
        <w:bidi w:val="0"/>
        <w:spacing w:before="0" w:after="0" w:line="24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38.2供应商认为</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w:t>
      </w:r>
    </w:p>
    <w:p w14:paraId="7EBCF6F2">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（1）对可以质疑的</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文件提出质疑的，为收到</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文件之日或者</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文件公告期限届满之日；</w:t>
      </w:r>
    </w:p>
    <w:p w14:paraId="2946C651">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（2）对采购过程提出质疑的，为各采购程序环节结束之日；</w:t>
      </w:r>
    </w:p>
    <w:p w14:paraId="607B96CC">
      <w:pPr>
        <w:pStyle w:val="15"/>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（3）对中标结果提出质疑的，为中标结果公告期限届满之日。</w:t>
      </w:r>
    </w:p>
    <w:p w14:paraId="4602DF61">
      <w:pPr>
        <w:pStyle w:val="5"/>
        <w:pageBreakBefore w:val="0"/>
        <w:kinsoku/>
        <w:overflowPunct/>
        <w:topLinePunct w:val="0"/>
        <w:bidi w:val="0"/>
        <w:spacing w:before="0" w:after="0" w:line="24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38.3</w:t>
      </w:r>
      <w:r>
        <w:rPr>
          <w:rFonts w:hint="eastAsia" w:ascii="宋体" w:hAnsi="宋体" w:eastAsia="宋体" w:cs="宋体"/>
          <w:b w:val="0"/>
          <w:bCs/>
          <w:color w:val="auto"/>
          <w:sz w:val="21"/>
          <w:szCs w:val="21"/>
          <w:highlight w:val="none"/>
        </w:rPr>
        <w:t>供应商提出质疑应当提交质疑函和必要的证明材料，针对同一采购程序环节的质疑必须在法定质疑期内一次性提出。质疑函应当包括下列内容（质疑函格式后附）：</w:t>
      </w:r>
    </w:p>
    <w:p w14:paraId="235B2F51">
      <w:pPr>
        <w:pStyle w:val="15"/>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（1）供应商的姓名或者名称、地址、邮编、联系人及联系电话；</w:t>
      </w:r>
    </w:p>
    <w:p w14:paraId="03762FAD">
      <w:pPr>
        <w:pStyle w:val="15"/>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（2）质疑项目的名称、编号；</w:t>
      </w:r>
    </w:p>
    <w:p w14:paraId="088D43DB">
      <w:pPr>
        <w:pStyle w:val="15"/>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（3）具体、明确的质疑事项和与质疑事项相关的请求；</w:t>
      </w:r>
    </w:p>
    <w:p w14:paraId="24B3D14D">
      <w:pPr>
        <w:pStyle w:val="15"/>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（4）事实依据；</w:t>
      </w:r>
    </w:p>
    <w:p w14:paraId="193A6D8E">
      <w:pPr>
        <w:pStyle w:val="15"/>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（5）必要的法律依据；</w:t>
      </w:r>
    </w:p>
    <w:p w14:paraId="36C0216E">
      <w:pPr>
        <w:pStyle w:val="15"/>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（6）提出质疑的日期。</w:t>
      </w:r>
    </w:p>
    <w:p w14:paraId="03D277B7">
      <w:pPr>
        <w:pStyle w:val="15"/>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供应商为自然人的，应当由本人签字；供应商为法人或者其他组织的，应当由法定代表人、主要负责人，或者其委托代理人签字或者盖章，并加盖公章。</w:t>
      </w:r>
    </w:p>
    <w:p w14:paraId="4E81EFFA">
      <w:pPr>
        <w:pStyle w:val="5"/>
        <w:pageBreakBefore w:val="0"/>
        <w:kinsoku/>
        <w:overflowPunct/>
        <w:topLinePunct w:val="0"/>
        <w:bidi w:val="0"/>
        <w:snapToGrid w:val="0"/>
        <w:spacing w:before="0" w:after="0" w:line="24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color w:val="auto"/>
          <w:sz w:val="21"/>
          <w:szCs w:val="21"/>
          <w:highlight w:val="none"/>
        </w:rPr>
        <w:t>3</w:t>
      </w:r>
      <w:r>
        <w:rPr>
          <w:rFonts w:hint="eastAsia" w:ascii="宋体" w:hAnsi="宋体" w:eastAsia="宋体" w:cs="宋体"/>
          <w:b w:val="0"/>
          <w:bCs/>
          <w:color w:val="auto"/>
          <w:sz w:val="21"/>
          <w:szCs w:val="21"/>
          <w:highlight w:val="none"/>
        </w:rPr>
        <w:t>8.4采购人、采购代理机构认为供应商质疑不成立，或者成立但未对中标结果构成影响的，继续开展采购活动；认为供应商质疑成立且影响或者可能影响中标结果的，按照下列情况处理：</w:t>
      </w:r>
    </w:p>
    <w:p w14:paraId="2046FB8B">
      <w:pPr>
        <w:pStyle w:val="15"/>
        <w:pageBreakBefore w:val="0"/>
        <w:kinsoku/>
        <w:overflowPunct/>
        <w:topLinePunct w:val="0"/>
        <w:bidi w:val="0"/>
        <w:snapToGrid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（一）对</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文件提出的质疑，依法通过澄清或者修改可以继续开展采购活动的，澄清或者修改</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文件后继续开展采购活动；否则应当修改</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文件后重新开展采购活动。</w:t>
      </w:r>
    </w:p>
    <w:p w14:paraId="5216A957">
      <w:pPr>
        <w:pStyle w:val="15"/>
        <w:pageBreakBefore w:val="0"/>
        <w:kinsoku/>
        <w:overflowPunct/>
        <w:topLinePunct w:val="0"/>
        <w:bidi w:val="0"/>
        <w:snapToGrid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（二）对采购过程、中标结果提出的质疑，合格供应商符合法定数量时，可以从合格的中标候选人中另行确定中标供应商的，应当依法另行确定中标供应商；否则应当重新开展采购活动。</w:t>
      </w:r>
    </w:p>
    <w:p w14:paraId="5A0B7847">
      <w:pPr>
        <w:pStyle w:val="15"/>
        <w:pageBreakBefore w:val="0"/>
        <w:kinsoku/>
        <w:overflowPunct/>
        <w:topLinePunct w:val="0"/>
        <w:bidi w:val="0"/>
        <w:snapToGrid w:val="0"/>
        <w:spacing w:line="24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质疑答复导致中标结果改变的，采购人或者采购代理机构应当将有关情况书面报告本级财政部门。</w:t>
      </w:r>
    </w:p>
    <w:p w14:paraId="18543A6D">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4D6872A3">
      <w:pPr>
        <w:pStyle w:val="4"/>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八、其他事项</w:t>
      </w:r>
    </w:p>
    <w:p w14:paraId="782B488C">
      <w:pPr>
        <w:pStyle w:val="5"/>
        <w:pageBreakBefore w:val="0"/>
        <w:kinsoku/>
        <w:overflowPunct/>
        <w:topLinePunct w:val="0"/>
        <w:bidi w:val="0"/>
        <w:spacing w:before="0" w:after="0" w:line="240" w:lineRule="auto"/>
        <w:ind w:left="420" w:leftChars="200"/>
        <w:rPr>
          <w:rFonts w:hint="eastAsia" w:ascii="宋体" w:hAnsi="宋体" w:eastAsia="宋体" w:cs="宋体"/>
          <w:color w:val="000000" w:themeColor="text1"/>
          <w:sz w:val="21"/>
          <w:szCs w:val="21"/>
          <w:highlight w:val="none"/>
          <w14:textFill>
            <w14:solidFill>
              <w14:schemeClr w14:val="tx1"/>
            </w14:solidFill>
          </w14:textFill>
        </w:rPr>
      </w:pPr>
      <w:bookmarkStart w:id="113" w:name="_42.代理服务费"/>
      <w:bookmarkEnd w:id="113"/>
      <w:r>
        <w:rPr>
          <w:rFonts w:hint="eastAsia" w:ascii="宋体" w:hAnsi="宋体" w:eastAsia="宋体" w:cs="宋体"/>
          <w:color w:val="000000" w:themeColor="text1"/>
          <w:sz w:val="21"/>
          <w:szCs w:val="21"/>
          <w:highlight w:val="none"/>
          <w14:textFill>
            <w14:solidFill>
              <w14:schemeClr w14:val="tx1"/>
            </w14:solidFill>
          </w14:textFill>
        </w:rPr>
        <w:t>39.代理服务费</w:t>
      </w:r>
    </w:p>
    <w:p w14:paraId="59181182">
      <w:pPr>
        <w:pStyle w:val="6"/>
        <w:pageBreakBefore w:val="0"/>
        <w:kinsoku/>
        <w:overflowPunct/>
        <w:topLinePunct w:val="0"/>
        <w:bidi w:val="0"/>
        <w:spacing w:line="240" w:lineRule="auto"/>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本项目不收取代理服务费</w:t>
      </w:r>
    </w:p>
    <w:p w14:paraId="6C4CA920">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40.需要补充的其他内容</w:t>
      </w:r>
    </w:p>
    <w:p w14:paraId="0532EDA4">
      <w:pPr>
        <w:pStyle w:val="15"/>
        <w:pageBreakBefore w:val="0"/>
        <w:kinsoku/>
        <w:overflowPunct/>
        <w:topLinePunct w:val="0"/>
        <w:bidi w:val="0"/>
        <w:spacing w:before="120" w:after="120"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40.1本</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文件解释规则详见“投标人须知前附表”。</w:t>
      </w:r>
    </w:p>
    <w:p w14:paraId="1C022626">
      <w:pPr>
        <w:pStyle w:val="15"/>
        <w:pageBreakBefore w:val="0"/>
        <w:kinsoku/>
        <w:overflowPunct/>
        <w:topLinePunct w:val="0"/>
        <w:bidi w:val="0"/>
        <w:spacing w:before="120" w:after="120"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40.2其他事项详见“投标人须知前附表”。</w:t>
      </w:r>
    </w:p>
    <w:p w14:paraId="72B75168">
      <w:pPr>
        <w:pStyle w:val="15"/>
        <w:pageBreakBefore w:val="0"/>
        <w:kinsoku/>
        <w:overflowPunct/>
        <w:topLinePunct w:val="0"/>
        <w:bidi w:val="0"/>
        <w:spacing w:before="120" w:after="120" w:line="240" w:lineRule="auto"/>
        <w:ind w:firstLine="420" w:firstLineChars="200"/>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40.3</w:t>
      </w:r>
      <w:bookmarkStart w:id="114" w:name="_Hlk65857140"/>
      <w:r>
        <w:rPr>
          <w:rFonts w:hint="eastAsia" w:ascii="宋体" w:hAnsi="宋体" w:eastAsia="宋体" w:cs="宋体"/>
          <w:color w:val="000000" w:themeColor="text1"/>
          <w:sz w:val="21"/>
          <w:szCs w:val="21"/>
          <w:highlight w:val="none"/>
          <w14:textFill>
            <w14:solidFill>
              <w14:schemeClr w14:val="tx1"/>
            </w14:solidFill>
          </w14:textFill>
        </w:rPr>
        <w:t>本</w:t>
      </w:r>
      <w:r>
        <w:rPr>
          <w:rFonts w:hint="eastAsia" w:hAnsi="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文件所称</w:t>
      </w:r>
      <w:r>
        <w:rPr>
          <w:rFonts w:hint="eastAsia" w:hAnsi="宋体" w:cs="宋体"/>
          <w:color w:val="000000" w:themeColor="text1"/>
          <w:sz w:val="21"/>
          <w:szCs w:val="21"/>
          <w:highlight w:val="none"/>
          <w:lang w:val="en-US" w:eastAsia="zh-CN"/>
          <w14:textFill>
            <w14:solidFill>
              <w14:schemeClr w14:val="tx1"/>
            </w14:solidFill>
          </w14:textFill>
        </w:rPr>
        <w:t>中小</w:t>
      </w:r>
      <w:r>
        <w:rPr>
          <w:rFonts w:hint="eastAsia" w:ascii="宋体" w:hAnsi="宋体" w:eastAsia="宋体" w:cs="宋体"/>
          <w:color w:val="000000" w:themeColor="text1"/>
          <w:sz w:val="21"/>
          <w:szCs w:val="21"/>
          <w:highlight w:val="none"/>
          <w14:textFill>
            <w14:solidFill>
              <w14:schemeClr w14:val="tx1"/>
            </w14:solidFill>
          </w14:textFill>
        </w:rPr>
        <w:t>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w:t>
      </w:r>
      <w:r>
        <w:rPr>
          <w:rFonts w:hint="eastAsia" w:hAnsi="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文件规定的中小企业扶持政策：</w:t>
      </w:r>
    </w:p>
    <w:p w14:paraId="28546A32">
      <w:pPr>
        <w:pStyle w:val="15"/>
        <w:pageBreakBefore w:val="0"/>
        <w:kinsoku/>
        <w:overflowPunct/>
        <w:topLinePunct w:val="0"/>
        <w:bidi w:val="0"/>
        <w:spacing w:before="120" w:after="120" w:line="240" w:lineRule="auto"/>
        <w:ind w:firstLine="420" w:firstLineChars="200"/>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（1）在货物采购项目中，货物由中小企业制造，即货物由中小企业生产且使用该中小企业商号或者注册商标，不对其中涉及的工程承建商和服务的承接商作出要求；</w:t>
      </w:r>
    </w:p>
    <w:p w14:paraId="51908E47">
      <w:pPr>
        <w:pStyle w:val="15"/>
        <w:pageBreakBefore w:val="0"/>
        <w:kinsoku/>
        <w:overflowPunct/>
        <w:topLinePunct w:val="0"/>
        <w:bidi w:val="0"/>
        <w:spacing w:before="120" w:after="120" w:line="240" w:lineRule="auto"/>
        <w:ind w:firstLine="420" w:firstLineChars="200"/>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（2）在工程采购项目中，工程由中小企业承建，即工程施工单位为中小企业，不对其中涉及的货物的制造商和服务的承接商作出要求；</w:t>
      </w:r>
    </w:p>
    <w:p w14:paraId="730E388C">
      <w:pPr>
        <w:pStyle w:val="15"/>
        <w:pageBreakBefore w:val="0"/>
        <w:kinsoku/>
        <w:overflowPunct/>
        <w:topLinePunct w:val="0"/>
        <w:bidi w:val="0"/>
        <w:spacing w:before="120" w:after="120" w:line="240" w:lineRule="auto"/>
        <w:ind w:firstLine="420" w:firstLineChars="200"/>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（3）在服务采购项目中，服务由中小企业承接，即提供服务的人员为中小企业依照《中华人民共和国劳动合同法》订立劳动合同的从业人员，不对其中涉及的货物的制造商和工程承建商作出要求。</w:t>
      </w:r>
    </w:p>
    <w:p w14:paraId="0B483082">
      <w:pPr>
        <w:pStyle w:val="15"/>
        <w:pageBreakBefore w:val="0"/>
        <w:kinsoku/>
        <w:overflowPunct/>
        <w:topLinePunct w:val="0"/>
        <w:bidi w:val="0"/>
        <w:spacing w:before="120" w:after="120" w:line="240" w:lineRule="auto"/>
        <w:ind w:firstLine="420" w:firstLineChars="200"/>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在货物采购项目中，供应商提供的货物既有中小企业制造货物，也有大型企业制造货物的，不享受本</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文件规定的中小企业扶持政策。</w:t>
      </w:r>
    </w:p>
    <w:p w14:paraId="09F3E1A3">
      <w:pPr>
        <w:pStyle w:val="15"/>
        <w:pageBreakBefore w:val="0"/>
        <w:kinsoku/>
        <w:overflowPunct/>
        <w:topLinePunct w:val="0"/>
        <w:bidi w:val="0"/>
        <w:spacing w:before="120" w:after="120" w:line="240" w:lineRule="auto"/>
        <w:ind w:firstLine="420" w:firstLineChars="200"/>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依据本</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文件规定享受扶持政策获得政府采购合同的，小微企业不得将合同分包给大中型企业，中型企业不得将合同分包给大型企业。</w:t>
      </w:r>
      <w:bookmarkEnd w:id="114"/>
    </w:p>
    <w:p w14:paraId="2AC96555">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br w:type="page"/>
      </w:r>
    </w:p>
    <w:p w14:paraId="0C1E8551">
      <w:pPr>
        <w:pageBreakBefore w:val="0"/>
        <w:kinsoku/>
        <w:overflowPunct/>
        <w:topLinePunct w:val="0"/>
        <w:bidi w:val="0"/>
        <w:spacing w:line="240" w:lineRule="auto"/>
        <w:rPr>
          <w:rFonts w:hint="eastAsia" w:ascii="宋体" w:hAnsi="宋体" w:eastAsia="宋体" w:cs="宋体"/>
          <w:color w:val="auto"/>
          <w:sz w:val="21"/>
          <w:szCs w:val="21"/>
          <w:highlight w:val="none"/>
        </w:rPr>
      </w:pPr>
    </w:p>
    <w:p w14:paraId="2BAC1D75">
      <w:pPr>
        <w:pageBreakBefore w:val="0"/>
        <w:kinsoku/>
        <w:overflowPunct/>
        <w:topLinePunct w:val="0"/>
        <w:bidi w:val="0"/>
        <w:snapToGrid w:val="0"/>
        <w:spacing w:line="240" w:lineRule="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附件1：</w:t>
      </w:r>
    </w:p>
    <w:p w14:paraId="574BD133">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广西壮族自治区政府采购项目合同验收书（格式）</w:t>
      </w:r>
    </w:p>
    <w:p w14:paraId="52E195B6">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p>
    <w:p w14:paraId="36510E2D">
      <w:pPr>
        <w:pageBreakBefore w:val="0"/>
        <w:widowControl/>
        <w:kinsoku/>
        <w:overflowPunct/>
        <w:topLinePunct w:val="0"/>
        <w:bidi w:val="0"/>
        <w:snapToGrid w:val="0"/>
        <w:spacing w:line="24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根据政府采购项目（</w:t>
      </w:r>
      <w:r>
        <w:rPr>
          <w:rFonts w:hint="eastAsia" w:ascii="宋体" w:hAnsi="宋体" w:eastAsia="宋体" w:cs="宋体"/>
          <w:color w:val="auto"/>
          <w:kern w:val="0"/>
          <w:sz w:val="21"/>
          <w:szCs w:val="21"/>
          <w:highlight w:val="none"/>
          <w:u w:val="single"/>
        </w:rPr>
        <w:t xml:space="preserve">采购合同编号： </w:t>
      </w:r>
      <w:r>
        <w:rPr>
          <w:rFonts w:hint="eastAsia" w:ascii="宋体" w:hAnsi="宋体" w:eastAsia="宋体" w:cs="宋体"/>
          <w:color w:val="auto"/>
          <w:kern w:val="0"/>
          <w:sz w:val="21"/>
          <w:szCs w:val="21"/>
          <w:highlight w:val="none"/>
        </w:rPr>
        <w:t>）的约定，我单位对（</w:t>
      </w:r>
      <w:r>
        <w:rPr>
          <w:rFonts w:hint="eastAsia" w:ascii="宋体" w:hAnsi="宋体" w:eastAsia="宋体" w:cs="宋体"/>
          <w:color w:val="auto"/>
          <w:kern w:val="0"/>
          <w:sz w:val="21"/>
          <w:szCs w:val="21"/>
          <w:highlight w:val="none"/>
          <w:u w:val="single"/>
        </w:rPr>
        <w:t xml:space="preserve"> 项目名称 </w:t>
      </w:r>
      <w:r>
        <w:rPr>
          <w:rFonts w:hint="eastAsia" w:ascii="宋体" w:hAnsi="宋体" w:eastAsia="宋体" w:cs="宋体"/>
          <w:color w:val="auto"/>
          <w:kern w:val="0"/>
          <w:sz w:val="21"/>
          <w:szCs w:val="21"/>
          <w:highlight w:val="none"/>
        </w:rPr>
        <w:t>） 政府采购项目中标人（</w:t>
      </w:r>
      <w:r>
        <w:rPr>
          <w:rFonts w:hint="eastAsia" w:ascii="宋体" w:hAnsi="宋体" w:eastAsia="宋体" w:cs="宋体"/>
          <w:color w:val="auto"/>
          <w:kern w:val="0"/>
          <w:sz w:val="21"/>
          <w:szCs w:val="21"/>
          <w:highlight w:val="none"/>
          <w:u w:val="single"/>
        </w:rPr>
        <w:t xml:space="preserve"> 公司名称 </w:t>
      </w:r>
      <w:r>
        <w:rPr>
          <w:rFonts w:hint="eastAsia" w:ascii="宋体" w:hAnsi="宋体" w:eastAsia="宋体" w:cs="宋体"/>
          <w:color w:val="auto"/>
          <w:kern w:val="0"/>
          <w:sz w:val="21"/>
          <w:szCs w:val="21"/>
          <w:highlight w:val="none"/>
        </w:rPr>
        <w:t>） 提供的货物（或者工程、服务）进行了验收，验收情况如下：</w:t>
      </w:r>
    </w:p>
    <w:tbl>
      <w:tblPr>
        <w:tblStyle w:val="20"/>
        <w:tblW w:w="8951"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1191"/>
        <w:gridCol w:w="1428"/>
      </w:tblGrid>
      <w:tr w14:paraId="35366142">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2DF871B2">
            <w:pPr>
              <w:pageBreakBefore w:val="0"/>
              <w:widowControl/>
              <w:kinsoku/>
              <w:overflowPunct/>
              <w:topLinePunct w:val="0"/>
              <w:bidi w:val="0"/>
              <w:snapToGrid w:val="0"/>
              <w:spacing w:before="100" w:beforeAutospacing="1" w:after="100" w:afterAutospacing="1" w:line="240" w:lineRule="auto"/>
              <w:ind w:firstLine="5"/>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验收方式：</w:t>
            </w:r>
          </w:p>
        </w:tc>
        <w:tc>
          <w:tcPr>
            <w:tcW w:w="5699" w:type="dxa"/>
            <w:gridSpan w:val="6"/>
            <w:tcBorders>
              <w:top w:val="single" w:color="auto" w:sz="8" w:space="0"/>
              <w:left w:val="nil"/>
              <w:bottom w:val="single" w:color="auto" w:sz="8" w:space="0"/>
              <w:right w:val="single" w:color="auto" w:sz="8" w:space="0"/>
            </w:tcBorders>
            <w:vAlign w:val="center"/>
          </w:tcPr>
          <w:p w14:paraId="42AD09D8">
            <w:pPr>
              <w:pageBreakBefore w:val="0"/>
              <w:widowControl/>
              <w:kinsoku/>
              <w:overflowPunct/>
              <w:topLinePunct w:val="0"/>
              <w:bidi w:val="0"/>
              <w:snapToGrid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□自行验收 □委托验收</w:t>
            </w:r>
          </w:p>
        </w:tc>
      </w:tr>
      <w:tr w14:paraId="5DAD4FB0">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4365823F">
            <w:pPr>
              <w:pageBreakBefore w:val="0"/>
              <w:widowControl/>
              <w:kinsoku/>
              <w:overflowPunct/>
              <w:topLinePunct w:val="0"/>
              <w:bidi w:val="0"/>
              <w:snapToGrid w:val="0"/>
              <w:spacing w:before="100" w:beforeAutospacing="1" w:after="100" w:afterAutospacing="1" w:line="240" w:lineRule="auto"/>
              <w:ind w:firstLine="2"/>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2448" w:type="dxa"/>
            <w:gridSpan w:val="2"/>
            <w:tcBorders>
              <w:top w:val="nil"/>
              <w:left w:val="nil"/>
              <w:bottom w:val="single" w:color="auto" w:sz="8" w:space="0"/>
              <w:right w:val="single" w:color="auto" w:sz="8" w:space="0"/>
            </w:tcBorders>
            <w:vAlign w:val="center"/>
          </w:tcPr>
          <w:p w14:paraId="4772FEA0">
            <w:pPr>
              <w:pageBreakBefore w:val="0"/>
              <w:widowControl/>
              <w:kinsoku/>
              <w:overflowPunct/>
              <w:topLinePunct w:val="0"/>
              <w:bidi w:val="0"/>
              <w:snapToGrid w:val="0"/>
              <w:spacing w:before="100" w:beforeAutospacing="1" w:after="100" w:afterAutospacing="1" w:line="240" w:lineRule="auto"/>
              <w:ind w:firstLine="2"/>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名称</w:t>
            </w:r>
          </w:p>
        </w:tc>
        <w:tc>
          <w:tcPr>
            <w:tcW w:w="2902" w:type="dxa"/>
            <w:gridSpan w:val="3"/>
            <w:tcBorders>
              <w:top w:val="nil"/>
              <w:left w:val="nil"/>
              <w:bottom w:val="single" w:color="auto" w:sz="8" w:space="0"/>
              <w:right w:val="single" w:color="auto" w:sz="8" w:space="0"/>
            </w:tcBorders>
            <w:vAlign w:val="center"/>
          </w:tcPr>
          <w:p w14:paraId="605B4065">
            <w:pPr>
              <w:pageBreakBefore w:val="0"/>
              <w:widowControl/>
              <w:kinsoku/>
              <w:overflowPunct/>
              <w:topLinePunct w:val="0"/>
              <w:bidi w:val="0"/>
              <w:snapToGrid w:val="0"/>
              <w:spacing w:before="100" w:beforeAutospacing="1" w:after="100" w:afterAutospacing="1" w:line="240" w:lineRule="auto"/>
              <w:ind w:firstLine="2"/>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货物型号规格、标准及配置等（或者服务内容、标准）</w:t>
            </w:r>
          </w:p>
        </w:tc>
        <w:tc>
          <w:tcPr>
            <w:tcW w:w="1369" w:type="dxa"/>
            <w:gridSpan w:val="2"/>
            <w:tcBorders>
              <w:top w:val="nil"/>
              <w:left w:val="nil"/>
              <w:bottom w:val="single" w:color="auto" w:sz="8" w:space="0"/>
              <w:right w:val="single" w:color="auto" w:sz="8" w:space="0"/>
            </w:tcBorders>
            <w:vAlign w:val="center"/>
          </w:tcPr>
          <w:p w14:paraId="6E705126">
            <w:pPr>
              <w:pageBreakBefore w:val="0"/>
              <w:widowControl/>
              <w:kinsoku/>
              <w:overflowPunct/>
              <w:topLinePunct w:val="0"/>
              <w:bidi w:val="0"/>
              <w:snapToGrid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1428" w:type="dxa"/>
            <w:tcBorders>
              <w:top w:val="nil"/>
              <w:left w:val="nil"/>
              <w:bottom w:val="single" w:color="auto" w:sz="8" w:space="0"/>
              <w:right w:val="single" w:color="auto" w:sz="8" w:space="0"/>
            </w:tcBorders>
            <w:vAlign w:val="center"/>
          </w:tcPr>
          <w:p w14:paraId="184ADA37">
            <w:pPr>
              <w:pageBreakBefore w:val="0"/>
              <w:widowControl/>
              <w:kinsoku/>
              <w:overflowPunct/>
              <w:topLinePunct w:val="0"/>
              <w:bidi w:val="0"/>
              <w:snapToGrid w:val="0"/>
              <w:spacing w:before="100" w:beforeAutospacing="1" w:after="100" w:afterAutospacing="1" w:line="240" w:lineRule="auto"/>
              <w:ind w:firstLine="2"/>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金额</w:t>
            </w:r>
          </w:p>
        </w:tc>
      </w:tr>
      <w:tr w14:paraId="2AAAC97D">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49838F01">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2448" w:type="dxa"/>
            <w:gridSpan w:val="2"/>
            <w:tcBorders>
              <w:top w:val="nil"/>
              <w:left w:val="nil"/>
              <w:bottom w:val="single" w:color="auto" w:sz="8" w:space="0"/>
              <w:right w:val="single" w:color="auto" w:sz="8" w:space="0"/>
            </w:tcBorders>
            <w:vAlign w:val="center"/>
          </w:tcPr>
          <w:p w14:paraId="5CB839BE">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2902" w:type="dxa"/>
            <w:gridSpan w:val="3"/>
            <w:tcBorders>
              <w:top w:val="nil"/>
              <w:left w:val="nil"/>
              <w:bottom w:val="single" w:color="auto" w:sz="8" w:space="0"/>
              <w:right w:val="single" w:color="auto" w:sz="8" w:space="0"/>
            </w:tcBorders>
            <w:vAlign w:val="center"/>
          </w:tcPr>
          <w:p w14:paraId="04B48909">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1369" w:type="dxa"/>
            <w:gridSpan w:val="2"/>
            <w:tcBorders>
              <w:top w:val="nil"/>
              <w:left w:val="nil"/>
              <w:bottom w:val="single" w:color="auto" w:sz="8" w:space="0"/>
              <w:right w:val="single" w:color="auto" w:sz="8" w:space="0"/>
            </w:tcBorders>
            <w:vAlign w:val="center"/>
          </w:tcPr>
          <w:p w14:paraId="16204F1D">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1428" w:type="dxa"/>
            <w:tcBorders>
              <w:top w:val="nil"/>
              <w:left w:val="nil"/>
              <w:bottom w:val="single" w:color="auto" w:sz="8" w:space="0"/>
              <w:right w:val="single" w:color="auto" w:sz="8" w:space="0"/>
            </w:tcBorders>
            <w:vAlign w:val="center"/>
          </w:tcPr>
          <w:p w14:paraId="466D79E7">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r>
      <w:tr w14:paraId="15759D8D">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5B034FAF">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2448" w:type="dxa"/>
            <w:gridSpan w:val="2"/>
            <w:tcBorders>
              <w:top w:val="nil"/>
              <w:left w:val="nil"/>
              <w:bottom w:val="single" w:color="auto" w:sz="8" w:space="0"/>
              <w:right w:val="single" w:color="auto" w:sz="8" w:space="0"/>
            </w:tcBorders>
            <w:vAlign w:val="center"/>
          </w:tcPr>
          <w:p w14:paraId="5E1A49D5">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2902" w:type="dxa"/>
            <w:gridSpan w:val="3"/>
            <w:tcBorders>
              <w:top w:val="nil"/>
              <w:left w:val="nil"/>
              <w:bottom w:val="single" w:color="auto" w:sz="8" w:space="0"/>
              <w:right w:val="single" w:color="auto" w:sz="8" w:space="0"/>
            </w:tcBorders>
            <w:vAlign w:val="center"/>
          </w:tcPr>
          <w:p w14:paraId="33A97580">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1369" w:type="dxa"/>
            <w:gridSpan w:val="2"/>
            <w:tcBorders>
              <w:top w:val="nil"/>
              <w:left w:val="nil"/>
              <w:bottom w:val="single" w:color="auto" w:sz="8" w:space="0"/>
              <w:right w:val="single" w:color="auto" w:sz="8" w:space="0"/>
            </w:tcBorders>
            <w:vAlign w:val="center"/>
          </w:tcPr>
          <w:p w14:paraId="6AAC92D0">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1428" w:type="dxa"/>
            <w:tcBorders>
              <w:top w:val="nil"/>
              <w:left w:val="nil"/>
              <w:bottom w:val="single" w:color="auto" w:sz="8" w:space="0"/>
              <w:right w:val="single" w:color="auto" w:sz="8" w:space="0"/>
            </w:tcBorders>
            <w:vAlign w:val="center"/>
          </w:tcPr>
          <w:p w14:paraId="50C3F8A1">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r>
      <w:tr w14:paraId="2B77241A">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1DDF774F">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2448" w:type="dxa"/>
            <w:gridSpan w:val="2"/>
            <w:tcBorders>
              <w:top w:val="nil"/>
              <w:left w:val="nil"/>
              <w:bottom w:val="single" w:color="auto" w:sz="8" w:space="0"/>
              <w:right w:val="single" w:color="auto" w:sz="8" w:space="0"/>
            </w:tcBorders>
            <w:vAlign w:val="center"/>
          </w:tcPr>
          <w:p w14:paraId="37C5214D">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2902" w:type="dxa"/>
            <w:gridSpan w:val="3"/>
            <w:tcBorders>
              <w:top w:val="nil"/>
              <w:left w:val="nil"/>
              <w:bottom w:val="single" w:color="auto" w:sz="8" w:space="0"/>
              <w:right w:val="single" w:color="auto" w:sz="8" w:space="0"/>
            </w:tcBorders>
            <w:vAlign w:val="center"/>
          </w:tcPr>
          <w:p w14:paraId="6C702EA9">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1369" w:type="dxa"/>
            <w:gridSpan w:val="2"/>
            <w:tcBorders>
              <w:top w:val="nil"/>
              <w:left w:val="nil"/>
              <w:bottom w:val="single" w:color="auto" w:sz="8" w:space="0"/>
              <w:right w:val="single" w:color="auto" w:sz="8" w:space="0"/>
            </w:tcBorders>
            <w:vAlign w:val="center"/>
          </w:tcPr>
          <w:p w14:paraId="621A501E">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1428" w:type="dxa"/>
            <w:tcBorders>
              <w:top w:val="nil"/>
              <w:left w:val="nil"/>
              <w:bottom w:val="single" w:color="auto" w:sz="8" w:space="0"/>
              <w:right w:val="single" w:color="auto" w:sz="8" w:space="0"/>
            </w:tcBorders>
            <w:vAlign w:val="center"/>
          </w:tcPr>
          <w:p w14:paraId="1F319030">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r>
      <w:tr w14:paraId="7391169B">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411385A2">
            <w:pPr>
              <w:pageBreakBefore w:val="0"/>
              <w:widowControl/>
              <w:kinsoku/>
              <w:overflowPunct/>
              <w:topLinePunct w:val="0"/>
              <w:bidi w:val="0"/>
              <w:snapToGrid w:val="0"/>
              <w:spacing w:before="100" w:beforeAutospacing="1" w:after="100" w:afterAutospacing="1" w:line="240" w:lineRule="auto"/>
              <w:ind w:firstLine="5"/>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 计</w:t>
            </w:r>
          </w:p>
        </w:tc>
        <w:tc>
          <w:tcPr>
            <w:tcW w:w="1369" w:type="dxa"/>
            <w:gridSpan w:val="2"/>
            <w:tcBorders>
              <w:top w:val="nil"/>
              <w:left w:val="nil"/>
              <w:bottom w:val="single" w:color="auto" w:sz="8" w:space="0"/>
              <w:right w:val="single" w:color="auto" w:sz="8" w:space="0"/>
            </w:tcBorders>
            <w:vAlign w:val="center"/>
          </w:tcPr>
          <w:p w14:paraId="5F00FE4D">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1428" w:type="dxa"/>
            <w:tcBorders>
              <w:top w:val="nil"/>
              <w:left w:val="nil"/>
              <w:bottom w:val="single" w:color="auto" w:sz="8" w:space="0"/>
              <w:right w:val="single" w:color="auto" w:sz="8" w:space="0"/>
            </w:tcBorders>
            <w:vAlign w:val="center"/>
          </w:tcPr>
          <w:p w14:paraId="3116ED95">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r>
      <w:tr w14:paraId="637F256E">
        <w:tblPrEx>
          <w:tblCellMar>
            <w:top w:w="0" w:type="dxa"/>
            <w:left w:w="0" w:type="dxa"/>
            <w:bottom w:w="0" w:type="dxa"/>
            <w:right w:w="0" w:type="dxa"/>
          </w:tblCellMar>
        </w:tblPrEx>
        <w:trPr>
          <w:trHeight w:val="641" w:hRule="atLeast"/>
          <w:jc w:val="center"/>
        </w:trPr>
        <w:tc>
          <w:tcPr>
            <w:tcW w:w="8951" w:type="dxa"/>
            <w:gridSpan w:val="9"/>
            <w:tcBorders>
              <w:top w:val="nil"/>
              <w:left w:val="single" w:color="auto" w:sz="8" w:space="0"/>
              <w:bottom w:val="single" w:color="auto" w:sz="8" w:space="0"/>
              <w:right w:val="single" w:color="auto" w:sz="8" w:space="0"/>
            </w:tcBorders>
            <w:vAlign w:val="center"/>
          </w:tcPr>
          <w:p w14:paraId="58A64882">
            <w:pPr>
              <w:pageBreakBefore w:val="0"/>
              <w:widowControl/>
              <w:kinsoku/>
              <w:overflowPunct/>
              <w:topLinePunct w:val="0"/>
              <w:bidi w:val="0"/>
              <w:snapToGrid w:val="0"/>
              <w:spacing w:before="100" w:beforeAutospacing="1" w:after="100" w:afterAutospacing="1" w:line="240" w:lineRule="auto"/>
              <w:ind w:firstLine="210" w:firstLineChars="1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合计大写金额：  仟  佰  拾  万  仟  佰  拾  元</w:t>
            </w:r>
          </w:p>
        </w:tc>
      </w:tr>
      <w:tr w14:paraId="6F37A0D0">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5E07F58F">
            <w:pPr>
              <w:pageBreakBefore w:val="0"/>
              <w:widowControl/>
              <w:kinsoku/>
              <w:overflowPunct/>
              <w:topLinePunct w:val="0"/>
              <w:bidi w:val="0"/>
              <w:snapToGrid w:val="0"/>
              <w:spacing w:before="100" w:beforeAutospacing="1" w:after="100" w:afterAutospacing="1" w:line="240" w:lineRule="auto"/>
              <w:ind w:firstLine="2"/>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293BD1A2">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2282" w:type="dxa"/>
            <w:gridSpan w:val="3"/>
            <w:tcBorders>
              <w:top w:val="nil"/>
              <w:left w:val="nil"/>
              <w:bottom w:val="single" w:color="auto" w:sz="8" w:space="0"/>
              <w:right w:val="single" w:color="auto" w:sz="8" w:space="0"/>
            </w:tcBorders>
            <w:vAlign w:val="center"/>
          </w:tcPr>
          <w:p w14:paraId="17F91FDB">
            <w:pPr>
              <w:pageBreakBefore w:val="0"/>
              <w:widowControl/>
              <w:kinsoku/>
              <w:overflowPunct/>
              <w:topLinePunct w:val="0"/>
              <w:bidi w:val="0"/>
              <w:snapToGrid w:val="0"/>
              <w:spacing w:before="100" w:beforeAutospacing="1" w:after="100" w:afterAutospacing="1" w:line="240" w:lineRule="auto"/>
              <w:ind w:firstLine="46"/>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合同交货验收日期</w:t>
            </w:r>
          </w:p>
        </w:tc>
        <w:tc>
          <w:tcPr>
            <w:tcW w:w="2619" w:type="dxa"/>
            <w:gridSpan w:val="2"/>
            <w:tcBorders>
              <w:top w:val="nil"/>
              <w:left w:val="nil"/>
              <w:bottom w:val="single" w:color="auto" w:sz="8" w:space="0"/>
              <w:right w:val="single" w:color="auto" w:sz="8" w:space="0"/>
            </w:tcBorders>
            <w:vAlign w:val="center"/>
          </w:tcPr>
          <w:p w14:paraId="6B177C4C">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r>
      <w:tr w14:paraId="47CF01F0">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077CB2B1">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2421" w:type="dxa"/>
            <w:gridSpan w:val="2"/>
            <w:tcBorders>
              <w:top w:val="nil"/>
              <w:left w:val="nil"/>
              <w:bottom w:val="single" w:color="auto" w:sz="8" w:space="0"/>
              <w:right w:val="single" w:color="auto" w:sz="8" w:space="0"/>
            </w:tcBorders>
            <w:vAlign w:val="center"/>
          </w:tcPr>
          <w:p w14:paraId="1126068E">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2282" w:type="dxa"/>
            <w:gridSpan w:val="3"/>
            <w:tcBorders>
              <w:top w:val="nil"/>
              <w:left w:val="nil"/>
              <w:bottom w:val="single" w:color="auto" w:sz="8" w:space="0"/>
              <w:right w:val="single" w:color="auto" w:sz="8" w:space="0"/>
            </w:tcBorders>
            <w:vAlign w:val="center"/>
          </w:tcPr>
          <w:p w14:paraId="26DF1C6B">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2619" w:type="dxa"/>
            <w:gridSpan w:val="2"/>
            <w:tcBorders>
              <w:top w:val="nil"/>
              <w:left w:val="nil"/>
              <w:bottom w:val="single" w:color="auto" w:sz="8" w:space="0"/>
              <w:right w:val="single" w:color="auto" w:sz="8" w:space="0"/>
            </w:tcBorders>
            <w:vAlign w:val="center"/>
          </w:tcPr>
          <w:p w14:paraId="5663DE0B">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r>
      <w:tr w14:paraId="26574457">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E769E36">
            <w:pPr>
              <w:pageBreakBefore w:val="0"/>
              <w:widowControl/>
              <w:kinsoku/>
              <w:overflowPunct/>
              <w:topLinePunct w:val="0"/>
              <w:bidi w:val="0"/>
              <w:snapToGrid w:val="0"/>
              <w:spacing w:before="100" w:beforeAutospacing="1" w:after="100" w:afterAutospacing="1"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验收具体内容</w:t>
            </w:r>
          </w:p>
        </w:tc>
        <w:tc>
          <w:tcPr>
            <w:tcW w:w="7322"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4E3FA8D0">
            <w:pPr>
              <w:pageBreakBefore w:val="0"/>
              <w:widowControl/>
              <w:kinsoku/>
              <w:overflowPunct/>
              <w:topLinePunct w:val="0"/>
              <w:bidi w:val="0"/>
              <w:snapToGrid w:val="0"/>
              <w:spacing w:before="100" w:beforeAutospacing="1" w:after="100" w:afterAutospacing="1"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（应按采购合同、</w:t>
            </w:r>
            <w:r>
              <w:rPr>
                <w:rFonts w:hint="eastAsia" w:ascii="宋体" w:hAnsi="宋体" w:cs="宋体"/>
                <w:color w:val="auto"/>
                <w:kern w:val="0"/>
                <w:sz w:val="21"/>
                <w:szCs w:val="21"/>
                <w:highlight w:val="none"/>
                <w:lang w:eastAsia="zh-CN"/>
              </w:rPr>
              <w:t>采购</w:t>
            </w:r>
            <w:r>
              <w:rPr>
                <w:rFonts w:hint="eastAsia" w:ascii="宋体" w:hAnsi="宋体" w:eastAsia="宋体" w:cs="宋体"/>
                <w:color w:val="auto"/>
                <w:kern w:val="0"/>
                <w:sz w:val="21"/>
                <w:szCs w:val="21"/>
                <w:highlight w:val="none"/>
              </w:rPr>
              <w:t>文件、投标文件及验收方案等进行验收；并核对中标人在安装调试等方面是否违反合同约定或者服务规范要求、提供的质量保证证明材料是否齐全、应有的配件及附件是否达到合同约定等。可附件)</w:t>
            </w:r>
          </w:p>
        </w:tc>
      </w:tr>
      <w:tr w14:paraId="09FE7851">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A656353">
            <w:pPr>
              <w:pageBreakBefore w:val="0"/>
              <w:widowControl/>
              <w:kinsoku/>
              <w:overflowPunct/>
              <w:topLinePunct w:val="0"/>
              <w:bidi w:val="0"/>
              <w:spacing w:before="100" w:beforeAutospacing="1" w:after="100" w:afterAutospacing="1"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验收小组意见</w:t>
            </w:r>
          </w:p>
        </w:tc>
        <w:tc>
          <w:tcPr>
            <w:tcW w:w="7322" w:type="dxa"/>
            <w:gridSpan w:val="7"/>
            <w:tcBorders>
              <w:top w:val="nil"/>
              <w:left w:val="nil"/>
              <w:bottom w:val="single" w:color="auto" w:sz="8" w:space="0"/>
              <w:right w:val="single" w:color="auto" w:sz="8" w:space="0"/>
            </w:tcBorders>
            <w:vAlign w:val="center"/>
          </w:tcPr>
          <w:p w14:paraId="328F252F">
            <w:pPr>
              <w:pageBreakBefore w:val="0"/>
              <w:widowControl/>
              <w:kinsoku/>
              <w:overflowPunct/>
              <w:topLinePunct w:val="0"/>
              <w:bidi w:val="0"/>
              <w:spacing w:before="100" w:beforeAutospacing="1" w:after="100" w:afterAutospacing="1" w:line="240" w:lineRule="auto"/>
              <w:ind w:firstLine="210" w:firstLineChars="1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验收结论性意见：</w:t>
            </w:r>
          </w:p>
        </w:tc>
      </w:tr>
      <w:tr w14:paraId="08D1057D">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423F3893">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p>
        </w:tc>
        <w:tc>
          <w:tcPr>
            <w:tcW w:w="7322" w:type="dxa"/>
            <w:gridSpan w:val="7"/>
            <w:tcBorders>
              <w:top w:val="nil"/>
              <w:left w:val="nil"/>
              <w:bottom w:val="single" w:color="auto" w:sz="8" w:space="0"/>
              <w:right w:val="single" w:color="auto" w:sz="8" w:space="0"/>
            </w:tcBorders>
            <w:vAlign w:val="center"/>
          </w:tcPr>
          <w:p w14:paraId="3205B0E9">
            <w:pPr>
              <w:pageBreakBefore w:val="0"/>
              <w:widowControl/>
              <w:kinsoku/>
              <w:overflowPunct/>
              <w:topLinePunct w:val="0"/>
              <w:bidi w:val="0"/>
              <w:spacing w:before="100" w:beforeAutospacing="1" w:after="100" w:afterAutospacing="1" w:line="240" w:lineRule="auto"/>
              <w:ind w:firstLine="210" w:firstLineChars="1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有异议的意见和说明理由：</w:t>
            </w:r>
          </w:p>
          <w:p w14:paraId="2824C667">
            <w:pPr>
              <w:pageBreakBefore w:val="0"/>
              <w:widowControl/>
              <w:kinsoku/>
              <w:overflowPunct/>
              <w:topLinePunct w:val="0"/>
              <w:bidi w:val="0"/>
              <w:spacing w:before="100" w:beforeAutospacing="1" w:after="100" w:afterAutospacing="1" w:line="240" w:lineRule="auto"/>
              <w:ind w:firstLine="210" w:firstLineChars="1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签字：</w:t>
            </w:r>
          </w:p>
        </w:tc>
      </w:tr>
      <w:tr w14:paraId="00D54DBA">
        <w:tblPrEx>
          <w:tblCellMar>
            <w:top w:w="0" w:type="dxa"/>
            <w:left w:w="0" w:type="dxa"/>
            <w:bottom w:w="0" w:type="dxa"/>
            <w:right w:w="0" w:type="dxa"/>
          </w:tblCellMar>
        </w:tblPrEx>
        <w:trPr>
          <w:trHeight w:val="507" w:hRule="atLeast"/>
          <w:jc w:val="center"/>
        </w:trPr>
        <w:tc>
          <w:tcPr>
            <w:tcW w:w="8951"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75B44A8">
            <w:pPr>
              <w:pageBreakBefore w:val="0"/>
              <w:widowControl/>
              <w:kinsoku/>
              <w:overflowPunct/>
              <w:topLinePunct w:val="0"/>
              <w:bidi w:val="0"/>
              <w:spacing w:before="100" w:beforeAutospacing="1" w:after="100" w:afterAutospacing="1"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验收小组成员签字：</w:t>
            </w:r>
          </w:p>
        </w:tc>
      </w:tr>
      <w:tr w14:paraId="4951DA1B">
        <w:tblPrEx>
          <w:tblCellMar>
            <w:top w:w="0" w:type="dxa"/>
            <w:left w:w="0" w:type="dxa"/>
            <w:bottom w:w="0" w:type="dxa"/>
            <w:right w:w="0" w:type="dxa"/>
          </w:tblCellMar>
        </w:tblPrEx>
        <w:trPr>
          <w:trHeight w:val="736" w:hRule="atLeast"/>
          <w:jc w:val="center"/>
        </w:trPr>
        <w:tc>
          <w:tcPr>
            <w:tcW w:w="8951"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0835ADA">
            <w:pPr>
              <w:pageBreakBefore w:val="0"/>
              <w:widowControl/>
              <w:kinsoku/>
              <w:overflowPunct/>
              <w:topLinePunct w:val="0"/>
              <w:bidi w:val="0"/>
              <w:spacing w:before="100" w:beforeAutospacing="1" w:after="100" w:afterAutospacing="1"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监督人员或者其他相关人员签字：</w:t>
            </w:r>
          </w:p>
          <w:p w14:paraId="57571F48">
            <w:pPr>
              <w:pageBreakBefore w:val="0"/>
              <w:widowControl/>
              <w:kinsoku/>
              <w:overflowPunct/>
              <w:topLinePunct w:val="0"/>
              <w:bidi w:val="0"/>
              <w:spacing w:before="100" w:beforeAutospacing="1" w:after="100" w:afterAutospacing="1" w:line="240" w:lineRule="auto"/>
              <w:ind w:firstLine="74"/>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或者受邀机构的意见（盖章）：</w:t>
            </w:r>
          </w:p>
        </w:tc>
      </w:tr>
      <w:tr w14:paraId="2DE192F2">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4B9C495F">
            <w:pPr>
              <w:pageBreakBefore w:val="0"/>
              <w:widowControl/>
              <w:kinsoku/>
              <w:overflowPunct/>
              <w:topLinePunct w:val="0"/>
              <w:bidi w:val="0"/>
              <w:spacing w:before="100" w:beforeAutospacing="1" w:after="100" w:afterAutospacing="1"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中标人负责人签字或者盖章：</w:t>
            </w:r>
          </w:p>
          <w:p w14:paraId="6D3B76F5">
            <w:pPr>
              <w:pageBreakBefore w:val="0"/>
              <w:widowControl/>
              <w:kinsoku/>
              <w:overflowPunct/>
              <w:topLinePunct w:val="0"/>
              <w:bidi w:val="0"/>
              <w:spacing w:before="100" w:beforeAutospacing="1" w:after="100" w:afterAutospacing="1" w:line="240" w:lineRule="auto"/>
              <w:jc w:val="left"/>
              <w:rPr>
                <w:rFonts w:hint="eastAsia" w:ascii="宋体" w:hAnsi="宋体" w:eastAsia="宋体" w:cs="宋体"/>
                <w:color w:val="auto"/>
                <w:kern w:val="0"/>
                <w:sz w:val="21"/>
                <w:szCs w:val="21"/>
                <w:highlight w:val="none"/>
              </w:rPr>
            </w:pPr>
          </w:p>
          <w:p w14:paraId="6EE5D430">
            <w:pPr>
              <w:pageBreakBefore w:val="0"/>
              <w:widowControl/>
              <w:kinsoku/>
              <w:overflowPunct/>
              <w:topLinePunct w:val="0"/>
              <w:bidi w:val="0"/>
              <w:spacing w:before="100" w:beforeAutospacing="1" w:after="100" w:afterAutospacing="1"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                年  月  日</w:t>
            </w:r>
          </w:p>
        </w:tc>
        <w:tc>
          <w:tcPr>
            <w:tcW w:w="4799" w:type="dxa"/>
            <w:gridSpan w:val="4"/>
            <w:tcBorders>
              <w:top w:val="nil"/>
              <w:left w:val="nil"/>
              <w:bottom w:val="single" w:color="auto" w:sz="8" w:space="0"/>
              <w:right w:val="single" w:color="auto" w:sz="8" w:space="0"/>
            </w:tcBorders>
            <w:vAlign w:val="center"/>
          </w:tcPr>
          <w:p w14:paraId="4EE9B95D">
            <w:pPr>
              <w:pageBreakBefore w:val="0"/>
              <w:widowControl/>
              <w:kinsoku/>
              <w:overflowPunct/>
              <w:topLinePunct w:val="0"/>
              <w:bidi w:val="0"/>
              <w:spacing w:before="100" w:beforeAutospacing="1" w:after="100" w:afterAutospacing="1" w:line="240" w:lineRule="auto"/>
              <w:ind w:firstLine="210" w:firstLineChars="1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采购人或者受托机构的意见（盖章）：</w:t>
            </w:r>
          </w:p>
          <w:p w14:paraId="7C72E1F6">
            <w:pPr>
              <w:pageBreakBefore w:val="0"/>
              <w:widowControl/>
              <w:kinsoku/>
              <w:overflowPunct/>
              <w:topLinePunct w:val="0"/>
              <w:bidi w:val="0"/>
              <w:spacing w:before="100" w:beforeAutospacing="1" w:after="100" w:afterAutospacing="1" w:line="240" w:lineRule="auto"/>
              <w:ind w:firstLine="210" w:firstLineChars="100"/>
              <w:jc w:val="left"/>
              <w:rPr>
                <w:rFonts w:hint="eastAsia" w:ascii="宋体" w:hAnsi="宋体" w:eastAsia="宋体" w:cs="宋体"/>
                <w:color w:val="auto"/>
                <w:kern w:val="0"/>
                <w:sz w:val="21"/>
                <w:szCs w:val="21"/>
                <w:highlight w:val="none"/>
              </w:rPr>
            </w:pPr>
          </w:p>
          <w:p w14:paraId="5AA64F23">
            <w:pPr>
              <w:pageBreakBefore w:val="0"/>
              <w:widowControl/>
              <w:kinsoku/>
              <w:overflowPunct/>
              <w:topLinePunct w:val="0"/>
              <w:bidi w:val="0"/>
              <w:spacing w:before="100" w:beforeAutospacing="1" w:after="100" w:afterAutospacing="1" w:line="240" w:lineRule="auto"/>
              <w:ind w:firstLine="210" w:firstLineChars="1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                  年  月  日</w:t>
            </w:r>
          </w:p>
        </w:tc>
      </w:tr>
    </w:tbl>
    <w:p w14:paraId="1943CC67">
      <w:pP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br w:type="page"/>
      </w:r>
    </w:p>
    <w:p w14:paraId="2C345488">
      <w:pPr>
        <w:pStyle w:val="3"/>
        <w:pageBreakBefore w:val="0"/>
        <w:numPr>
          <w:ilvl w:val="0"/>
          <w:numId w:val="3"/>
        </w:numPr>
        <w:tabs>
          <w:tab w:val="left" w:pos="0"/>
          <w:tab w:val="left" w:pos="3165"/>
          <w:tab w:val="center" w:pos="4153"/>
        </w:tabs>
        <w:kinsoku/>
        <w:overflowPunct/>
        <w:topLinePunct w:val="0"/>
        <w:autoSpaceDE w:val="0"/>
        <w:autoSpaceDN w:val="0"/>
        <w:bidi w:val="0"/>
        <w:adjustRightInd w:val="0"/>
        <w:spacing w:before="0" w:after="0" w:line="240" w:lineRule="auto"/>
        <w:jc w:val="center"/>
        <w:rPr>
          <w:rFonts w:hint="eastAsia" w:ascii="宋体" w:hAnsi="宋体" w:eastAsia="宋体" w:cs="宋体"/>
          <w:color w:val="auto"/>
          <w:sz w:val="40"/>
          <w:szCs w:val="40"/>
          <w:highlight w:val="none"/>
          <w:lang w:val="en-US" w:eastAsia="zh-CN"/>
        </w:rPr>
      </w:pPr>
      <w:bookmarkStart w:id="115" w:name="_Toc330456896"/>
      <w:bookmarkStart w:id="116" w:name="_Toc254970689"/>
      <w:bookmarkStart w:id="117" w:name="_Toc254970548"/>
      <w:r>
        <w:rPr>
          <w:rFonts w:hint="eastAsia" w:ascii="宋体" w:hAnsi="宋体" w:eastAsia="宋体" w:cs="宋体"/>
          <w:color w:val="auto"/>
          <w:sz w:val="40"/>
          <w:szCs w:val="40"/>
          <w:highlight w:val="none"/>
          <w:lang w:val="en-US" w:eastAsia="zh-CN"/>
        </w:rPr>
        <w:t xml:space="preserve"> </w:t>
      </w:r>
      <w:bookmarkStart w:id="118" w:name="_Toc9297"/>
      <w:r>
        <w:rPr>
          <w:rFonts w:hint="eastAsia" w:ascii="宋体" w:hAnsi="宋体" w:eastAsia="宋体" w:cs="宋体"/>
          <w:color w:val="auto"/>
          <w:sz w:val="40"/>
          <w:szCs w:val="40"/>
          <w:highlight w:val="none"/>
          <w:lang w:val="en-US" w:eastAsia="zh-CN"/>
        </w:rPr>
        <w:t>评标方法及评标标准</w:t>
      </w:r>
      <w:bookmarkEnd w:id="115"/>
      <w:bookmarkEnd w:id="116"/>
      <w:bookmarkEnd w:id="117"/>
      <w:bookmarkEnd w:id="118"/>
    </w:p>
    <w:p w14:paraId="632277A7">
      <w:pPr>
        <w:pStyle w:val="4"/>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一、评标方法</w:t>
      </w:r>
    </w:p>
    <w:p w14:paraId="3EAA6670">
      <w:pPr>
        <w:pStyle w:val="15"/>
        <w:pageBreakBefore w:val="0"/>
        <w:kinsoku/>
        <w:overflowPunct/>
        <w:topLinePunct w:val="0"/>
        <w:bidi w:val="0"/>
        <w:spacing w:line="24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综合评分法，是指投标文件满足</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文件全部实质性要求，且按照评审因素的量化指标评审得分最高的投标人为中标候选人的评标方法。</w:t>
      </w:r>
    </w:p>
    <w:p w14:paraId="131281DF">
      <w:pPr>
        <w:pStyle w:val="15"/>
        <w:pageBreakBefore w:val="0"/>
        <w:kinsoku/>
        <w:overflowPunct/>
        <w:topLinePunct w:val="0"/>
        <w:bidi w:val="0"/>
        <w:spacing w:line="24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最低评标价法，是指投标文件满足</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文件全部实质性要求，且投标报价最低的投标人为中标候选人的评标方法。</w:t>
      </w:r>
    </w:p>
    <w:p w14:paraId="20C48D91">
      <w:pPr>
        <w:pStyle w:val="4"/>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二、评标程序</w:t>
      </w:r>
    </w:p>
    <w:p w14:paraId="6F9A7CEA">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1.符合性审查</w:t>
      </w:r>
    </w:p>
    <w:p w14:paraId="0A0FAA4E">
      <w:pPr>
        <w:pStyle w:val="15"/>
        <w:pageBreakBefore w:val="0"/>
        <w:kinsoku/>
        <w:overflowPunct/>
        <w:topLinePunct w:val="0"/>
        <w:bidi w:val="0"/>
        <w:snapToGrid w:val="0"/>
        <w:spacing w:line="240" w:lineRule="auto"/>
        <w:ind w:left="1" w:firstLine="42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评标委员会应当对符合资格的投标人的投标文件进行投标报价、商务、技术等实质性内容符合性审查，以确定其是否满足</w:t>
      </w:r>
      <w:r>
        <w:rPr>
          <w:rFonts w:hint="eastAsia" w:hAnsi="宋体" w:cs="宋体"/>
          <w:b/>
          <w:color w:val="auto"/>
          <w:kern w:val="2"/>
          <w:sz w:val="21"/>
          <w:szCs w:val="21"/>
          <w:highlight w:val="none"/>
          <w:lang w:eastAsia="zh-CN"/>
        </w:rPr>
        <w:t>采购</w:t>
      </w:r>
      <w:r>
        <w:rPr>
          <w:rFonts w:hint="eastAsia" w:ascii="宋体" w:hAnsi="宋体" w:eastAsia="宋体" w:cs="宋体"/>
          <w:b/>
          <w:color w:val="auto"/>
          <w:kern w:val="2"/>
          <w:sz w:val="21"/>
          <w:szCs w:val="21"/>
          <w:highlight w:val="none"/>
        </w:rPr>
        <w:t>文件的实质性要求。</w:t>
      </w:r>
    </w:p>
    <w:p w14:paraId="45580BBB">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2.符合性审查不通过而导致投标无效的情形</w:t>
      </w:r>
    </w:p>
    <w:p w14:paraId="2FB3683B">
      <w:pPr>
        <w:pageBreakBefore w:val="0"/>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投标人的投标文件中存在对</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文件的任何实质性要求和条件的负偏离，将被视为投标无效。</w:t>
      </w:r>
    </w:p>
    <w:p w14:paraId="08436876">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2.1在报价评审时，如发现下列情形之一的，将被视为投标无效：</w:t>
      </w:r>
    </w:p>
    <w:p w14:paraId="4D572BA5">
      <w:pPr>
        <w:pStyle w:val="6"/>
        <w:pageBreakBefore w:val="0"/>
        <w:numPr>
          <w:ilvl w:val="0"/>
          <w:numId w:val="4"/>
        </w:numPr>
        <w:kinsoku/>
        <w:overflowPunct/>
        <w:topLinePunct w:val="0"/>
        <w:bidi w:val="0"/>
        <w:spacing w:line="24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pacing w:val="-6"/>
          <w:sz w:val="21"/>
          <w:szCs w:val="21"/>
          <w:highlight w:val="none"/>
        </w:rPr>
        <w:t>报价文件</w:t>
      </w:r>
      <w:r>
        <w:rPr>
          <w:rFonts w:hint="eastAsia" w:ascii="宋体" w:hAnsi="宋体" w:eastAsia="宋体" w:cs="宋体"/>
          <w:b/>
          <w:color w:val="auto"/>
          <w:sz w:val="21"/>
          <w:szCs w:val="21"/>
          <w:highlight w:val="none"/>
        </w:rPr>
        <w:t>未提供“投标人须知前附表”第13.1条规定中“必须提供”的文件资料的；</w:t>
      </w:r>
    </w:p>
    <w:p w14:paraId="5CCCBC7C">
      <w:pPr>
        <w:pStyle w:val="6"/>
        <w:pageBreakBefore w:val="0"/>
        <w:numPr>
          <w:ilvl w:val="0"/>
          <w:numId w:val="4"/>
        </w:numPr>
        <w:kinsoku/>
        <w:overflowPunct/>
        <w:topLinePunct w:val="0"/>
        <w:bidi w:val="0"/>
        <w:spacing w:line="24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未采用人民币报价或者未按照</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文件标明的币种报价的；</w:t>
      </w:r>
    </w:p>
    <w:p w14:paraId="1517602C">
      <w:pPr>
        <w:pStyle w:val="6"/>
        <w:pageBreakBefore w:val="0"/>
        <w:numPr>
          <w:ilvl w:val="0"/>
          <w:numId w:val="4"/>
        </w:numPr>
        <w:kinsoku/>
        <w:overflowPunct/>
        <w:topLinePunct w:val="0"/>
        <w:bidi w:val="0"/>
        <w:spacing w:line="24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各分标报价超出</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文件相应分标规定最高限价，或者超出相应分标采购预算金额的；</w:t>
      </w:r>
    </w:p>
    <w:p w14:paraId="244AE28B">
      <w:pPr>
        <w:pStyle w:val="6"/>
        <w:pageBreakBefore w:val="0"/>
        <w:numPr>
          <w:ilvl w:val="0"/>
          <w:numId w:val="4"/>
        </w:numPr>
        <w:kinsoku/>
        <w:overflowPunct/>
        <w:topLinePunct w:val="0"/>
        <w:bidi w:val="0"/>
        <w:spacing w:line="24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投标人未就所投分标进行报价或者存在漏项报价；投标人未就所投分标的单项内容作唯一报价；投标人未就所投分标的全部内容作完整唯一总价报价；存在有选择、有条件报价的（</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文件允许有备选方案或者其他约定的除外）；</w:t>
      </w:r>
    </w:p>
    <w:p w14:paraId="7B5E40A3">
      <w:pPr>
        <w:pStyle w:val="6"/>
        <w:pageBreakBefore w:val="0"/>
        <w:numPr>
          <w:ilvl w:val="0"/>
          <w:numId w:val="4"/>
        </w:numPr>
        <w:kinsoku/>
        <w:overflowPunct/>
        <w:topLinePunct w:val="0"/>
        <w:bidi w:val="0"/>
        <w:spacing w:line="24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修正后的报价，投标人不确认的；</w:t>
      </w:r>
    </w:p>
    <w:p w14:paraId="586EE2CE">
      <w:pPr>
        <w:pStyle w:val="6"/>
        <w:pageBreakBefore w:val="0"/>
        <w:numPr>
          <w:ilvl w:val="0"/>
          <w:numId w:val="4"/>
        </w:numPr>
        <w:kinsoku/>
        <w:overflowPunct/>
        <w:topLinePunct w:val="0"/>
        <w:bidi w:val="0"/>
        <w:spacing w:line="24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投标人属于本章第5.1条（2）或者第5.2条（2）项情形的；</w:t>
      </w:r>
    </w:p>
    <w:p w14:paraId="53A30BED">
      <w:pPr>
        <w:pStyle w:val="6"/>
        <w:pageBreakBefore w:val="0"/>
        <w:numPr>
          <w:ilvl w:val="0"/>
          <w:numId w:val="4"/>
        </w:numPr>
        <w:kinsoku/>
        <w:overflowPunct/>
        <w:topLinePunct w:val="0"/>
        <w:bidi w:val="0"/>
        <w:spacing w:line="24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pacing w:val="-6"/>
          <w:sz w:val="21"/>
          <w:szCs w:val="21"/>
          <w:highlight w:val="none"/>
        </w:rPr>
        <w:t>报价文件</w:t>
      </w:r>
      <w:r>
        <w:rPr>
          <w:rFonts w:hint="eastAsia" w:ascii="宋体" w:hAnsi="宋体" w:eastAsia="宋体" w:cs="宋体"/>
          <w:b/>
          <w:color w:val="auto"/>
          <w:sz w:val="21"/>
          <w:szCs w:val="21"/>
          <w:highlight w:val="none"/>
        </w:rPr>
        <w:t>响应的标的数量及单位与</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文件要求实质性不一致的。</w:t>
      </w:r>
    </w:p>
    <w:p w14:paraId="4D0EC778">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2.2在商务评审时，如发现下列情形之一的，将被视为投标无效：</w:t>
      </w:r>
    </w:p>
    <w:p w14:paraId="089E9DFC">
      <w:pPr>
        <w:pageBreakBefore w:val="0"/>
        <w:numPr>
          <w:ilvl w:val="0"/>
          <w:numId w:val="5"/>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投标文件未按</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文件要求签署、盖章的；</w:t>
      </w:r>
    </w:p>
    <w:p w14:paraId="1E03F04D">
      <w:pPr>
        <w:pageBreakBefore w:val="0"/>
        <w:numPr>
          <w:ilvl w:val="0"/>
          <w:numId w:val="5"/>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委托代理人未能出具有效身份证或者出具的身份证与授权委托书中的信息不符的；</w:t>
      </w:r>
    </w:p>
    <w:p w14:paraId="7597FA4C">
      <w:pPr>
        <w:pageBreakBefore w:val="0"/>
        <w:numPr>
          <w:ilvl w:val="0"/>
          <w:numId w:val="5"/>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投标文件未提供“投标人须知前附表”第13.1条规定中“必须提供”或者“委托时必须提供”的文件资料的；</w:t>
      </w:r>
    </w:p>
    <w:p w14:paraId="4B7A329E">
      <w:pPr>
        <w:pageBreakBefore w:val="0"/>
        <w:numPr>
          <w:ilvl w:val="0"/>
          <w:numId w:val="5"/>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商务要求评审允许负偏离的条款数超过“投标人须知前附表”规定项数的；</w:t>
      </w:r>
    </w:p>
    <w:p w14:paraId="4DDD6231">
      <w:pPr>
        <w:pageBreakBefore w:val="0"/>
        <w:numPr>
          <w:ilvl w:val="0"/>
          <w:numId w:val="5"/>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投标文件的实质性内容未使用中文表述、使用计量单位不符合</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文件要求的；</w:t>
      </w:r>
    </w:p>
    <w:p w14:paraId="71095AF6">
      <w:pPr>
        <w:pageBreakBefore w:val="0"/>
        <w:numPr>
          <w:ilvl w:val="0"/>
          <w:numId w:val="5"/>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投标文件中的文件资料因填写不齐全或者内容虚假或者出现其他情形而导致被评标委员会认定无效的；</w:t>
      </w:r>
    </w:p>
    <w:p w14:paraId="153D55A1">
      <w:pPr>
        <w:pageBreakBefore w:val="0"/>
        <w:numPr>
          <w:ilvl w:val="0"/>
          <w:numId w:val="5"/>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投标文件含有采购人不能接受的附加条件的；</w:t>
      </w:r>
    </w:p>
    <w:p w14:paraId="3F4108B7">
      <w:pPr>
        <w:pageBreakBefore w:val="0"/>
        <w:numPr>
          <w:ilvl w:val="0"/>
          <w:numId w:val="5"/>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属于投标人须知正文第9.2条情形的；</w:t>
      </w:r>
    </w:p>
    <w:p w14:paraId="50D702FA">
      <w:pPr>
        <w:pageBreakBefore w:val="0"/>
        <w:numPr>
          <w:ilvl w:val="0"/>
          <w:numId w:val="5"/>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投标文件标注的项目名称或者项目编号与</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文件标注的项目名称或者项目编号不一致的；</w:t>
      </w:r>
    </w:p>
    <w:p w14:paraId="4576EBE0">
      <w:pPr>
        <w:pageBreakBefore w:val="0"/>
        <w:numPr>
          <w:ilvl w:val="0"/>
          <w:numId w:val="5"/>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文件明确不允许分包，投标文件拟分包的；</w:t>
      </w:r>
    </w:p>
    <w:p w14:paraId="3386C92F">
      <w:pPr>
        <w:pageBreakBefore w:val="0"/>
        <w:numPr>
          <w:ilvl w:val="0"/>
          <w:numId w:val="5"/>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未响应</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文件实质性要求的；</w:t>
      </w:r>
    </w:p>
    <w:p w14:paraId="2FD790BC">
      <w:pPr>
        <w:pageBreakBefore w:val="0"/>
        <w:numPr>
          <w:ilvl w:val="0"/>
          <w:numId w:val="5"/>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法律、法规和</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文件规定的其他无效情形。</w:t>
      </w:r>
    </w:p>
    <w:p w14:paraId="1914E78F">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2.3在技术评审时，如发现下列情形之一的，将被视为投标无效：</w:t>
      </w:r>
    </w:p>
    <w:p w14:paraId="29181259">
      <w:pPr>
        <w:pStyle w:val="13"/>
        <w:pageBreakBefore w:val="0"/>
        <w:kinsoku/>
        <w:overflowPunct/>
        <w:topLinePunct w:val="0"/>
        <w:bidi w:val="0"/>
        <w:snapToGrid w:val="0"/>
        <w:spacing w:line="240" w:lineRule="auto"/>
        <w:ind w:firstLine="413" w:firstLineChars="196"/>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（1）技术要求评审允许负偏离的条款数超过“投标人须知前附表”规定项数的；</w:t>
      </w:r>
    </w:p>
    <w:p w14:paraId="625266D4">
      <w:pPr>
        <w:pStyle w:val="13"/>
        <w:pageBreakBefore w:val="0"/>
        <w:kinsoku/>
        <w:overflowPunct/>
        <w:topLinePunct w:val="0"/>
        <w:bidi w:val="0"/>
        <w:snapToGrid w:val="0"/>
        <w:spacing w:line="240" w:lineRule="auto"/>
        <w:ind w:firstLine="413" w:firstLineChars="196"/>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（2）投标文件未提供“投标人须知前附表”第13.1条规定中“必须提供”的文件资料的；</w:t>
      </w:r>
    </w:p>
    <w:p w14:paraId="7C1893C3">
      <w:pPr>
        <w:pStyle w:val="13"/>
        <w:pageBreakBefore w:val="0"/>
        <w:kinsoku/>
        <w:overflowPunct/>
        <w:topLinePunct w:val="0"/>
        <w:bidi w:val="0"/>
        <w:snapToGrid w:val="0"/>
        <w:spacing w:line="240" w:lineRule="auto"/>
        <w:ind w:firstLine="413" w:firstLineChars="196"/>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（3）虚假投标，或者出现其他情形而导致被评标委员会认定无效的；</w:t>
      </w:r>
    </w:p>
    <w:p w14:paraId="529B3519">
      <w:pPr>
        <w:pStyle w:val="13"/>
        <w:pageBreakBefore w:val="0"/>
        <w:kinsoku/>
        <w:overflowPunct/>
        <w:topLinePunct w:val="0"/>
        <w:bidi w:val="0"/>
        <w:snapToGrid w:val="0"/>
        <w:spacing w:line="240" w:lineRule="auto"/>
        <w:ind w:firstLine="413" w:firstLineChars="196"/>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（4）</w:t>
      </w:r>
      <w:bookmarkStart w:id="119" w:name="_Hlk71706244"/>
      <w:r>
        <w:rPr>
          <w:rFonts w:hint="eastAsia" w:ascii="宋体" w:hAnsi="宋体" w:eastAsia="宋体" w:cs="宋体"/>
          <w:b/>
          <w:color w:val="auto"/>
          <w:kern w:val="2"/>
          <w:sz w:val="21"/>
          <w:szCs w:val="21"/>
          <w:highlight w:val="none"/>
          <w:lang w:eastAsia="zh-CN"/>
        </w:rPr>
        <w:t>采购</w:t>
      </w:r>
      <w:r>
        <w:rPr>
          <w:rFonts w:hint="eastAsia" w:ascii="宋体" w:hAnsi="宋体" w:eastAsia="宋体" w:cs="宋体"/>
          <w:b/>
          <w:color w:val="auto"/>
          <w:kern w:val="2"/>
          <w:sz w:val="21"/>
          <w:szCs w:val="21"/>
          <w:highlight w:val="none"/>
        </w:rPr>
        <w:t>文件未载明允许提供备选（替代）投标方案或明确不允许提供备选（替代）投标方案时，投标人提供了备选（替代）投标方案的；</w:t>
      </w:r>
      <w:bookmarkEnd w:id="119"/>
    </w:p>
    <w:p w14:paraId="2CBBC140">
      <w:pPr>
        <w:pStyle w:val="13"/>
        <w:pageBreakBefore w:val="0"/>
        <w:kinsoku/>
        <w:overflowPunct/>
        <w:topLinePunct w:val="0"/>
        <w:bidi w:val="0"/>
        <w:snapToGrid w:val="0"/>
        <w:spacing w:line="240" w:lineRule="auto"/>
        <w:ind w:firstLine="413" w:firstLineChars="196"/>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（5）未响应</w:t>
      </w:r>
      <w:r>
        <w:rPr>
          <w:rFonts w:hint="eastAsia" w:ascii="宋体" w:hAnsi="宋体" w:eastAsia="宋体" w:cs="宋体"/>
          <w:b/>
          <w:color w:val="auto"/>
          <w:kern w:val="2"/>
          <w:sz w:val="21"/>
          <w:szCs w:val="21"/>
          <w:highlight w:val="none"/>
          <w:lang w:eastAsia="zh-CN"/>
        </w:rPr>
        <w:t>采购</w:t>
      </w:r>
      <w:r>
        <w:rPr>
          <w:rFonts w:hint="eastAsia" w:ascii="宋体" w:hAnsi="宋体" w:eastAsia="宋体" w:cs="宋体"/>
          <w:b/>
          <w:color w:val="auto"/>
          <w:kern w:val="2"/>
          <w:sz w:val="21"/>
          <w:szCs w:val="21"/>
          <w:highlight w:val="none"/>
        </w:rPr>
        <w:t>文件实质性要求的。</w:t>
      </w:r>
    </w:p>
    <w:p w14:paraId="33C207A6">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3.澄清补正</w:t>
      </w:r>
    </w:p>
    <w:p w14:paraId="197FE835">
      <w:pPr>
        <w:pageBreakBefore w:val="0"/>
        <w:kinsoku/>
        <w:overflowPunct/>
        <w:topLinePunct w:val="0"/>
        <w:bidi w:val="0"/>
        <w:spacing w:line="24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对投标文件中含义不明确、同类问题表述不一致或者有明显文字和计算错误的内容，评标委员会应在</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发布电子澄清函，要求投标人在规定时间内作出必要的澄清、说明或者补正。投标人在</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634981E6">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0CB27222">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未按评标委员会的要求作出明确澄清、说明或者更正的投标人的投标文件将按照有利于采购人的原则由评标委员会进行判定。</w:t>
      </w:r>
    </w:p>
    <w:p w14:paraId="1D2751E0">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4.投标文件修正</w:t>
      </w:r>
    </w:p>
    <w:p w14:paraId="10B115C5">
      <w:pPr>
        <w:pStyle w:val="5"/>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4.1投标文件报价出现前后不一致的，按照下列规定修正：</w:t>
      </w:r>
    </w:p>
    <w:p w14:paraId="4D0EE01D">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（1）投标文件中开标一览表（报价表）内容与投标文件中相应内容不一致的，以开标一览表（报价表）为准；</w:t>
      </w:r>
    </w:p>
    <w:p w14:paraId="29B1D4AC">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54C1A896">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（3）单价金额小数点或者百分比有明显错位的，以开标一览表的总价为准，并修改单价；</w:t>
      </w:r>
    </w:p>
    <w:p w14:paraId="1BE72D41">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4DB9E098">
      <w:pPr>
        <w:pStyle w:val="15"/>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同时出现两种以上不一致的，按照以上（1）-（4）规定的顺序修正。修正后的报价经投标人确认后产生约束力，投标人不确认的，</w:t>
      </w:r>
      <w:r>
        <w:rPr>
          <w:rFonts w:hint="eastAsia" w:ascii="宋体" w:hAnsi="宋体" w:eastAsia="宋体" w:cs="宋体"/>
          <w:b/>
          <w:color w:val="auto"/>
          <w:kern w:val="2"/>
          <w:sz w:val="21"/>
          <w:szCs w:val="21"/>
          <w:highlight w:val="none"/>
        </w:rPr>
        <w:t>其投标无效</w:t>
      </w:r>
      <w:r>
        <w:rPr>
          <w:rFonts w:hint="eastAsia" w:ascii="宋体" w:hAnsi="宋体" w:eastAsia="宋体" w:cs="宋体"/>
          <w:color w:val="auto"/>
          <w:sz w:val="21"/>
          <w:szCs w:val="21"/>
          <w:highlight w:val="none"/>
        </w:rPr>
        <w:t>。</w:t>
      </w:r>
    </w:p>
    <w:p w14:paraId="04A4BCF1">
      <w:pPr>
        <w:pStyle w:val="5"/>
        <w:pageBreakBefore w:val="0"/>
        <w:kinsoku/>
        <w:overflowPunct/>
        <w:topLinePunct w:val="0"/>
        <w:bidi w:val="0"/>
        <w:spacing w:before="0" w:after="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4.2经投标人确认修正后的报价若超过采购预算金额或者最高限价，</w:t>
      </w:r>
      <w:r>
        <w:rPr>
          <w:rFonts w:hint="eastAsia" w:ascii="宋体" w:hAnsi="宋体" w:eastAsia="宋体" w:cs="宋体"/>
          <w:color w:val="auto"/>
          <w:sz w:val="21"/>
          <w:szCs w:val="21"/>
          <w:highlight w:val="none"/>
        </w:rPr>
        <w:t>投标人的投标文件作无效投标处理</w:t>
      </w:r>
      <w:r>
        <w:rPr>
          <w:rFonts w:hint="eastAsia" w:ascii="宋体" w:hAnsi="宋体" w:eastAsia="宋体" w:cs="宋体"/>
          <w:b w:val="0"/>
          <w:color w:val="auto"/>
          <w:sz w:val="21"/>
          <w:szCs w:val="21"/>
          <w:highlight w:val="none"/>
        </w:rPr>
        <w:t>。</w:t>
      </w:r>
    </w:p>
    <w:p w14:paraId="0121C07C">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4.3经投标人确认修正后的报价作为签订合同的依据，并以此报价计算价格分。</w:t>
      </w:r>
    </w:p>
    <w:p w14:paraId="0B5CD357">
      <w:pPr>
        <w:pStyle w:val="5"/>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5.比较与评价</w:t>
      </w:r>
    </w:p>
    <w:p w14:paraId="03F1DA28">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5.1采用综合评分法的</w:t>
      </w:r>
    </w:p>
    <w:p w14:paraId="18F6A049">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（1）评标委员会按照</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文件中规定的评标方法及评标标准，对符合性审查合格的投标文件进行商务和技术评估，综合比较与评价。</w:t>
      </w:r>
    </w:p>
    <w:p w14:paraId="6F12C5B2">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（2）评标委员会独立对每个投标人的投标文件进行评价，并汇总每个投标人的得分。</w:t>
      </w:r>
    </w:p>
    <w:p w14:paraId="501530BD">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eastAsia="宋体" w:cs="宋体"/>
          <w:b/>
          <w:color w:val="auto"/>
          <w:sz w:val="21"/>
          <w:szCs w:val="21"/>
          <w:highlight w:val="none"/>
        </w:rPr>
        <w:t>投标人不能证明其报价合理性的，评标委员会将其作为无效投标处理</w:t>
      </w:r>
      <w:r>
        <w:rPr>
          <w:rFonts w:hint="eastAsia" w:ascii="宋体" w:hAnsi="宋体" w:eastAsia="宋体" w:cs="宋体"/>
          <w:color w:val="auto"/>
          <w:sz w:val="21"/>
          <w:szCs w:val="21"/>
          <w:highlight w:val="none"/>
        </w:rPr>
        <w:t>。</w:t>
      </w:r>
    </w:p>
    <w:p w14:paraId="1470DE7E">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（3）评标委员会按照</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文件中规定的评标方法和标准计算各投标人的报价得分。在计算过程中，不得去掉最高报价或者最低报价。</w:t>
      </w:r>
    </w:p>
    <w:p w14:paraId="4494339C">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（4）各投标人的得分为所有评委的有效评分的算术平均数。</w:t>
      </w:r>
    </w:p>
    <w:p w14:paraId="447E5980">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（5）评标委员会按照</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文件中的规定推荐中标候选人。</w:t>
      </w:r>
    </w:p>
    <w:p w14:paraId="0A51B879">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40CDB462">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5.2采用最低评标价法的</w:t>
      </w:r>
    </w:p>
    <w:p w14:paraId="38387B84">
      <w:pPr>
        <w:pageBreakBefore w:val="0"/>
        <w:kinsoku/>
        <w:overflowPunct/>
        <w:topLinePunct w:val="0"/>
        <w:bidi w:val="0"/>
        <w:snapToGrid w:val="0"/>
        <w:spacing w:line="240" w:lineRule="auto"/>
        <w:ind w:firstLine="424" w:firstLineChars="20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（1）评标委员会按照</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文件中规定的评标方法及评标标准，对符合性审查合格的投标文件报价进行比较。</w:t>
      </w:r>
    </w:p>
    <w:p w14:paraId="266BF5E9">
      <w:pPr>
        <w:pageBreakBefore w:val="0"/>
        <w:kinsoku/>
        <w:overflowPunct/>
        <w:topLinePunct w:val="0"/>
        <w:bidi w:val="0"/>
        <w:snapToGrid w:val="0"/>
        <w:spacing w:line="240" w:lineRule="auto"/>
        <w:ind w:firstLine="399" w:firstLineChars="202"/>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评标委员会认为投标人的报价明显高于其他通过符合性审查投标人的报价，有可能影响配送产品质量或者服务质量或者不能诚信履约的，应当要求其在评标现场合理的时间内提供书面说明，必要时提交相关证明材料；</w:t>
      </w:r>
      <w:r>
        <w:rPr>
          <w:rFonts w:hint="eastAsia" w:ascii="宋体" w:hAnsi="宋体" w:eastAsia="宋体" w:cs="宋体"/>
          <w:b/>
          <w:color w:val="auto"/>
          <w:spacing w:val="-6"/>
          <w:sz w:val="21"/>
          <w:szCs w:val="21"/>
          <w:highlight w:val="none"/>
        </w:rPr>
        <w:t>投标人不能证明其报价合理性的，评标委员会将其作为无效投标处理</w:t>
      </w:r>
      <w:r>
        <w:rPr>
          <w:rFonts w:hint="eastAsia" w:ascii="宋体" w:hAnsi="宋体" w:eastAsia="宋体" w:cs="宋体"/>
          <w:color w:val="auto"/>
          <w:spacing w:val="-6"/>
          <w:sz w:val="21"/>
          <w:szCs w:val="21"/>
          <w:highlight w:val="none"/>
        </w:rPr>
        <w:t>。</w:t>
      </w:r>
    </w:p>
    <w:p w14:paraId="78100FD3">
      <w:pPr>
        <w:pageBreakBefore w:val="0"/>
        <w:kinsoku/>
        <w:overflowPunct/>
        <w:topLinePunct w:val="0"/>
        <w:bidi w:val="0"/>
        <w:snapToGrid w:val="0"/>
        <w:spacing w:line="240" w:lineRule="auto"/>
        <w:ind w:firstLine="424" w:firstLineChars="20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（3）评标委员会按照</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文件中的规定推荐中标候选人。</w:t>
      </w:r>
    </w:p>
    <w:p w14:paraId="6515A156">
      <w:pPr>
        <w:pageBreakBefore w:val="0"/>
        <w:kinsoku/>
        <w:overflowPunct/>
        <w:topLinePunct w:val="0"/>
        <w:bidi w:val="0"/>
        <w:snapToGrid w:val="0"/>
        <w:spacing w:line="240" w:lineRule="auto"/>
        <w:ind w:firstLine="424" w:firstLineChars="202"/>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3679BCF6">
      <w:pPr>
        <w:pStyle w:val="4"/>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评标标准</w:t>
      </w:r>
    </w:p>
    <w:p w14:paraId="16BDD6D6">
      <w:pPr>
        <w:keepNext w:val="0"/>
        <w:keepLines w:val="0"/>
        <w:pageBreakBefore w:val="0"/>
        <w:widowControl w:val="0"/>
        <w:kinsoku/>
        <w:wordWrap/>
        <w:overflowPunct/>
        <w:topLinePunct w:val="0"/>
        <w:autoSpaceDE/>
        <w:autoSpaceDN/>
        <w:bidi w:val="0"/>
        <w:adjustRightInd/>
        <w:snapToGrid w:val="0"/>
        <w:spacing w:line="240" w:lineRule="auto"/>
        <w:ind w:firstLine="424" w:firstLineChars="202"/>
        <w:jc w:val="left"/>
        <w:textAlignment w:val="auto"/>
        <w:rPr>
          <w:rFonts w:hint="eastAsia" w:ascii="宋体" w:hAnsi="宋体" w:cs="宋体"/>
          <w:color w:val="auto"/>
          <w:szCs w:val="21"/>
        </w:rPr>
      </w:pPr>
      <w:r>
        <w:rPr>
          <w:rFonts w:hint="eastAsia" w:ascii="宋体" w:hAnsi="宋体" w:cs="宋体"/>
          <w:color w:val="auto"/>
          <w:szCs w:val="21"/>
        </w:rPr>
        <w:t>一、</w:t>
      </w:r>
      <w:r>
        <w:rPr>
          <w:rFonts w:hint="eastAsia" w:ascii="宋体" w:hAnsi="宋体" w:cs="宋体"/>
          <w:b/>
          <w:bCs/>
          <w:color w:val="auto"/>
          <w:szCs w:val="21"/>
        </w:rPr>
        <w:t>评标原则</w:t>
      </w:r>
    </w:p>
    <w:p w14:paraId="28746368">
      <w:pPr>
        <w:keepNext w:val="0"/>
        <w:keepLines w:val="0"/>
        <w:pageBreakBefore w:val="0"/>
        <w:widowControl w:val="0"/>
        <w:kinsoku/>
        <w:wordWrap/>
        <w:overflowPunct/>
        <w:topLinePunct w:val="0"/>
        <w:autoSpaceDE/>
        <w:autoSpaceDN/>
        <w:bidi w:val="0"/>
        <w:adjustRightInd/>
        <w:snapToGrid w:val="0"/>
        <w:spacing w:line="240" w:lineRule="auto"/>
        <w:ind w:firstLine="424" w:firstLineChars="202"/>
        <w:jc w:val="left"/>
        <w:textAlignment w:val="auto"/>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一</w:t>
      </w:r>
      <w:r>
        <w:rPr>
          <w:rFonts w:hint="eastAsia" w:ascii="宋体" w:hAnsi="宋体" w:cs="宋体"/>
          <w:color w:val="auto"/>
          <w:szCs w:val="21"/>
          <w:lang w:eastAsia="zh-CN"/>
        </w:rPr>
        <w:t>）</w:t>
      </w:r>
      <w:r>
        <w:rPr>
          <w:rFonts w:hint="eastAsia" w:ascii="宋体" w:hAnsi="宋体" w:cs="宋体"/>
          <w:color w:val="auto"/>
          <w:szCs w:val="21"/>
        </w:rPr>
        <w:t>评委构成：本招标采购项目的评标委员会由采购人代表和有关技术、经济等方面的专家组成，成员人数应当为五人以上单数。其中，技术、经济等方面的专家不得少于成员总数的三分之二。</w:t>
      </w:r>
    </w:p>
    <w:p w14:paraId="36F24E0B">
      <w:pPr>
        <w:keepNext w:val="0"/>
        <w:keepLines w:val="0"/>
        <w:pageBreakBefore w:val="0"/>
        <w:widowControl w:val="0"/>
        <w:kinsoku/>
        <w:wordWrap/>
        <w:overflowPunct/>
        <w:topLinePunct w:val="0"/>
        <w:autoSpaceDE/>
        <w:autoSpaceDN/>
        <w:bidi w:val="0"/>
        <w:adjustRightInd/>
        <w:snapToGrid w:val="0"/>
        <w:spacing w:line="240" w:lineRule="auto"/>
        <w:ind w:firstLine="424" w:firstLineChars="202"/>
        <w:jc w:val="left"/>
        <w:textAlignment w:val="auto"/>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二</w:t>
      </w:r>
      <w:r>
        <w:rPr>
          <w:rFonts w:hint="eastAsia" w:ascii="宋体" w:hAnsi="宋体" w:cs="宋体"/>
          <w:color w:val="auto"/>
          <w:szCs w:val="21"/>
          <w:lang w:eastAsia="zh-CN"/>
        </w:rPr>
        <w:t>）</w:t>
      </w:r>
      <w:r>
        <w:rPr>
          <w:rFonts w:hint="eastAsia" w:ascii="宋体" w:hAnsi="宋体" w:cs="宋体"/>
          <w:color w:val="auto"/>
          <w:szCs w:val="21"/>
        </w:rPr>
        <w:t>评标依据：评委将以招投标文件为评标依据，对投标人的内容按百分制打分。</w:t>
      </w:r>
    </w:p>
    <w:p w14:paraId="2CB87E0E">
      <w:pPr>
        <w:keepNext w:val="0"/>
        <w:keepLines w:val="0"/>
        <w:pageBreakBefore w:val="0"/>
        <w:widowControl w:val="0"/>
        <w:kinsoku/>
        <w:wordWrap/>
        <w:overflowPunct/>
        <w:topLinePunct w:val="0"/>
        <w:autoSpaceDE/>
        <w:autoSpaceDN/>
        <w:bidi w:val="0"/>
        <w:adjustRightInd/>
        <w:snapToGrid w:val="0"/>
        <w:spacing w:line="240" w:lineRule="auto"/>
        <w:ind w:firstLine="424" w:firstLineChars="202"/>
        <w:jc w:val="left"/>
        <w:textAlignment w:val="auto"/>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三</w:t>
      </w:r>
      <w:r>
        <w:rPr>
          <w:rFonts w:hint="eastAsia" w:ascii="宋体" w:hAnsi="宋体" w:cs="宋体"/>
          <w:color w:val="auto"/>
          <w:szCs w:val="21"/>
          <w:lang w:eastAsia="zh-CN"/>
        </w:rPr>
        <w:t>）</w:t>
      </w:r>
      <w:r>
        <w:rPr>
          <w:rFonts w:hint="eastAsia" w:ascii="宋体" w:hAnsi="宋体" w:cs="宋体"/>
          <w:color w:val="auto"/>
          <w:szCs w:val="21"/>
        </w:rPr>
        <w:t>评标方式：以封闭方式进行。</w:t>
      </w:r>
    </w:p>
    <w:p w14:paraId="53526DB1">
      <w:pPr>
        <w:keepNext w:val="0"/>
        <w:keepLines w:val="0"/>
        <w:pageBreakBefore w:val="0"/>
        <w:widowControl w:val="0"/>
        <w:kinsoku/>
        <w:wordWrap/>
        <w:overflowPunct/>
        <w:topLinePunct w:val="0"/>
        <w:autoSpaceDE/>
        <w:autoSpaceDN/>
        <w:bidi w:val="0"/>
        <w:adjustRightInd/>
        <w:snapToGrid w:val="0"/>
        <w:spacing w:line="240" w:lineRule="auto"/>
        <w:ind w:firstLine="424" w:firstLineChars="202"/>
        <w:jc w:val="left"/>
        <w:textAlignment w:val="auto"/>
        <w:rPr>
          <w:rFonts w:hint="eastAsia" w:ascii="宋体" w:hAnsi="宋体" w:cs="宋体"/>
          <w:color w:val="auto"/>
          <w:szCs w:val="21"/>
        </w:rPr>
      </w:pPr>
      <w:r>
        <w:rPr>
          <w:rFonts w:hint="eastAsia" w:ascii="宋体" w:hAnsi="宋体" w:cs="宋体"/>
          <w:color w:val="auto"/>
          <w:szCs w:val="21"/>
        </w:rPr>
        <w:t>二、</w:t>
      </w:r>
      <w:r>
        <w:rPr>
          <w:rFonts w:hint="eastAsia" w:ascii="宋体" w:hAnsi="宋体" w:cs="宋体"/>
          <w:b/>
          <w:bCs/>
          <w:color w:val="auto"/>
          <w:szCs w:val="21"/>
        </w:rPr>
        <w:t>评标方法</w:t>
      </w:r>
    </w:p>
    <w:p w14:paraId="28DDDA83">
      <w:pPr>
        <w:keepNext w:val="0"/>
        <w:keepLines w:val="0"/>
        <w:pageBreakBefore w:val="0"/>
        <w:widowControl w:val="0"/>
        <w:kinsoku/>
        <w:wordWrap/>
        <w:overflowPunct/>
        <w:topLinePunct w:val="0"/>
        <w:autoSpaceDE/>
        <w:autoSpaceDN/>
        <w:bidi w:val="0"/>
        <w:adjustRightInd/>
        <w:snapToGrid w:val="0"/>
        <w:spacing w:line="240" w:lineRule="auto"/>
        <w:ind w:firstLine="424" w:firstLineChars="202"/>
        <w:jc w:val="left"/>
        <w:textAlignment w:val="auto"/>
        <w:rPr>
          <w:rFonts w:hint="eastAsia" w:ascii="宋体" w:hAnsi="宋体" w:cs="宋体"/>
          <w:color w:val="auto"/>
          <w:szCs w:val="21"/>
        </w:rPr>
      </w:pPr>
      <w:r>
        <w:rPr>
          <w:rFonts w:hint="eastAsia" w:ascii="宋体" w:hAnsi="宋体" w:cs="宋体"/>
          <w:color w:val="auto"/>
          <w:szCs w:val="21"/>
        </w:rPr>
        <w:t>（一）对进入详评的，采用百分制综合评分法。</w:t>
      </w:r>
    </w:p>
    <w:p w14:paraId="0A118385">
      <w:pPr>
        <w:keepNext w:val="0"/>
        <w:keepLines w:val="0"/>
        <w:pageBreakBefore w:val="0"/>
        <w:widowControl w:val="0"/>
        <w:kinsoku/>
        <w:wordWrap/>
        <w:overflowPunct/>
        <w:topLinePunct w:val="0"/>
        <w:autoSpaceDE/>
        <w:autoSpaceDN/>
        <w:bidi w:val="0"/>
        <w:adjustRightInd/>
        <w:snapToGrid w:val="0"/>
        <w:spacing w:line="240" w:lineRule="auto"/>
        <w:ind w:firstLine="424" w:firstLineChars="202"/>
        <w:jc w:val="left"/>
        <w:textAlignment w:val="auto"/>
        <w:rPr>
          <w:rFonts w:hint="eastAsia" w:ascii="宋体" w:hAnsi="宋体" w:cs="宋体"/>
          <w:color w:val="auto"/>
          <w:szCs w:val="21"/>
        </w:rPr>
      </w:pPr>
      <w:r>
        <w:rPr>
          <w:rFonts w:hint="eastAsia" w:ascii="宋体" w:hAnsi="宋体" w:cs="宋体"/>
          <w:color w:val="auto"/>
          <w:szCs w:val="21"/>
        </w:rPr>
        <w:t>（二）计分办法（按四舍五入取至百分位）：</w:t>
      </w:r>
    </w:p>
    <w:p w14:paraId="3D6FFEC2">
      <w:pPr>
        <w:keepNext w:val="0"/>
        <w:keepLines w:val="0"/>
        <w:pageBreakBefore w:val="0"/>
        <w:widowControl w:val="0"/>
        <w:kinsoku/>
        <w:wordWrap/>
        <w:overflowPunct/>
        <w:topLinePunct w:val="0"/>
        <w:autoSpaceDE/>
        <w:autoSpaceDN/>
        <w:bidi w:val="0"/>
        <w:adjustRightInd/>
        <w:snapToGrid w:val="0"/>
        <w:spacing w:line="240" w:lineRule="auto"/>
        <w:ind w:firstLine="424" w:firstLineChars="202"/>
        <w:jc w:val="left"/>
        <w:textAlignment w:val="auto"/>
        <w:rPr>
          <w:rFonts w:hint="eastAsia" w:ascii="宋体" w:hAnsi="宋体" w:eastAsia="宋体" w:cs="宋体"/>
          <w:bCs/>
          <w:color w:val="auto"/>
          <w:sz w:val="21"/>
          <w:szCs w:val="21"/>
          <w:lang w:eastAsia="zh-CN"/>
        </w:rPr>
      </w:pPr>
      <w:r>
        <w:rPr>
          <w:rFonts w:hint="eastAsia" w:hAnsi="宋体" w:eastAsia="宋体" w:cs="宋体"/>
          <w:bCs/>
          <w:color w:val="auto"/>
          <w:sz w:val="21"/>
          <w:szCs w:val="21"/>
          <w:lang w:eastAsia="zh-CN"/>
        </w:rPr>
        <w:t>（</w:t>
      </w:r>
      <w:r>
        <w:rPr>
          <w:rFonts w:hint="eastAsia" w:ascii="宋体" w:hAnsi="宋体" w:eastAsia="宋体" w:cs="宋体"/>
          <w:bCs/>
          <w:color w:val="auto"/>
          <w:sz w:val="21"/>
          <w:szCs w:val="21"/>
        </w:rPr>
        <w:t>以下各项评审因素仅作为参考，制作招标文件时，评审因素应当与相应的商务条件和采购需求对应</w:t>
      </w:r>
      <w:r>
        <w:rPr>
          <w:rFonts w:hint="eastAsia" w:ascii="宋体" w:hAnsi="宋体" w:eastAsia="宋体" w:cs="宋体"/>
          <w:bCs/>
          <w:color w:val="auto"/>
          <w:sz w:val="21"/>
          <w:szCs w:val="21"/>
          <w:lang w:eastAsia="zh-CN"/>
        </w:rPr>
        <w:t>。</w:t>
      </w:r>
      <w:r>
        <w:rPr>
          <w:rFonts w:hint="eastAsia" w:hAnsi="宋体" w:eastAsia="宋体" w:cs="宋体"/>
          <w:bCs/>
          <w:color w:val="auto"/>
          <w:sz w:val="21"/>
          <w:szCs w:val="21"/>
          <w:lang w:eastAsia="zh-CN"/>
        </w:rPr>
        <w:t>）</w:t>
      </w:r>
    </w:p>
    <w:tbl>
      <w:tblPr>
        <w:tblStyle w:val="20"/>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989"/>
        <w:gridCol w:w="655"/>
        <w:gridCol w:w="6505"/>
        <w:gridCol w:w="744"/>
      </w:tblGrid>
      <w:tr w14:paraId="1938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blHeader/>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14:paraId="0E8018EC">
            <w:pPr>
              <w:pStyle w:val="15"/>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序号</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35D75C32">
            <w:pPr>
              <w:pStyle w:val="15"/>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评分项目</w:t>
            </w:r>
          </w:p>
        </w:tc>
        <w:tc>
          <w:tcPr>
            <w:tcW w:w="7160" w:type="dxa"/>
            <w:gridSpan w:val="2"/>
            <w:tcBorders>
              <w:top w:val="single" w:color="auto" w:sz="4" w:space="0"/>
              <w:left w:val="single" w:color="auto" w:sz="4" w:space="0"/>
              <w:bottom w:val="single" w:color="auto" w:sz="4" w:space="0"/>
              <w:right w:val="single" w:color="auto" w:sz="4" w:space="0"/>
            </w:tcBorders>
            <w:noWrap w:val="0"/>
            <w:vAlign w:val="center"/>
          </w:tcPr>
          <w:p w14:paraId="47FFF0BB">
            <w:pPr>
              <w:pStyle w:val="15"/>
              <w:spacing w:line="240" w:lineRule="auto"/>
              <w:ind w:firstLine="420" w:firstLineChars="20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评分细则</w:t>
            </w:r>
          </w:p>
        </w:tc>
        <w:tc>
          <w:tcPr>
            <w:tcW w:w="744" w:type="dxa"/>
            <w:tcBorders>
              <w:top w:val="single" w:color="auto" w:sz="4" w:space="0"/>
              <w:left w:val="single" w:color="auto" w:sz="4" w:space="0"/>
              <w:bottom w:val="single" w:color="auto" w:sz="4" w:space="0"/>
              <w:right w:val="single" w:color="auto" w:sz="4" w:space="0"/>
            </w:tcBorders>
            <w:noWrap w:val="0"/>
            <w:vAlign w:val="center"/>
          </w:tcPr>
          <w:p w14:paraId="1ED35837">
            <w:pPr>
              <w:pStyle w:val="15"/>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分值（分）</w:t>
            </w:r>
          </w:p>
        </w:tc>
      </w:tr>
      <w:tr w14:paraId="05A8B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14:paraId="1D7D7F4F">
            <w:pPr>
              <w:pStyle w:val="15"/>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08252582">
            <w:pPr>
              <w:pStyle w:val="15"/>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价格分</w:t>
            </w:r>
          </w:p>
          <w:p w14:paraId="2A02F327">
            <w:pPr>
              <w:pStyle w:val="15"/>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（15分）</w:t>
            </w:r>
          </w:p>
        </w:tc>
        <w:tc>
          <w:tcPr>
            <w:tcW w:w="7160" w:type="dxa"/>
            <w:gridSpan w:val="2"/>
            <w:tcBorders>
              <w:top w:val="single" w:color="auto" w:sz="4" w:space="0"/>
              <w:left w:val="single" w:color="auto" w:sz="4" w:space="0"/>
              <w:bottom w:val="single" w:color="auto" w:sz="4" w:space="0"/>
              <w:right w:val="single" w:color="auto" w:sz="4" w:space="0"/>
            </w:tcBorders>
            <w:noWrap w:val="0"/>
            <w:vAlign w:val="center"/>
          </w:tcPr>
          <w:p w14:paraId="7ECB438C">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1.评审价为供应商的最后报价进行政策性扣除后的价格，评审价只是作为评审时使用。最终成交供应商的成交金额等于最后报价（如有修正，以确认修正后的最后报价为准）。</w:t>
            </w:r>
          </w:p>
          <w:p w14:paraId="31B15325">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2.政府采购政策性扣除计算方法</w:t>
            </w:r>
            <w:r>
              <w:rPr>
                <w:rFonts w:hint="eastAsia" w:ascii="宋体" w:hAnsi="宋体" w:eastAsia="宋体" w:cs="宋体"/>
                <w:color w:val="auto"/>
                <w:sz w:val="21"/>
                <w:szCs w:val="21"/>
                <w:lang w:eastAsia="zh-CN"/>
              </w:rPr>
              <w:t>。</w:t>
            </w:r>
          </w:p>
          <w:p w14:paraId="27D37830">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（1）按照财库〔2020〕46号文件、财库〔2022〕19号文件及《广西壮族自治区财政厅</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广西壮族自治区工业和信息化厅关于转发财政部</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工业和信息化部政府采购促进中小企业发展管理办法的通知》（桂财采〔2021〕70号）等文件要求，响应文件中提供《中小企业声明函》，且服务全部由符合政策要求的小型、微型企业承接的，对其最后报价给予20%的扣除。</w:t>
            </w:r>
          </w:p>
          <w:p w14:paraId="044B5C7D">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含新疆生产建设兵团</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出具的属于监狱企业的证明文件。不重复享受政策。</w:t>
            </w:r>
          </w:p>
          <w:p w14:paraId="13FF6879">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E3BAA93">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（4）政策性扣除计算方法。</w:t>
            </w:r>
          </w:p>
          <w:p w14:paraId="46C0D9D8">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商被评定为监狱企业或者残疾人福利性单位或者其服务全部由符合政策要求的小型、微型企业承接的，该供应商的最后报价给予20%的扣除，扣除后的价格为评审价，即评审价=最后报价×（1-20%）；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扣除后的价格为评审价，即评审价=最后报价×（1-6%）。</w:t>
            </w:r>
          </w:p>
          <w:p w14:paraId="795C649F">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（5）除上述情况外，评审价＝最后报价。</w:t>
            </w:r>
          </w:p>
          <w:p w14:paraId="549843F8">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（6）以进入比较与评价环节的最低的评审价为基准价，基准价得分为</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分。</w:t>
            </w:r>
          </w:p>
          <w:p w14:paraId="3D3777CF">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（7）价格分计算公式：</w:t>
            </w:r>
          </w:p>
          <w:p w14:paraId="58B2ADCF">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报价得分=（基准价/评审价）×</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分</w:t>
            </w:r>
          </w:p>
        </w:tc>
        <w:tc>
          <w:tcPr>
            <w:tcW w:w="744" w:type="dxa"/>
            <w:tcBorders>
              <w:top w:val="single" w:color="auto" w:sz="4" w:space="0"/>
              <w:left w:val="single" w:color="auto" w:sz="4" w:space="0"/>
              <w:bottom w:val="single" w:color="auto" w:sz="4" w:space="0"/>
              <w:right w:val="single" w:color="auto" w:sz="4" w:space="0"/>
            </w:tcBorders>
            <w:noWrap w:val="0"/>
            <w:vAlign w:val="center"/>
          </w:tcPr>
          <w:p w14:paraId="6FA33CB8">
            <w:pPr>
              <w:pStyle w:val="15"/>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r>
      <w:tr w14:paraId="0F0A3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536" w:type="dxa"/>
            <w:vMerge w:val="restart"/>
            <w:tcBorders>
              <w:top w:val="single" w:color="auto" w:sz="4" w:space="0"/>
              <w:left w:val="single" w:color="auto" w:sz="4" w:space="0"/>
              <w:right w:val="single" w:color="auto" w:sz="4" w:space="0"/>
            </w:tcBorders>
            <w:noWrap w:val="0"/>
            <w:vAlign w:val="center"/>
          </w:tcPr>
          <w:p w14:paraId="2D5C3C82">
            <w:pPr>
              <w:pStyle w:val="15"/>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989" w:type="dxa"/>
            <w:vMerge w:val="restart"/>
            <w:tcBorders>
              <w:top w:val="single" w:color="auto" w:sz="4" w:space="0"/>
              <w:left w:val="single" w:color="auto" w:sz="4" w:space="0"/>
              <w:right w:val="single" w:color="auto" w:sz="4" w:space="0"/>
            </w:tcBorders>
            <w:noWrap w:val="0"/>
            <w:vAlign w:val="center"/>
          </w:tcPr>
          <w:p w14:paraId="4CA9EBF8">
            <w:pPr>
              <w:pStyle w:val="15"/>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技术分</w:t>
            </w:r>
          </w:p>
          <w:p w14:paraId="15EFCC61">
            <w:pPr>
              <w:pStyle w:val="15"/>
              <w:spacing w:line="44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（75分）</w:t>
            </w:r>
          </w:p>
        </w:tc>
        <w:tc>
          <w:tcPr>
            <w:tcW w:w="655" w:type="dxa"/>
            <w:tcBorders>
              <w:top w:val="single" w:color="auto" w:sz="4" w:space="0"/>
              <w:left w:val="single" w:color="auto" w:sz="4" w:space="0"/>
              <w:bottom w:val="single" w:color="auto" w:sz="4" w:space="0"/>
              <w:right w:val="single" w:color="auto" w:sz="4" w:space="0"/>
            </w:tcBorders>
            <w:noWrap w:val="0"/>
            <w:vAlign w:val="center"/>
          </w:tcPr>
          <w:p w14:paraId="685424CA">
            <w:pPr>
              <w:pStyle w:val="15"/>
              <w:keepNext w:val="0"/>
              <w:keepLines w:val="0"/>
              <w:pageBreakBefore w:val="0"/>
              <w:kinsoku/>
              <w:wordWrap/>
              <w:overflowPunct/>
              <w:topLinePunct w:val="0"/>
              <w:autoSpaceDE/>
              <w:autoSpaceDN/>
              <w:bidi w:val="0"/>
              <w:adjustRightInd/>
              <w:spacing w:line="400" w:lineRule="atLeas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服务工作方案</w:t>
            </w:r>
          </w:p>
        </w:tc>
        <w:tc>
          <w:tcPr>
            <w:tcW w:w="6505" w:type="dxa"/>
            <w:tcBorders>
              <w:top w:val="single" w:color="auto" w:sz="4" w:space="0"/>
              <w:left w:val="single" w:color="auto" w:sz="4" w:space="0"/>
              <w:bottom w:val="single" w:color="auto" w:sz="4" w:space="0"/>
              <w:right w:val="single" w:color="auto" w:sz="4" w:space="0"/>
            </w:tcBorders>
            <w:noWrap w:val="0"/>
            <w:vAlign w:val="center"/>
          </w:tcPr>
          <w:p w14:paraId="5895A27E">
            <w:pPr>
              <w:pStyle w:val="15"/>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评价内容：提供详细的服务方案（需包含标的场所的卫生保洁及绿化养护服务、安保服务、公共设施设备管理服务、突发事件及应急响应、服务承诺）。</w:t>
            </w:r>
          </w:p>
          <w:p w14:paraId="7FD098D3">
            <w:pPr>
              <w:pStyle w:val="15"/>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评价标准：拟采取的管理方式内容详细、有针对性、优于采购方需求，提供的服务可操作性强。</w:t>
            </w:r>
          </w:p>
          <w:p w14:paraId="3DCEA25A">
            <w:pPr>
              <w:pStyle w:val="15"/>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lang w:val="en-US" w:eastAsia="zh-CN"/>
              </w:rPr>
            </w:pPr>
            <w:r>
              <w:rPr>
                <w:rFonts w:hint="eastAsia" w:ascii="宋体" w:hAnsi="宋体" w:eastAsia="宋体" w:cs="宋体"/>
                <w:color w:val="auto"/>
                <w:sz w:val="21"/>
                <w:szCs w:val="21"/>
                <w:lang w:val="en-US" w:eastAsia="zh-CN"/>
              </w:rPr>
              <w:t>得分规则：</w:t>
            </w:r>
          </w:p>
          <w:p w14:paraId="651F6785">
            <w:pPr>
              <w:pStyle w:val="15"/>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一档（</w:t>
            </w:r>
            <w:r>
              <w:rPr>
                <w:rFonts w:hint="eastAsia" w:hAnsi="宋体" w:eastAsia="宋体" w:cs="宋体"/>
                <w:color w:val="auto"/>
                <w:sz w:val="21"/>
                <w:szCs w:val="21"/>
                <w:lang w:val="en-US" w:eastAsia="zh-CN"/>
              </w:rPr>
              <w:t>0</w:t>
            </w:r>
            <w:r>
              <w:rPr>
                <w:rFonts w:hint="eastAsia" w:ascii="宋体" w:hAnsi="宋体" w:eastAsia="宋体" w:cs="宋体"/>
                <w:color w:val="auto"/>
                <w:sz w:val="21"/>
                <w:szCs w:val="21"/>
                <w:lang w:val="en-US" w:eastAsia="zh-CN"/>
              </w:rPr>
              <w:t>分）：</w:t>
            </w:r>
            <w:r>
              <w:rPr>
                <w:rFonts w:hint="eastAsia" w:hAnsi="宋体" w:eastAsia="宋体" w:cs="宋体"/>
                <w:color w:val="auto"/>
                <w:sz w:val="21"/>
                <w:szCs w:val="21"/>
                <w:lang w:val="en-US" w:eastAsia="zh-CN"/>
              </w:rPr>
              <w:t>未提供服务方案或服务方案不满足基本要求；</w:t>
            </w:r>
          </w:p>
          <w:p w14:paraId="07D66919">
            <w:pPr>
              <w:pStyle w:val="15"/>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二档（</w:t>
            </w:r>
            <w:r>
              <w:rPr>
                <w:rFonts w:hint="eastAsia" w:hAnsi="宋体" w:eastAsia="宋体" w:cs="宋体"/>
                <w:color w:val="auto"/>
                <w:sz w:val="21"/>
                <w:szCs w:val="21"/>
                <w:lang w:val="en-US" w:eastAsia="zh-CN"/>
              </w:rPr>
              <w:t>5</w:t>
            </w:r>
            <w:r>
              <w:rPr>
                <w:rFonts w:hint="eastAsia" w:ascii="宋体" w:hAnsi="宋体" w:eastAsia="宋体" w:cs="宋体"/>
                <w:color w:val="auto"/>
                <w:sz w:val="21"/>
                <w:szCs w:val="21"/>
                <w:lang w:val="en-US" w:eastAsia="zh-CN"/>
              </w:rPr>
              <w:t>分）：服务方案基本满足要求</w:t>
            </w:r>
            <w:r>
              <w:rPr>
                <w:rFonts w:hint="eastAsia" w:hAnsi="宋体" w:cs="宋体"/>
                <w:color w:val="auto"/>
                <w:sz w:val="21"/>
                <w:szCs w:val="21"/>
                <w:lang w:val="en-US" w:eastAsia="zh-CN"/>
              </w:rPr>
              <w:t>；</w:t>
            </w:r>
          </w:p>
          <w:p w14:paraId="667C3006">
            <w:pPr>
              <w:pStyle w:val="15"/>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三档（</w:t>
            </w:r>
            <w:r>
              <w:rPr>
                <w:rFonts w:hint="eastAsia" w:hAnsi="宋体" w:eastAsia="宋体" w:cs="宋体"/>
                <w:color w:val="auto"/>
                <w:sz w:val="21"/>
                <w:szCs w:val="21"/>
                <w:lang w:val="en-US" w:eastAsia="zh-CN"/>
              </w:rPr>
              <w:t>10</w:t>
            </w:r>
            <w:r>
              <w:rPr>
                <w:rFonts w:hint="eastAsia" w:ascii="宋体" w:hAnsi="宋体" w:eastAsia="宋体" w:cs="宋体"/>
                <w:color w:val="auto"/>
                <w:sz w:val="21"/>
                <w:szCs w:val="21"/>
                <w:lang w:val="en-US" w:eastAsia="zh-CN"/>
              </w:rPr>
              <w:t>分）：服务方案表述清晰、完整，对本项目有正确理解与认识，有详细的服务流程规范及要求、服务承诺、人员的派遣分配等</w:t>
            </w:r>
            <w:r>
              <w:rPr>
                <w:rFonts w:hint="eastAsia" w:hAnsi="宋体" w:eastAsia="宋体" w:cs="宋体"/>
                <w:color w:val="auto"/>
                <w:sz w:val="21"/>
                <w:szCs w:val="21"/>
                <w:lang w:val="en-US" w:eastAsia="zh-CN"/>
              </w:rPr>
              <w:t>，</w:t>
            </w:r>
            <w:r>
              <w:rPr>
                <w:rFonts w:hint="eastAsia" w:ascii="宋体" w:hAnsi="宋体" w:eastAsia="宋体" w:cs="宋体"/>
                <w:color w:val="auto"/>
                <w:sz w:val="21"/>
                <w:szCs w:val="21"/>
                <w:lang w:val="en-US" w:eastAsia="zh-CN"/>
              </w:rPr>
              <w:t>内容有相对合理的安排</w:t>
            </w:r>
            <w:r>
              <w:rPr>
                <w:rFonts w:hint="eastAsia" w:hAnsi="宋体" w:cs="宋体"/>
                <w:color w:val="auto"/>
                <w:sz w:val="21"/>
                <w:szCs w:val="21"/>
                <w:lang w:val="en-US" w:eastAsia="zh-CN"/>
              </w:rPr>
              <w:t>；</w:t>
            </w:r>
          </w:p>
          <w:p w14:paraId="03C89E98">
            <w:pPr>
              <w:pStyle w:val="15"/>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color w:val="auto"/>
                <w:lang w:val="en-US" w:eastAsia="zh-CN"/>
              </w:rPr>
            </w:pPr>
            <w:r>
              <w:rPr>
                <w:rFonts w:hint="eastAsia" w:hAnsi="宋体" w:eastAsia="宋体" w:cs="宋体"/>
                <w:color w:val="auto"/>
                <w:sz w:val="21"/>
                <w:szCs w:val="21"/>
                <w:lang w:val="en-US" w:eastAsia="zh-CN"/>
              </w:rPr>
              <w:t>四档（15分）：</w:t>
            </w:r>
            <w:r>
              <w:rPr>
                <w:rFonts w:hint="eastAsia" w:ascii="宋体" w:hAnsi="宋体" w:eastAsia="宋体" w:cs="宋体"/>
                <w:color w:val="auto"/>
                <w:sz w:val="21"/>
                <w:szCs w:val="21"/>
                <w:lang w:val="en-US" w:eastAsia="zh-CN"/>
              </w:rPr>
              <w:t>服务方案在满足</w:t>
            </w:r>
            <w:r>
              <w:rPr>
                <w:rFonts w:hint="eastAsia" w:hAnsi="宋体" w:eastAsia="宋体" w:cs="宋体"/>
                <w:color w:val="auto"/>
                <w:sz w:val="21"/>
                <w:szCs w:val="21"/>
                <w:lang w:val="en-US" w:eastAsia="zh-CN"/>
              </w:rPr>
              <w:t>第三</w:t>
            </w:r>
            <w:r>
              <w:rPr>
                <w:rFonts w:hint="eastAsia" w:ascii="宋体" w:hAnsi="宋体" w:eastAsia="宋体" w:cs="宋体"/>
                <w:color w:val="auto"/>
                <w:sz w:val="21"/>
                <w:szCs w:val="21"/>
                <w:lang w:val="en-US" w:eastAsia="zh-CN"/>
              </w:rPr>
              <w:t>档的基础上，能够完全响应文件要求，提供合理详细的服务流程，维护公共安全秩序可行性强，服务方案包含有以下内容：服务质量控制、人员的派遣分配、服务承诺等。服务承诺基本完整，具有服务期限、服务队伍、响应速度、设施、保障措施、服务质量及标准等，在日常工作中实施科学合理，可行性强。方案具有创新性、融合智能系统实行科技化管理（提供智能化系统截图），同时提供详细的文字描述及各种工作制度的工作流程图并附工作图片展示。</w:t>
            </w:r>
          </w:p>
        </w:tc>
        <w:tc>
          <w:tcPr>
            <w:tcW w:w="744" w:type="dxa"/>
            <w:tcBorders>
              <w:top w:val="single" w:color="auto" w:sz="4" w:space="0"/>
              <w:left w:val="single" w:color="auto" w:sz="4" w:space="0"/>
              <w:bottom w:val="single" w:color="auto" w:sz="4" w:space="0"/>
              <w:right w:val="single" w:color="auto" w:sz="4" w:space="0"/>
            </w:tcBorders>
            <w:noWrap w:val="0"/>
            <w:vAlign w:val="center"/>
          </w:tcPr>
          <w:p w14:paraId="55268ED6">
            <w:pPr>
              <w:pStyle w:val="15"/>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r>
      <w:tr w14:paraId="2D05D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536" w:type="dxa"/>
            <w:vMerge w:val="continue"/>
            <w:tcBorders>
              <w:left w:val="single" w:color="auto" w:sz="4" w:space="0"/>
              <w:right w:val="single" w:color="auto" w:sz="4" w:space="0"/>
            </w:tcBorders>
            <w:noWrap w:val="0"/>
            <w:vAlign w:val="center"/>
          </w:tcPr>
          <w:p w14:paraId="4D8468DF">
            <w:pPr>
              <w:pStyle w:val="15"/>
              <w:spacing w:line="440" w:lineRule="exact"/>
              <w:jc w:val="center"/>
              <w:rPr>
                <w:rFonts w:hint="eastAsia" w:ascii="宋体" w:hAnsi="宋体" w:eastAsia="宋体" w:cs="宋体"/>
                <w:color w:val="auto"/>
                <w:sz w:val="21"/>
                <w:szCs w:val="21"/>
                <w:lang w:val="en-US" w:eastAsia="zh-CN"/>
              </w:rPr>
            </w:pPr>
          </w:p>
        </w:tc>
        <w:tc>
          <w:tcPr>
            <w:tcW w:w="989" w:type="dxa"/>
            <w:vMerge w:val="continue"/>
            <w:tcBorders>
              <w:left w:val="single" w:color="auto" w:sz="4" w:space="0"/>
              <w:right w:val="single" w:color="auto" w:sz="4" w:space="0"/>
            </w:tcBorders>
            <w:noWrap w:val="0"/>
            <w:vAlign w:val="center"/>
          </w:tcPr>
          <w:p w14:paraId="62A9CB2D">
            <w:pPr>
              <w:pStyle w:val="15"/>
              <w:spacing w:line="440" w:lineRule="exact"/>
              <w:jc w:val="center"/>
              <w:rPr>
                <w:rFonts w:hint="eastAsia" w:ascii="宋体" w:hAnsi="宋体" w:eastAsia="宋体" w:cs="宋体"/>
                <w:color w:val="auto"/>
                <w:sz w:val="21"/>
                <w:szCs w:val="21"/>
                <w:lang w:val="en-US" w:eastAsia="zh-CN"/>
              </w:rPr>
            </w:pPr>
          </w:p>
        </w:tc>
        <w:tc>
          <w:tcPr>
            <w:tcW w:w="655" w:type="dxa"/>
            <w:tcBorders>
              <w:top w:val="single" w:color="auto" w:sz="4" w:space="0"/>
              <w:left w:val="single" w:color="auto" w:sz="4" w:space="0"/>
              <w:bottom w:val="single" w:color="auto" w:sz="4" w:space="0"/>
              <w:right w:val="single" w:color="auto" w:sz="4" w:space="0"/>
            </w:tcBorders>
            <w:noWrap w:val="0"/>
            <w:vAlign w:val="center"/>
          </w:tcPr>
          <w:p w14:paraId="1E7A4DCA">
            <w:pPr>
              <w:keepNext w:val="0"/>
              <w:keepLines w:val="0"/>
              <w:pageBreakBefore w:val="0"/>
              <w:kinsoku/>
              <w:wordWrap/>
              <w:overflowPunct/>
              <w:topLinePunct w:val="0"/>
              <w:autoSpaceDE/>
              <w:autoSpaceDN/>
              <w:bidi w:val="0"/>
              <w:adjustRightInd/>
              <w:spacing w:line="40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管理制度分</w:t>
            </w:r>
          </w:p>
        </w:tc>
        <w:tc>
          <w:tcPr>
            <w:tcW w:w="6505" w:type="dxa"/>
            <w:tcBorders>
              <w:top w:val="single" w:color="auto" w:sz="4" w:space="0"/>
              <w:left w:val="single" w:color="auto" w:sz="4" w:space="0"/>
              <w:bottom w:val="single" w:color="auto" w:sz="4" w:space="0"/>
              <w:right w:val="single" w:color="auto" w:sz="4" w:space="0"/>
            </w:tcBorders>
            <w:noWrap w:val="0"/>
            <w:vAlign w:val="center"/>
          </w:tcPr>
          <w:p w14:paraId="6A41B989">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方案主要包括规章制度、管理架构、岗位职责、档案管理、运作机制、激励机制、监督机制、自我约束机制、信息反馈处理机制等内容。</w:t>
            </w:r>
          </w:p>
          <w:p w14:paraId="28B4EED4">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一档（0分）：</w:t>
            </w:r>
            <w:r>
              <w:rPr>
                <w:rFonts w:hint="eastAsia" w:hAnsi="宋体" w:eastAsia="宋体" w:cs="宋体"/>
                <w:color w:val="auto"/>
                <w:sz w:val="21"/>
                <w:szCs w:val="21"/>
                <w:lang w:val="en-US" w:eastAsia="zh-CN"/>
              </w:rPr>
              <w:t>未提供</w:t>
            </w:r>
            <w:r>
              <w:rPr>
                <w:rFonts w:hint="eastAsia" w:ascii="宋体" w:hAnsi="宋体" w:eastAsia="宋体" w:cs="宋体"/>
                <w:color w:val="auto"/>
                <w:sz w:val="21"/>
                <w:szCs w:val="21"/>
                <w:lang w:val="en-US" w:eastAsia="zh-CN"/>
              </w:rPr>
              <w:t>总体计划方案</w:t>
            </w:r>
            <w:r>
              <w:rPr>
                <w:rFonts w:hint="eastAsia" w:hAnsi="宋体" w:eastAsia="宋体" w:cs="宋体"/>
                <w:color w:val="auto"/>
                <w:sz w:val="21"/>
                <w:szCs w:val="21"/>
                <w:lang w:val="en-US" w:eastAsia="zh-CN"/>
              </w:rPr>
              <w:t>或</w:t>
            </w:r>
            <w:r>
              <w:rPr>
                <w:rFonts w:hint="eastAsia" w:ascii="宋体" w:hAnsi="宋体" w:eastAsia="宋体" w:cs="宋体"/>
                <w:color w:val="auto"/>
                <w:sz w:val="21"/>
                <w:szCs w:val="21"/>
                <w:lang w:val="en-US" w:eastAsia="zh-CN"/>
              </w:rPr>
              <w:t>总体计划方案</w:t>
            </w:r>
            <w:r>
              <w:rPr>
                <w:rFonts w:hint="eastAsia" w:hAnsi="宋体" w:eastAsia="宋体" w:cs="宋体"/>
                <w:color w:val="auto"/>
                <w:sz w:val="21"/>
                <w:szCs w:val="21"/>
                <w:lang w:val="en-US" w:eastAsia="zh-CN"/>
              </w:rPr>
              <w:t>不满足基本要求；</w:t>
            </w:r>
          </w:p>
          <w:p w14:paraId="6ED1D727">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二档（5分）：总体计划方案仅包括上述2-4项内容，仅有纲要、内容简略，未展开详细阐述但基本能够适用于本项目；</w:t>
            </w:r>
          </w:p>
          <w:p w14:paraId="7C07C971">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档（10分）：总体计划方案包括上述5-7项内容，适用本项目用户需求，有管理规章制度且架构完整能够开展专业的物业管理工作，管理制度内容针对采购单位实际需求，机构设置合理，各岗位部门职责清晰明确；</w:t>
            </w:r>
          </w:p>
          <w:p w14:paraId="6EB3A2D6">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rPr>
            </w:pPr>
            <w:r>
              <w:rPr>
                <w:rFonts w:hint="eastAsia" w:hAnsi="宋体" w:eastAsia="宋体" w:cs="宋体"/>
                <w:color w:val="auto"/>
                <w:sz w:val="21"/>
                <w:szCs w:val="21"/>
                <w:lang w:val="en-US" w:eastAsia="zh-CN"/>
              </w:rPr>
              <w:t>四档（</w:t>
            </w:r>
            <w:r>
              <w:rPr>
                <w:rFonts w:hint="eastAsia" w:ascii="宋体" w:hAnsi="宋体" w:eastAsia="宋体" w:cs="宋体"/>
                <w:color w:val="auto"/>
                <w:sz w:val="21"/>
                <w:szCs w:val="21"/>
                <w:lang w:val="en-US" w:eastAsia="zh-CN"/>
              </w:rPr>
              <w:t>15</w:t>
            </w:r>
            <w:r>
              <w:rPr>
                <w:rFonts w:hint="eastAsia" w:hAnsi="宋体" w:eastAsia="宋体" w:cs="宋体"/>
                <w:color w:val="auto"/>
                <w:sz w:val="21"/>
                <w:szCs w:val="21"/>
                <w:lang w:val="en-US" w:eastAsia="zh-CN"/>
              </w:rPr>
              <w:t>分）：</w:t>
            </w:r>
            <w:r>
              <w:rPr>
                <w:rFonts w:hint="eastAsia" w:ascii="宋体" w:hAnsi="宋体" w:eastAsia="宋体" w:cs="宋体"/>
                <w:color w:val="auto"/>
                <w:sz w:val="21"/>
                <w:szCs w:val="21"/>
                <w:lang w:val="en-US" w:eastAsia="zh-CN"/>
              </w:rPr>
              <w:t>在满足第三档的基础上，方案包括上述7项以上内容，总体计划方案、规章管理制度与档案管理制度详细、完善，贴合采购单位需求，定期组织收集管理工作档案，归类整理定期存档，有完善科学的内部管理构架、管理运作机制、激励机制、监督机制、自我约束机制、信息反馈处理机制，每个机制要点均有展开详细阐述，标准体系结构合理，包括上述所有内容。</w:t>
            </w:r>
          </w:p>
        </w:tc>
        <w:tc>
          <w:tcPr>
            <w:tcW w:w="744" w:type="dxa"/>
            <w:tcBorders>
              <w:top w:val="single" w:color="auto" w:sz="4" w:space="0"/>
              <w:left w:val="single" w:color="auto" w:sz="4" w:space="0"/>
              <w:bottom w:val="single" w:color="auto" w:sz="4" w:space="0"/>
              <w:right w:val="single" w:color="auto" w:sz="4" w:space="0"/>
            </w:tcBorders>
            <w:noWrap w:val="0"/>
            <w:vAlign w:val="center"/>
          </w:tcPr>
          <w:p w14:paraId="5C207F0F">
            <w:pPr>
              <w:pStyle w:val="15"/>
              <w:spacing w:line="440" w:lineRule="exact"/>
              <w:jc w:val="center"/>
              <w:rPr>
                <w:rFonts w:hint="default" w:ascii="宋体" w:hAnsi="宋体" w:eastAsia="宋体" w:cs="宋体"/>
                <w:color w:val="auto"/>
                <w:sz w:val="21"/>
                <w:szCs w:val="21"/>
                <w:lang w:val="en-US" w:eastAsia="zh-CN"/>
              </w:rPr>
            </w:pPr>
            <w:r>
              <w:rPr>
                <w:rFonts w:hint="eastAsia" w:hAnsi="宋体" w:eastAsia="宋体" w:cs="宋体"/>
                <w:color w:val="auto"/>
                <w:sz w:val="21"/>
                <w:szCs w:val="21"/>
                <w:lang w:val="en-US" w:eastAsia="zh-CN"/>
              </w:rPr>
              <w:t>15</w:t>
            </w:r>
          </w:p>
        </w:tc>
      </w:tr>
      <w:tr w14:paraId="147B7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Merge w:val="continue"/>
            <w:tcBorders>
              <w:left w:val="single" w:color="auto" w:sz="4" w:space="0"/>
              <w:right w:val="single" w:color="auto" w:sz="4" w:space="0"/>
            </w:tcBorders>
            <w:noWrap w:val="0"/>
            <w:vAlign w:val="center"/>
          </w:tcPr>
          <w:p w14:paraId="0872026C">
            <w:pPr>
              <w:pStyle w:val="15"/>
              <w:spacing w:line="440" w:lineRule="exact"/>
              <w:ind w:firstLine="420" w:firstLineChars="200"/>
              <w:jc w:val="center"/>
              <w:rPr>
                <w:rFonts w:hint="eastAsia" w:ascii="宋体" w:hAnsi="宋体" w:eastAsia="宋体" w:cs="宋体"/>
                <w:color w:val="auto"/>
                <w:sz w:val="21"/>
                <w:szCs w:val="21"/>
                <w:lang w:val="en-US" w:eastAsia="zh-CN"/>
              </w:rPr>
            </w:pPr>
          </w:p>
        </w:tc>
        <w:tc>
          <w:tcPr>
            <w:tcW w:w="989" w:type="dxa"/>
            <w:vMerge w:val="continue"/>
            <w:tcBorders>
              <w:left w:val="single" w:color="auto" w:sz="4" w:space="0"/>
              <w:right w:val="single" w:color="auto" w:sz="4" w:space="0"/>
            </w:tcBorders>
            <w:noWrap w:val="0"/>
            <w:vAlign w:val="center"/>
          </w:tcPr>
          <w:p w14:paraId="28E69E1E">
            <w:pPr>
              <w:pStyle w:val="15"/>
              <w:spacing w:line="440" w:lineRule="exact"/>
              <w:ind w:firstLine="420" w:firstLineChars="200"/>
              <w:jc w:val="center"/>
              <w:rPr>
                <w:rFonts w:hint="eastAsia" w:ascii="宋体" w:hAnsi="宋体" w:eastAsia="宋体" w:cs="宋体"/>
                <w:color w:val="auto"/>
                <w:sz w:val="21"/>
                <w:szCs w:val="21"/>
                <w:lang w:val="en-US" w:eastAsia="zh-CN"/>
              </w:rPr>
            </w:pPr>
          </w:p>
        </w:tc>
        <w:tc>
          <w:tcPr>
            <w:tcW w:w="655" w:type="dxa"/>
            <w:tcBorders>
              <w:top w:val="single" w:color="auto" w:sz="4" w:space="0"/>
              <w:left w:val="single" w:color="auto" w:sz="4" w:space="0"/>
              <w:bottom w:val="single" w:color="auto" w:sz="4" w:space="0"/>
              <w:right w:val="single" w:color="auto" w:sz="4" w:space="0"/>
            </w:tcBorders>
            <w:noWrap w:val="0"/>
            <w:vAlign w:val="center"/>
          </w:tcPr>
          <w:p w14:paraId="7A55F0EB">
            <w:pPr>
              <w:pStyle w:val="15"/>
              <w:keepNext w:val="0"/>
              <w:keepLines w:val="0"/>
              <w:pageBreakBefore w:val="0"/>
              <w:kinsoku/>
              <w:wordWrap/>
              <w:overflowPunct/>
              <w:topLinePunct w:val="0"/>
              <w:autoSpaceDE/>
              <w:autoSpaceDN/>
              <w:bidi w:val="0"/>
              <w:adjustRightInd/>
              <w:spacing w:line="400" w:lineRule="atLeast"/>
              <w:jc w:val="center"/>
              <w:textAlignment w:val="auto"/>
              <w:rPr>
                <w:rFonts w:hint="eastAsia" w:ascii="宋体" w:hAnsi="宋体" w:eastAsia="宋体" w:cs="宋体"/>
                <w:snapToGrid w:val="0"/>
                <w:color w:val="auto"/>
                <w:sz w:val="21"/>
                <w:szCs w:val="21"/>
                <w:lang w:val="en-US" w:eastAsia="zh-CN"/>
              </w:rPr>
            </w:pPr>
            <w:r>
              <w:rPr>
                <w:rFonts w:hint="eastAsia" w:ascii="宋体" w:hAnsi="宋体" w:eastAsia="宋体" w:cs="宋体"/>
                <w:color w:val="auto"/>
                <w:sz w:val="21"/>
                <w:szCs w:val="21"/>
                <w:lang w:val="en-US" w:eastAsia="zh-CN"/>
              </w:rPr>
              <w:t>应急处置方案</w:t>
            </w:r>
          </w:p>
        </w:tc>
        <w:tc>
          <w:tcPr>
            <w:tcW w:w="6505" w:type="dxa"/>
            <w:tcBorders>
              <w:top w:val="single" w:color="auto" w:sz="4" w:space="0"/>
              <w:left w:val="single" w:color="auto" w:sz="4" w:space="0"/>
              <w:bottom w:val="single" w:color="auto" w:sz="4" w:space="0"/>
              <w:right w:val="single" w:color="auto" w:sz="4" w:space="0"/>
            </w:tcBorders>
            <w:noWrap w:val="0"/>
            <w:vAlign w:val="center"/>
          </w:tcPr>
          <w:p w14:paraId="351C919A">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方案主要包括内部管理、科学技术管理、风险防范措施、应急保障、</w:t>
            </w:r>
            <w:r>
              <w:rPr>
                <w:rFonts w:hint="eastAsia" w:ascii="宋体" w:hAnsi="宋体" w:eastAsia="宋体" w:cs="宋体"/>
                <w:color w:val="auto"/>
                <w:sz w:val="21"/>
                <w:szCs w:val="21"/>
                <w:lang w:val="en-US" w:eastAsia="zh-CN"/>
              </w:rPr>
              <w:t>消防、</w:t>
            </w:r>
            <w:r>
              <w:rPr>
                <w:rFonts w:hint="eastAsia" w:ascii="宋体" w:hAnsi="宋体" w:eastAsia="宋体" w:cs="宋体"/>
                <w:color w:val="auto"/>
                <w:sz w:val="21"/>
                <w:szCs w:val="21"/>
              </w:rPr>
              <w:t>服务质量管理等内容。</w:t>
            </w:r>
          </w:p>
          <w:p w14:paraId="6137295A">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一档</w:t>
            </w:r>
            <w:r>
              <w:rPr>
                <w:rFonts w:hint="eastAsia" w:ascii="宋体" w:hAnsi="宋体" w:eastAsia="宋体" w:cs="宋体"/>
                <w:color w:val="auto"/>
                <w:sz w:val="21"/>
                <w:szCs w:val="21"/>
                <w:lang w:val="en-US" w:eastAsia="zh-CN"/>
              </w:rPr>
              <w:t>（0分）</w:t>
            </w:r>
            <w:r>
              <w:rPr>
                <w:rFonts w:hint="eastAsia" w:ascii="宋体" w:hAnsi="宋体" w:eastAsia="宋体" w:cs="宋体"/>
                <w:color w:val="auto"/>
                <w:sz w:val="21"/>
                <w:szCs w:val="21"/>
              </w:rPr>
              <w:t>：</w:t>
            </w:r>
            <w:r>
              <w:rPr>
                <w:rFonts w:hint="eastAsia" w:hAnsi="宋体" w:eastAsia="宋体" w:cs="宋体"/>
                <w:color w:val="auto"/>
                <w:sz w:val="21"/>
                <w:szCs w:val="21"/>
                <w:lang w:val="en-US" w:eastAsia="zh-CN"/>
              </w:rPr>
              <w:t>未提供</w:t>
            </w:r>
            <w:r>
              <w:rPr>
                <w:rFonts w:hint="eastAsia" w:ascii="宋体" w:hAnsi="宋体" w:eastAsia="宋体" w:cs="宋体"/>
                <w:color w:val="auto"/>
                <w:sz w:val="21"/>
                <w:szCs w:val="21"/>
                <w:lang w:val="en-US" w:eastAsia="zh-CN"/>
              </w:rPr>
              <w:t>应急处置方案</w:t>
            </w:r>
            <w:r>
              <w:rPr>
                <w:rFonts w:hint="eastAsia" w:hAnsi="宋体" w:eastAsia="宋体" w:cs="宋体"/>
                <w:color w:val="auto"/>
                <w:sz w:val="21"/>
                <w:szCs w:val="21"/>
                <w:lang w:val="en-US" w:eastAsia="zh-CN"/>
              </w:rPr>
              <w:t>或</w:t>
            </w:r>
            <w:r>
              <w:rPr>
                <w:rFonts w:hint="eastAsia" w:ascii="宋体" w:hAnsi="宋体" w:eastAsia="宋体" w:cs="宋体"/>
                <w:color w:val="auto"/>
                <w:sz w:val="21"/>
                <w:szCs w:val="21"/>
                <w:lang w:val="en-US" w:eastAsia="zh-CN"/>
              </w:rPr>
              <w:t>应急处置方案</w:t>
            </w:r>
            <w:r>
              <w:rPr>
                <w:rFonts w:hint="eastAsia" w:hAnsi="宋体" w:eastAsia="宋体" w:cs="宋体"/>
                <w:color w:val="auto"/>
                <w:sz w:val="21"/>
                <w:szCs w:val="21"/>
                <w:lang w:val="en-US" w:eastAsia="zh-CN"/>
              </w:rPr>
              <w:t>不满足基本要求；</w:t>
            </w:r>
          </w:p>
          <w:p w14:paraId="50A5CCC0">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二档</w:t>
            </w:r>
            <w:r>
              <w:rPr>
                <w:rFonts w:hint="eastAsia" w:ascii="宋体" w:hAnsi="宋体" w:eastAsia="宋体" w:cs="宋体"/>
                <w:color w:val="auto"/>
                <w:sz w:val="21"/>
                <w:szCs w:val="21"/>
                <w:lang w:val="en-US" w:eastAsia="zh-CN"/>
              </w:rPr>
              <w:t>（3分）</w:t>
            </w:r>
            <w:r>
              <w:rPr>
                <w:rFonts w:hint="eastAsia" w:ascii="宋体" w:hAnsi="宋体" w:eastAsia="宋体" w:cs="宋体"/>
                <w:color w:val="auto"/>
                <w:sz w:val="21"/>
                <w:szCs w:val="21"/>
              </w:rPr>
              <w:t>：针对本项目提出质量保障措施及应急</w:t>
            </w:r>
            <w:r>
              <w:rPr>
                <w:rFonts w:hint="eastAsia" w:ascii="宋体" w:hAnsi="宋体" w:eastAsia="宋体" w:cs="宋体"/>
                <w:color w:val="auto"/>
                <w:sz w:val="21"/>
                <w:szCs w:val="21"/>
                <w:lang w:val="en"/>
              </w:rPr>
              <w:t>措施</w:t>
            </w:r>
            <w:r>
              <w:rPr>
                <w:rFonts w:hint="eastAsia" w:ascii="宋体" w:hAnsi="宋体" w:eastAsia="宋体" w:cs="宋体"/>
                <w:color w:val="auto"/>
                <w:sz w:val="21"/>
                <w:szCs w:val="21"/>
              </w:rPr>
              <w:t>预案，但仅有纲要、内容简略，未展开阐述，包括上述1-2项内容；</w:t>
            </w:r>
          </w:p>
          <w:p w14:paraId="3BA760FA">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三档</w:t>
            </w:r>
            <w:r>
              <w:rPr>
                <w:rFonts w:hint="eastAsia" w:ascii="宋体" w:hAnsi="宋体" w:eastAsia="宋体" w:cs="宋体"/>
                <w:color w:val="auto"/>
                <w:sz w:val="21"/>
                <w:szCs w:val="21"/>
                <w:lang w:val="en-US" w:eastAsia="zh-CN"/>
              </w:rPr>
              <w:t>（6分）</w:t>
            </w:r>
            <w:r>
              <w:rPr>
                <w:rFonts w:hint="eastAsia" w:ascii="宋体" w:hAnsi="宋体" w:eastAsia="宋体" w:cs="宋体"/>
                <w:color w:val="auto"/>
                <w:sz w:val="21"/>
                <w:szCs w:val="21"/>
              </w:rPr>
              <w:t>：质量保障</w:t>
            </w:r>
            <w:r>
              <w:rPr>
                <w:rFonts w:hint="eastAsia" w:ascii="宋体" w:hAnsi="宋体" w:eastAsia="宋体" w:cs="宋体"/>
                <w:color w:val="auto"/>
                <w:sz w:val="21"/>
                <w:szCs w:val="21"/>
                <w:lang w:val="en"/>
              </w:rPr>
              <w:t>、</w:t>
            </w:r>
            <w:r>
              <w:rPr>
                <w:rFonts w:hint="eastAsia" w:ascii="宋体" w:hAnsi="宋体" w:eastAsia="宋体" w:cs="宋体"/>
                <w:color w:val="auto"/>
                <w:sz w:val="21"/>
                <w:szCs w:val="21"/>
              </w:rPr>
              <w:t>应急措施方案内容详细、有</w:t>
            </w:r>
            <w:r>
              <w:rPr>
                <w:rFonts w:hint="eastAsia" w:ascii="宋体" w:hAnsi="宋体" w:eastAsia="宋体" w:cs="宋体"/>
                <w:color w:val="auto"/>
                <w:sz w:val="21"/>
                <w:szCs w:val="21"/>
                <w:lang w:val="en"/>
              </w:rPr>
              <w:t>保障</w:t>
            </w:r>
            <w:r>
              <w:rPr>
                <w:rFonts w:hint="eastAsia" w:ascii="宋体" w:hAnsi="宋体" w:eastAsia="宋体" w:cs="宋体"/>
                <w:color w:val="auto"/>
                <w:sz w:val="21"/>
                <w:szCs w:val="21"/>
              </w:rPr>
              <w:t>工作计划、落实措施</w:t>
            </w:r>
            <w:r>
              <w:rPr>
                <w:rFonts w:hint="eastAsia" w:ascii="宋体" w:hAnsi="宋体" w:eastAsia="宋体" w:cs="宋体"/>
                <w:color w:val="auto"/>
                <w:sz w:val="21"/>
                <w:szCs w:val="21"/>
                <w:lang w:val="en"/>
              </w:rPr>
              <w:t>，</w:t>
            </w:r>
            <w:r>
              <w:rPr>
                <w:rFonts w:hint="eastAsia" w:ascii="宋体" w:hAnsi="宋体" w:eastAsia="宋体" w:cs="宋体"/>
                <w:color w:val="auto"/>
                <w:sz w:val="21"/>
                <w:szCs w:val="21"/>
              </w:rPr>
              <w:t>能够保证服务期内定期在工作现场巡视、监督服务质量，能够针对采购单位服务要求合理设置应急人员，保障应急工作顺利开展，包括上述3-4项内容</w:t>
            </w:r>
            <w:r>
              <w:rPr>
                <w:rFonts w:hint="eastAsia" w:ascii="宋体" w:hAnsi="宋体" w:cs="宋体"/>
                <w:color w:val="auto"/>
                <w:sz w:val="21"/>
                <w:szCs w:val="21"/>
                <w:lang w:eastAsia="zh-CN"/>
              </w:rPr>
              <w:t>；</w:t>
            </w:r>
          </w:p>
          <w:p w14:paraId="60460581">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snapToGrid w:val="0"/>
                <w:color w:val="auto"/>
                <w:sz w:val="21"/>
                <w:szCs w:val="21"/>
                <w:lang w:val="en-US" w:eastAsia="zh-CN"/>
              </w:rPr>
            </w:pPr>
            <w:r>
              <w:rPr>
                <w:rFonts w:hint="eastAsia" w:hAnsi="宋体" w:eastAsia="宋体" w:cs="宋体"/>
                <w:color w:val="auto"/>
                <w:sz w:val="21"/>
                <w:szCs w:val="21"/>
                <w:lang w:val="en-US" w:eastAsia="zh-CN"/>
              </w:rPr>
              <w:t>四档（</w:t>
            </w:r>
            <w:r>
              <w:rPr>
                <w:rFonts w:hint="eastAsia" w:ascii="宋体" w:hAnsi="宋体" w:eastAsia="宋体" w:cs="宋体"/>
                <w:color w:val="auto"/>
                <w:sz w:val="21"/>
                <w:szCs w:val="21"/>
                <w:lang w:val="en-US" w:eastAsia="zh-CN"/>
              </w:rPr>
              <w:t>10</w:t>
            </w:r>
            <w:r>
              <w:rPr>
                <w:rFonts w:hint="eastAsia" w:hAnsi="宋体" w:eastAsia="宋体" w:cs="宋体"/>
                <w:color w:val="auto"/>
                <w:sz w:val="21"/>
                <w:szCs w:val="21"/>
                <w:lang w:val="en-US" w:eastAsia="zh-CN"/>
              </w:rPr>
              <w:t>分）：</w:t>
            </w:r>
            <w:r>
              <w:rPr>
                <w:rFonts w:hint="eastAsia" w:ascii="宋体" w:hAnsi="宋体" w:eastAsia="宋体" w:cs="宋体"/>
                <w:color w:val="auto"/>
                <w:sz w:val="21"/>
                <w:szCs w:val="21"/>
              </w:rPr>
              <w:t>在</w:t>
            </w:r>
            <w:r>
              <w:rPr>
                <w:rFonts w:hint="eastAsia" w:ascii="宋体" w:hAnsi="宋体" w:cs="宋体"/>
                <w:color w:val="auto"/>
                <w:sz w:val="21"/>
                <w:szCs w:val="21"/>
                <w:lang w:val="en-US" w:eastAsia="zh-CN"/>
              </w:rPr>
              <w:t>满足第</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rPr>
              <w:t>档</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基础上，提出的质量保障措施详细，并细分成内部管理措施、现代化科学技术管理保证措施、法律风险、用工风险防范措施、人员招聘能力措施、企业文化和班组建设能力保障措施等内容，且适用本项目用户需求，应急措施方案中设置的应急人员能够详细分组，人员具有专业水平，定期开展应急培训，包括上述全部内容。</w:t>
            </w:r>
          </w:p>
        </w:tc>
        <w:tc>
          <w:tcPr>
            <w:tcW w:w="744" w:type="dxa"/>
            <w:tcBorders>
              <w:top w:val="single" w:color="auto" w:sz="4" w:space="0"/>
              <w:left w:val="single" w:color="auto" w:sz="4" w:space="0"/>
              <w:bottom w:val="single" w:color="auto" w:sz="4" w:space="0"/>
              <w:right w:val="single" w:color="auto" w:sz="4" w:space="0"/>
            </w:tcBorders>
            <w:noWrap w:val="0"/>
            <w:vAlign w:val="center"/>
          </w:tcPr>
          <w:p w14:paraId="208E4365">
            <w:pPr>
              <w:pStyle w:val="15"/>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r>
      <w:tr w14:paraId="352FD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Merge w:val="continue"/>
            <w:tcBorders>
              <w:left w:val="single" w:color="auto" w:sz="4" w:space="0"/>
              <w:right w:val="single" w:color="auto" w:sz="4" w:space="0"/>
            </w:tcBorders>
            <w:noWrap w:val="0"/>
            <w:vAlign w:val="center"/>
          </w:tcPr>
          <w:p w14:paraId="457C4D54">
            <w:pPr>
              <w:pStyle w:val="15"/>
              <w:spacing w:line="440" w:lineRule="exact"/>
              <w:ind w:firstLine="420" w:firstLineChars="200"/>
              <w:jc w:val="center"/>
              <w:rPr>
                <w:rFonts w:hint="eastAsia" w:ascii="宋体" w:hAnsi="宋体" w:eastAsia="宋体" w:cs="宋体"/>
                <w:color w:val="auto"/>
                <w:sz w:val="21"/>
                <w:szCs w:val="21"/>
                <w:lang w:val="en-US" w:eastAsia="zh-CN"/>
              </w:rPr>
            </w:pPr>
          </w:p>
        </w:tc>
        <w:tc>
          <w:tcPr>
            <w:tcW w:w="989" w:type="dxa"/>
            <w:vMerge w:val="continue"/>
            <w:tcBorders>
              <w:left w:val="single" w:color="auto" w:sz="4" w:space="0"/>
              <w:right w:val="single" w:color="auto" w:sz="4" w:space="0"/>
            </w:tcBorders>
            <w:noWrap w:val="0"/>
            <w:vAlign w:val="center"/>
          </w:tcPr>
          <w:p w14:paraId="62617971">
            <w:pPr>
              <w:pStyle w:val="15"/>
              <w:spacing w:line="440" w:lineRule="exact"/>
              <w:ind w:firstLine="420" w:firstLineChars="200"/>
              <w:jc w:val="center"/>
              <w:rPr>
                <w:rFonts w:hint="eastAsia" w:ascii="宋体" w:hAnsi="宋体" w:eastAsia="宋体" w:cs="宋体"/>
                <w:color w:val="auto"/>
                <w:sz w:val="21"/>
                <w:szCs w:val="21"/>
                <w:lang w:val="en-US" w:eastAsia="zh-CN"/>
              </w:rPr>
            </w:pPr>
          </w:p>
        </w:tc>
        <w:tc>
          <w:tcPr>
            <w:tcW w:w="655" w:type="dxa"/>
            <w:tcBorders>
              <w:top w:val="single" w:color="auto" w:sz="4" w:space="0"/>
              <w:left w:val="single" w:color="auto" w:sz="4" w:space="0"/>
              <w:bottom w:val="single" w:color="auto" w:sz="4" w:space="0"/>
              <w:right w:val="single" w:color="auto" w:sz="4" w:space="0"/>
            </w:tcBorders>
            <w:noWrap w:val="0"/>
            <w:vAlign w:val="center"/>
          </w:tcPr>
          <w:p w14:paraId="55DB4776">
            <w:pPr>
              <w:pStyle w:val="15"/>
              <w:keepNext w:val="0"/>
              <w:keepLines w:val="0"/>
              <w:pageBreakBefore w:val="0"/>
              <w:kinsoku/>
              <w:wordWrap/>
              <w:overflowPunct/>
              <w:topLinePunct w:val="0"/>
              <w:autoSpaceDE/>
              <w:autoSpaceDN/>
              <w:bidi w:val="0"/>
              <w:adjustRightInd/>
              <w:spacing w:line="400" w:lineRule="atLeas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人员培训</w:t>
            </w:r>
          </w:p>
        </w:tc>
        <w:tc>
          <w:tcPr>
            <w:tcW w:w="6505" w:type="dxa"/>
            <w:tcBorders>
              <w:top w:val="single" w:color="auto" w:sz="4" w:space="0"/>
              <w:left w:val="single" w:color="auto" w:sz="4" w:space="0"/>
              <w:bottom w:val="single" w:color="auto" w:sz="4" w:space="0"/>
              <w:right w:val="single" w:color="auto" w:sz="4" w:space="0"/>
            </w:tcBorders>
            <w:noWrap w:val="0"/>
            <w:vAlign w:val="center"/>
          </w:tcPr>
          <w:p w14:paraId="1B725802">
            <w:pPr>
              <w:pStyle w:val="15"/>
              <w:keepNext w:val="0"/>
              <w:keepLines w:val="0"/>
              <w:pageBreakBefore w:val="0"/>
              <w:widowControl w:val="0"/>
              <w:kinsoku/>
              <w:wordWrap/>
              <w:overflowPunct/>
              <w:topLinePunct w:val="0"/>
              <w:autoSpaceDE/>
              <w:autoSpaceDN/>
              <w:bidi w:val="0"/>
              <w:adjustRightInd/>
              <w:spacing w:line="400" w:lineRule="atLeas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拟投入人员的培训方案内容包括：①对各类人员的培训计划；②录用及考核方式、淘汰机制；③言行规范和仪表仪容管理；④</w:t>
            </w:r>
            <w:r>
              <w:rPr>
                <w:rFonts w:hint="eastAsia" w:ascii="宋体" w:hAnsi="宋体" w:eastAsia="宋体" w:cs="宋体"/>
                <w:bCs/>
                <w:color w:val="auto"/>
                <w:sz w:val="21"/>
                <w:szCs w:val="21"/>
                <w:lang w:val="en-US" w:eastAsia="zh-CN"/>
              </w:rPr>
              <w:t>协调关系，服务意识等</w:t>
            </w:r>
            <w:r>
              <w:rPr>
                <w:rFonts w:hint="eastAsia" w:ascii="宋体" w:hAnsi="宋体" w:eastAsia="宋体" w:cs="宋体"/>
                <w:color w:val="auto"/>
                <w:sz w:val="21"/>
                <w:szCs w:val="21"/>
                <w:lang w:val="en-US" w:eastAsia="zh-CN"/>
              </w:rPr>
              <w:t>。</w:t>
            </w:r>
          </w:p>
          <w:p w14:paraId="14D3EC90">
            <w:pPr>
              <w:pStyle w:val="15"/>
              <w:keepNext w:val="0"/>
              <w:keepLines w:val="0"/>
              <w:pageBreakBefore w:val="0"/>
              <w:widowControl w:val="0"/>
              <w:kinsoku/>
              <w:wordWrap/>
              <w:overflowPunct/>
              <w:topLinePunct w:val="0"/>
              <w:autoSpaceDE/>
              <w:autoSpaceDN/>
              <w:bidi w:val="0"/>
              <w:adjustRightInd/>
              <w:spacing w:line="400" w:lineRule="atLeas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得分规则：</w:t>
            </w:r>
          </w:p>
          <w:p w14:paraId="39A7B72C">
            <w:pPr>
              <w:keepNext w:val="0"/>
              <w:keepLines w:val="0"/>
              <w:pageBreakBefore w:val="0"/>
              <w:widowControl w:val="0"/>
              <w:kinsoku/>
              <w:wordWrap/>
              <w:overflowPunct/>
              <w:topLinePunct w:val="0"/>
              <w:autoSpaceDE/>
              <w:autoSpaceDN/>
              <w:bidi w:val="0"/>
              <w:adjustRightInd/>
              <w:snapToGrid w:val="0"/>
              <w:spacing w:line="400" w:lineRule="atLeast"/>
              <w:ind w:firstLine="424" w:firstLineChars="202"/>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一档</w:t>
            </w:r>
            <w:r>
              <w:rPr>
                <w:rFonts w:hint="eastAsia" w:ascii="宋体" w:hAnsi="宋体" w:eastAsia="宋体" w:cs="宋体"/>
                <w:color w:val="auto"/>
                <w:kern w:val="0"/>
                <w:sz w:val="21"/>
                <w:szCs w:val="21"/>
                <w:lang w:val="en-US" w:eastAsia="zh-CN" w:bidi="ar-SA"/>
              </w:rPr>
              <w:t>（0分</w:t>
            </w:r>
            <w:r>
              <w:rPr>
                <w:rFonts w:hint="eastAsia" w:hAnsi="宋体" w:eastAsia="宋体" w:cs="宋体"/>
                <w:color w:val="auto"/>
                <w:sz w:val="21"/>
                <w:szCs w:val="21"/>
                <w:lang w:val="en-US" w:eastAsia="zh-CN"/>
              </w:rPr>
              <w:t>）</w:t>
            </w:r>
            <w:r>
              <w:rPr>
                <w:rFonts w:hint="eastAsia" w:ascii="宋体" w:hAnsi="宋体" w:eastAsia="宋体" w:cs="宋体"/>
                <w:color w:val="auto"/>
                <w:sz w:val="21"/>
                <w:szCs w:val="21"/>
                <w:lang w:val="en-US" w:eastAsia="zh-CN"/>
              </w:rPr>
              <w:t>：</w:t>
            </w:r>
            <w:r>
              <w:rPr>
                <w:rFonts w:hint="eastAsia" w:hAnsi="宋体" w:eastAsia="宋体" w:cs="宋体"/>
                <w:color w:val="auto"/>
                <w:sz w:val="21"/>
                <w:szCs w:val="21"/>
                <w:lang w:val="en-US" w:eastAsia="zh-CN"/>
              </w:rPr>
              <w:t>未提供</w:t>
            </w:r>
            <w:r>
              <w:rPr>
                <w:rFonts w:hint="eastAsia" w:ascii="宋体" w:hAnsi="宋体" w:eastAsia="宋体" w:cs="宋体"/>
                <w:color w:val="auto"/>
                <w:sz w:val="21"/>
                <w:szCs w:val="21"/>
                <w:lang w:val="en-US" w:eastAsia="zh-CN"/>
              </w:rPr>
              <w:t>人员培训方案</w:t>
            </w:r>
            <w:r>
              <w:rPr>
                <w:rFonts w:hint="eastAsia" w:hAnsi="宋体" w:eastAsia="宋体" w:cs="宋体"/>
                <w:color w:val="auto"/>
                <w:sz w:val="21"/>
                <w:szCs w:val="21"/>
                <w:lang w:val="en-US" w:eastAsia="zh-CN"/>
              </w:rPr>
              <w:t>或</w:t>
            </w:r>
            <w:r>
              <w:rPr>
                <w:rFonts w:hint="eastAsia" w:ascii="宋体" w:hAnsi="宋体" w:eastAsia="宋体" w:cs="宋体"/>
                <w:color w:val="auto"/>
                <w:sz w:val="21"/>
                <w:szCs w:val="21"/>
                <w:lang w:val="en-US" w:eastAsia="zh-CN"/>
              </w:rPr>
              <w:t>人员培训方案</w:t>
            </w:r>
            <w:r>
              <w:rPr>
                <w:rFonts w:hint="eastAsia" w:hAnsi="宋体" w:eastAsia="宋体" w:cs="宋体"/>
                <w:color w:val="auto"/>
                <w:sz w:val="21"/>
                <w:szCs w:val="21"/>
                <w:lang w:val="en-US" w:eastAsia="zh-CN"/>
              </w:rPr>
              <w:t>不满足基本要求；</w:t>
            </w:r>
          </w:p>
          <w:p w14:paraId="2F531E1F">
            <w:pPr>
              <w:pStyle w:val="15"/>
              <w:keepNext w:val="0"/>
              <w:keepLines w:val="0"/>
              <w:pageBreakBefore w:val="0"/>
              <w:widowControl w:val="0"/>
              <w:kinsoku/>
              <w:wordWrap/>
              <w:overflowPunct/>
              <w:topLinePunct w:val="0"/>
              <w:autoSpaceDE/>
              <w:autoSpaceDN/>
              <w:bidi w:val="0"/>
              <w:adjustRightInd/>
              <w:spacing w:line="400" w:lineRule="atLeas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二档</w:t>
            </w:r>
            <w:r>
              <w:rPr>
                <w:rFonts w:hint="eastAsia" w:hAnsi="宋体" w:eastAsia="宋体" w:cs="宋体"/>
                <w:color w:val="auto"/>
                <w:sz w:val="21"/>
                <w:szCs w:val="21"/>
                <w:lang w:val="en-US" w:eastAsia="zh-CN"/>
              </w:rPr>
              <w:t>（5分）</w:t>
            </w:r>
            <w:r>
              <w:rPr>
                <w:rFonts w:hint="eastAsia" w:ascii="宋体" w:hAnsi="宋体" w:eastAsia="宋体" w:cs="宋体"/>
                <w:color w:val="auto"/>
                <w:sz w:val="21"/>
                <w:szCs w:val="21"/>
                <w:lang w:val="en-US" w:eastAsia="zh-CN"/>
              </w:rPr>
              <w:t>：员工培训、管理等方案简单，没有针对性；</w:t>
            </w:r>
          </w:p>
          <w:p w14:paraId="7ED99643">
            <w:pPr>
              <w:pStyle w:val="15"/>
              <w:keepNext w:val="0"/>
              <w:keepLines w:val="0"/>
              <w:pageBreakBefore w:val="0"/>
              <w:widowControl w:val="0"/>
              <w:kinsoku/>
              <w:wordWrap/>
              <w:overflowPunct/>
              <w:topLinePunct w:val="0"/>
              <w:autoSpaceDE/>
              <w:autoSpaceDN/>
              <w:bidi w:val="0"/>
              <w:adjustRightInd/>
              <w:spacing w:line="400" w:lineRule="atLeas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三档（</w:t>
            </w:r>
            <w:r>
              <w:rPr>
                <w:rFonts w:hint="eastAsia" w:hAnsi="宋体" w:eastAsia="宋体" w:cs="宋体"/>
                <w:color w:val="auto"/>
                <w:sz w:val="21"/>
                <w:szCs w:val="21"/>
                <w:lang w:val="en-US" w:eastAsia="zh-CN"/>
              </w:rPr>
              <w:t>10</w:t>
            </w:r>
            <w:r>
              <w:rPr>
                <w:rFonts w:hint="eastAsia" w:ascii="宋体" w:hAnsi="宋体" w:eastAsia="宋体" w:cs="宋体"/>
                <w:color w:val="auto"/>
                <w:sz w:val="21"/>
                <w:szCs w:val="21"/>
                <w:lang w:val="en-US" w:eastAsia="zh-CN"/>
              </w:rPr>
              <w:t>分）：员工培训、管理等方案具体，各类人员的培训有计划、有考核方式及考核标准，服务人员的管理满足实际需要。有考核录用制度</w:t>
            </w:r>
            <w:r>
              <w:rPr>
                <w:rFonts w:hint="eastAsia" w:hAnsi="宋体" w:eastAsia="宋体" w:cs="宋体"/>
                <w:color w:val="auto"/>
                <w:sz w:val="21"/>
                <w:szCs w:val="21"/>
                <w:lang w:val="en-US" w:eastAsia="zh-CN"/>
              </w:rPr>
              <w:t>、</w:t>
            </w:r>
            <w:r>
              <w:rPr>
                <w:rFonts w:hint="eastAsia" w:ascii="宋体" w:hAnsi="宋体" w:eastAsia="宋体" w:cs="宋体"/>
                <w:color w:val="auto"/>
                <w:sz w:val="21"/>
                <w:szCs w:val="21"/>
                <w:lang w:val="en-US" w:eastAsia="zh-CN"/>
              </w:rPr>
              <w:t>淘汰制度</w:t>
            </w:r>
            <w:r>
              <w:rPr>
                <w:rFonts w:hint="eastAsia" w:hAnsi="宋体" w:eastAsia="宋体" w:cs="宋体"/>
                <w:color w:val="auto"/>
                <w:sz w:val="21"/>
                <w:szCs w:val="21"/>
                <w:lang w:val="en-US" w:eastAsia="zh-CN"/>
              </w:rPr>
              <w:t>、</w:t>
            </w:r>
            <w:r>
              <w:rPr>
                <w:rFonts w:hint="eastAsia" w:ascii="宋体" w:hAnsi="宋体" w:eastAsia="宋体" w:cs="宋体"/>
                <w:color w:val="auto"/>
                <w:sz w:val="21"/>
                <w:szCs w:val="21"/>
                <w:lang w:val="en-US" w:eastAsia="zh-CN"/>
              </w:rPr>
              <w:t>信息反馈制度等</w:t>
            </w:r>
            <w:r>
              <w:rPr>
                <w:rFonts w:hint="eastAsia" w:hAnsi="宋体" w:cs="宋体"/>
                <w:color w:val="auto"/>
                <w:sz w:val="21"/>
                <w:szCs w:val="21"/>
                <w:lang w:val="en-US" w:eastAsia="zh-CN"/>
              </w:rPr>
              <w:t>；</w:t>
            </w:r>
          </w:p>
          <w:p w14:paraId="6932EC1B">
            <w:pPr>
              <w:pStyle w:val="15"/>
              <w:keepNext w:val="0"/>
              <w:keepLines w:val="0"/>
              <w:pageBreakBefore w:val="0"/>
              <w:widowControl w:val="0"/>
              <w:kinsoku/>
              <w:wordWrap/>
              <w:overflowPunct/>
              <w:topLinePunct w:val="0"/>
              <w:autoSpaceDE/>
              <w:autoSpaceDN/>
              <w:bidi w:val="0"/>
              <w:adjustRightInd/>
              <w:spacing w:line="400" w:lineRule="atLeast"/>
              <w:ind w:firstLine="420" w:firstLineChars="200"/>
              <w:textAlignment w:val="auto"/>
              <w:rPr>
                <w:rFonts w:hint="default"/>
                <w:color w:val="auto"/>
                <w:lang w:val="en-US" w:eastAsia="zh-CN"/>
              </w:rPr>
            </w:pPr>
            <w:r>
              <w:rPr>
                <w:rFonts w:hint="eastAsia" w:hAnsi="宋体" w:eastAsia="宋体" w:cs="宋体"/>
                <w:color w:val="auto"/>
                <w:sz w:val="21"/>
                <w:szCs w:val="21"/>
                <w:lang w:val="en-US" w:eastAsia="zh-CN"/>
              </w:rPr>
              <w:t>四档（15分）：</w:t>
            </w:r>
            <w:r>
              <w:rPr>
                <w:rFonts w:hint="eastAsia" w:ascii="宋体" w:hAnsi="宋体" w:eastAsia="宋体" w:cs="宋体"/>
                <w:color w:val="auto"/>
                <w:sz w:val="21"/>
                <w:szCs w:val="21"/>
                <w:lang w:val="en-US" w:eastAsia="zh-CN"/>
              </w:rPr>
              <w:t>在满足第</w:t>
            </w:r>
            <w:r>
              <w:rPr>
                <w:rFonts w:hint="eastAsia" w:hAnsi="宋体" w:eastAsia="宋体" w:cs="宋体"/>
                <w:color w:val="auto"/>
                <w:sz w:val="21"/>
                <w:szCs w:val="21"/>
                <w:lang w:val="en-US" w:eastAsia="zh-CN"/>
              </w:rPr>
              <w:t>三</w:t>
            </w:r>
            <w:r>
              <w:rPr>
                <w:rFonts w:hint="eastAsia" w:ascii="宋体" w:hAnsi="宋体" w:eastAsia="宋体" w:cs="宋体"/>
                <w:color w:val="auto"/>
                <w:sz w:val="21"/>
                <w:szCs w:val="21"/>
                <w:lang w:val="en-US" w:eastAsia="zh-CN"/>
              </w:rPr>
              <w:t>档的基础上，</w:t>
            </w:r>
            <w:r>
              <w:rPr>
                <w:rFonts w:hint="eastAsia" w:ascii="宋体" w:hAnsi="宋体" w:eastAsia="宋体" w:cs="宋体"/>
                <w:bCs/>
                <w:color w:val="auto"/>
                <w:sz w:val="21"/>
                <w:szCs w:val="21"/>
                <w:lang w:val="en-US" w:eastAsia="zh-CN"/>
              </w:rPr>
              <w:t>培训方案完整详细，科学合理，针对性强，能突出培训能力的优势，完全适合本项目工作特点的实际要求，特色和亮点多，必须</w:t>
            </w:r>
            <w:r>
              <w:rPr>
                <w:rFonts w:hint="eastAsia" w:ascii="宋体" w:hAnsi="宋体" w:eastAsia="宋体" w:cs="宋体"/>
                <w:color w:val="auto"/>
                <w:sz w:val="21"/>
                <w:szCs w:val="21"/>
                <w:lang w:val="en-US" w:eastAsia="zh-CN"/>
              </w:rPr>
              <w:t>提供相关培训证明材料或案例。</w:t>
            </w:r>
          </w:p>
        </w:tc>
        <w:tc>
          <w:tcPr>
            <w:tcW w:w="744" w:type="dxa"/>
            <w:tcBorders>
              <w:top w:val="single" w:color="auto" w:sz="4" w:space="0"/>
              <w:left w:val="single" w:color="auto" w:sz="4" w:space="0"/>
              <w:bottom w:val="single" w:color="auto" w:sz="4" w:space="0"/>
              <w:right w:val="single" w:color="auto" w:sz="4" w:space="0"/>
            </w:tcBorders>
            <w:noWrap w:val="0"/>
            <w:vAlign w:val="center"/>
          </w:tcPr>
          <w:p w14:paraId="1E0A4D1C">
            <w:pPr>
              <w:pStyle w:val="15"/>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r>
      <w:tr w14:paraId="7D573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536" w:type="dxa"/>
            <w:vMerge w:val="continue"/>
            <w:tcBorders>
              <w:left w:val="single" w:color="auto" w:sz="4" w:space="0"/>
              <w:right w:val="single" w:color="auto" w:sz="4" w:space="0"/>
            </w:tcBorders>
            <w:noWrap w:val="0"/>
            <w:vAlign w:val="center"/>
          </w:tcPr>
          <w:p w14:paraId="0F6AB821">
            <w:pPr>
              <w:pStyle w:val="15"/>
              <w:spacing w:line="440" w:lineRule="exact"/>
              <w:ind w:firstLine="420" w:firstLineChars="200"/>
              <w:jc w:val="center"/>
              <w:rPr>
                <w:rFonts w:hint="eastAsia" w:ascii="宋体" w:hAnsi="宋体" w:eastAsia="宋体" w:cs="宋体"/>
                <w:color w:val="auto"/>
                <w:sz w:val="21"/>
                <w:szCs w:val="21"/>
                <w:lang w:val="en-US" w:eastAsia="zh-CN"/>
              </w:rPr>
            </w:pPr>
          </w:p>
        </w:tc>
        <w:tc>
          <w:tcPr>
            <w:tcW w:w="989" w:type="dxa"/>
            <w:vMerge w:val="continue"/>
            <w:tcBorders>
              <w:left w:val="single" w:color="auto" w:sz="4" w:space="0"/>
              <w:right w:val="single" w:color="auto" w:sz="4" w:space="0"/>
            </w:tcBorders>
            <w:noWrap w:val="0"/>
            <w:vAlign w:val="center"/>
          </w:tcPr>
          <w:p w14:paraId="6433F35C">
            <w:pPr>
              <w:pStyle w:val="15"/>
              <w:spacing w:line="440" w:lineRule="exact"/>
              <w:ind w:firstLine="420" w:firstLineChars="200"/>
              <w:jc w:val="center"/>
              <w:rPr>
                <w:rFonts w:hint="eastAsia" w:ascii="宋体" w:hAnsi="宋体" w:eastAsia="宋体" w:cs="宋体"/>
                <w:color w:val="auto"/>
                <w:sz w:val="21"/>
                <w:szCs w:val="21"/>
                <w:lang w:val="en-US" w:eastAsia="zh-CN"/>
              </w:rPr>
            </w:pPr>
          </w:p>
        </w:tc>
        <w:tc>
          <w:tcPr>
            <w:tcW w:w="655" w:type="dxa"/>
            <w:tcBorders>
              <w:top w:val="single" w:color="auto" w:sz="4" w:space="0"/>
              <w:left w:val="single" w:color="auto" w:sz="4" w:space="0"/>
              <w:bottom w:val="single" w:color="auto" w:sz="4" w:space="0"/>
              <w:right w:val="single" w:color="auto" w:sz="4" w:space="0"/>
            </w:tcBorders>
            <w:noWrap w:val="0"/>
            <w:vAlign w:val="center"/>
          </w:tcPr>
          <w:p w14:paraId="3748A37E">
            <w:pPr>
              <w:pStyle w:val="15"/>
              <w:keepNext w:val="0"/>
              <w:keepLines w:val="0"/>
              <w:pageBreakBefore w:val="0"/>
              <w:kinsoku/>
              <w:wordWrap/>
              <w:overflowPunct/>
              <w:topLinePunct w:val="0"/>
              <w:autoSpaceDE/>
              <w:autoSpaceDN/>
              <w:bidi w:val="0"/>
              <w:adjustRightInd/>
              <w:spacing w:line="400" w:lineRule="atLeas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服务团队人员配置</w:t>
            </w:r>
          </w:p>
        </w:tc>
        <w:tc>
          <w:tcPr>
            <w:tcW w:w="6505" w:type="dxa"/>
            <w:tcBorders>
              <w:top w:val="single" w:color="auto" w:sz="4" w:space="0"/>
              <w:left w:val="single" w:color="auto" w:sz="4" w:space="0"/>
              <w:right w:val="single" w:color="auto" w:sz="4" w:space="0"/>
            </w:tcBorders>
            <w:noWrap w:val="0"/>
            <w:vAlign w:val="center"/>
          </w:tcPr>
          <w:p w14:paraId="3D65ED49">
            <w:pPr>
              <w:pStyle w:val="16"/>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Cs/>
                <w:snapToGrid w:val="0"/>
                <w:color w:val="auto"/>
                <w:sz w:val="21"/>
                <w:szCs w:val="21"/>
              </w:rPr>
            </w:pPr>
            <w:r>
              <w:rPr>
                <w:rFonts w:hint="eastAsia" w:ascii="宋体" w:hAnsi="宋体" w:eastAsia="宋体" w:cs="宋体"/>
                <w:bCs/>
                <w:snapToGrid w:val="0"/>
                <w:color w:val="auto"/>
                <w:sz w:val="21"/>
                <w:szCs w:val="21"/>
              </w:rPr>
              <w:t>服务团队人员配置包括：各类人员数量</w:t>
            </w:r>
            <w:r>
              <w:rPr>
                <w:rFonts w:hint="eastAsia" w:ascii="宋体" w:hAnsi="宋体" w:cs="宋体"/>
                <w:bCs/>
                <w:snapToGrid w:val="0"/>
                <w:color w:val="auto"/>
                <w:sz w:val="21"/>
                <w:szCs w:val="21"/>
                <w:lang w:eastAsia="zh-CN"/>
              </w:rPr>
              <w:t>、</w:t>
            </w:r>
            <w:r>
              <w:rPr>
                <w:rFonts w:hint="eastAsia" w:ascii="宋体" w:hAnsi="宋体" w:eastAsia="宋体" w:cs="宋体"/>
                <w:bCs/>
                <w:snapToGrid w:val="0"/>
                <w:color w:val="auto"/>
                <w:sz w:val="21"/>
                <w:szCs w:val="21"/>
              </w:rPr>
              <w:t>文化素质和专业素质、各岗人员的配置等，提供人员配置方案优先。</w:t>
            </w:r>
          </w:p>
          <w:p w14:paraId="5FA8628F">
            <w:pPr>
              <w:pStyle w:val="16"/>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Cs/>
                <w:snapToGrid w:val="0"/>
                <w:color w:val="auto"/>
                <w:sz w:val="21"/>
                <w:szCs w:val="21"/>
              </w:rPr>
            </w:pPr>
            <w:r>
              <w:rPr>
                <w:rFonts w:hint="eastAsia" w:ascii="宋体" w:hAnsi="宋体" w:eastAsia="宋体" w:cs="宋体"/>
                <w:bCs/>
                <w:snapToGrid w:val="0"/>
                <w:color w:val="auto"/>
                <w:sz w:val="21"/>
                <w:szCs w:val="21"/>
              </w:rPr>
              <w:t>①拟投入的</w:t>
            </w:r>
            <w:r>
              <w:rPr>
                <w:rFonts w:hint="eastAsia" w:ascii="宋体" w:hAnsi="宋体" w:eastAsia="宋体" w:cs="宋体"/>
                <w:bCs/>
                <w:snapToGrid w:val="0"/>
                <w:color w:val="auto"/>
                <w:sz w:val="21"/>
                <w:szCs w:val="21"/>
                <w:lang w:eastAsia="zh-CN"/>
              </w:rPr>
              <w:t>物业经理</w:t>
            </w:r>
            <w:r>
              <w:rPr>
                <w:rFonts w:hint="eastAsia" w:ascii="宋体" w:hAnsi="宋体" w:eastAsia="宋体" w:cs="宋体"/>
                <w:color w:val="auto"/>
                <w:sz w:val="21"/>
                <w:szCs w:val="21"/>
              </w:rPr>
              <w:t>具备</w:t>
            </w:r>
            <w:r>
              <w:rPr>
                <w:rFonts w:hint="eastAsia" w:ascii="宋体" w:hAnsi="宋体" w:cs="宋体"/>
                <w:color w:val="auto"/>
                <w:sz w:val="21"/>
                <w:szCs w:val="21"/>
                <w:lang w:val="en-US" w:eastAsia="zh-CN"/>
              </w:rPr>
              <w:t>本科</w:t>
            </w:r>
            <w:r>
              <w:rPr>
                <w:rFonts w:hint="eastAsia" w:ascii="宋体" w:hAnsi="宋体" w:eastAsia="宋体" w:cs="宋体"/>
                <w:color w:val="auto"/>
                <w:sz w:val="21"/>
                <w:szCs w:val="21"/>
              </w:rPr>
              <w:t>及以上学历的</w:t>
            </w:r>
            <w:r>
              <w:rPr>
                <w:rFonts w:hint="eastAsia" w:ascii="宋体" w:hAnsi="宋体" w:eastAsia="宋体" w:cs="宋体"/>
                <w:bCs/>
                <w:snapToGrid w:val="0"/>
                <w:color w:val="auto"/>
                <w:sz w:val="21"/>
                <w:szCs w:val="21"/>
              </w:rPr>
              <w:t>（提供学历证书扫描件）</w:t>
            </w:r>
            <w:r>
              <w:rPr>
                <w:rFonts w:hint="eastAsia" w:ascii="宋体" w:hAnsi="宋体" w:eastAsia="宋体" w:cs="宋体"/>
                <w:color w:val="auto"/>
                <w:sz w:val="21"/>
                <w:szCs w:val="21"/>
              </w:rPr>
              <w:t>，得2分；具有从事物业管理服</w:t>
            </w:r>
            <w:r>
              <w:rPr>
                <w:rFonts w:hint="eastAsia" w:ascii="宋体" w:hAnsi="宋体" w:eastAsia="宋体" w:cs="宋体"/>
                <w:color w:val="auto"/>
                <w:sz w:val="21"/>
                <w:szCs w:val="21"/>
                <w:highlight w:val="none"/>
              </w:rPr>
              <w:t>务经验</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年以上</w:t>
            </w:r>
            <w:r>
              <w:rPr>
                <w:rFonts w:hint="eastAsia" w:ascii="宋体" w:hAnsi="宋体" w:eastAsia="宋体" w:cs="宋体"/>
                <w:color w:val="auto"/>
                <w:sz w:val="21"/>
                <w:szCs w:val="21"/>
              </w:rPr>
              <w:t>的得2分</w:t>
            </w:r>
            <w:r>
              <w:rPr>
                <w:rFonts w:hint="eastAsia" w:ascii="宋体" w:hAnsi="宋体" w:cs="宋体"/>
                <w:color w:val="auto"/>
                <w:sz w:val="21"/>
                <w:szCs w:val="21"/>
                <w:lang w:eastAsia="zh-CN"/>
              </w:rPr>
              <w:t>（</w:t>
            </w:r>
            <w:r>
              <w:rPr>
                <w:rFonts w:hint="eastAsia" w:ascii="宋体" w:hAnsi="宋体" w:eastAsia="宋体" w:cs="宋体"/>
                <w:color w:val="auto"/>
                <w:sz w:val="21"/>
                <w:szCs w:val="21"/>
                <w:lang w:eastAsia="zh-CN"/>
              </w:rPr>
              <w:t>必须</w:t>
            </w:r>
            <w:r>
              <w:rPr>
                <w:rFonts w:hint="eastAsia" w:ascii="宋体" w:hAnsi="宋体" w:eastAsia="宋体" w:cs="宋体"/>
                <w:color w:val="auto"/>
                <w:sz w:val="21"/>
                <w:szCs w:val="21"/>
              </w:rPr>
              <w:t>提供劳动合同扫描件）。</w:t>
            </w:r>
            <w:r>
              <w:rPr>
                <w:rFonts w:hint="eastAsia" w:ascii="宋体" w:hAnsi="宋体" w:eastAsia="宋体" w:cs="宋体"/>
                <w:bCs/>
                <w:snapToGrid w:val="0"/>
                <w:color w:val="auto"/>
                <w:sz w:val="21"/>
                <w:szCs w:val="21"/>
              </w:rPr>
              <w:t>本项最高4分。</w:t>
            </w:r>
          </w:p>
          <w:p w14:paraId="23E6D100">
            <w:pPr>
              <w:keepNext w:val="0"/>
              <w:keepLines w:val="0"/>
              <w:pageBreakBefore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Cs/>
                <w:snapToGrid w:val="0"/>
                <w:color w:val="auto"/>
                <w:kern w:val="0"/>
                <w:sz w:val="21"/>
                <w:szCs w:val="21"/>
              </w:rPr>
            </w:pPr>
            <w:r>
              <w:rPr>
                <w:rFonts w:hint="eastAsia" w:ascii="宋体" w:hAnsi="宋体" w:eastAsia="宋体" w:cs="宋体"/>
                <w:bCs/>
                <w:snapToGrid w:val="0"/>
                <w:color w:val="auto"/>
                <w:kern w:val="0"/>
                <w:sz w:val="21"/>
                <w:szCs w:val="21"/>
              </w:rPr>
              <w:t>②拟投入的绿化人员中具有高级园林绿化工程师</w:t>
            </w:r>
            <w:r>
              <w:rPr>
                <w:rFonts w:hint="eastAsia" w:ascii="宋体" w:hAnsi="宋体" w:eastAsia="宋体" w:cs="宋体"/>
                <w:bCs/>
                <w:snapToGrid w:val="0"/>
                <w:color w:val="auto"/>
                <w:kern w:val="0"/>
                <w:sz w:val="21"/>
                <w:szCs w:val="21"/>
                <w:lang w:val="en-US" w:eastAsia="zh-CN"/>
              </w:rPr>
              <w:t>证书</w:t>
            </w:r>
            <w:r>
              <w:rPr>
                <w:rFonts w:hint="eastAsia" w:ascii="宋体" w:hAnsi="宋体" w:eastAsia="宋体" w:cs="宋体"/>
                <w:bCs/>
                <w:snapToGrid w:val="0"/>
                <w:color w:val="auto"/>
                <w:kern w:val="0"/>
                <w:sz w:val="21"/>
                <w:szCs w:val="21"/>
              </w:rPr>
              <w:t>的得</w:t>
            </w:r>
            <w:r>
              <w:rPr>
                <w:rFonts w:hint="eastAsia" w:ascii="宋体" w:hAnsi="宋体" w:eastAsia="宋体" w:cs="宋体"/>
                <w:bCs/>
                <w:snapToGrid w:val="0"/>
                <w:color w:val="auto"/>
                <w:kern w:val="0"/>
                <w:sz w:val="21"/>
                <w:szCs w:val="21"/>
                <w:lang w:val="en-US" w:eastAsia="zh-CN"/>
              </w:rPr>
              <w:t>2</w:t>
            </w:r>
            <w:r>
              <w:rPr>
                <w:rFonts w:hint="eastAsia" w:ascii="宋体" w:hAnsi="宋体" w:eastAsia="宋体" w:cs="宋体"/>
                <w:bCs/>
                <w:snapToGrid w:val="0"/>
                <w:color w:val="auto"/>
                <w:kern w:val="0"/>
                <w:sz w:val="21"/>
                <w:szCs w:val="21"/>
              </w:rPr>
              <w:t>分。</w:t>
            </w:r>
          </w:p>
          <w:p w14:paraId="3891C107">
            <w:pPr>
              <w:keepNext w:val="0"/>
              <w:keepLines w:val="0"/>
              <w:pageBreakBefore w:val="0"/>
              <w:widowControl/>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Cs/>
                <w:snapToGrid w:val="0"/>
                <w:color w:val="auto"/>
                <w:kern w:val="0"/>
                <w:sz w:val="21"/>
                <w:szCs w:val="21"/>
              </w:rPr>
            </w:pPr>
            <w:r>
              <w:rPr>
                <w:rFonts w:hint="eastAsia" w:ascii="宋体" w:hAnsi="宋体" w:eastAsia="宋体" w:cs="宋体"/>
                <w:bCs/>
                <w:snapToGrid w:val="0"/>
                <w:color w:val="auto"/>
                <w:kern w:val="0"/>
                <w:sz w:val="21"/>
                <w:szCs w:val="21"/>
              </w:rPr>
              <w:t>③拟投入的</w:t>
            </w:r>
            <w:r>
              <w:rPr>
                <w:rFonts w:hint="eastAsia" w:ascii="宋体" w:hAnsi="宋体" w:eastAsia="宋体" w:cs="宋体"/>
                <w:bCs/>
                <w:snapToGrid w:val="0"/>
                <w:color w:val="auto"/>
                <w:kern w:val="0"/>
                <w:sz w:val="21"/>
                <w:szCs w:val="21"/>
                <w:lang w:eastAsia="zh-CN"/>
              </w:rPr>
              <w:t>保安</w:t>
            </w:r>
            <w:r>
              <w:rPr>
                <w:rFonts w:hint="eastAsia" w:ascii="宋体" w:hAnsi="宋体" w:eastAsia="宋体" w:cs="宋体"/>
                <w:bCs/>
                <w:snapToGrid w:val="0"/>
                <w:color w:val="auto"/>
                <w:kern w:val="0"/>
                <w:sz w:val="21"/>
                <w:szCs w:val="21"/>
              </w:rPr>
              <w:t>员中具</w:t>
            </w:r>
            <w:r>
              <w:rPr>
                <w:rFonts w:hint="eastAsia" w:ascii="宋体" w:hAnsi="宋体" w:eastAsia="宋体" w:cs="宋体"/>
                <w:bCs/>
                <w:snapToGrid w:val="0"/>
                <w:color w:val="auto"/>
                <w:kern w:val="0"/>
                <w:sz w:val="21"/>
                <w:szCs w:val="21"/>
                <w:lang w:val="en-US" w:eastAsia="zh-CN"/>
              </w:rPr>
              <w:t>有</w:t>
            </w:r>
            <w:r>
              <w:rPr>
                <w:rFonts w:hint="eastAsia" w:ascii="宋体" w:hAnsi="宋体" w:eastAsia="宋体" w:cs="宋体"/>
                <w:bCs/>
                <w:snapToGrid w:val="0"/>
                <w:color w:val="auto"/>
                <w:kern w:val="0"/>
                <w:sz w:val="21"/>
                <w:szCs w:val="21"/>
              </w:rPr>
              <w:t>退伍军人证</w:t>
            </w:r>
            <w:r>
              <w:rPr>
                <w:rFonts w:hint="eastAsia" w:ascii="宋体" w:hAnsi="宋体" w:cs="宋体"/>
                <w:bCs/>
                <w:snapToGrid w:val="0"/>
                <w:color w:val="auto"/>
                <w:kern w:val="0"/>
                <w:sz w:val="21"/>
                <w:szCs w:val="21"/>
                <w:lang w:val="en-US" w:eastAsia="zh-CN"/>
              </w:rPr>
              <w:t>或</w:t>
            </w:r>
            <w:r>
              <w:rPr>
                <w:rFonts w:hint="eastAsia" w:ascii="宋体" w:hAnsi="宋体" w:eastAsia="宋体" w:cs="宋体"/>
                <w:bCs/>
                <w:snapToGrid w:val="0"/>
                <w:color w:val="auto"/>
                <w:kern w:val="0"/>
                <w:sz w:val="21"/>
                <w:szCs w:val="21"/>
              </w:rPr>
              <w:t>保安员证的每一人得1分，满分</w:t>
            </w:r>
            <w:r>
              <w:rPr>
                <w:rFonts w:hint="eastAsia" w:ascii="宋体" w:hAnsi="宋体" w:eastAsia="宋体" w:cs="宋体"/>
                <w:bCs/>
                <w:snapToGrid w:val="0"/>
                <w:color w:val="auto"/>
                <w:kern w:val="0"/>
                <w:sz w:val="21"/>
                <w:szCs w:val="21"/>
                <w:lang w:val="en-US" w:eastAsia="zh-CN"/>
              </w:rPr>
              <w:t>8</w:t>
            </w:r>
            <w:r>
              <w:rPr>
                <w:rFonts w:hint="eastAsia" w:ascii="宋体" w:hAnsi="宋体" w:eastAsia="宋体" w:cs="宋体"/>
                <w:bCs/>
                <w:snapToGrid w:val="0"/>
                <w:color w:val="auto"/>
                <w:kern w:val="0"/>
                <w:sz w:val="21"/>
                <w:szCs w:val="21"/>
              </w:rPr>
              <w:t>分。</w:t>
            </w:r>
          </w:p>
          <w:p w14:paraId="47B183A4">
            <w:pPr>
              <w:keepNext w:val="0"/>
              <w:keepLines w:val="0"/>
              <w:pageBreakBefore w:val="0"/>
              <w:widowControl/>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bCs/>
                <w:snapToGrid w:val="0"/>
                <w:color w:val="auto"/>
                <w:kern w:val="0"/>
                <w:sz w:val="21"/>
                <w:szCs w:val="21"/>
              </w:rPr>
            </w:pPr>
            <w:r>
              <w:rPr>
                <w:rFonts w:hint="eastAsia" w:ascii="宋体" w:hAnsi="宋体" w:eastAsia="宋体" w:cs="宋体"/>
                <w:bCs/>
                <w:snapToGrid w:val="0"/>
                <w:color w:val="auto"/>
                <w:kern w:val="0"/>
                <w:sz w:val="21"/>
                <w:szCs w:val="21"/>
              </w:rPr>
              <w:t>④拟投入的</w:t>
            </w:r>
            <w:r>
              <w:rPr>
                <w:rFonts w:hint="eastAsia" w:ascii="宋体" w:hAnsi="宋体" w:eastAsia="宋体" w:cs="宋体"/>
                <w:bCs/>
                <w:snapToGrid w:val="0"/>
                <w:color w:val="auto"/>
                <w:kern w:val="0"/>
                <w:sz w:val="21"/>
                <w:szCs w:val="21"/>
                <w:lang w:val="en-US" w:eastAsia="zh-CN"/>
              </w:rPr>
              <w:t>工程维修员</w:t>
            </w:r>
            <w:r>
              <w:rPr>
                <w:rFonts w:hint="eastAsia" w:ascii="宋体" w:hAnsi="宋体" w:eastAsia="宋体" w:cs="宋体"/>
                <w:bCs/>
                <w:snapToGrid w:val="0"/>
                <w:color w:val="auto"/>
                <w:kern w:val="0"/>
                <w:sz w:val="21"/>
                <w:szCs w:val="21"/>
              </w:rPr>
              <w:t>中具有电工作业证的每一人得</w:t>
            </w:r>
            <w:r>
              <w:rPr>
                <w:rFonts w:hint="eastAsia" w:ascii="宋体" w:hAnsi="宋体" w:eastAsia="宋体" w:cs="宋体"/>
                <w:bCs/>
                <w:snapToGrid w:val="0"/>
                <w:color w:val="auto"/>
                <w:kern w:val="0"/>
                <w:sz w:val="21"/>
                <w:szCs w:val="21"/>
                <w:lang w:val="en-US" w:eastAsia="zh-CN"/>
              </w:rPr>
              <w:t>1</w:t>
            </w:r>
            <w:r>
              <w:rPr>
                <w:rFonts w:hint="eastAsia" w:ascii="宋体" w:hAnsi="宋体" w:eastAsia="宋体" w:cs="宋体"/>
                <w:bCs/>
                <w:snapToGrid w:val="0"/>
                <w:color w:val="auto"/>
                <w:kern w:val="0"/>
                <w:sz w:val="21"/>
                <w:szCs w:val="21"/>
              </w:rPr>
              <w:t>分</w:t>
            </w:r>
            <w:r>
              <w:rPr>
                <w:rFonts w:hint="eastAsia" w:ascii="宋体" w:hAnsi="宋体" w:eastAsia="宋体" w:cs="宋体"/>
                <w:bCs/>
                <w:snapToGrid w:val="0"/>
                <w:color w:val="auto"/>
                <w:kern w:val="0"/>
                <w:sz w:val="21"/>
                <w:szCs w:val="21"/>
                <w:lang w:eastAsia="zh-CN"/>
              </w:rPr>
              <w:t>，</w:t>
            </w:r>
            <w:r>
              <w:rPr>
                <w:rFonts w:hint="eastAsia" w:ascii="宋体" w:hAnsi="宋体" w:eastAsia="宋体" w:cs="宋体"/>
                <w:bCs/>
                <w:snapToGrid w:val="0"/>
                <w:color w:val="auto"/>
                <w:kern w:val="0"/>
                <w:sz w:val="21"/>
                <w:szCs w:val="21"/>
              </w:rPr>
              <w:t>满分</w:t>
            </w:r>
            <w:r>
              <w:rPr>
                <w:rFonts w:hint="eastAsia" w:ascii="宋体" w:hAnsi="宋体" w:eastAsia="宋体" w:cs="宋体"/>
                <w:bCs/>
                <w:snapToGrid w:val="0"/>
                <w:color w:val="auto"/>
                <w:kern w:val="0"/>
                <w:sz w:val="21"/>
                <w:szCs w:val="21"/>
                <w:lang w:val="en-US" w:eastAsia="zh-CN"/>
              </w:rPr>
              <w:t>3</w:t>
            </w:r>
            <w:r>
              <w:rPr>
                <w:rFonts w:hint="eastAsia" w:ascii="宋体" w:hAnsi="宋体" w:eastAsia="宋体" w:cs="宋体"/>
                <w:bCs/>
                <w:snapToGrid w:val="0"/>
                <w:color w:val="auto"/>
                <w:kern w:val="0"/>
                <w:sz w:val="21"/>
                <w:szCs w:val="21"/>
              </w:rPr>
              <w:t>分。</w:t>
            </w:r>
          </w:p>
          <w:p w14:paraId="3913E067">
            <w:pPr>
              <w:keepNext w:val="0"/>
              <w:keepLines w:val="0"/>
              <w:pageBreakBefore w:val="0"/>
              <w:widowControl/>
              <w:kinsoku/>
              <w:wordWrap/>
              <w:overflowPunct/>
              <w:topLinePunct w:val="0"/>
              <w:autoSpaceDE/>
              <w:autoSpaceDN/>
              <w:bidi w:val="0"/>
              <w:adjustRightInd/>
              <w:snapToGrid/>
              <w:spacing w:line="400" w:lineRule="atLeast"/>
              <w:ind w:firstLine="420" w:firstLineChars="200"/>
              <w:textAlignment w:val="auto"/>
              <w:rPr>
                <w:rFonts w:hint="eastAsia" w:eastAsia="宋体"/>
                <w:lang w:val="en-US" w:eastAsia="zh-CN"/>
              </w:rPr>
            </w:pPr>
            <w:r>
              <w:rPr>
                <w:rFonts w:hint="eastAsia" w:ascii="宋体" w:hAnsi="宋体" w:eastAsia="宋体" w:cs="宋体"/>
                <w:bCs/>
                <w:snapToGrid w:val="0"/>
                <w:color w:val="auto"/>
                <w:kern w:val="0"/>
                <w:sz w:val="21"/>
                <w:szCs w:val="21"/>
                <w:lang w:val="en-US" w:eastAsia="zh-CN"/>
              </w:rPr>
              <w:t>⑤</w:t>
            </w:r>
            <w:r>
              <w:rPr>
                <w:rFonts w:hint="eastAsia" w:ascii="宋体" w:hAnsi="宋体" w:eastAsia="宋体" w:cs="宋体"/>
                <w:bCs/>
                <w:snapToGrid w:val="0"/>
                <w:color w:val="auto"/>
                <w:kern w:val="0"/>
                <w:sz w:val="21"/>
                <w:szCs w:val="21"/>
              </w:rPr>
              <w:t>拟投入的</w:t>
            </w:r>
            <w:r>
              <w:rPr>
                <w:rFonts w:hint="eastAsia" w:ascii="宋体" w:hAnsi="宋体" w:eastAsia="宋体" w:cs="宋体"/>
                <w:bCs/>
                <w:snapToGrid w:val="0"/>
                <w:color w:val="auto"/>
                <w:kern w:val="0"/>
                <w:sz w:val="21"/>
                <w:szCs w:val="21"/>
                <w:lang w:val="en-US" w:eastAsia="zh-CN"/>
              </w:rPr>
              <w:t>工程维修员</w:t>
            </w:r>
            <w:r>
              <w:rPr>
                <w:rFonts w:hint="eastAsia" w:ascii="宋体" w:hAnsi="宋体" w:eastAsia="宋体" w:cs="宋体"/>
                <w:bCs/>
                <w:snapToGrid w:val="0"/>
                <w:color w:val="auto"/>
                <w:kern w:val="0"/>
                <w:sz w:val="21"/>
                <w:szCs w:val="21"/>
              </w:rPr>
              <w:t>中具有</w:t>
            </w:r>
            <w:r>
              <w:rPr>
                <w:rFonts w:hint="eastAsia" w:ascii="宋体" w:hAnsi="宋体" w:eastAsia="宋体" w:cs="宋体"/>
                <w:bCs/>
                <w:snapToGrid w:val="0"/>
                <w:color w:val="auto"/>
                <w:kern w:val="0"/>
                <w:sz w:val="21"/>
                <w:szCs w:val="21"/>
                <w:lang w:val="en-US" w:eastAsia="zh-CN"/>
              </w:rPr>
              <w:t>国家认可的消防证书</w:t>
            </w:r>
            <w:r>
              <w:rPr>
                <w:rFonts w:hint="eastAsia" w:ascii="宋体" w:hAnsi="宋体" w:eastAsia="宋体" w:cs="宋体"/>
                <w:bCs/>
                <w:snapToGrid w:val="0"/>
                <w:color w:val="auto"/>
                <w:kern w:val="0"/>
                <w:sz w:val="21"/>
                <w:szCs w:val="21"/>
              </w:rPr>
              <w:t>的每一人得</w:t>
            </w:r>
            <w:r>
              <w:rPr>
                <w:rFonts w:hint="eastAsia" w:ascii="宋体" w:hAnsi="宋体" w:eastAsia="宋体" w:cs="宋体"/>
                <w:bCs/>
                <w:snapToGrid w:val="0"/>
                <w:color w:val="auto"/>
                <w:kern w:val="0"/>
                <w:sz w:val="21"/>
                <w:szCs w:val="21"/>
                <w:lang w:val="en-US" w:eastAsia="zh-CN"/>
              </w:rPr>
              <w:t>1</w:t>
            </w:r>
            <w:r>
              <w:rPr>
                <w:rFonts w:hint="eastAsia" w:ascii="宋体" w:hAnsi="宋体" w:eastAsia="宋体" w:cs="宋体"/>
                <w:bCs/>
                <w:snapToGrid w:val="0"/>
                <w:color w:val="auto"/>
                <w:kern w:val="0"/>
                <w:sz w:val="21"/>
                <w:szCs w:val="21"/>
              </w:rPr>
              <w:t>分</w:t>
            </w:r>
            <w:r>
              <w:rPr>
                <w:rFonts w:hint="eastAsia" w:ascii="宋体" w:hAnsi="宋体" w:eastAsia="宋体" w:cs="宋体"/>
                <w:bCs/>
                <w:snapToGrid w:val="0"/>
                <w:color w:val="auto"/>
                <w:kern w:val="0"/>
                <w:sz w:val="21"/>
                <w:szCs w:val="21"/>
                <w:lang w:eastAsia="zh-CN"/>
              </w:rPr>
              <w:t>，</w:t>
            </w:r>
            <w:r>
              <w:rPr>
                <w:rFonts w:hint="eastAsia" w:ascii="宋体" w:hAnsi="宋体" w:eastAsia="宋体" w:cs="宋体"/>
                <w:bCs/>
                <w:snapToGrid w:val="0"/>
                <w:color w:val="auto"/>
                <w:kern w:val="0"/>
                <w:sz w:val="21"/>
                <w:szCs w:val="21"/>
              </w:rPr>
              <w:t>满分</w:t>
            </w:r>
            <w:r>
              <w:rPr>
                <w:rFonts w:hint="eastAsia" w:ascii="宋体" w:hAnsi="宋体" w:eastAsia="宋体" w:cs="宋体"/>
                <w:bCs/>
                <w:snapToGrid w:val="0"/>
                <w:color w:val="auto"/>
                <w:kern w:val="0"/>
                <w:sz w:val="21"/>
                <w:szCs w:val="21"/>
                <w:lang w:val="en-US" w:eastAsia="zh-CN"/>
              </w:rPr>
              <w:t>3</w:t>
            </w:r>
            <w:r>
              <w:rPr>
                <w:rFonts w:hint="eastAsia" w:ascii="宋体" w:hAnsi="宋体" w:eastAsia="宋体" w:cs="宋体"/>
                <w:bCs/>
                <w:snapToGrid w:val="0"/>
                <w:color w:val="auto"/>
                <w:kern w:val="0"/>
                <w:sz w:val="21"/>
                <w:szCs w:val="21"/>
              </w:rPr>
              <w:t>分。</w:t>
            </w:r>
          </w:p>
          <w:p w14:paraId="12D6B9D1">
            <w:pPr>
              <w:pStyle w:val="15"/>
              <w:keepNext w:val="0"/>
              <w:keepLines w:val="0"/>
              <w:pageBreakBefore w:val="0"/>
              <w:widowControl/>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Cs/>
                <w:snapToGrid w:val="0"/>
                <w:color w:val="auto"/>
                <w:sz w:val="21"/>
                <w:szCs w:val="21"/>
                <w:lang w:val="en-US" w:eastAsia="zh-CN"/>
              </w:rPr>
              <w:t>注：符合得分条件的拟投入人员须提供相关人员证书复印件及劳动合同复印件</w:t>
            </w:r>
            <w:r>
              <w:rPr>
                <w:rFonts w:hint="eastAsia" w:hAnsi="宋体" w:eastAsia="宋体" w:cs="宋体"/>
                <w:bCs/>
                <w:snapToGrid w:val="0"/>
                <w:color w:val="auto"/>
                <w:sz w:val="21"/>
                <w:szCs w:val="21"/>
                <w:lang w:val="en-US" w:eastAsia="zh-CN"/>
              </w:rPr>
              <w:t>并加盖电子公章</w:t>
            </w:r>
            <w:r>
              <w:rPr>
                <w:rFonts w:hint="eastAsia" w:ascii="宋体" w:hAnsi="宋体" w:eastAsia="宋体" w:cs="宋体"/>
                <w:bCs/>
                <w:snapToGrid w:val="0"/>
                <w:color w:val="auto"/>
                <w:sz w:val="21"/>
                <w:szCs w:val="21"/>
                <w:lang w:val="en-US" w:eastAsia="zh-CN"/>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14:paraId="621B05E8">
            <w:pPr>
              <w:pStyle w:val="15"/>
              <w:spacing w:line="440" w:lineRule="exact"/>
              <w:jc w:val="center"/>
              <w:rPr>
                <w:rFonts w:hint="default" w:ascii="宋体" w:hAnsi="宋体" w:eastAsia="宋体" w:cs="宋体"/>
                <w:color w:val="auto"/>
                <w:sz w:val="21"/>
                <w:szCs w:val="21"/>
                <w:lang w:val="en-US" w:eastAsia="zh-CN"/>
              </w:rPr>
            </w:pPr>
            <w:r>
              <w:rPr>
                <w:rFonts w:hint="eastAsia" w:hAnsi="宋体" w:eastAsia="宋体" w:cs="宋体"/>
                <w:color w:val="auto"/>
                <w:sz w:val="21"/>
                <w:szCs w:val="21"/>
                <w:lang w:val="en-US" w:eastAsia="zh-CN"/>
              </w:rPr>
              <w:t>20</w:t>
            </w:r>
          </w:p>
        </w:tc>
      </w:tr>
      <w:tr w14:paraId="7FA5F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536" w:type="dxa"/>
            <w:tcBorders>
              <w:left w:val="single" w:color="auto" w:sz="4" w:space="0"/>
              <w:bottom w:val="single" w:color="auto" w:sz="4" w:space="0"/>
              <w:right w:val="single" w:color="auto" w:sz="4" w:space="0"/>
            </w:tcBorders>
            <w:noWrap w:val="0"/>
            <w:vAlign w:val="center"/>
          </w:tcPr>
          <w:p w14:paraId="6DE4F27C">
            <w:pPr>
              <w:pStyle w:val="15"/>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989" w:type="dxa"/>
            <w:tcBorders>
              <w:left w:val="single" w:color="auto" w:sz="4" w:space="0"/>
              <w:right w:val="single" w:color="auto" w:sz="4" w:space="0"/>
            </w:tcBorders>
            <w:noWrap w:val="0"/>
            <w:vAlign w:val="center"/>
          </w:tcPr>
          <w:p w14:paraId="28C8DC9C">
            <w:pPr>
              <w:pStyle w:val="15"/>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商务分</w:t>
            </w:r>
          </w:p>
          <w:p w14:paraId="00CC8ED5">
            <w:pPr>
              <w:pStyle w:val="15"/>
              <w:spacing w:line="44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（10分）</w:t>
            </w:r>
          </w:p>
        </w:tc>
        <w:tc>
          <w:tcPr>
            <w:tcW w:w="655" w:type="dxa"/>
            <w:tcBorders>
              <w:top w:val="single" w:color="auto" w:sz="4" w:space="0"/>
              <w:left w:val="single" w:color="auto" w:sz="4" w:space="0"/>
              <w:right w:val="single" w:color="auto" w:sz="4" w:space="0"/>
            </w:tcBorders>
            <w:noWrap w:val="0"/>
            <w:vAlign w:val="center"/>
          </w:tcPr>
          <w:p w14:paraId="14B79C51">
            <w:pPr>
              <w:pStyle w:val="15"/>
              <w:keepNext w:val="0"/>
              <w:keepLines w:val="0"/>
              <w:pageBreakBefore w:val="0"/>
              <w:kinsoku/>
              <w:wordWrap/>
              <w:overflowPunct/>
              <w:topLinePunct w:val="0"/>
              <w:autoSpaceDE/>
              <w:autoSpaceDN/>
              <w:bidi w:val="0"/>
              <w:adjustRightInd/>
              <w:spacing w:line="400" w:lineRule="atLeas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业绩、信誉分</w:t>
            </w:r>
          </w:p>
        </w:tc>
        <w:tc>
          <w:tcPr>
            <w:tcW w:w="6505" w:type="dxa"/>
            <w:tcBorders>
              <w:top w:val="single" w:color="auto" w:sz="4" w:space="0"/>
              <w:left w:val="single" w:color="auto" w:sz="4" w:space="0"/>
              <w:right w:val="single" w:color="auto" w:sz="4" w:space="0"/>
            </w:tcBorders>
            <w:noWrap w:val="0"/>
            <w:vAlign w:val="center"/>
          </w:tcPr>
          <w:p w14:paraId="3344DE01">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供应商</w:t>
            </w:r>
            <w:r>
              <w:rPr>
                <w:rFonts w:hint="eastAsia" w:ascii="宋体" w:hAnsi="宋体" w:eastAsia="宋体" w:cs="宋体"/>
                <w:color w:val="auto"/>
                <w:sz w:val="21"/>
                <w:szCs w:val="21"/>
                <w:lang w:val="en-US" w:eastAsia="zh-CN"/>
              </w:rPr>
              <w:t>提供</w:t>
            </w:r>
            <w:r>
              <w:rPr>
                <w:rFonts w:hint="eastAsia" w:ascii="宋体" w:hAnsi="宋体" w:eastAsia="宋体" w:cs="宋体"/>
                <w:color w:val="auto"/>
                <w:sz w:val="21"/>
                <w:szCs w:val="21"/>
              </w:rPr>
              <w:t>同类服务内容业绩的相关证明材料</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以中标、成交通知书或签订的采购合同扫描件为准并能清晰反映所提供的服务类型、种类、金额，否则将不予计分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同一个编号的项目有两个或两个以上的分标中标的只算一次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，每项得2分，满分为</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需提供相关证明材料扫描件并加盖单位公章</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CA签章</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，否则不得分</w:t>
            </w:r>
            <w:r>
              <w:rPr>
                <w:rFonts w:hint="eastAsia" w:ascii="宋体" w:hAnsi="宋体" w:eastAsia="宋体" w:cs="宋体"/>
                <w:b/>
                <w:bCs/>
                <w:color w:val="auto"/>
                <w:sz w:val="21"/>
                <w:szCs w:val="21"/>
                <w:lang w:eastAsia="zh-CN"/>
              </w:rPr>
              <w:t>）</w:t>
            </w:r>
          </w:p>
        </w:tc>
        <w:tc>
          <w:tcPr>
            <w:tcW w:w="744" w:type="dxa"/>
            <w:tcBorders>
              <w:top w:val="single" w:color="auto" w:sz="4" w:space="0"/>
              <w:left w:val="single" w:color="auto" w:sz="4" w:space="0"/>
              <w:bottom w:val="single" w:color="auto" w:sz="4" w:space="0"/>
              <w:right w:val="single" w:color="auto" w:sz="4" w:space="0"/>
            </w:tcBorders>
            <w:noWrap w:val="0"/>
            <w:vAlign w:val="center"/>
          </w:tcPr>
          <w:p w14:paraId="11C7A777">
            <w:pPr>
              <w:pStyle w:val="15"/>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r>
      <w:tr w14:paraId="492C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525" w:type="dxa"/>
            <w:gridSpan w:val="2"/>
            <w:tcBorders>
              <w:top w:val="single" w:color="auto" w:sz="4" w:space="0"/>
              <w:left w:val="single" w:color="auto" w:sz="4" w:space="0"/>
              <w:bottom w:val="single" w:color="auto" w:sz="4" w:space="0"/>
              <w:right w:val="single" w:color="auto" w:sz="4" w:space="0"/>
            </w:tcBorders>
            <w:noWrap w:val="0"/>
            <w:vAlign w:val="center"/>
          </w:tcPr>
          <w:p w14:paraId="7227C1EF">
            <w:pPr>
              <w:pStyle w:val="15"/>
              <w:spacing w:line="440" w:lineRule="exact"/>
              <w:ind w:firstLine="420" w:firstLineChars="20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总得分</w:t>
            </w:r>
          </w:p>
        </w:tc>
        <w:tc>
          <w:tcPr>
            <w:tcW w:w="7160" w:type="dxa"/>
            <w:gridSpan w:val="2"/>
            <w:tcBorders>
              <w:top w:val="single" w:color="auto" w:sz="4" w:space="0"/>
              <w:left w:val="single" w:color="auto" w:sz="4" w:space="0"/>
              <w:bottom w:val="single" w:color="auto" w:sz="4" w:space="0"/>
              <w:right w:val="single" w:color="auto" w:sz="4" w:space="0"/>
            </w:tcBorders>
            <w:noWrap w:val="0"/>
            <w:vAlign w:val="center"/>
          </w:tcPr>
          <w:p w14:paraId="378C0F0D">
            <w:pPr>
              <w:pStyle w:val="15"/>
              <w:keepNext w:val="0"/>
              <w:keepLines w:val="0"/>
              <w:pageBreakBefore w:val="0"/>
              <w:kinsoku/>
              <w:wordWrap/>
              <w:overflowPunct/>
              <w:topLinePunct w:val="0"/>
              <w:autoSpaceDE/>
              <w:autoSpaceDN/>
              <w:bidi w:val="0"/>
              <w:adjustRightInd/>
              <w:spacing w:line="400" w:lineRule="atLeast"/>
              <w:ind w:firstLine="392" w:firstLineChars="20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pacing w:val="-7"/>
                <w:sz w:val="21"/>
                <w:szCs w:val="21"/>
                <w:lang w:val="en-US" w:eastAsia="zh-CN"/>
              </w:rPr>
              <w:t>价格分+技术分+商务分</w:t>
            </w:r>
          </w:p>
        </w:tc>
        <w:tc>
          <w:tcPr>
            <w:tcW w:w="744" w:type="dxa"/>
            <w:tcBorders>
              <w:top w:val="single" w:color="auto" w:sz="4" w:space="0"/>
              <w:left w:val="single" w:color="auto" w:sz="4" w:space="0"/>
              <w:bottom w:val="single" w:color="auto" w:sz="4" w:space="0"/>
              <w:right w:val="single" w:color="auto" w:sz="4" w:space="0"/>
            </w:tcBorders>
            <w:noWrap w:val="0"/>
            <w:vAlign w:val="center"/>
          </w:tcPr>
          <w:p w14:paraId="5032A3E3">
            <w:pPr>
              <w:pStyle w:val="15"/>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w:t>
            </w:r>
          </w:p>
        </w:tc>
      </w:tr>
    </w:tbl>
    <w:p w14:paraId="4128F0B7">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cs="宋体"/>
          <w:b/>
          <w:bCs/>
          <w:color w:val="auto"/>
          <w:sz w:val="21"/>
          <w:szCs w:val="21"/>
        </w:rPr>
      </w:pPr>
    </w:p>
    <w:p w14:paraId="0CB79A90">
      <w:pPr>
        <w:keepNext w:val="0"/>
        <w:keepLines w:val="0"/>
        <w:pageBreakBefore w:val="0"/>
        <w:widowControl w:val="0"/>
        <w:numPr>
          <w:ilvl w:val="0"/>
          <w:numId w:val="6"/>
        </w:numPr>
        <w:kinsoku/>
        <w:wordWrap/>
        <w:overflowPunct/>
        <w:topLinePunct w:val="0"/>
        <w:autoSpaceDE/>
        <w:autoSpaceDN/>
        <w:bidi w:val="0"/>
        <w:adjustRightInd/>
        <w:snapToGrid w:val="0"/>
        <w:spacing w:line="360" w:lineRule="exact"/>
        <w:ind w:firstLine="422" w:firstLineChars="200"/>
        <w:jc w:val="left"/>
        <w:textAlignment w:val="auto"/>
        <w:rPr>
          <w:rFonts w:hint="eastAsia"/>
          <w:color w:val="auto"/>
        </w:rPr>
      </w:pPr>
      <w:r>
        <w:rPr>
          <w:rFonts w:hint="eastAsia" w:ascii="宋体" w:hAnsi="宋体" w:cs="宋体"/>
          <w:b/>
          <w:bCs/>
          <w:color w:val="auto"/>
          <w:sz w:val="21"/>
          <w:szCs w:val="21"/>
        </w:rPr>
        <w:t>总得分＝1+2+3</w:t>
      </w:r>
    </w:p>
    <w:p w14:paraId="6391B5B7">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cs="宋体"/>
          <w:color w:val="auto"/>
          <w:szCs w:val="21"/>
        </w:rPr>
      </w:pPr>
    </w:p>
    <w:p w14:paraId="75AF7E96">
      <w:pPr>
        <w:keepNext w:val="0"/>
        <w:keepLines w:val="0"/>
        <w:pageBreakBefore w:val="0"/>
        <w:widowControl w:val="0"/>
        <w:kinsoku/>
        <w:wordWrap/>
        <w:overflowPunct/>
        <w:topLinePunct w:val="0"/>
        <w:autoSpaceDE/>
        <w:autoSpaceDN/>
        <w:bidi w:val="0"/>
        <w:adjustRightInd/>
        <w:snapToGrid w:val="0"/>
        <w:spacing w:line="240" w:lineRule="auto"/>
        <w:ind w:firstLine="426" w:firstLineChars="202"/>
        <w:jc w:val="left"/>
        <w:textAlignment w:val="auto"/>
        <w:rPr>
          <w:rFonts w:hint="eastAsia" w:ascii="宋体" w:hAnsi="宋体" w:cs="宋体"/>
          <w:color w:val="auto"/>
          <w:szCs w:val="21"/>
        </w:rPr>
      </w:pPr>
      <w:r>
        <w:rPr>
          <w:rFonts w:hint="eastAsia" w:ascii="宋体" w:hAnsi="宋体" w:cs="宋体"/>
          <w:b/>
          <w:bCs/>
          <w:color w:val="auto"/>
          <w:szCs w:val="21"/>
        </w:rPr>
        <w:t>三、中标候选人推荐原则</w:t>
      </w:r>
    </w:p>
    <w:p w14:paraId="0EFC933C">
      <w:pPr>
        <w:keepNext w:val="0"/>
        <w:keepLines w:val="0"/>
        <w:pageBreakBefore w:val="0"/>
        <w:widowControl w:val="0"/>
        <w:kinsoku/>
        <w:wordWrap/>
        <w:overflowPunct/>
        <w:topLinePunct w:val="0"/>
        <w:autoSpaceDE/>
        <w:autoSpaceDN/>
        <w:bidi w:val="0"/>
        <w:adjustRightInd/>
        <w:snapToGrid w:val="0"/>
        <w:spacing w:line="240" w:lineRule="auto"/>
        <w:ind w:firstLine="424" w:firstLineChars="202"/>
        <w:jc w:val="left"/>
        <w:textAlignment w:val="auto"/>
        <w:rPr>
          <w:rFonts w:hint="eastAsia" w:ascii="宋体" w:hAnsi="宋体" w:cs="宋体"/>
          <w:color w:val="auto"/>
          <w:szCs w:val="21"/>
        </w:rPr>
      </w:pPr>
      <w:r>
        <w:rPr>
          <w:rFonts w:hint="eastAsia" w:ascii="宋体" w:hAnsi="宋体" w:cs="宋体"/>
          <w:color w:val="auto"/>
          <w:szCs w:val="21"/>
        </w:rPr>
        <w:t>（一）评标委员会将根据得分由高到低排列次序（得分相同时，以投标报价由低到高顺序排列；得分相同且投标报价相同的，按服务方案优劣顺序排列）并推荐中标候选人3名。得分最高的中标候选人（得分相同时，以投标报价由低到高顺序排列；得分相同且投标报价相同的，按服务方案优劣顺序排列）为中标人。采购人应当确定评审委员会推荐排名第一的中标候选人为中标人。</w:t>
      </w:r>
    </w:p>
    <w:p w14:paraId="0E7C6D5C">
      <w:pPr>
        <w:keepNext w:val="0"/>
        <w:keepLines w:val="0"/>
        <w:pageBreakBefore w:val="0"/>
        <w:widowControl w:val="0"/>
        <w:kinsoku/>
        <w:wordWrap/>
        <w:overflowPunct/>
        <w:topLinePunct w:val="0"/>
        <w:autoSpaceDE/>
        <w:autoSpaceDN/>
        <w:bidi w:val="0"/>
        <w:adjustRightInd/>
        <w:snapToGrid w:val="0"/>
        <w:spacing w:line="240" w:lineRule="auto"/>
        <w:ind w:firstLine="424" w:firstLineChars="202"/>
        <w:jc w:val="left"/>
        <w:textAlignment w:val="auto"/>
        <w:rPr>
          <w:rFonts w:hint="eastAsia" w:ascii="宋体" w:hAnsi="宋体" w:cs="宋体"/>
          <w:color w:val="auto"/>
          <w:szCs w:val="21"/>
        </w:rPr>
      </w:pPr>
      <w:r>
        <w:rPr>
          <w:rFonts w:hint="eastAsia" w:ascii="宋体" w:hAnsi="宋体" w:cs="宋体"/>
          <w:color w:val="auto"/>
          <w:szCs w:val="21"/>
        </w:rPr>
        <w:t>排名第一的中标候选人放弃中标、因不可抗力提出不能履行合同，或者招标文件规定应当提交质量保证金而在规定的期限内未能提交的，采购人可以确定排名第二的中标候选人为中标人。排名第二的中标候选人因前款规定的同样原因不能签订合同的，采购人可以确定排名第三的中标候选人为中标人，其余以此类推。</w:t>
      </w:r>
    </w:p>
    <w:p w14:paraId="6128412D">
      <w:pPr>
        <w:pStyle w:val="2"/>
        <w:spacing w:line="240" w:lineRule="auto"/>
        <w:ind w:left="0" w:leftChars="0" w:firstLine="420" w:firstLineChars="200"/>
        <w:rPr>
          <w:rFonts w:hint="eastAsia" w:ascii="宋体" w:hAnsi="宋体" w:cs="宋体"/>
          <w:color w:val="auto"/>
          <w:szCs w:val="21"/>
        </w:rPr>
      </w:pPr>
      <w:r>
        <w:rPr>
          <w:rFonts w:hint="eastAsia" w:ascii="宋体" w:hAnsi="宋体" w:cs="宋体"/>
          <w:color w:val="auto"/>
          <w:szCs w:val="21"/>
        </w:rPr>
        <w:t>（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0D18CD9">
      <w:pPr>
        <w:rPr>
          <w:rFonts w:hint="eastAsia" w:ascii="宋体" w:hAnsi="宋体" w:cs="宋体"/>
          <w:color w:val="auto"/>
          <w:szCs w:val="21"/>
        </w:rPr>
      </w:pPr>
      <w:r>
        <w:rPr>
          <w:rFonts w:hint="eastAsia" w:ascii="宋体" w:hAnsi="宋体" w:cs="宋体"/>
          <w:color w:val="auto"/>
          <w:szCs w:val="21"/>
        </w:rPr>
        <w:br w:type="page"/>
      </w:r>
    </w:p>
    <w:p w14:paraId="714C5A48">
      <w:pPr>
        <w:pStyle w:val="3"/>
        <w:pageBreakBefore w:val="0"/>
        <w:numPr>
          <w:ilvl w:val="0"/>
          <w:numId w:val="3"/>
        </w:numPr>
        <w:tabs>
          <w:tab w:val="left" w:pos="0"/>
          <w:tab w:val="left" w:pos="3165"/>
          <w:tab w:val="center" w:pos="4153"/>
        </w:tabs>
        <w:kinsoku/>
        <w:overflowPunct/>
        <w:topLinePunct w:val="0"/>
        <w:autoSpaceDE w:val="0"/>
        <w:autoSpaceDN w:val="0"/>
        <w:bidi w:val="0"/>
        <w:adjustRightInd w:val="0"/>
        <w:spacing w:before="0" w:after="0" w:line="240" w:lineRule="auto"/>
        <w:jc w:val="center"/>
        <w:rPr>
          <w:rFonts w:hint="eastAsia" w:ascii="宋体" w:hAnsi="宋体" w:eastAsia="宋体" w:cs="宋体"/>
          <w:color w:val="auto"/>
          <w:sz w:val="40"/>
          <w:szCs w:val="40"/>
          <w:highlight w:val="none"/>
          <w:lang w:val="en-US" w:eastAsia="zh-CN"/>
        </w:rPr>
      </w:pPr>
      <w:r>
        <w:rPr>
          <w:rFonts w:hint="eastAsia" w:ascii="宋体" w:hAnsi="宋体" w:eastAsia="宋体" w:cs="宋体"/>
          <w:color w:val="auto"/>
          <w:sz w:val="40"/>
          <w:szCs w:val="40"/>
          <w:highlight w:val="none"/>
          <w:lang w:val="en-US" w:eastAsia="zh-CN"/>
        </w:rPr>
        <w:t xml:space="preserve"> </w:t>
      </w:r>
      <w:bookmarkStart w:id="120" w:name="_Toc4121"/>
      <w:r>
        <w:rPr>
          <w:rFonts w:hint="eastAsia" w:ascii="宋体" w:hAnsi="宋体" w:eastAsia="宋体" w:cs="宋体"/>
          <w:color w:val="auto"/>
          <w:sz w:val="40"/>
          <w:szCs w:val="40"/>
          <w:highlight w:val="none"/>
          <w:lang w:val="en-US" w:eastAsia="zh-CN"/>
        </w:rPr>
        <w:t>拟签订的合同文本</w:t>
      </w:r>
      <w:bookmarkEnd w:id="120"/>
    </w:p>
    <w:p w14:paraId="380953A7">
      <w:pPr>
        <w:pStyle w:val="3"/>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121" w:name="_Toc19470"/>
      <w:bookmarkStart w:id="122" w:name="_Toc18478"/>
      <w:bookmarkStart w:id="123" w:name="_Toc3136"/>
      <w:bookmarkStart w:id="124" w:name="_Toc12316"/>
      <w:bookmarkStart w:id="125" w:name="_Toc2695"/>
      <w:bookmarkStart w:id="126" w:name="_Toc6256"/>
      <w:r>
        <w:rPr>
          <w:rFonts w:hint="eastAsia" w:ascii="宋体" w:hAnsi="宋体" w:eastAsia="宋体" w:cs="宋体"/>
          <w:color w:val="auto"/>
          <w:sz w:val="21"/>
          <w:szCs w:val="21"/>
          <w:highlight w:val="none"/>
        </w:rPr>
        <w:t>拟签订的合同文本</w:t>
      </w:r>
      <w:bookmarkEnd w:id="121"/>
      <w:bookmarkEnd w:id="122"/>
      <w:bookmarkEnd w:id="123"/>
      <w:bookmarkEnd w:id="124"/>
      <w:bookmarkEnd w:id="125"/>
      <w:bookmarkEnd w:id="126"/>
    </w:p>
    <w:p w14:paraId="3A51929F">
      <w:pPr>
        <w:pStyle w:val="15"/>
        <w:pageBreakBefore w:val="0"/>
        <w:kinsoku/>
        <w:overflowPunct/>
        <w:topLinePunct w:val="0"/>
        <w:bidi w:val="0"/>
        <w:spacing w:line="240" w:lineRule="auto"/>
        <w:ind w:firstLine="420" w:firstLineChars="200"/>
        <w:rPr>
          <w:rFonts w:hAnsi="宋体"/>
          <w:bCs/>
          <w:sz w:val="21"/>
        </w:rPr>
      </w:pPr>
      <w:r>
        <w:rPr>
          <w:rFonts w:hint="eastAsia" w:hAnsi="宋体"/>
          <w:bCs/>
          <w:sz w:val="21"/>
        </w:rPr>
        <w:t>甲方（采购人）：                                      合同编号：</w:t>
      </w:r>
    </w:p>
    <w:p w14:paraId="23137B21">
      <w:pPr>
        <w:pStyle w:val="15"/>
        <w:pageBreakBefore w:val="0"/>
        <w:kinsoku/>
        <w:overflowPunct/>
        <w:topLinePunct w:val="0"/>
        <w:bidi w:val="0"/>
        <w:spacing w:line="240" w:lineRule="auto"/>
        <w:ind w:firstLine="420" w:firstLineChars="200"/>
        <w:rPr>
          <w:rFonts w:hAnsi="宋体"/>
          <w:bCs/>
          <w:sz w:val="21"/>
        </w:rPr>
      </w:pPr>
      <w:r>
        <w:rPr>
          <w:rFonts w:hint="eastAsia" w:hAnsi="宋体"/>
          <w:bCs/>
          <w:sz w:val="21"/>
        </w:rPr>
        <w:t>乙方（中标人）：                                      签订地点：</w:t>
      </w:r>
    </w:p>
    <w:p w14:paraId="28044632">
      <w:pPr>
        <w:pStyle w:val="15"/>
        <w:pageBreakBefore w:val="0"/>
        <w:kinsoku/>
        <w:overflowPunct/>
        <w:topLinePunct w:val="0"/>
        <w:bidi w:val="0"/>
        <w:spacing w:line="240" w:lineRule="auto"/>
        <w:ind w:firstLine="420" w:firstLineChars="200"/>
        <w:rPr>
          <w:rFonts w:hAnsi="宋体"/>
          <w:bCs/>
          <w:sz w:val="21"/>
        </w:rPr>
      </w:pPr>
    </w:p>
    <w:p w14:paraId="7A2927BC">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根据《中华人民共和国政府采购法》、《中华人民共和国</w:t>
      </w:r>
      <w:r>
        <w:rPr>
          <w:rFonts w:hint="eastAsia" w:ascii="宋体" w:hAnsi="宋体"/>
          <w:szCs w:val="21"/>
          <w:lang w:val="en-US" w:eastAsia="zh-CN"/>
        </w:rPr>
        <w:t>民法典</w:t>
      </w:r>
      <w:r>
        <w:rPr>
          <w:rFonts w:hint="eastAsia" w:ascii="宋体" w:hAnsi="宋体"/>
          <w:szCs w:val="21"/>
        </w:rPr>
        <w:t>》</w:t>
      </w:r>
      <w:r>
        <w:rPr>
          <w:rFonts w:hint="eastAsia" w:ascii="宋体" w:hAnsi="宋体"/>
          <w:szCs w:val="21"/>
          <w:lang w:val="en-US" w:eastAsia="zh-CN"/>
        </w:rPr>
        <w:t>以及</w:t>
      </w:r>
      <w:r>
        <w:rPr>
          <w:rFonts w:hint="eastAsia" w:ascii="宋体" w:hAnsi="宋体" w:cs="宋体"/>
          <w:color w:val="auto"/>
          <w:kern w:val="0"/>
          <w:szCs w:val="21"/>
          <w:highlight w:val="none"/>
        </w:rPr>
        <w:t>国家和地方政府有关物业管理的法律、法规和政策规定</w:t>
      </w:r>
      <w:r>
        <w:rPr>
          <w:rFonts w:hint="eastAsia" w:ascii="宋体" w:hAnsi="宋体"/>
          <w:szCs w:val="21"/>
        </w:rPr>
        <w:t>，为保证所购的服务质量，明确双方的权利义务，甲乙双方在平等、自愿、协商一致的基础上，就有关事宜达成如下协议：</w:t>
      </w:r>
    </w:p>
    <w:p w14:paraId="7ACE99F7">
      <w:pPr>
        <w:pageBreakBefore w:val="0"/>
        <w:kinsoku/>
        <w:overflowPunct/>
        <w:topLinePunct w:val="0"/>
        <w:bidi w:val="0"/>
        <w:spacing w:line="240" w:lineRule="auto"/>
        <w:ind w:firstLine="422" w:firstLineChars="200"/>
        <w:rPr>
          <w:rFonts w:hint="default" w:ascii="宋体" w:hAnsi="宋体"/>
          <w:b/>
          <w:bCs/>
          <w:szCs w:val="21"/>
          <w:lang w:val="en-US" w:eastAsia="zh-CN"/>
        </w:rPr>
      </w:pPr>
      <w:r>
        <w:rPr>
          <w:rFonts w:hint="eastAsia" w:ascii="宋体" w:hAnsi="宋体"/>
          <w:b/>
          <w:bCs/>
          <w:szCs w:val="21"/>
          <w:lang w:val="en-US" w:eastAsia="zh-CN"/>
        </w:rPr>
        <w:t>一、合同内容</w:t>
      </w:r>
    </w:p>
    <w:p w14:paraId="61856979">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依据采购文件（含补充、修改文件）和乙方的投标文件（含澄清、补充文件）</w:t>
      </w:r>
      <w:r>
        <w:rPr>
          <w:rFonts w:hint="eastAsia" w:ascii="宋体" w:hAnsi="宋体"/>
          <w:szCs w:val="21"/>
          <w:lang w:val="en-US" w:eastAsia="zh-CN"/>
        </w:rPr>
        <w:t>内容</w:t>
      </w:r>
      <w:r>
        <w:rPr>
          <w:rFonts w:hint="eastAsia" w:ascii="宋体" w:hAnsi="宋体"/>
          <w:szCs w:val="21"/>
        </w:rPr>
        <w:t>，乙方向甲方提供物业管理服务。</w:t>
      </w:r>
    </w:p>
    <w:p w14:paraId="561AD004">
      <w:pPr>
        <w:pStyle w:val="15"/>
        <w:pageBreakBefore w:val="0"/>
        <w:kinsoku/>
        <w:overflowPunct/>
        <w:topLinePunct w:val="0"/>
        <w:bidi w:val="0"/>
        <w:spacing w:line="240" w:lineRule="auto"/>
        <w:ind w:firstLine="422" w:firstLineChars="200"/>
        <w:rPr>
          <w:rFonts w:hAnsi="宋体"/>
          <w:b/>
          <w:bCs/>
          <w:sz w:val="21"/>
        </w:rPr>
      </w:pPr>
      <w:r>
        <w:rPr>
          <w:rFonts w:hint="eastAsia" w:hAnsi="宋体"/>
          <w:b/>
          <w:bCs/>
          <w:sz w:val="21"/>
          <w:lang w:val="en-US" w:eastAsia="zh-CN"/>
        </w:rPr>
        <w:t>二、</w:t>
      </w:r>
      <w:r>
        <w:rPr>
          <w:rFonts w:hint="eastAsia" w:hAnsi="宋体"/>
          <w:b/>
          <w:bCs/>
          <w:sz w:val="21"/>
        </w:rPr>
        <w:t>物业基本情况</w:t>
      </w:r>
    </w:p>
    <w:p w14:paraId="0F57CFA6">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 xml:space="preserve">1、物业名称：             </w:t>
      </w:r>
    </w:p>
    <w:p w14:paraId="721757FF">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 xml:space="preserve">2、座落位置：                                     </w:t>
      </w:r>
    </w:p>
    <w:p w14:paraId="1733D3F5">
      <w:pPr>
        <w:pageBreakBefore w:val="0"/>
        <w:kinsoku/>
        <w:overflowPunct/>
        <w:topLinePunct w:val="0"/>
        <w:bidi w:val="0"/>
        <w:spacing w:line="240" w:lineRule="auto"/>
        <w:ind w:firstLine="420" w:firstLineChars="200"/>
        <w:rPr>
          <w:rFonts w:ascii="宋体" w:hAnsi="宋体"/>
          <w:bCs/>
          <w:szCs w:val="21"/>
        </w:rPr>
      </w:pPr>
      <w:r>
        <w:rPr>
          <w:rFonts w:hint="eastAsia" w:ascii="宋体" w:hAnsi="宋体"/>
          <w:szCs w:val="21"/>
        </w:rPr>
        <w:t xml:space="preserve">3、物业管理范围：   </w:t>
      </w:r>
      <w:r>
        <w:rPr>
          <w:rFonts w:hint="eastAsia" w:ascii="宋体" w:hAnsi="宋体"/>
          <w:bCs/>
          <w:szCs w:val="21"/>
        </w:rPr>
        <w:t xml:space="preserve">      </w:t>
      </w:r>
      <w:r>
        <w:rPr>
          <w:rFonts w:hint="eastAsia" w:ascii="宋体" w:hAnsi="宋体"/>
          <w:bCs/>
          <w:szCs w:val="21"/>
          <w:lang w:eastAsia="zh-CN"/>
        </w:rPr>
        <w:t>（</w:t>
      </w:r>
      <w:r>
        <w:rPr>
          <w:rFonts w:hint="eastAsia" w:ascii="宋体" w:hAnsi="宋体"/>
          <w:bCs/>
          <w:szCs w:val="21"/>
        </w:rPr>
        <w:t>具体物业范围及构成</w:t>
      </w:r>
      <w:r>
        <w:rPr>
          <w:rFonts w:hint="eastAsia" w:ascii="宋体" w:hAnsi="宋体"/>
          <w:bCs/>
          <w:szCs w:val="21"/>
          <w:lang w:val="en-US" w:eastAsia="zh-CN"/>
        </w:rPr>
        <w:t>详</w:t>
      </w:r>
      <w:r>
        <w:rPr>
          <w:rFonts w:hint="eastAsia" w:ascii="宋体" w:hAnsi="宋体"/>
          <w:bCs/>
          <w:szCs w:val="21"/>
        </w:rPr>
        <w:t>见本项目招标文件中第二章《采购需求》的相关内容。</w:t>
      </w:r>
      <w:r>
        <w:rPr>
          <w:rFonts w:hint="eastAsia" w:ascii="宋体" w:hAnsi="宋体"/>
          <w:bCs/>
          <w:szCs w:val="21"/>
          <w:lang w:eastAsia="zh-CN"/>
        </w:rPr>
        <w:t>）</w:t>
      </w:r>
      <w:r>
        <w:rPr>
          <w:rFonts w:hint="eastAsia" w:ascii="宋体" w:hAnsi="宋体"/>
          <w:bCs/>
          <w:szCs w:val="21"/>
        </w:rPr>
        <w:t xml:space="preserve">                                      </w:t>
      </w:r>
    </w:p>
    <w:p w14:paraId="149B7A20">
      <w:pPr>
        <w:pStyle w:val="15"/>
        <w:pageBreakBefore w:val="0"/>
        <w:kinsoku/>
        <w:overflowPunct/>
        <w:topLinePunct w:val="0"/>
        <w:bidi w:val="0"/>
        <w:spacing w:line="240" w:lineRule="auto"/>
        <w:ind w:firstLine="422" w:firstLineChars="200"/>
        <w:rPr>
          <w:rFonts w:hAnsi="宋体"/>
          <w:b/>
          <w:bCs/>
          <w:sz w:val="21"/>
        </w:rPr>
      </w:pPr>
      <w:r>
        <w:rPr>
          <w:rFonts w:hint="eastAsia" w:hAnsi="宋体"/>
          <w:b/>
          <w:bCs/>
          <w:sz w:val="21"/>
          <w:lang w:val="en-US" w:eastAsia="zh-CN"/>
        </w:rPr>
        <w:t>三</w:t>
      </w:r>
      <w:r>
        <w:rPr>
          <w:rFonts w:hint="eastAsia" w:hAnsi="宋体"/>
          <w:b/>
          <w:bCs/>
          <w:sz w:val="21"/>
        </w:rPr>
        <w:t>、</w:t>
      </w:r>
      <w:r>
        <w:rPr>
          <w:rFonts w:hint="eastAsia" w:hAnsi="宋体"/>
          <w:b/>
          <w:bCs/>
          <w:sz w:val="21"/>
          <w:lang w:val="en-US" w:eastAsia="zh-CN"/>
        </w:rPr>
        <w:t>物业</w:t>
      </w:r>
      <w:r>
        <w:rPr>
          <w:rFonts w:hint="eastAsia" w:hAnsi="宋体"/>
          <w:b/>
          <w:bCs/>
          <w:sz w:val="21"/>
        </w:rPr>
        <w:t>管理</w:t>
      </w:r>
      <w:r>
        <w:rPr>
          <w:rFonts w:hint="eastAsia" w:hAnsi="宋体"/>
          <w:b/>
          <w:bCs/>
          <w:sz w:val="21"/>
          <w:lang w:val="en-US" w:eastAsia="zh-CN"/>
        </w:rPr>
        <w:t>服务内容</w:t>
      </w:r>
    </w:p>
    <w:p w14:paraId="05DEE80D">
      <w:pPr>
        <w:pageBreakBefore w:val="0"/>
        <w:kinsoku/>
        <w:overflowPunct/>
        <w:topLinePunct w:val="0"/>
        <w:bidi w:val="0"/>
        <w:spacing w:line="240" w:lineRule="auto"/>
        <w:ind w:firstLine="420" w:firstLineChars="200"/>
        <w:rPr>
          <w:rFonts w:hint="eastAsia" w:ascii="宋体" w:hAnsi="宋体"/>
          <w:szCs w:val="21"/>
          <w:lang w:val="en-US" w:eastAsia="zh-CN"/>
        </w:rPr>
      </w:pPr>
      <w:r>
        <w:rPr>
          <w:rFonts w:hint="eastAsia" w:ascii="宋体" w:hAnsi="宋体"/>
          <w:szCs w:val="21"/>
          <w:lang w:val="en-US" w:eastAsia="zh-CN"/>
        </w:rPr>
        <w:t>1、            ；</w:t>
      </w:r>
    </w:p>
    <w:p w14:paraId="049E07E2">
      <w:pPr>
        <w:pageBreakBefore w:val="0"/>
        <w:numPr>
          <w:ilvl w:val="0"/>
          <w:numId w:val="7"/>
        </w:numPr>
        <w:kinsoku/>
        <w:overflowPunct/>
        <w:topLinePunct w:val="0"/>
        <w:bidi w:val="0"/>
        <w:spacing w:line="240" w:lineRule="auto"/>
        <w:ind w:firstLine="420" w:firstLineChars="200"/>
        <w:rPr>
          <w:rFonts w:ascii="宋体" w:hAnsi="宋体"/>
          <w:szCs w:val="21"/>
        </w:rPr>
      </w:pPr>
      <w:r>
        <w:rPr>
          <w:rFonts w:hint="eastAsia" w:ascii="宋体" w:hAnsi="宋体"/>
          <w:szCs w:val="21"/>
          <w:lang w:val="en-US" w:eastAsia="zh-CN"/>
        </w:rPr>
        <w:t xml:space="preserve">           ；</w:t>
      </w:r>
      <w:r>
        <w:rPr>
          <w:rFonts w:hint="eastAsia" w:ascii="宋体" w:hAnsi="宋体"/>
          <w:szCs w:val="21"/>
        </w:rPr>
        <w:t xml:space="preserve">  </w:t>
      </w:r>
    </w:p>
    <w:p w14:paraId="4DD2ECDE">
      <w:pPr>
        <w:widowControl/>
        <w:spacing w:line="400" w:lineRule="exact"/>
        <w:ind w:firstLine="422" w:firstLineChars="201"/>
        <w:jc w:val="left"/>
        <w:rPr>
          <w:rFonts w:hint="eastAsia" w:ascii="宋体" w:hAnsi="宋体" w:cs="宋体"/>
          <w:color w:val="auto"/>
          <w:kern w:val="0"/>
          <w:szCs w:val="21"/>
          <w:highlight w:val="none"/>
        </w:rPr>
      </w:pPr>
      <w:r>
        <w:rPr>
          <w:rFonts w:hint="eastAsia" w:ascii="宋体" w:hAnsi="宋体"/>
          <w:szCs w:val="21"/>
          <w:lang w:val="en-US" w:eastAsia="zh-CN"/>
        </w:rPr>
        <w:t>3、</w:t>
      </w:r>
      <w:r>
        <w:rPr>
          <w:rFonts w:hint="eastAsia" w:ascii="宋体" w:hAnsi="宋体" w:cs="宋体"/>
          <w:color w:val="auto"/>
          <w:kern w:val="0"/>
          <w:szCs w:val="21"/>
          <w:highlight w:val="none"/>
        </w:rPr>
        <w:t>具体服务内容包含招标文件的《采购需求》、投标文件的《服务方案》和乙方的所有承诺服务内容；</w:t>
      </w:r>
    </w:p>
    <w:p w14:paraId="77F10E72">
      <w:pPr>
        <w:pStyle w:val="15"/>
        <w:pageBreakBefore w:val="0"/>
        <w:kinsoku/>
        <w:overflowPunct/>
        <w:topLinePunct w:val="0"/>
        <w:bidi w:val="0"/>
        <w:spacing w:line="240" w:lineRule="auto"/>
        <w:ind w:firstLine="422" w:firstLineChars="200"/>
        <w:rPr>
          <w:rFonts w:hAnsi="宋体"/>
          <w:b/>
          <w:bCs/>
          <w:sz w:val="21"/>
        </w:rPr>
      </w:pPr>
      <w:r>
        <w:rPr>
          <w:rFonts w:hint="eastAsia" w:hAnsi="宋体"/>
          <w:b/>
          <w:bCs/>
          <w:sz w:val="21"/>
          <w:lang w:val="en-US" w:eastAsia="zh-CN"/>
        </w:rPr>
        <w:t>四</w:t>
      </w:r>
      <w:r>
        <w:rPr>
          <w:rFonts w:hint="eastAsia" w:hAnsi="宋体"/>
          <w:b/>
          <w:bCs/>
          <w:sz w:val="21"/>
        </w:rPr>
        <w:t>、物业管理质量</w:t>
      </w:r>
    </w:p>
    <w:p w14:paraId="5E137A6B">
      <w:pPr>
        <w:pStyle w:val="15"/>
        <w:pageBreakBefore w:val="0"/>
        <w:kinsoku/>
        <w:overflowPunct/>
        <w:topLinePunct w:val="0"/>
        <w:bidi w:val="0"/>
        <w:spacing w:line="240" w:lineRule="auto"/>
        <w:ind w:firstLine="420" w:firstLineChars="200"/>
        <w:rPr>
          <w:rFonts w:hint="eastAsia" w:hAnsi="宋体"/>
          <w:b/>
          <w:bCs/>
          <w:sz w:val="21"/>
        </w:rPr>
      </w:pPr>
      <w:r>
        <w:rPr>
          <w:rFonts w:hint="eastAsia" w:hAnsi="宋体"/>
          <w:sz w:val="21"/>
        </w:rPr>
        <w:t>乙方提供的服务质量标准按国家和地方政府的规定和本合同约定的物业服务质量要求及乙方在投标文件中的承诺执行。</w:t>
      </w:r>
    </w:p>
    <w:p w14:paraId="350E29A2">
      <w:pPr>
        <w:pStyle w:val="15"/>
        <w:pageBreakBefore w:val="0"/>
        <w:kinsoku/>
        <w:overflowPunct/>
        <w:topLinePunct w:val="0"/>
        <w:bidi w:val="0"/>
        <w:spacing w:line="240" w:lineRule="auto"/>
        <w:ind w:firstLine="422" w:firstLineChars="200"/>
        <w:rPr>
          <w:rFonts w:hAnsi="宋体"/>
          <w:b/>
          <w:bCs/>
          <w:sz w:val="21"/>
        </w:rPr>
      </w:pPr>
      <w:r>
        <w:rPr>
          <w:rFonts w:hint="eastAsia" w:hAnsi="宋体"/>
          <w:b/>
          <w:bCs/>
          <w:sz w:val="21"/>
          <w:lang w:val="en-US" w:eastAsia="zh-CN"/>
        </w:rPr>
        <w:t>五</w:t>
      </w:r>
      <w:r>
        <w:rPr>
          <w:rFonts w:hint="eastAsia" w:hAnsi="宋体"/>
          <w:b/>
          <w:bCs/>
          <w:sz w:val="21"/>
        </w:rPr>
        <w:t>、</w:t>
      </w:r>
      <w:r>
        <w:rPr>
          <w:rFonts w:hint="eastAsia" w:hAnsi="宋体"/>
          <w:b/>
          <w:bCs/>
          <w:sz w:val="21"/>
          <w:lang w:val="en-US" w:eastAsia="zh-CN"/>
        </w:rPr>
        <w:t>物业</w:t>
      </w:r>
      <w:r>
        <w:rPr>
          <w:rFonts w:hint="eastAsia" w:hAnsi="宋体"/>
          <w:b/>
          <w:bCs/>
          <w:sz w:val="21"/>
        </w:rPr>
        <w:t>管理</w:t>
      </w:r>
      <w:r>
        <w:rPr>
          <w:rFonts w:hint="eastAsia" w:hAnsi="宋体"/>
          <w:b/>
          <w:bCs/>
          <w:sz w:val="21"/>
          <w:lang w:val="en-US" w:eastAsia="zh-CN"/>
        </w:rPr>
        <w:t>服务</w:t>
      </w:r>
      <w:r>
        <w:rPr>
          <w:rFonts w:hint="eastAsia" w:hAnsi="宋体"/>
          <w:b/>
          <w:bCs/>
          <w:sz w:val="21"/>
        </w:rPr>
        <w:t>期限</w:t>
      </w:r>
    </w:p>
    <w:p w14:paraId="1C0977BA">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lang w:val="en-US" w:eastAsia="zh-CN"/>
        </w:rPr>
        <w:t>乙方提供物业</w:t>
      </w:r>
      <w:r>
        <w:rPr>
          <w:rFonts w:hint="eastAsia" w:ascii="宋体" w:hAnsi="宋体"/>
          <w:szCs w:val="21"/>
        </w:rPr>
        <w:t>管理</w:t>
      </w:r>
      <w:r>
        <w:rPr>
          <w:rFonts w:hint="eastAsia" w:ascii="宋体" w:hAnsi="宋体"/>
          <w:szCs w:val="21"/>
          <w:lang w:val="en-US" w:eastAsia="zh-CN"/>
        </w:rPr>
        <w:t>服务的</w:t>
      </w:r>
      <w:r>
        <w:rPr>
          <w:rFonts w:hint="eastAsia" w:ascii="宋体" w:hAnsi="宋体"/>
          <w:szCs w:val="21"/>
        </w:rPr>
        <w:t>期限为</w:t>
      </w:r>
      <w:r>
        <w:rPr>
          <w:rFonts w:hint="eastAsia" w:ascii="宋体" w:hAnsi="宋体"/>
          <w:szCs w:val="21"/>
          <w:lang w:val="en-US" w:eastAsia="zh-CN"/>
        </w:rPr>
        <w:t>3年，即</w:t>
      </w:r>
      <w:r>
        <w:rPr>
          <w:rFonts w:hint="eastAsia" w:ascii="宋体" w:hAnsi="宋体"/>
          <w:szCs w:val="21"/>
        </w:rPr>
        <w:t>自    年  月  日至   年  月  日止。在此期间未履行合同，不遵守承诺或达不到甲方要求，甲方有权解除合同，其一切责任由乙方负责，乙方不得以任何理由向甲方提出任何索赔要求。</w:t>
      </w:r>
    </w:p>
    <w:p w14:paraId="236B5E9F">
      <w:pPr>
        <w:pageBreakBefore w:val="0"/>
        <w:numPr>
          <w:ilvl w:val="0"/>
          <w:numId w:val="0"/>
        </w:numPr>
        <w:kinsoku/>
        <w:overflowPunct/>
        <w:topLinePunct w:val="0"/>
        <w:bidi w:val="0"/>
        <w:spacing w:line="240" w:lineRule="auto"/>
        <w:ind w:firstLine="422" w:firstLineChars="200"/>
        <w:rPr>
          <w:rFonts w:hint="eastAsia" w:ascii="宋体" w:hAnsi="宋体"/>
          <w:color w:val="auto"/>
          <w:szCs w:val="21"/>
        </w:rPr>
      </w:pPr>
      <w:r>
        <w:rPr>
          <w:rFonts w:hint="eastAsia" w:ascii="宋体" w:hAnsi="宋体" w:cs="Times New Roman"/>
          <w:b/>
          <w:bCs/>
          <w:color w:val="auto"/>
          <w:kern w:val="2"/>
          <w:sz w:val="21"/>
          <w:szCs w:val="21"/>
          <w:lang w:val="en-US" w:eastAsia="zh-CN" w:bidi="ar-SA"/>
        </w:rPr>
        <w:t>六</w:t>
      </w:r>
      <w:r>
        <w:rPr>
          <w:rFonts w:hint="eastAsia" w:ascii="宋体" w:hAnsi="宋体" w:eastAsia="宋体" w:cs="Times New Roman"/>
          <w:b/>
          <w:bCs/>
          <w:color w:val="auto"/>
          <w:kern w:val="2"/>
          <w:sz w:val="21"/>
          <w:szCs w:val="21"/>
          <w:lang w:val="en-US" w:eastAsia="zh-CN" w:bidi="ar-SA"/>
        </w:rPr>
        <w:t>、</w:t>
      </w:r>
      <w:r>
        <w:rPr>
          <w:rFonts w:hint="eastAsia" w:ascii="宋体" w:hAnsi="宋体"/>
          <w:b/>
          <w:bCs/>
          <w:color w:val="auto"/>
          <w:szCs w:val="21"/>
        </w:rPr>
        <w:t>支付</w:t>
      </w:r>
      <w:r>
        <w:rPr>
          <w:rFonts w:hint="eastAsia" w:ascii="宋体" w:hAnsi="宋体"/>
          <w:b/>
          <w:bCs/>
          <w:color w:val="auto"/>
          <w:szCs w:val="21"/>
          <w:lang w:val="en-US" w:eastAsia="zh-CN"/>
        </w:rPr>
        <w:t>时间</w:t>
      </w:r>
      <w:r>
        <w:rPr>
          <w:rFonts w:hint="eastAsia" w:ascii="宋体" w:hAnsi="宋体"/>
          <w:b/>
          <w:bCs/>
          <w:color w:val="auto"/>
          <w:szCs w:val="21"/>
        </w:rPr>
        <w:t>及付款方式</w:t>
      </w:r>
      <w:r>
        <w:rPr>
          <w:rFonts w:hint="eastAsia" w:ascii="宋体" w:hAnsi="宋体"/>
          <w:color w:val="auto"/>
          <w:szCs w:val="21"/>
        </w:rPr>
        <w:t>：</w:t>
      </w:r>
    </w:p>
    <w:p w14:paraId="0B5BF2A5">
      <w:pPr>
        <w:pageBreakBefore w:val="0"/>
        <w:numPr>
          <w:ilvl w:val="0"/>
          <w:numId w:val="0"/>
        </w:numPr>
        <w:kinsoku/>
        <w:overflowPunct/>
        <w:topLinePunct w:val="0"/>
        <w:bidi w:val="0"/>
        <w:spacing w:line="240" w:lineRule="auto"/>
        <w:ind w:firstLine="420" w:firstLineChars="200"/>
        <w:rPr>
          <w:rFonts w:hint="default" w:ascii="宋体" w:hAnsi="宋体" w:eastAsia="宋体" w:cs="Times New Roman"/>
          <w:color w:val="auto"/>
          <w:sz w:val="21"/>
          <w:szCs w:val="21"/>
          <w:lang w:val="en-US" w:bidi="zh-CN"/>
        </w:rPr>
      </w:pPr>
      <w:r>
        <w:rPr>
          <w:rFonts w:hint="eastAsia"/>
          <w:color w:val="auto"/>
          <w:lang w:val="en-US" w:eastAsia="zh-CN"/>
        </w:rPr>
        <w:t>乙方圆满完成上月服务内容后，结合考核实际和工作情况，次月15日前按月以银行转账方式支付服务费用，乙方应当向甲方开具合法有效的增值税发票。</w:t>
      </w:r>
    </w:p>
    <w:p w14:paraId="1C1379DF">
      <w:pPr>
        <w:pStyle w:val="15"/>
        <w:pageBreakBefore w:val="0"/>
        <w:kinsoku/>
        <w:overflowPunct/>
        <w:topLinePunct w:val="0"/>
        <w:bidi w:val="0"/>
        <w:spacing w:line="240" w:lineRule="auto"/>
        <w:ind w:firstLine="422" w:firstLineChars="200"/>
        <w:rPr>
          <w:rFonts w:hAnsi="宋体"/>
          <w:b/>
          <w:bCs/>
          <w:color w:val="000000" w:themeColor="text1"/>
          <w:sz w:val="21"/>
          <w14:textFill>
            <w14:solidFill>
              <w14:schemeClr w14:val="tx1"/>
            </w14:solidFill>
          </w14:textFill>
        </w:rPr>
      </w:pPr>
      <w:r>
        <w:rPr>
          <w:rFonts w:hint="eastAsia" w:hAnsi="宋体"/>
          <w:b/>
          <w:bCs/>
          <w:color w:val="000000" w:themeColor="text1"/>
          <w:sz w:val="21"/>
          <w:lang w:val="en-US" w:eastAsia="zh-CN"/>
          <w14:textFill>
            <w14:solidFill>
              <w14:schemeClr w14:val="tx1"/>
            </w14:solidFill>
          </w14:textFill>
        </w:rPr>
        <w:t>七</w:t>
      </w:r>
      <w:r>
        <w:rPr>
          <w:rFonts w:hint="eastAsia" w:hAnsi="宋体"/>
          <w:b/>
          <w:bCs/>
          <w:color w:val="000000" w:themeColor="text1"/>
          <w:sz w:val="21"/>
          <w14:textFill>
            <w14:solidFill>
              <w14:schemeClr w14:val="tx1"/>
            </w14:solidFill>
          </w14:textFill>
        </w:rPr>
        <w:t>、履约保证金的支付</w:t>
      </w:r>
    </w:p>
    <w:p w14:paraId="5527F28C">
      <w:pPr>
        <w:pStyle w:val="15"/>
        <w:pageBreakBefore w:val="0"/>
        <w:kinsoku/>
        <w:overflowPunct/>
        <w:topLinePunct w:val="0"/>
        <w:bidi w:val="0"/>
        <w:spacing w:line="240" w:lineRule="auto"/>
        <w:ind w:firstLine="420" w:firstLineChars="200"/>
        <w:rPr>
          <w:rFonts w:hint="eastAsia" w:ascii="宋体" w:hAnsi="宋体" w:cs="Times New Roman" w:eastAsiaTheme="minorEastAsia"/>
          <w:color w:val="000000" w:themeColor="text1"/>
          <w:kern w:val="2"/>
          <w:sz w:val="21"/>
          <w:szCs w:val="21"/>
          <w:lang w:val="en-US" w:eastAsia="zh-CN" w:bidi="zh-CN"/>
          <w14:textFill>
            <w14:solidFill>
              <w14:schemeClr w14:val="tx1"/>
            </w14:solidFill>
          </w14:textFill>
        </w:rPr>
      </w:pPr>
      <w:r>
        <w:rPr>
          <w:rFonts w:hint="eastAsia" w:ascii="宋体" w:hAnsi="宋体" w:cs="Times New Roman" w:eastAsiaTheme="minorEastAsia"/>
          <w:color w:val="000000" w:themeColor="text1"/>
          <w:kern w:val="2"/>
          <w:sz w:val="21"/>
          <w:szCs w:val="21"/>
          <w:lang w:val="en-US" w:eastAsia="zh-CN" w:bidi="zh-CN"/>
          <w14:textFill>
            <w14:solidFill>
              <w14:schemeClr w14:val="tx1"/>
            </w14:solidFill>
          </w14:textFill>
        </w:rPr>
        <w:t>无履约保证金。</w:t>
      </w:r>
    </w:p>
    <w:p w14:paraId="02BA8B4A">
      <w:pPr>
        <w:pStyle w:val="15"/>
        <w:pageBreakBefore w:val="0"/>
        <w:kinsoku/>
        <w:overflowPunct/>
        <w:topLinePunct w:val="0"/>
        <w:bidi w:val="0"/>
        <w:spacing w:line="240" w:lineRule="auto"/>
        <w:ind w:firstLine="422" w:firstLineChars="200"/>
        <w:rPr>
          <w:rFonts w:hAnsi="宋体"/>
          <w:b/>
          <w:bCs/>
          <w:sz w:val="21"/>
        </w:rPr>
      </w:pPr>
      <w:r>
        <w:rPr>
          <w:rFonts w:hint="eastAsia" w:hAnsi="宋体"/>
          <w:b/>
          <w:bCs/>
          <w:color w:val="000000" w:themeColor="text1"/>
          <w:sz w:val="21"/>
          <w:lang w:val="en-US" w:eastAsia="zh-CN"/>
          <w14:textFill>
            <w14:solidFill>
              <w14:schemeClr w14:val="tx1"/>
            </w14:solidFill>
          </w14:textFill>
        </w:rPr>
        <w:t>八</w:t>
      </w:r>
      <w:r>
        <w:rPr>
          <w:rFonts w:hint="eastAsia" w:hAnsi="宋体"/>
          <w:b/>
          <w:bCs/>
          <w:sz w:val="21"/>
        </w:rPr>
        <w:t>、</w:t>
      </w:r>
      <w:r>
        <w:rPr>
          <w:rFonts w:hAnsi="宋体"/>
          <w:b/>
          <w:bCs/>
          <w:sz w:val="21"/>
        </w:rPr>
        <w:t>双方权利义务</w:t>
      </w:r>
    </w:p>
    <w:p w14:paraId="148E56D4">
      <w:pPr>
        <w:pStyle w:val="15"/>
        <w:pageBreakBefore w:val="0"/>
        <w:kinsoku/>
        <w:overflowPunct/>
        <w:topLinePunct w:val="0"/>
        <w:bidi w:val="0"/>
        <w:spacing w:line="240" w:lineRule="auto"/>
        <w:ind w:firstLine="422" w:firstLineChars="200"/>
        <w:rPr>
          <w:rFonts w:hAnsi="宋体"/>
          <w:b/>
          <w:bCs/>
          <w:sz w:val="21"/>
        </w:rPr>
      </w:pPr>
      <w:r>
        <w:rPr>
          <w:rFonts w:hint="eastAsia" w:hAnsi="宋体"/>
          <w:b/>
          <w:bCs/>
          <w:sz w:val="21"/>
        </w:rPr>
        <w:t>（一）甲方的权利和义务</w:t>
      </w:r>
    </w:p>
    <w:p w14:paraId="144A0E09">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1、代表和维护产权人、使用人的合法权益。积极协助乙方做好物业管理工作。</w:t>
      </w:r>
    </w:p>
    <w:p w14:paraId="57A010B5">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2、审定乙方制定的物业管理制度及实施细则，并监督使用人遵守。</w:t>
      </w:r>
    </w:p>
    <w:p w14:paraId="0201A1D3">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3、审定乙方提出的物业管理年度计划、年度费用概预算、决算报告等。抽查物业管理经费的使用情况。</w:t>
      </w:r>
    </w:p>
    <w:p w14:paraId="243E8536">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4、对乙方的物业管理实施监督检查，每年进行</w:t>
      </w:r>
      <w:r>
        <w:rPr>
          <w:rFonts w:hint="eastAsia" w:ascii="宋体" w:hAnsi="宋体"/>
          <w:szCs w:val="21"/>
          <w:lang w:val="en-US" w:eastAsia="zh-CN"/>
        </w:rPr>
        <w:t>___</w:t>
      </w:r>
      <w:r>
        <w:rPr>
          <w:rFonts w:hint="eastAsia" w:ascii="宋体" w:hAnsi="宋体"/>
          <w:szCs w:val="21"/>
        </w:rPr>
        <w:t>次全面的考核评定，考核实施细则按照采购文件规定执行，甲乙双方可进一步协商完善。</w:t>
      </w:r>
    </w:p>
    <w:p w14:paraId="05EFED3C">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5、在合同生效之日起10日内向乙方提供</w:t>
      </w:r>
      <w:r>
        <w:rPr>
          <w:rFonts w:hint="eastAsia" w:ascii="宋体" w:hAnsi="宋体"/>
          <w:szCs w:val="21"/>
          <w:lang w:val="en-US" w:eastAsia="zh-CN"/>
        </w:rPr>
        <w:t>_____</w:t>
      </w:r>
      <w:r>
        <w:rPr>
          <w:rFonts w:hint="eastAsia" w:ascii="宋体" w:hAnsi="宋体"/>
          <w:szCs w:val="21"/>
        </w:rPr>
        <w:t>平方米建筑面积的办公用房，由乙方无偿使用，水、电、通讯等费用由</w:t>
      </w:r>
      <w:r>
        <w:rPr>
          <w:rFonts w:hint="eastAsia" w:ascii="宋体" w:hAnsi="宋体"/>
          <w:szCs w:val="21"/>
          <w:u w:val="single"/>
        </w:rPr>
        <w:t xml:space="preserve">    </w:t>
      </w:r>
      <w:r>
        <w:rPr>
          <w:rFonts w:hint="eastAsia" w:ascii="宋体" w:hAnsi="宋体"/>
          <w:szCs w:val="21"/>
        </w:rPr>
        <w:t>承担。</w:t>
      </w:r>
    </w:p>
    <w:p w14:paraId="46243A98">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6、负责对物业设施、设备进行清点、核查，在合同生效之日起20日内与乙方办理交接验收手续，移交相关的物业及其附属设施、设备、物业管理的原始资料和技术档案（工程建设竣工资料）等，并在乙方管理期满时予以收回。</w:t>
      </w:r>
    </w:p>
    <w:p w14:paraId="6C37E8B3">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7、依照本合同约定，按时支付物业管理费。</w:t>
      </w:r>
    </w:p>
    <w:p w14:paraId="7A080D14">
      <w:pPr>
        <w:pStyle w:val="15"/>
        <w:pageBreakBefore w:val="0"/>
        <w:kinsoku/>
        <w:overflowPunct/>
        <w:topLinePunct w:val="0"/>
        <w:bidi w:val="0"/>
        <w:spacing w:line="240" w:lineRule="auto"/>
        <w:ind w:firstLine="422" w:firstLineChars="200"/>
        <w:rPr>
          <w:rFonts w:hAnsi="宋体"/>
          <w:b/>
          <w:bCs/>
          <w:sz w:val="21"/>
        </w:rPr>
      </w:pPr>
      <w:r>
        <w:rPr>
          <w:rFonts w:hint="eastAsia" w:hAnsi="宋体"/>
          <w:b/>
          <w:bCs/>
          <w:sz w:val="21"/>
        </w:rPr>
        <w:t>（二）乙方的权利和义务</w:t>
      </w:r>
    </w:p>
    <w:p w14:paraId="07FC2131">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1、不得将物业管理项目转让给他人；未经甲方同意，也不得将项目分包给他人。</w:t>
      </w:r>
    </w:p>
    <w:p w14:paraId="180FF64A">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2、严格遵守有关法律法规和采购文件的规定，对物业实行专业规范、安全高质的管理。</w:t>
      </w:r>
    </w:p>
    <w:p w14:paraId="530C6A63">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3、接受物业管理行政主管部门和甲方的监督、指导。</w:t>
      </w:r>
    </w:p>
    <w:p w14:paraId="6308FE9B">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4、制定物业管理的各项办法、规章制度及岗位责任。建立健全本项目的物业管理档案，及时记载有关变动情况。</w:t>
      </w:r>
    </w:p>
    <w:p w14:paraId="25883CA5">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5、拟定物业管理年度计划、费用概预算决算，每半年向甲方上报财务开支情况并作出说明。</w:t>
      </w:r>
    </w:p>
    <w:p w14:paraId="257CEE09">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6、对管理范围内的物业和公用设施不得擅自占用或改变使用功能，如需在本物业内改扩建完善配套项目，须报甲方和有关部门批准后方可实施。</w:t>
      </w:r>
    </w:p>
    <w:p w14:paraId="39DDCE7F">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7、对业主和使用人违反制度的行为，针对具体行为并根据情节轻重，采取批评、规劝、警告、制止等措施。</w:t>
      </w:r>
    </w:p>
    <w:p w14:paraId="4EFBD9B9">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8、对其员工管理应符合当地政府的有关规定及甲方有关的要求。员工证件应齐全，包括身份证等，有关证件复印件乙方应送甲方备案。乙方员工食宿自行安排。</w:t>
      </w:r>
    </w:p>
    <w:p w14:paraId="720CF7EA">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9、应按劳动部门的政策给员工办好社会养老保险并对保安工作人员办好意外伤害保险等手续，有关手续费用已含在本合同中。在合同执行期间，乙方人员工作时若发生工伤或保安人员发生意外伤害，由乙方承担全部民事责任，甲方不承担任何责任。</w:t>
      </w:r>
    </w:p>
    <w:p w14:paraId="16AEA66B">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10、本合同终止时，乙方须向甲方移交原委托管理的全部物业及其各类管理档案、财务等资料；移交其管理范围内的全部公共财产，并接受甲方指定专业机构的移交审核。向甲方移交时，要确保各项设施的性能良好。</w:t>
      </w:r>
    </w:p>
    <w:p w14:paraId="668B6D65">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11、有权按时从甲方处支取物业管理费。</w:t>
      </w:r>
    </w:p>
    <w:p w14:paraId="1451284A">
      <w:pPr>
        <w:pStyle w:val="15"/>
        <w:pageBreakBefore w:val="0"/>
        <w:kinsoku/>
        <w:overflowPunct/>
        <w:topLinePunct w:val="0"/>
        <w:bidi w:val="0"/>
        <w:spacing w:line="240" w:lineRule="auto"/>
        <w:ind w:firstLine="422" w:firstLineChars="200"/>
        <w:rPr>
          <w:rFonts w:hAnsi="宋体"/>
          <w:b/>
          <w:bCs/>
          <w:sz w:val="21"/>
        </w:rPr>
      </w:pPr>
      <w:r>
        <w:rPr>
          <w:rFonts w:hint="eastAsia" w:hAnsi="宋体"/>
          <w:b/>
          <w:bCs/>
          <w:sz w:val="21"/>
          <w:lang w:val="en-US" w:eastAsia="zh-CN"/>
        </w:rPr>
        <w:t>九</w:t>
      </w:r>
      <w:r>
        <w:rPr>
          <w:rFonts w:hint="eastAsia" w:hAnsi="宋体"/>
          <w:b/>
          <w:bCs/>
          <w:sz w:val="21"/>
        </w:rPr>
        <w:t>、违约责任</w:t>
      </w:r>
    </w:p>
    <w:p w14:paraId="4E2DAFDC">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1、如因乙方管理不善，造成重大经济损失，经有关部门认定，甲方有权终止本合同，并追究乙方的经济责任。</w:t>
      </w:r>
    </w:p>
    <w:p w14:paraId="4EB4F5C1">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2、乙方未完成合同规定的各项管理目标，甲方可发出警告或整改通知，甲方连续二次或半年内三次发出警告或整改通知而又无彻底改善的，视为乙方无能力继续履行合同，甲方有权终止合同，并没收其履约保证金</w:t>
      </w:r>
      <w:r>
        <w:rPr>
          <w:rFonts w:hint="eastAsia" w:ascii="宋体" w:hAnsi="宋体"/>
          <w:szCs w:val="21"/>
          <w:lang w:eastAsia="zh-CN"/>
        </w:rPr>
        <w:t>，</w:t>
      </w:r>
      <w:r>
        <w:rPr>
          <w:rFonts w:hint="eastAsia" w:ascii="宋体" w:hAnsi="宋体" w:cs="宋体"/>
          <w:color w:val="auto"/>
          <w:kern w:val="0"/>
          <w:szCs w:val="21"/>
          <w:highlight w:val="none"/>
        </w:rPr>
        <w:t>且无需支付合同解除后的合同后续费用</w:t>
      </w:r>
      <w:r>
        <w:rPr>
          <w:rFonts w:hint="eastAsia" w:ascii="宋体" w:hAnsi="宋体"/>
          <w:szCs w:val="21"/>
        </w:rPr>
        <w:t>。</w:t>
      </w:r>
    </w:p>
    <w:p w14:paraId="6AE2202C">
      <w:pPr>
        <w:pageBreakBefore w:val="0"/>
        <w:kinsoku/>
        <w:overflowPunct/>
        <w:topLinePunct w:val="0"/>
        <w:bidi w:val="0"/>
        <w:spacing w:line="24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szCs w:val="21"/>
        </w:rPr>
        <w:t>3、乙方不能按时履行合同约定的，每延误一天应向甲方偿付不能按时履行部分款项</w:t>
      </w:r>
      <w:r>
        <w:rPr>
          <w:rFonts w:hint="eastAsia" w:ascii="宋体" w:hAnsi="宋体"/>
          <w:color w:val="000000" w:themeColor="text1"/>
          <w:szCs w:val="21"/>
          <w:u w:val="single"/>
          <w14:textFill>
            <w14:solidFill>
              <w14:schemeClr w14:val="tx1"/>
            </w14:solidFill>
          </w14:textFill>
        </w:rPr>
        <w:t>百分比</w:t>
      </w:r>
      <w:r>
        <w:rPr>
          <w:rFonts w:hint="eastAsia" w:ascii="宋体" w:hAnsi="宋体"/>
          <w:color w:val="000000" w:themeColor="text1"/>
          <w:szCs w:val="21"/>
          <w14:textFill>
            <w14:solidFill>
              <w14:schemeClr w14:val="tx1"/>
            </w14:solidFill>
          </w14:textFill>
        </w:rPr>
        <w:t>的违约金。</w:t>
      </w:r>
    </w:p>
    <w:p w14:paraId="498DB049">
      <w:pPr>
        <w:pageBreakBefore w:val="0"/>
        <w:kinsoku/>
        <w:overflowPunct/>
        <w:topLinePunct w:val="0"/>
        <w:bidi w:val="0"/>
        <w:spacing w:line="240" w:lineRule="auto"/>
        <w:ind w:firstLine="420" w:firstLineChars="200"/>
        <w:rPr>
          <w:rFonts w:hint="eastAsia" w:ascii="宋体" w:hAnsi="宋体"/>
          <w:szCs w:val="21"/>
        </w:rPr>
      </w:pPr>
      <w:r>
        <w:rPr>
          <w:rFonts w:hint="eastAsia" w:ascii="宋体" w:hAnsi="宋体"/>
          <w:color w:val="000000" w:themeColor="text1"/>
          <w:szCs w:val="21"/>
          <w14:textFill>
            <w14:solidFill>
              <w14:schemeClr w14:val="tx1"/>
            </w14:solidFill>
          </w14:textFill>
        </w:rPr>
        <w:t>4、甲方不能按照本合同约定的价款和支付方式如期支付，每逾期一天，应支付逾期部分总价款2‰</w:t>
      </w:r>
      <w:r>
        <w:rPr>
          <w:rFonts w:hint="eastAsia" w:ascii="宋体" w:hAnsi="宋体"/>
          <w:szCs w:val="21"/>
        </w:rPr>
        <w:t>的违约金。</w:t>
      </w:r>
    </w:p>
    <w:p w14:paraId="288F498C">
      <w:pPr>
        <w:pStyle w:val="2"/>
        <w:spacing w:line="400" w:lineRule="exact"/>
        <w:rPr>
          <w:rFonts w:hint="eastAsia" w:ascii="宋体" w:hAnsi="宋体" w:eastAsia="宋体"/>
          <w:szCs w:val="21"/>
          <w:lang w:val="en-US" w:eastAsia="zh-CN"/>
        </w:rPr>
      </w:pPr>
      <w:r>
        <w:rPr>
          <w:rFonts w:hint="eastAsia" w:ascii="宋体" w:hAnsi="宋体" w:eastAsia="宋体"/>
          <w:szCs w:val="21"/>
          <w:lang w:val="en-US" w:eastAsia="zh-CN"/>
        </w:rPr>
        <w:t>5、乙方不得将本合同项目转包或分包给第三方，否则甲方有权单方终止本合同，乙方应承担因此给甲方造成的经济损失，包括但不限于依法应重新招标产生的各项费用、甲方向乙方追偿而支出的律师费、诉讼费等。</w:t>
      </w:r>
    </w:p>
    <w:p w14:paraId="53B47459">
      <w:pPr>
        <w:pStyle w:val="15"/>
        <w:pageBreakBefore w:val="0"/>
        <w:kinsoku/>
        <w:overflowPunct/>
        <w:topLinePunct w:val="0"/>
        <w:bidi w:val="0"/>
        <w:spacing w:line="240" w:lineRule="auto"/>
        <w:ind w:firstLine="422" w:firstLineChars="200"/>
        <w:rPr>
          <w:rFonts w:hAnsi="宋体"/>
          <w:b/>
          <w:bCs/>
          <w:sz w:val="21"/>
        </w:rPr>
      </w:pPr>
      <w:r>
        <w:rPr>
          <w:rFonts w:hint="eastAsia" w:hAnsi="宋体"/>
          <w:b/>
          <w:bCs/>
          <w:sz w:val="21"/>
          <w:lang w:val="en-US" w:eastAsia="zh-CN"/>
        </w:rPr>
        <w:t>十</w:t>
      </w:r>
      <w:r>
        <w:rPr>
          <w:rFonts w:hint="eastAsia" w:hAnsi="宋体"/>
          <w:b/>
          <w:bCs/>
          <w:sz w:val="21"/>
        </w:rPr>
        <w:t>、其他事项</w:t>
      </w:r>
    </w:p>
    <w:p w14:paraId="13368581">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1、如遇突发或重大事件，乙方管理人员应在第一时间报告甲方有关部门，乙方项目负责人应在第一时间到达现场，适时处理或协助处理有关问题，甲方如认为情况危及到甲方的安定管理，乙方应无条件同意甲方直接调配乙方资源直至危机结束。</w:t>
      </w:r>
    </w:p>
    <w:p w14:paraId="515431D0">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2、委托管理楼宇内的设施，每年被盗率不得超过</w:t>
      </w:r>
      <w:r>
        <w:rPr>
          <w:rFonts w:hint="eastAsia" w:ascii="宋体" w:hAnsi="宋体"/>
          <w:color w:val="000000" w:themeColor="text1"/>
          <w:szCs w:val="21"/>
          <w14:textFill>
            <w14:solidFill>
              <w14:schemeClr w14:val="tx1"/>
            </w14:solidFill>
          </w14:textFill>
        </w:rPr>
        <w:t>1‰</w:t>
      </w:r>
      <w:r>
        <w:rPr>
          <w:rFonts w:hint="eastAsia" w:ascii="宋体" w:hAnsi="宋体"/>
          <w:szCs w:val="21"/>
        </w:rPr>
        <w:t>件，超过此比率的，由乙方全额赔偿。委托管理区域内发生人身伤害事故，按照物业管理有关的法律、法规、文件规定，乙方承担相应的管理责任。</w:t>
      </w:r>
    </w:p>
    <w:p w14:paraId="43527F03">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3、乙方人员必须严格遵守操作规程，如因违反操作规程而造成甲方财物损失的，乙方应负全部赔偿责任。</w:t>
      </w:r>
      <w:r>
        <w:rPr>
          <w:rFonts w:ascii="宋体" w:hAnsi="宋体"/>
          <w:szCs w:val="21"/>
        </w:rPr>
        <w:t>因房屋建筑质量、设备设施质量或安装技术等原因，达不到使用功能，造成重大事故的，由甲方承担责任并作善后处理，产生质量事故的直接原因，以政府主管部门的鉴定为准。</w:t>
      </w:r>
    </w:p>
    <w:p w14:paraId="21B4BEFB">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4、由于乙方原因而损坏甲方财产的，由乙方负责赔偿。因甲方原因，造成乙方未完成规定管理目标或直接造成乙方经济损失的，甲方应给予乙方相应补偿。</w:t>
      </w:r>
    </w:p>
    <w:p w14:paraId="345F7E21">
      <w:pPr>
        <w:pageBreakBefore w:val="0"/>
        <w:kinsoku/>
        <w:overflowPunct/>
        <w:topLinePunct w:val="0"/>
        <w:bidi w:val="0"/>
        <w:spacing w:line="240"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w:t>
      </w:r>
      <w:r>
        <w:rPr>
          <w:rFonts w:hint="eastAsia" w:ascii="宋体" w:hAnsi="宋体"/>
          <w:b/>
          <w:color w:val="000000" w:themeColor="text1"/>
          <w:szCs w:val="21"/>
          <w:lang w:val="en-US" w:eastAsia="zh-CN"/>
          <w14:textFill>
            <w14:solidFill>
              <w14:schemeClr w14:val="tx1"/>
            </w14:solidFill>
          </w14:textFill>
        </w:rPr>
        <w:t>一</w:t>
      </w:r>
      <w:r>
        <w:rPr>
          <w:rFonts w:hint="eastAsia" w:ascii="宋体" w:hAnsi="宋体"/>
          <w:b/>
          <w:color w:val="000000" w:themeColor="text1"/>
          <w:szCs w:val="21"/>
          <w14:textFill>
            <w14:solidFill>
              <w14:schemeClr w14:val="tx1"/>
            </w14:solidFill>
          </w14:textFill>
        </w:rPr>
        <w:t>、不可抗力</w:t>
      </w:r>
      <w:r>
        <w:rPr>
          <w:rFonts w:hint="eastAsia" w:ascii="宋体" w:hAnsi="宋体"/>
          <w:color w:val="000000" w:themeColor="text1"/>
          <w:szCs w:val="21"/>
          <w14:textFill>
            <w14:solidFill>
              <w14:schemeClr w14:val="tx1"/>
            </w14:solidFill>
          </w14:textFill>
        </w:rPr>
        <w:t>：由于不可抗力的原因不能履行合同时，应及时向对方通报不能履行或不能完全履行的理由，在取得有关权威部门的证明以后，允许延期履行、部分履行或者不履行合同，并根据情况可部分或全部免予承担违约责任。</w:t>
      </w:r>
    </w:p>
    <w:p w14:paraId="7BE97524">
      <w:pPr>
        <w:pageBreakBefore w:val="0"/>
        <w:kinsoku/>
        <w:overflowPunct/>
        <w:topLinePunct w:val="0"/>
        <w:bidi w:val="0"/>
        <w:spacing w:line="24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w:t>
      </w:r>
      <w:r>
        <w:rPr>
          <w:rFonts w:hint="eastAsia" w:ascii="宋体" w:hAnsi="宋体"/>
          <w:b/>
          <w:color w:val="000000" w:themeColor="text1"/>
          <w:szCs w:val="21"/>
          <w:lang w:val="en-US" w:eastAsia="zh-CN"/>
          <w14:textFill>
            <w14:solidFill>
              <w14:schemeClr w14:val="tx1"/>
            </w14:solidFill>
          </w14:textFill>
        </w:rPr>
        <w:t>二</w:t>
      </w:r>
      <w:r>
        <w:rPr>
          <w:rFonts w:hint="eastAsia" w:ascii="宋体" w:hAnsi="宋体"/>
          <w:b/>
          <w:color w:val="000000" w:themeColor="text1"/>
          <w:szCs w:val="21"/>
          <w14:textFill>
            <w14:solidFill>
              <w14:schemeClr w14:val="tx1"/>
            </w14:solidFill>
          </w14:textFill>
        </w:rPr>
        <w:t>、本合同的其他组成文件：</w:t>
      </w:r>
    </w:p>
    <w:p w14:paraId="424CC2A6">
      <w:pPr>
        <w:pageBreakBefore w:val="0"/>
        <w:kinsoku/>
        <w:overflowPunct/>
        <w:topLinePunct w:val="0"/>
        <w:bidi w:val="0"/>
        <w:spacing w:line="24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1、采购文件（含补充、修改文件）</w:t>
      </w:r>
    </w:p>
    <w:p w14:paraId="236FB01B">
      <w:pPr>
        <w:pageBreakBefore w:val="0"/>
        <w:kinsoku/>
        <w:overflowPunct/>
        <w:topLinePunct w:val="0"/>
        <w:bidi w:val="0"/>
        <w:spacing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2、乙方的投标文件（含澄清、补充文件）</w:t>
      </w:r>
    </w:p>
    <w:p w14:paraId="680A0A9A">
      <w:pPr>
        <w:spacing w:line="240" w:lineRule="auto"/>
        <w:ind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s="Times New Roman"/>
          <w:color w:val="000000" w:themeColor="text1"/>
          <w:kern w:val="2"/>
          <w:szCs w:val="21"/>
          <w:lang w:val="en-US" w:eastAsia="zh-CN"/>
          <w14:textFill>
            <w14:solidFill>
              <w14:schemeClr w14:val="tx1"/>
            </w14:solidFill>
          </w14:textFill>
        </w:rPr>
        <w:t>3、</w:t>
      </w:r>
      <w:r>
        <w:rPr>
          <w:rFonts w:hint="eastAsia" w:ascii="宋体" w:hAnsi="宋体" w:eastAsia="宋体"/>
          <w:color w:val="000000" w:themeColor="text1"/>
          <w:szCs w:val="21"/>
          <w14:textFill>
            <w14:solidFill>
              <w14:schemeClr w14:val="tx1"/>
            </w14:solidFill>
          </w14:textFill>
        </w:rPr>
        <w:t>投标承诺书；</w:t>
      </w:r>
    </w:p>
    <w:p w14:paraId="51020EF5">
      <w:pPr>
        <w:spacing w:line="240" w:lineRule="auto"/>
        <w:ind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s="Times New Roman"/>
          <w:color w:val="000000" w:themeColor="text1"/>
          <w:kern w:val="2"/>
          <w:szCs w:val="21"/>
          <w:lang w:val="en-US" w:eastAsia="zh-CN"/>
          <w14:textFill>
            <w14:solidFill>
              <w14:schemeClr w14:val="tx1"/>
            </w14:solidFill>
          </w14:textFill>
        </w:rPr>
        <w:t>4、</w:t>
      </w:r>
      <w:r>
        <w:rPr>
          <w:rFonts w:hint="eastAsia" w:ascii="宋体" w:hAnsi="宋体" w:eastAsia="宋体"/>
          <w:color w:val="000000" w:themeColor="text1"/>
          <w:szCs w:val="21"/>
          <w14:textFill>
            <w14:solidFill>
              <w14:schemeClr w14:val="tx1"/>
            </w14:solidFill>
          </w14:textFill>
        </w:rPr>
        <w:t>中标通知书。</w:t>
      </w:r>
    </w:p>
    <w:p w14:paraId="084E3F51">
      <w:pPr>
        <w:pageBreakBefore w:val="0"/>
        <w:kinsoku/>
        <w:overflowPunct/>
        <w:topLinePunct w:val="0"/>
        <w:bidi w:val="0"/>
        <w:spacing w:line="240"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w:t>
      </w:r>
      <w:r>
        <w:rPr>
          <w:rFonts w:hint="eastAsia" w:ascii="宋体" w:hAnsi="宋体"/>
          <w:b/>
          <w:color w:val="000000" w:themeColor="text1"/>
          <w:szCs w:val="21"/>
          <w:lang w:val="en-US" w:eastAsia="zh-CN"/>
          <w14:textFill>
            <w14:solidFill>
              <w14:schemeClr w14:val="tx1"/>
            </w14:solidFill>
          </w14:textFill>
        </w:rPr>
        <w:t>三</w:t>
      </w:r>
      <w:r>
        <w:rPr>
          <w:rFonts w:hint="eastAsia" w:ascii="宋体" w:hAnsi="宋体"/>
          <w:b/>
          <w:color w:val="000000" w:themeColor="text1"/>
          <w:szCs w:val="21"/>
          <w14:textFill>
            <w14:solidFill>
              <w14:schemeClr w14:val="tx1"/>
            </w14:solidFill>
          </w14:textFill>
        </w:rPr>
        <w:t>、合同补充和修改</w:t>
      </w:r>
      <w:r>
        <w:rPr>
          <w:rFonts w:hint="eastAsia" w:ascii="宋体" w:hAnsi="宋体"/>
          <w:color w:val="000000" w:themeColor="text1"/>
          <w:szCs w:val="21"/>
          <w14:textFill>
            <w14:solidFill>
              <w14:schemeClr w14:val="tx1"/>
            </w14:solidFill>
          </w14:textFill>
        </w:rPr>
        <w:t>：对合同条款作任何改动或偏离，增加补充条款，均须由甲、乙双方签订书面的补充合同。</w:t>
      </w:r>
    </w:p>
    <w:p w14:paraId="7EB0A39B">
      <w:pPr>
        <w:pageBreakBefore w:val="0"/>
        <w:kinsoku/>
        <w:overflowPunct/>
        <w:topLinePunct w:val="0"/>
        <w:bidi w:val="0"/>
        <w:spacing w:line="24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w:t>
      </w:r>
      <w:r>
        <w:rPr>
          <w:rFonts w:hint="eastAsia" w:ascii="宋体" w:hAnsi="宋体"/>
          <w:b/>
          <w:color w:val="000000" w:themeColor="text1"/>
          <w:szCs w:val="21"/>
          <w:lang w:val="en-US" w:eastAsia="zh-CN"/>
          <w14:textFill>
            <w14:solidFill>
              <w14:schemeClr w14:val="tx1"/>
            </w14:solidFill>
          </w14:textFill>
        </w:rPr>
        <w:t>四</w:t>
      </w:r>
      <w:r>
        <w:rPr>
          <w:rFonts w:hint="eastAsia" w:ascii="宋体" w:hAnsi="宋体"/>
          <w:b/>
          <w:color w:val="000000" w:themeColor="text1"/>
          <w:szCs w:val="21"/>
          <w14:textFill>
            <w14:solidFill>
              <w14:schemeClr w14:val="tx1"/>
            </w14:solidFill>
          </w14:textFill>
        </w:rPr>
        <w:t>、违约终止合同</w:t>
      </w:r>
    </w:p>
    <w:p w14:paraId="36379321">
      <w:pPr>
        <w:pageBreakBefore w:val="0"/>
        <w:kinsoku/>
        <w:overflowPunct/>
        <w:topLinePunct w:val="0"/>
        <w:bidi w:val="0"/>
        <w:spacing w:line="24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1、在乙方收到甲方发出的违约通知后</w:t>
      </w:r>
      <w:r>
        <w:rPr>
          <w:rFonts w:hint="eastAsia" w:ascii="宋体" w:hAnsi="宋体"/>
          <w:color w:val="000000" w:themeColor="text1"/>
          <w:szCs w:val="21"/>
          <w:u w:val="single"/>
          <w14:textFill>
            <w14:solidFill>
              <w14:schemeClr w14:val="tx1"/>
            </w14:solidFill>
          </w14:textFill>
        </w:rPr>
        <w:t>10</w:t>
      </w:r>
      <w:r>
        <w:rPr>
          <w:rFonts w:hint="eastAsia" w:ascii="宋体" w:hAnsi="宋体"/>
          <w:color w:val="000000" w:themeColor="text1"/>
          <w:szCs w:val="21"/>
          <w14:textFill>
            <w14:solidFill>
              <w14:schemeClr w14:val="tx1"/>
            </w14:solidFill>
          </w14:textFill>
        </w:rPr>
        <w:t>天内，乙方仍未纠正其下述任何一种违约行为，甲方可向乙方发出终止合同通知，终止部分或全部合同，由此带来的一切损失由乙方承担：</w:t>
      </w:r>
    </w:p>
    <w:p w14:paraId="7FF4CEBB">
      <w:pPr>
        <w:pageBreakBefore w:val="0"/>
        <w:kinsoku/>
        <w:overflowPunct/>
        <w:topLinePunct w:val="0"/>
        <w:bidi w:val="0"/>
        <w:spacing w:line="24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（1）乙方未能在合同规定的期限内及时进场；</w:t>
      </w:r>
    </w:p>
    <w:p w14:paraId="2D86E0C9">
      <w:pPr>
        <w:pageBreakBefore w:val="0"/>
        <w:kinsoku/>
        <w:overflowPunct/>
        <w:topLinePunct w:val="0"/>
        <w:bidi w:val="0"/>
        <w:spacing w:line="24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（2）乙方提供的服务质量不符合合同规定，且未及时纠正的；</w:t>
      </w:r>
    </w:p>
    <w:p w14:paraId="050662C6">
      <w:pPr>
        <w:pageBreakBefore w:val="0"/>
        <w:kinsoku/>
        <w:overflowPunct/>
        <w:topLinePunct w:val="0"/>
        <w:bidi w:val="0"/>
        <w:spacing w:line="240" w:lineRule="auto"/>
        <w:ind w:firstLine="420" w:firstLineChars="200"/>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hAnsi="宋体"/>
          <w:color w:val="000000" w:themeColor="text1"/>
          <w:szCs w:val="21"/>
          <w:lang w:val="en-US" w:eastAsia="zh-CN"/>
          <w14:textFill>
            <w14:solidFill>
              <w14:schemeClr w14:val="tx1"/>
            </w14:solidFill>
          </w14:textFill>
        </w:rPr>
        <w:t>乙方违法转包、分包的；</w:t>
      </w:r>
    </w:p>
    <w:p w14:paraId="7116DFB4">
      <w:pPr>
        <w:pageBreakBefore w:val="0"/>
        <w:kinsoku/>
        <w:overflowPunct/>
        <w:topLinePunct w:val="0"/>
        <w:bidi w:val="0"/>
        <w:spacing w:line="240" w:lineRule="auto"/>
        <w:ind w:firstLine="420" w:firstLineChars="200"/>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4）其他合同或招标文件约定的甲方有权单独解除合同的情形</w:t>
      </w:r>
      <w:r>
        <w:rPr>
          <w:rFonts w:hint="eastAsia" w:ascii="宋体" w:hAnsi="宋体"/>
          <w:color w:val="000000" w:themeColor="text1"/>
          <w:szCs w:val="21"/>
          <w:lang w:eastAsia="zh-CN"/>
          <w14:textFill>
            <w14:solidFill>
              <w14:schemeClr w14:val="tx1"/>
            </w14:solidFill>
          </w14:textFill>
        </w:rPr>
        <w:t>。</w:t>
      </w:r>
    </w:p>
    <w:p w14:paraId="54F2AFA6">
      <w:pPr>
        <w:pageBreakBefore w:val="0"/>
        <w:kinsoku/>
        <w:overflowPunct/>
        <w:topLinePunct w:val="0"/>
        <w:bidi w:val="0"/>
        <w:spacing w:line="24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2、甲方终止部分合同，甲方可以按适当的条件和方式采购类似的由于乙方未交付部分的服务；乙方应承担甲方购买类似服务的额外费用并继续履行合同中未终止的部分。</w:t>
      </w:r>
    </w:p>
    <w:p w14:paraId="2C69AE2D">
      <w:pPr>
        <w:pageBreakBefore w:val="0"/>
        <w:kinsoku/>
        <w:overflowPunct/>
        <w:topLinePunct w:val="0"/>
        <w:bidi w:val="0"/>
        <w:spacing w:line="24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w:t>
      </w:r>
      <w:r>
        <w:rPr>
          <w:rFonts w:hint="eastAsia" w:ascii="宋体" w:hAnsi="宋体"/>
          <w:b/>
          <w:color w:val="000000" w:themeColor="text1"/>
          <w:szCs w:val="21"/>
          <w:lang w:val="en-US" w:eastAsia="zh-CN"/>
          <w14:textFill>
            <w14:solidFill>
              <w14:schemeClr w14:val="tx1"/>
            </w14:solidFill>
          </w14:textFill>
        </w:rPr>
        <w:t>五</w:t>
      </w:r>
      <w:r>
        <w:rPr>
          <w:rFonts w:hint="eastAsia" w:ascii="宋体" w:hAnsi="宋体"/>
          <w:b/>
          <w:color w:val="000000" w:themeColor="text1"/>
          <w:szCs w:val="21"/>
          <w14:textFill>
            <w14:solidFill>
              <w14:schemeClr w14:val="tx1"/>
            </w14:solidFill>
          </w14:textFill>
        </w:rPr>
        <w:t>、破产终止合同</w:t>
      </w:r>
    </w:p>
    <w:p w14:paraId="3562B24E">
      <w:pPr>
        <w:pageBreakBefore w:val="0"/>
        <w:kinsoku/>
        <w:overflowPunct/>
        <w:topLinePunct w:val="0"/>
        <w:bidi w:val="0"/>
        <w:spacing w:line="24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1、当乙方破产或无清偿能力时，乙方应书面通知甲方终止合同，在甲方知情而未收到乙方终止合同书面通知时，甲方亦可书面通知乙方终止合同。</w:t>
      </w:r>
    </w:p>
    <w:p w14:paraId="42AD9D66">
      <w:pPr>
        <w:pageBreakBefore w:val="0"/>
        <w:kinsoku/>
        <w:overflowPunct/>
        <w:topLinePunct w:val="0"/>
        <w:bidi w:val="0"/>
        <w:spacing w:line="24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2、因不可抗力的自然灾害原因造成自然终止合同时按破产终止合同办法终止合同。</w:t>
      </w:r>
    </w:p>
    <w:p w14:paraId="6441AA79">
      <w:pPr>
        <w:pageBreakBefore w:val="0"/>
        <w:kinsoku/>
        <w:overflowPunct/>
        <w:topLinePunct w:val="0"/>
        <w:bidi w:val="0"/>
        <w:spacing w:line="240" w:lineRule="auto"/>
        <w:ind w:firstLine="422" w:firstLineChars="200"/>
        <w:jc w:val="lef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w:t>
      </w:r>
      <w:r>
        <w:rPr>
          <w:rFonts w:hint="eastAsia" w:ascii="宋体" w:hAnsi="宋体"/>
          <w:b/>
          <w:color w:val="000000" w:themeColor="text1"/>
          <w:szCs w:val="21"/>
          <w:lang w:val="en-US" w:eastAsia="zh-CN"/>
          <w14:textFill>
            <w14:solidFill>
              <w14:schemeClr w14:val="tx1"/>
            </w14:solidFill>
          </w14:textFill>
        </w:rPr>
        <w:t>六</w:t>
      </w:r>
      <w:r>
        <w:rPr>
          <w:rFonts w:hint="eastAsia" w:ascii="宋体" w:hAnsi="宋体"/>
          <w:b/>
          <w:color w:val="000000" w:themeColor="text1"/>
          <w:szCs w:val="21"/>
          <w14:textFill>
            <w14:solidFill>
              <w14:schemeClr w14:val="tx1"/>
            </w14:solidFill>
          </w14:textFill>
        </w:rPr>
        <w:t>、</w:t>
      </w:r>
      <w:r>
        <w:rPr>
          <w:rFonts w:hint="eastAsia" w:ascii="宋体" w:hAnsi="宋体"/>
          <w:b/>
          <w:color w:val="000000" w:themeColor="text1"/>
          <w:szCs w:val="21"/>
          <w:lang w:val="en-US" w:eastAsia="zh-CN"/>
          <w14:textFill>
            <w14:solidFill>
              <w14:schemeClr w14:val="tx1"/>
            </w14:solidFill>
          </w14:textFill>
        </w:rPr>
        <w:t>争议解决</w:t>
      </w:r>
      <w:r>
        <w:rPr>
          <w:rFonts w:hint="eastAsia" w:ascii="宋体" w:hAnsi="宋体"/>
          <w:color w:val="000000" w:themeColor="text1"/>
          <w:szCs w:val="21"/>
          <w14:textFill>
            <w14:solidFill>
              <w14:schemeClr w14:val="tx1"/>
            </w14:solidFill>
          </w14:textFill>
        </w:rPr>
        <w:t>：如发生合同纠纷，甲、乙双方协商解决；协商不成时，可提请政府采购管理部门调解；调解不成，双方约定向甲方所在地人民法院提起</w:t>
      </w:r>
      <w:r>
        <w:rPr>
          <w:rFonts w:hint="eastAsia" w:ascii="宋体" w:hAnsi="宋体"/>
          <w:color w:val="000000" w:themeColor="text1"/>
          <w:szCs w:val="21"/>
          <w:lang w:val="en-US" w:eastAsia="zh-CN"/>
          <w14:textFill>
            <w14:solidFill>
              <w14:schemeClr w14:val="tx1"/>
            </w14:solidFill>
          </w14:textFill>
        </w:rPr>
        <w:t>诉讼。</w:t>
      </w:r>
      <w:r>
        <w:rPr>
          <w:rFonts w:hint="eastAsia" w:ascii="宋体" w:hAnsi="宋体"/>
          <w:color w:val="000000" w:themeColor="text1"/>
          <w:szCs w:val="21"/>
          <w14:textFill>
            <w14:solidFill>
              <w14:schemeClr w14:val="tx1"/>
            </w14:solidFill>
          </w14:textFill>
        </w:rPr>
        <w:t xml:space="preserve">                    。</w:t>
      </w:r>
    </w:p>
    <w:p w14:paraId="5CEF2AA4">
      <w:pPr>
        <w:pageBreakBefore w:val="0"/>
        <w:kinsoku/>
        <w:overflowPunct/>
        <w:topLinePunct w:val="0"/>
        <w:bidi w:val="0"/>
        <w:spacing w:line="240"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w:t>
      </w:r>
      <w:r>
        <w:rPr>
          <w:rFonts w:hint="eastAsia" w:ascii="宋体" w:hAnsi="宋体"/>
          <w:b/>
          <w:color w:val="000000" w:themeColor="text1"/>
          <w:szCs w:val="21"/>
          <w:lang w:val="en-US" w:eastAsia="zh-CN"/>
          <w14:textFill>
            <w14:solidFill>
              <w14:schemeClr w14:val="tx1"/>
            </w14:solidFill>
          </w14:textFill>
        </w:rPr>
        <w:t>七</w:t>
      </w:r>
      <w:r>
        <w:rPr>
          <w:rFonts w:hint="eastAsia" w:ascii="宋体" w:hAnsi="宋体"/>
          <w:b/>
          <w:color w:val="000000" w:themeColor="text1"/>
          <w:szCs w:val="21"/>
          <w14:textFill>
            <w14:solidFill>
              <w14:schemeClr w14:val="tx1"/>
            </w14:solidFill>
          </w14:textFill>
        </w:rPr>
        <w:t>、未尽事宜</w:t>
      </w:r>
      <w:r>
        <w:rPr>
          <w:rFonts w:hint="eastAsia" w:ascii="宋体" w:hAnsi="宋体"/>
          <w:color w:val="000000" w:themeColor="text1"/>
          <w:szCs w:val="21"/>
          <w14:textFill>
            <w14:solidFill>
              <w14:schemeClr w14:val="tx1"/>
            </w14:solidFill>
          </w14:textFill>
        </w:rPr>
        <w:t>：合同如有未尽事宜，须经甲、乙方双方共同协商，作出补充约定；补充约定与本合同具有同等效力。</w:t>
      </w:r>
    </w:p>
    <w:p w14:paraId="327A5083">
      <w:pPr>
        <w:pageBreakBefore w:val="0"/>
        <w:kinsoku/>
        <w:overflowPunct/>
        <w:topLinePunct w:val="0"/>
        <w:bidi w:val="0"/>
        <w:spacing w:line="240" w:lineRule="auto"/>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w:t>
      </w:r>
      <w:r>
        <w:rPr>
          <w:rFonts w:hint="eastAsia" w:ascii="宋体" w:hAnsi="宋体"/>
          <w:b/>
          <w:color w:val="000000" w:themeColor="text1"/>
          <w:szCs w:val="21"/>
          <w:lang w:val="en-US" w:eastAsia="zh-CN"/>
          <w14:textFill>
            <w14:solidFill>
              <w14:schemeClr w14:val="tx1"/>
            </w14:solidFill>
          </w14:textFill>
        </w:rPr>
        <w:t>八</w:t>
      </w:r>
      <w:r>
        <w:rPr>
          <w:rFonts w:hint="eastAsia" w:ascii="宋体" w:hAnsi="宋体"/>
          <w:b/>
          <w:color w:val="000000" w:themeColor="text1"/>
          <w:szCs w:val="21"/>
          <w14:textFill>
            <w14:solidFill>
              <w14:schemeClr w14:val="tx1"/>
            </w14:solidFill>
          </w14:textFill>
        </w:rPr>
        <w:t>、</w:t>
      </w:r>
      <w:r>
        <w:rPr>
          <w:rFonts w:hint="eastAsia" w:ascii="宋体" w:hAnsi="宋体"/>
          <w:b/>
          <w:color w:val="000000" w:themeColor="text1"/>
          <w:szCs w:val="21"/>
          <w:lang w:val="en-US" w:eastAsia="zh-CN"/>
          <w14:textFill>
            <w14:solidFill>
              <w14:schemeClr w14:val="tx1"/>
            </w14:solidFill>
          </w14:textFill>
        </w:rPr>
        <w:t>其他</w:t>
      </w:r>
      <w:r>
        <w:rPr>
          <w:rFonts w:hint="eastAsia" w:ascii="宋体" w:hAnsi="宋体"/>
          <w:b/>
          <w:color w:val="000000" w:themeColor="text1"/>
          <w:szCs w:val="21"/>
          <w14:textFill>
            <w14:solidFill>
              <w14:schemeClr w14:val="tx1"/>
            </w14:solidFill>
          </w14:textFill>
        </w:rPr>
        <w:t>：</w:t>
      </w:r>
    </w:p>
    <w:p w14:paraId="2B0C3EE2">
      <w:pPr>
        <w:pageBreakBefore w:val="0"/>
        <w:numPr>
          <w:ilvl w:val="0"/>
          <w:numId w:val="8"/>
        </w:numPr>
        <w:kinsoku/>
        <w:overflowPunct/>
        <w:topLinePunct w:val="0"/>
        <w:bidi w:val="0"/>
        <w:spacing w:line="400" w:lineRule="exact"/>
        <w:ind w:firstLine="420" w:firstLineChars="200"/>
        <w:rPr>
          <w:rFonts w:hint="eastAsia" w:ascii="宋体" w:hAnsi="宋体"/>
          <w:szCs w:val="21"/>
        </w:rPr>
      </w:pPr>
      <w:r>
        <w:rPr>
          <w:rFonts w:hint="eastAsia" w:ascii="宋体" w:hAnsi="宋体"/>
          <w:szCs w:val="21"/>
        </w:rPr>
        <w:t>本合同一式四份，甲方、乙方各一份，政府采购管理部门一份，采购代理机构一份。本合同经甲、乙双方</w:t>
      </w:r>
      <w:r>
        <w:rPr>
          <w:rFonts w:hint="eastAsia" w:ascii="宋体" w:hAnsi="宋体"/>
          <w:szCs w:val="21"/>
          <w:lang w:val="en-US" w:eastAsia="zh-CN"/>
        </w:rPr>
        <w:t>法定代表人或授权代表签字并加</w:t>
      </w:r>
      <w:r>
        <w:rPr>
          <w:rFonts w:hint="eastAsia" w:ascii="宋体" w:hAnsi="宋体"/>
          <w:szCs w:val="21"/>
        </w:rPr>
        <w:t>盖</w:t>
      </w:r>
      <w:r>
        <w:rPr>
          <w:rFonts w:hint="eastAsia" w:ascii="宋体" w:hAnsi="宋体"/>
          <w:szCs w:val="21"/>
          <w:lang w:val="en-US" w:eastAsia="zh-CN"/>
        </w:rPr>
        <w:t>双方公</w:t>
      </w:r>
      <w:r>
        <w:rPr>
          <w:rFonts w:hint="eastAsia" w:ascii="宋体" w:hAnsi="宋体"/>
          <w:szCs w:val="21"/>
        </w:rPr>
        <w:t>章后生效。</w:t>
      </w:r>
    </w:p>
    <w:p w14:paraId="7564882C">
      <w:pPr>
        <w:pStyle w:val="2"/>
        <w:numPr>
          <w:ilvl w:val="0"/>
          <w:numId w:val="8"/>
        </w:numPr>
        <w:spacing w:line="400" w:lineRule="exact"/>
        <w:rPr>
          <w:rFonts w:hint="eastAsia" w:ascii="宋体" w:hAnsi="宋体" w:eastAsia="宋体"/>
          <w:szCs w:val="21"/>
        </w:rPr>
      </w:pPr>
      <w:r>
        <w:rPr>
          <w:rFonts w:hint="eastAsia" w:ascii="宋体" w:hAnsi="宋体" w:eastAsia="宋体"/>
          <w:szCs w:val="21"/>
        </w:rPr>
        <w:t>双方确认本合同落款通讯地址作为文书送达地址，该通讯地址适用于包括双方合同履行过程中的各类通知、协议等文件以及就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tbl>
      <w:tblPr>
        <w:tblStyle w:val="20"/>
        <w:tblW w:w="8573" w:type="dxa"/>
        <w:tblInd w:w="108" w:type="dxa"/>
        <w:tblLayout w:type="fixed"/>
        <w:tblCellMar>
          <w:top w:w="0" w:type="dxa"/>
          <w:left w:w="108" w:type="dxa"/>
          <w:bottom w:w="0" w:type="dxa"/>
          <w:right w:w="108" w:type="dxa"/>
        </w:tblCellMar>
      </w:tblPr>
      <w:tblGrid>
        <w:gridCol w:w="4664"/>
        <w:gridCol w:w="3909"/>
      </w:tblGrid>
      <w:tr w14:paraId="385763D1">
        <w:tblPrEx>
          <w:tblCellMar>
            <w:top w:w="0" w:type="dxa"/>
            <w:left w:w="108" w:type="dxa"/>
            <w:bottom w:w="0" w:type="dxa"/>
            <w:right w:w="108" w:type="dxa"/>
          </w:tblCellMar>
        </w:tblPrEx>
        <w:trPr>
          <w:cantSplit/>
          <w:trHeight w:val="2608" w:hRule="atLeast"/>
        </w:trPr>
        <w:tc>
          <w:tcPr>
            <w:tcW w:w="4664" w:type="dxa"/>
            <w:noWrap w:val="0"/>
            <w:vAlign w:val="top"/>
          </w:tcPr>
          <w:p w14:paraId="7C271C66">
            <w:pPr>
              <w:pStyle w:val="15"/>
              <w:pageBreakBefore w:val="0"/>
              <w:kinsoku/>
              <w:overflowPunct/>
              <w:topLinePunct w:val="0"/>
              <w:bidi w:val="0"/>
              <w:spacing w:line="240" w:lineRule="auto"/>
              <w:ind w:firstLine="420" w:firstLineChars="200"/>
              <w:rPr>
                <w:rFonts w:hAnsi="宋体"/>
                <w:bCs/>
                <w:sz w:val="21"/>
              </w:rPr>
            </w:pPr>
            <w:r>
              <w:rPr>
                <w:rFonts w:hint="eastAsia" w:hAnsi="宋体"/>
                <w:bCs/>
                <w:sz w:val="21"/>
              </w:rPr>
              <w:t>甲方（盖章）</w:t>
            </w:r>
          </w:p>
          <w:p w14:paraId="213D88CC">
            <w:pPr>
              <w:pStyle w:val="15"/>
              <w:pageBreakBefore w:val="0"/>
              <w:kinsoku/>
              <w:overflowPunct/>
              <w:topLinePunct w:val="0"/>
              <w:bidi w:val="0"/>
              <w:spacing w:line="240" w:lineRule="auto"/>
              <w:ind w:firstLine="420" w:firstLineChars="200"/>
              <w:rPr>
                <w:rFonts w:hAnsi="宋体"/>
                <w:bCs/>
                <w:sz w:val="21"/>
              </w:rPr>
            </w:pPr>
          </w:p>
          <w:p w14:paraId="40ED6DAA">
            <w:pPr>
              <w:pStyle w:val="15"/>
              <w:pageBreakBefore w:val="0"/>
              <w:kinsoku/>
              <w:overflowPunct/>
              <w:topLinePunct w:val="0"/>
              <w:bidi w:val="0"/>
              <w:spacing w:line="240" w:lineRule="auto"/>
              <w:ind w:firstLine="420" w:firstLineChars="200"/>
              <w:rPr>
                <w:rFonts w:hAnsi="宋体"/>
                <w:bCs/>
                <w:sz w:val="21"/>
              </w:rPr>
            </w:pPr>
          </w:p>
          <w:p w14:paraId="10112CB5">
            <w:pPr>
              <w:pStyle w:val="15"/>
              <w:pageBreakBefore w:val="0"/>
              <w:kinsoku/>
              <w:overflowPunct/>
              <w:topLinePunct w:val="0"/>
              <w:bidi w:val="0"/>
              <w:spacing w:line="240" w:lineRule="auto"/>
              <w:ind w:firstLine="420" w:firstLineChars="200"/>
              <w:rPr>
                <w:rFonts w:hAnsi="宋体"/>
                <w:bCs/>
                <w:sz w:val="21"/>
              </w:rPr>
            </w:pPr>
            <w:r>
              <w:rPr>
                <w:rFonts w:hint="eastAsia" w:hAnsi="宋体"/>
                <w:bCs/>
                <w:sz w:val="21"/>
                <w:lang w:val="en-US" w:eastAsia="zh-CN"/>
              </w:rPr>
              <w:t>法定代表人/</w:t>
            </w:r>
            <w:r>
              <w:rPr>
                <w:rFonts w:hint="eastAsia" w:hAnsi="宋体"/>
                <w:bCs/>
                <w:sz w:val="21"/>
              </w:rPr>
              <w:t>授权代表（签字）：</w:t>
            </w:r>
          </w:p>
          <w:p w14:paraId="067B73B9">
            <w:pPr>
              <w:pStyle w:val="15"/>
              <w:pageBreakBefore w:val="0"/>
              <w:kinsoku/>
              <w:overflowPunct/>
              <w:topLinePunct w:val="0"/>
              <w:bidi w:val="0"/>
              <w:spacing w:line="240" w:lineRule="auto"/>
              <w:ind w:firstLine="420" w:firstLineChars="200"/>
              <w:rPr>
                <w:rFonts w:hAnsi="宋体"/>
                <w:bCs/>
                <w:sz w:val="21"/>
              </w:rPr>
            </w:pPr>
          </w:p>
          <w:p w14:paraId="13EC2CE2">
            <w:pPr>
              <w:pStyle w:val="15"/>
              <w:pageBreakBefore w:val="0"/>
              <w:kinsoku/>
              <w:overflowPunct/>
              <w:topLinePunct w:val="0"/>
              <w:bidi w:val="0"/>
              <w:spacing w:line="240" w:lineRule="auto"/>
              <w:ind w:firstLine="420" w:firstLineChars="200"/>
              <w:rPr>
                <w:rFonts w:hAnsi="宋体"/>
                <w:bCs/>
                <w:sz w:val="21"/>
              </w:rPr>
            </w:pPr>
            <w:r>
              <w:rPr>
                <w:rFonts w:hint="eastAsia" w:hAnsi="宋体"/>
                <w:bCs/>
                <w:sz w:val="21"/>
              </w:rPr>
              <w:t>联系电话：</w:t>
            </w:r>
          </w:p>
          <w:p w14:paraId="10ED73D6">
            <w:pPr>
              <w:pStyle w:val="15"/>
              <w:pageBreakBefore w:val="0"/>
              <w:kinsoku/>
              <w:overflowPunct/>
              <w:topLinePunct w:val="0"/>
              <w:bidi w:val="0"/>
              <w:spacing w:line="240" w:lineRule="auto"/>
              <w:ind w:firstLine="420" w:firstLineChars="200"/>
              <w:rPr>
                <w:rFonts w:hAnsi="宋体"/>
                <w:bCs/>
                <w:sz w:val="21"/>
              </w:rPr>
            </w:pPr>
          </w:p>
          <w:p w14:paraId="219EC245">
            <w:pPr>
              <w:pStyle w:val="15"/>
              <w:pageBreakBefore w:val="0"/>
              <w:kinsoku/>
              <w:overflowPunct/>
              <w:topLinePunct w:val="0"/>
              <w:bidi w:val="0"/>
              <w:spacing w:line="240" w:lineRule="auto"/>
              <w:ind w:firstLine="420" w:firstLineChars="200"/>
              <w:rPr>
                <w:rFonts w:hAnsi="宋体"/>
                <w:bCs/>
                <w:sz w:val="21"/>
              </w:rPr>
            </w:pPr>
            <w:r>
              <w:rPr>
                <w:rFonts w:hint="eastAsia" w:hAnsi="宋体"/>
                <w:bCs/>
                <w:sz w:val="21"/>
              </w:rPr>
              <w:t>单位地址：</w:t>
            </w:r>
          </w:p>
          <w:p w14:paraId="3DB6D992">
            <w:pPr>
              <w:pStyle w:val="15"/>
              <w:pageBreakBefore w:val="0"/>
              <w:kinsoku/>
              <w:overflowPunct/>
              <w:topLinePunct w:val="0"/>
              <w:bidi w:val="0"/>
              <w:spacing w:line="240" w:lineRule="auto"/>
              <w:ind w:firstLine="420" w:firstLineChars="200"/>
              <w:rPr>
                <w:rFonts w:hAnsi="宋体"/>
                <w:bCs/>
                <w:sz w:val="21"/>
              </w:rPr>
            </w:pPr>
          </w:p>
          <w:p w14:paraId="5B56E50E">
            <w:pPr>
              <w:pStyle w:val="15"/>
              <w:pageBreakBefore w:val="0"/>
              <w:kinsoku/>
              <w:overflowPunct/>
              <w:topLinePunct w:val="0"/>
              <w:bidi w:val="0"/>
              <w:spacing w:line="240" w:lineRule="auto"/>
              <w:ind w:firstLine="420" w:firstLineChars="200"/>
              <w:rPr>
                <w:rFonts w:hAnsi="宋体"/>
                <w:bCs/>
                <w:sz w:val="21"/>
              </w:rPr>
            </w:pPr>
            <w:r>
              <w:rPr>
                <w:rFonts w:hint="eastAsia" w:hAnsi="宋体"/>
                <w:bCs/>
                <w:sz w:val="21"/>
              </w:rPr>
              <w:t>签订时间：</w:t>
            </w:r>
          </w:p>
        </w:tc>
        <w:tc>
          <w:tcPr>
            <w:tcW w:w="3909" w:type="dxa"/>
            <w:noWrap w:val="0"/>
            <w:vAlign w:val="top"/>
          </w:tcPr>
          <w:p w14:paraId="1BA27D51">
            <w:pPr>
              <w:pStyle w:val="15"/>
              <w:pageBreakBefore w:val="0"/>
              <w:kinsoku/>
              <w:overflowPunct/>
              <w:topLinePunct w:val="0"/>
              <w:bidi w:val="0"/>
              <w:spacing w:line="240" w:lineRule="auto"/>
              <w:ind w:firstLine="420" w:firstLineChars="200"/>
              <w:rPr>
                <w:rFonts w:hAnsi="宋体"/>
                <w:bCs/>
                <w:sz w:val="21"/>
              </w:rPr>
            </w:pPr>
            <w:r>
              <w:rPr>
                <w:rFonts w:hint="eastAsia" w:hAnsi="宋体"/>
                <w:bCs/>
                <w:sz w:val="21"/>
              </w:rPr>
              <w:t>乙方（盖章）</w:t>
            </w:r>
          </w:p>
          <w:p w14:paraId="14484597">
            <w:pPr>
              <w:pStyle w:val="15"/>
              <w:pageBreakBefore w:val="0"/>
              <w:kinsoku/>
              <w:overflowPunct/>
              <w:topLinePunct w:val="0"/>
              <w:bidi w:val="0"/>
              <w:spacing w:line="240" w:lineRule="auto"/>
              <w:ind w:firstLine="420" w:firstLineChars="200"/>
              <w:rPr>
                <w:rFonts w:hAnsi="宋体"/>
                <w:bCs/>
                <w:sz w:val="21"/>
              </w:rPr>
            </w:pPr>
          </w:p>
          <w:p w14:paraId="1AF20BDD">
            <w:pPr>
              <w:pStyle w:val="15"/>
              <w:pageBreakBefore w:val="0"/>
              <w:kinsoku/>
              <w:overflowPunct/>
              <w:topLinePunct w:val="0"/>
              <w:bidi w:val="0"/>
              <w:spacing w:line="240" w:lineRule="auto"/>
              <w:ind w:firstLine="420" w:firstLineChars="200"/>
              <w:rPr>
                <w:rFonts w:hAnsi="宋体"/>
                <w:bCs/>
                <w:sz w:val="21"/>
              </w:rPr>
            </w:pPr>
          </w:p>
          <w:p w14:paraId="7170B95C">
            <w:pPr>
              <w:pStyle w:val="15"/>
              <w:pageBreakBefore w:val="0"/>
              <w:kinsoku/>
              <w:overflowPunct/>
              <w:topLinePunct w:val="0"/>
              <w:bidi w:val="0"/>
              <w:spacing w:line="240" w:lineRule="auto"/>
              <w:ind w:firstLine="420" w:firstLineChars="200"/>
              <w:rPr>
                <w:rFonts w:hAnsi="宋体"/>
                <w:bCs/>
                <w:sz w:val="21"/>
              </w:rPr>
            </w:pPr>
            <w:r>
              <w:rPr>
                <w:rFonts w:hint="eastAsia" w:hAnsi="宋体"/>
                <w:bCs/>
                <w:sz w:val="21"/>
                <w:lang w:val="en-US" w:eastAsia="zh-CN"/>
              </w:rPr>
              <w:t>法定代表人/</w:t>
            </w:r>
            <w:r>
              <w:rPr>
                <w:rFonts w:hint="eastAsia" w:hAnsi="宋体"/>
                <w:bCs/>
                <w:sz w:val="21"/>
              </w:rPr>
              <w:t>授权代表（签字）：</w:t>
            </w:r>
          </w:p>
          <w:p w14:paraId="77C4CC53">
            <w:pPr>
              <w:pStyle w:val="15"/>
              <w:pageBreakBefore w:val="0"/>
              <w:kinsoku/>
              <w:overflowPunct/>
              <w:topLinePunct w:val="0"/>
              <w:bidi w:val="0"/>
              <w:spacing w:line="240" w:lineRule="auto"/>
              <w:ind w:firstLine="420" w:firstLineChars="200"/>
              <w:rPr>
                <w:rFonts w:hAnsi="宋体"/>
                <w:bCs/>
                <w:sz w:val="21"/>
              </w:rPr>
            </w:pPr>
          </w:p>
          <w:p w14:paraId="07891816">
            <w:pPr>
              <w:pStyle w:val="15"/>
              <w:pageBreakBefore w:val="0"/>
              <w:kinsoku/>
              <w:overflowPunct/>
              <w:topLinePunct w:val="0"/>
              <w:bidi w:val="0"/>
              <w:spacing w:line="240" w:lineRule="auto"/>
              <w:ind w:firstLine="420" w:firstLineChars="200"/>
              <w:rPr>
                <w:rFonts w:hAnsi="宋体"/>
                <w:bCs/>
                <w:sz w:val="21"/>
              </w:rPr>
            </w:pPr>
            <w:r>
              <w:rPr>
                <w:rFonts w:hint="eastAsia" w:hAnsi="宋体"/>
                <w:bCs/>
                <w:sz w:val="21"/>
              </w:rPr>
              <w:t>联系电话：</w:t>
            </w:r>
          </w:p>
          <w:p w14:paraId="02DA99D2">
            <w:pPr>
              <w:pStyle w:val="15"/>
              <w:pageBreakBefore w:val="0"/>
              <w:kinsoku/>
              <w:overflowPunct/>
              <w:topLinePunct w:val="0"/>
              <w:bidi w:val="0"/>
              <w:spacing w:line="240" w:lineRule="auto"/>
              <w:ind w:firstLine="420" w:firstLineChars="200"/>
              <w:rPr>
                <w:rFonts w:hAnsi="宋体"/>
                <w:bCs/>
                <w:sz w:val="21"/>
              </w:rPr>
            </w:pPr>
          </w:p>
          <w:p w14:paraId="28597D57">
            <w:pPr>
              <w:pStyle w:val="15"/>
              <w:pageBreakBefore w:val="0"/>
              <w:kinsoku/>
              <w:overflowPunct/>
              <w:topLinePunct w:val="0"/>
              <w:bidi w:val="0"/>
              <w:spacing w:line="240" w:lineRule="auto"/>
              <w:ind w:firstLine="420" w:firstLineChars="200"/>
              <w:rPr>
                <w:rFonts w:hAnsi="宋体"/>
                <w:bCs/>
                <w:sz w:val="21"/>
              </w:rPr>
            </w:pPr>
            <w:r>
              <w:rPr>
                <w:rFonts w:hint="eastAsia" w:hAnsi="宋体"/>
                <w:bCs/>
                <w:sz w:val="21"/>
              </w:rPr>
              <w:t>单位地址：</w:t>
            </w:r>
          </w:p>
          <w:p w14:paraId="46AF4E83">
            <w:pPr>
              <w:pStyle w:val="15"/>
              <w:pageBreakBefore w:val="0"/>
              <w:kinsoku/>
              <w:overflowPunct/>
              <w:topLinePunct w:val="0"/>
              <w:bidi w:val="0"/>
              <w:spacing w:line="240" w:lineRule="auto"/>
              <w:ind w:firstLine="420" w:firstLineChars="200"/>
              <w:rPr>
                <w:rFonts w:hAnsi="宋体"/>
                <w:bCs/>
                <w:sz w:val="21"/>
              </w:rPr>
            </w:pPr>
          </w:p>
          <w:p w14:paraId="2CE249CE">
            <w:pPr>
              <w:pStyle w:val="15"/>
              <w:pageBreakBefore w:val="0"/>
              <w:kinsoku/>
              <w:overflowPunct/>
              <w:topLinePunct w:val="0"/>
              <w:bidi w:val="0"/>
              <w:spacing w:line="240" w:lineRule="auto"/>
              <w:ind w:firstLine="420" w:firstLineChars="200"/>
              <w:rPr>
                <w:rFonts w:hAnsi="宋体"/>
                <w:bCs/>
                <w:sz w:val="21"/>
              </w:rPr>
            </w:pPr>
            <w:r>
              <w:rPr>
                <w:rFonts w:hint="eastAsia" w:hAnsi="宋体"/>
                <w:bCs/>
                <w:sz w:val="21"/>
              </w:rPr>
              <w:t>开户银行：</w:t>
            </w:r>
          </w:p>
          <w:p w14:paraId="233F21FE">
            <w:pPr>
              <w:pStyle w:val="15"/>
              <w:pageBreakBefore w:val="0"/>
              <w:kinsoku/>
              <w:overflowPunct/>
              <w:topLinePunct w:val="0"/>
              <w:bidi w:val="0"/>
              <w:spacing w:line="240" w:lineRule="auto"/>
              <w:ind w:firstLine="420" w:firstLineChars="200"/>
              <w:rPr>
                <w:rFonts w:hAnsi="宋体"/>
                <w:bCs/>
                <w:sz w:val="21"/>
              </w:rPr>
            </w:pPr>
            <w:r>
              <w:rPr>
                <w:rFonts w:hint="eastAsia" w:hAnsi="宋体"/>
                <w:bCs/>
                <w:sz w:val="21"/>
              </w:rPr>
              <w:t>账    号：</w:t>
            </w:r>
          </w:p>
          <w:p w14:paraId="161BFB2B">
            <w:pPr>
              <w:pStyle w:val="15"/>
              <w:pageBreakBefore w:val="0"/>
              <w:kinsoku/>
              <w:overflowPunct/>
              <w:topLinePunct w:val="0"/>
              <w:bidi w:val="0"/>
              <w:spacing w:line="240" w:lineRule="auto"/>
              <w:ind w:firstLine="420" w:firstLineChars="200"/>
              <w:rPr>
                <w:rFonts w:hAnsi="宋体"/>
                <w:bCs/>
                <w:sz w:val="21"/>
              </w:rPr>
            </w:pPr>
          </w:p>
          <w:p w14:paraId="05B5CF72">
            <w:pPr>
              <w:pStyle w:val="15"/>
              <w:pageBreakBefore w:val="0"/>
              <w:kinsoku/>
              <w:overflowPunct/>
              <w:topLinePunct w:val="0"/>
              <w:bidi w:val="0"/>
              <w:spacing w:line="240" w:lineRule="auto"/>
              <w:ind w:firstLine="420" w:firstLineChars="200"/>
              <w:rPr>
                <w:rFonts w:hAnsi="宋体"/>
                <w:bCs/>
                <w:sz w:val="21"/>
              </w:rPr>
            </w:pPr>
            <w:r>
              <w:rPr>
                <w:rFonts w:hint="eastAsia" w:hAnsi="宋体"/>
                <w:bCs/>
                <w:sz w:val="21"/>
              </w:rPr>
              <w:t>签订时间：</w:t>
            </w:r>
          </w:p>
          <w:p w14:paraId="52F398F2">
            <w:pPr>
              <w:pStyle w:val="15"/>
              <w:pageBreakBefore w:val="0"/>
              <w:kinsoku/>
              <w:overflowPunct/>
              <w:topLinePunct w:val="0"/>
              <w:bidi w:val="0"/>
              <w:spacing w:line="240" w:lineRule="auto"/>
              <w:ind w:firstLine="420" w:firstLineChars="200"/>
              <w:rPr>
                <w:rFonts w:hAnsi="宋体"/>
                <w:bCs/>
                <w:sz w:val="21"/>
              </w:rPr>
            </w:pPr>
          </w:p>
        </w:tc>
      </w:tr>
    </w:tbl>
    <w:p w14:paraId="713154A2">
      <w:pPr>
        <w:rPr>
          <w:rFonts w:hint="eastAsia" w:ascii="宋体" w:hAnsi="宋体" w:cs="宋体"/>
          <w:color w:val="auto"/>
          <w:szCs w:val="21"/>
          <w:lang w:val="en-US" w:eastAsia="zh-CN"/>
        </w:rPr>
      </w:pPr>
      <w:r>
        <w:rPr>
          <w:rFonts w:hint="eastAsia" w:ascii="宋体" w:hAnsi="宋体" w:cs="宋体"/>
          <w:color w:val="auto"/>
          <w:szCs w:val="21"/>
          <w:lang w:val="en-US" w:eastAsia="zh-CN"/>
        </w:rPr>
        <w:br w:type="page"/>
      </w:r>
    </w:p>
    <w:p w14:paraId="3D948CA2">
      <w:pPr>
        <w:pStyle w:val="3"/>
        <w:pageBreakBefore w:val="0"/>
        <w:numPr>
          <w:ilvl w:val="0"/>
          <w:numId w:val="3"/>
        </w:numPr>
        <w:tabs>
          <w:tab w:val="left" w:pos="0"/>
          <w:tab w:val="left" w:pos="3165"/>
          <w:tab w:val="center" w:pos="4153"/>
        </w:tabs>
        <w:kinsoku/>
        <w:overflowPunct/>
        <w:topLinePunct w:val="0"/>
        <w:autoSpaceDE w:val="0"/>
        <w:autoSpaceDN w:val="0"/>
        <w:bidi w:val="0"/>
        <w:adjustRightInd w:val="0"/>
        <w:spacing w:before="0" w:after="0" w:line="240" w:lineRule="auto"/>
        <w:jc w:val="center"/>
        <w:rPr>
          <w:rFonts w:hint="eastAsia" w:ascii="宋体" w:hAnsi="宋体" w:eastAsia="宋体" w:cs="宋体"/>
          <w:color w:val="auto"/>
          <w:sz w:val="40"/>
          <w:szCs w:val="40"/>
          <w:highlight w:val="none"/>
          <w:lang w:val="en-US" w:eastAsia="zh-CN"/>
        </w:rPr>
      </w:pPr>
      <w:r>
        <w:rPr>
          <w:rFonts w:hint="eastAsia" w:ascii="宋体" w:hAnsi="宋体" w:eastAsia="宋体" w:cs="宋体"/>
          <w:color w:val="auto"/>
          <w:sz w:val="40"/>
          <w:szCs w:val="40"/>
          <w:highlight w:val="none"/>
          <w:lang w:val="en-US" w:eastAsia="zh-CN"/>
        </w:rPr>
        <w:t xml:space="preserve"> </w:t>
      </w:r>
      <w:bookmarkStart w:id="127" w:name="_Toc16478"/>
      <w:r>
        <w:rPr>
          <w:rFonts w:hint="eastAsia" w:ascii="宋体" w:hAnsi="宋体" w:eastAsia="宋体" w:cs="宋体"/>
          <w:color w:val="auto"/>
          <w:sz w:val="40"/>
          <w:szCs w:val="40"/>
          <w:highlight w:val="none"/>
          <w:lang w:val="en-US" w:eastAsia="zh-CN"/>
        </w:rPr>
        <w:t>投标文件格式</w:t>
      </w:r>
      <w:bookmarkEnd w:id="127"/>
    </w:p>
    <w:p w14:paraId="5A8F403A">
      <w:pPr>
        <w:pageBreakBefore w:val="0"/>
        <w:kinsoku/>
        <w:overflowPunct/>
        <w:topLinePunct w:val="0"/>
        <w:bidi w:val="0"/>
        <w:spacing w:line="240" w:lineRule="auto"/>
        <w:rPr>
          <w:rFonts w:hint="eastAsia" w:ascii="宋体" w:hAnsi="宋体" w:eastAsia="宋体" w:cs="宋体"/>
          <w:color w:val="auto"/>
          <w:sz w:val="21"/>
          <w:szCs w:val="21"/>
          <w:highlight w:val="none"/>
        </w:rPr>
      </w:pPr>
    </w:p>
    <w:p w14:paraId="72AB0642">
      <w:pPr>
        <w:pageBreakBefore w:val="0"/>
        <w:kinsoku/>
        <w:overflowPunct/>
        <w:topLinePunct w:val="0"/>
        <w:bidi w:val="0"/>
        <w:spacing w:line="240" w:lineRule="auto"/>
        <w:rPr>
          <w:rFonts w:hint="eastAsia" w:ascii="宋体" w:hAnsi="宋体" w:eastAsia="宋体" w:cs="宋体"/>
          <w:b/>
          <w:color w:val="auto"/>
          <w:sz w:val="21"/>
          <w:szCs w:val="21"/>
          <w:highlight w:val="none"/>
        </w:rPr>
      </w:pPr>
      <w:bookmarkStart w:id="128" w:name="_Toc19686836"/>
      <w:r>
        <w:rPr>
          <w:rFonts w:hint="eastAsia" w:ascii="宋体" w:hAnsi="宋体" w:eastAsia="宋体" w:cs="宋体"/>
          <w:b/>
          <w:color w:val="auto"/>
          <w:sz w:val="21"/>
          <w:szCs w:val="21"/>
          <w:highlight w:val="none"/>
        </w:rPr>
        <w:t>一、报价文件格式</w:t>
      </w:r>
      <w:bookmarkEnd w:id="128"/>
    </w:p>
    <w:p w14:paraId="1B393BC3">
      <w:pPr>
        <w:pageBreakBefore w:val="0"/>
        <w:kinsoku/>
        <w:overflowPunct/>
        <w:topLinePunct w:val="0"/>
        <w:bidi w:val="0"/>
        <w:snapToGrid w:val="0"/>
        <w:spacing w:before="120" w:beforeLines="50" w:after="50" w:line="240" w:lineRule="auto"/>
        <w:ind w:left="142"/>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1. 报价文件封面格式： </w:t>
      </w:r>
    </w:p>
    <w:p w14:paraId="21DFD8FC">
      <w:pPr>
        <w:pageBreakBefore w:val="0"/>
        <w:kinsoku/>
        <w:overflowPunct/>
        <w:topLinePunct w:val="0"/>
        <w:bidi w:val="0"/>
        <w:snapToGrid w:val="0"/>
        <w:spacing w:before="120" w:beforeLines="50" w:after="50" w:line="240" w:lineRule="auto"/>
        <w:ind w:left="142"/>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电子投标文件</w:t>
      </w:r>
    </w:p>
    <w:p w14:paraId="2CF62771">
      <w:pPr>
        <w:pageBreakBefore w:val="0"/>
        <w:kinsoku/>
        <w:overflowPunct/>
        <w:topLinePunct w:val="0"/>
        <w:bidi w:val="0"/>
        <w:snapToGrid w:val="0"/>
        <w:spacing w:before="120" w:beforeLines="50" w:after="50" w:line="240" w:lineRule="auto"/>
        <w:jc w:val="left"/>
        <w:rPr>
          <w:rFonts w:hint="eastAsia" w:ascii="宋体" w:hAnsi="宋体" w:eastAsia="宋体" w:cs="宋体"/>
          <w:bCs/>
          <w:color w:val="auto"/>
          <w:sz w:val="21"/>
          <w:szCs w:val="21"/>
          <w:highlight w:val="none"/>
        </w:rPr>
      </w:pPr>
    </w:p>
    <w:p w14:paraId="66114DE9">
      <w:pPr>
        <w:pageBreakBefore w:val="0"/>
        <w:kinsoku/>
        <w:overflowPunct/>
        <w:topLinePunct w:val="0"/>
        <w:bidi w:val="0"/>
        <w:snapToGrid w:val="0"/>
        <w:spacing w:before="120" w:beforeLines="50" w:after="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  价  文  件</w:t>
      </w:r>
    </w:p>
    <w:p w14:paraId="51A98956">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1F6124BF">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3A93283B">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6EEC689F">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4206B27D">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项目名称： </w:t>
      </w:r>
    </w:p>
    <w:p w14:paraId="572D2DF7">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p>
    <w:p w14:paraId="272A781D">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项目编号： </w:t>
      </w:r>
    </w:p>
    <w:p w14:paraId="6E293833">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lang w:val="en-US" w:eastAsia="zh-CN"/>
        </w:rPr>
      </w:pPr>
    </w:p>
    <w:p w14:paraId="719FFBE4">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分标：</w:t>
      </w:r>
    </w:p>
    <w:p w14:paraId="4DB08598">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p>
    <w:p w14:paraId="149ACE3F">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投标人名称：</w:t>
      </w:r>
    </w:p>
    <w:p w14:paraId="0DC1841B">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p>
    <w:p w14:paraId="5D9F3154">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投标人地址：</w:t>
      </w:r>
    </w:p>
    <w:p w14:paraId="24DE86BB">
      <w:pPr>
        <w:pStyle w:val="6"/>
        <w:pageBreakBefore w:val="0"/>
        <w:kinsoku/>
        <w:overflowPunct/>
        <w:topLinePunct w:val="0"/>
        <w:bidi w:val="0"/>
        <w:snapToGrid w:val="0"/>
        <w:spacing w:before="50" w:after="50" w:line="240" w:lineRule="auto"/>
        <w:ind w:firstLine="840" w:firstLineChars="400"/>
        <w:rPr>
          <w:rFonts w:hint="eastAsia" w:ascii="宋体" w:hAnsi="宋体" w:eastAsia="宋体" w:cs="宋体"/>
          <w:bCs/>
          <w:color w:val="auto"/>
          <w:sz w:val="21"/>
          <w:szCs w:val="21"/>
          <w:highlight w:val="none"/>
        </w:rPr>
      </w:pPr>
    </w:p>
    <w:p w14:paraId="7ADACAE5">
      <w:pPr>
        <w:pageBreakBefore w:val="0"/>
        <w:kinsoku/>
        <w:overflowPunct/>
        <w:topLinePunct w:val="0"/>
        <w:bidi w:val="0"/>
        <w:snapToGrid w:val="0"/>
        <w:spacing w:before="120" w:beforeLines="50" w:after="5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2F45A561">
      <w:pPr>
        <w:rPr>
          <w:rFonts w:hint="eastAsia"/>
        </w:rPr>
      </w:pPr>
      <w:r>
        <w:rPr>
          <w:rFonts w:hint="eastAsia" w:ascii="宋体" w:hAnsi="宋体" w:eastAsia="宋体" w:cs="宋体"/>
          <w:color w:val="auto"/>
          <w:sz w:val="21"/>
          <w:szCs w:val="21"/>
          <w:highlight w:val="none"/>
        </w:rPr>
        <w:br w:type="page"/>
      </w:r>
    </w:p>
    <w:p w14:paraId="669B682A">
      <w:pPr>
        <w:pageBreakBefore w:val="0"/>
        <w:kinsoku/>
        <w:overflowPunct/>
        <w:topLinePunct w:val="0"/>
        <w:bidi w:val="0"/>
        <w:snapToGrid w:val="0"/>
        <w:spacing w:before="120" w:beforeLines="50" w:after="50" w:line="240" w:lineRule="auto"/>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bCs/>
          <w:color w:val="auto"/>
          <w:sz w:val="21"/>
          <w:szCs w:val="21"/>
          <w:highlight w:val="none"/>
        </w:rPr>
        <w:t>报价文件目录</w:t>
      </w:r>
    </w:p>
    <w:p w14:paraId="1C81E7D5">
      <w:pPr>
        <w:pageBreakBefore w:val="0"/>
        <w:kinsoku/>
        <w:overflowPunct/>
        <w:topLinePunct w:val="0"/>
        <w:bidi w:val="0"/>
        <w:snapToGrid w:val="0"/>
        <w:spacing w:before="50" w:after="120" w:afterLines="50"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文件规定及投标人提供的材料自行编写目录。</w:t>
      </w:r>
    </w:p>
    <w:p w14:paraId="51626897">
      <w:pPr>
        <w:pageBreakBefore w:val="0"/>
        <w:kinsoku/>
        <w:overflowPunct/>
        <w:topLinePunct w:val="0"/>
        <w:bidi w:val="0"/>
        <w:snapToGrid w:val="0"/>
        <w:spacing w:before="120" w:beforeLines="50" w:after="50" w:line="240" w:lineRule="auto"/>
        <w:ind w:left="142"/>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color w:val="auto"/>
          <w:sz w:val="21"/>
          <w:szCs w:val="21"/>
          <w:highlight w:val="none"/>
        </w:rPr>
        <w:t>3. 投标函格式：</w:t>
      </w:r>
    </w:p>
    <w:p w14:paraId="7A3A8D38">
      <w:pPr>
        <w:pageBreakBefore w:val="0"/>
        <w:kinsoku/>
        <w:overflowPunct/>
        <w:topLinePunct w:val="0"/>
        <w:bidi w:val="0"/>
        <w:snapToGrid w:val="0"/>
        <w:spacing w:before="120" w:beforeLines="50" w:after="50"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 标 函</w:t>
      </w:r>
    </w:p>
    <w:p w14:paraId="500C2579">
      <w:pPr>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采购人名称</w:t>
      </w:r>
      <w:r>
        <w:rPr>
          <w:rFonts w:hint="eastAsia" w:ascii="宋体" w:hAnsi="宋体" w:eastAsia="宋体" w:cs="宋体"/>
          <w:color w:val="auto"/>
          <w:sz w:val="21"/>
          <w:szCs w:val="21"/>
          <w:highlight w:val="none"/>
        </w:rPr>
        <w:t>：</w:t>
      </w:r>
    </w:p>
    <w:p w14:paraId="24E441C3">
      <w:pPr>
        <w:pageBreakBefore w:val="0"/>
        <w:kinsoku/>
        <w:overflowPunct/>
        <w:topLinePunct w:val="0"/>
        <w:bidi w:val="0"/>
        <w:spacing w:line="240" w:lineRule="auto"/>
        <w:ind w:firstLine="48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根据贵方</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公告，签字代表______</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（姓名）经正式授权并代表投标人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（投标人名称）提交投标文件。</w:t>
      </w:r>
    </w:p>
    <w:p w14:paraId="6CDD7B44">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据此函，我方宣布同意如下：</w:t>
      </w:r>
    </w:p>
    <w:p w14:paraId="616EEC0C">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1.我方已详细审查全部“</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文件”，包括修改文件（如有的话）以及全部参考资料和有关附件，已经了解我方对于</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文件、采购过程、采购结果有依法进行询问、质疑、投诉的权利及相关渠道和要求。</w:t>
      </w:r>
    </w:p>
    <w:p w14:paraId="37831ABD">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2.我方在投标之前已经完全理解并接受</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文件的各项规定和要求，对</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文件的合理性、合法性不再有异议。</w:t>
      </w:r>
    </w:p>
    <w:p w14:paraId="02C01733">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3.本投标有效期自投标截止之日起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3DF63D56">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4.如中标，本投标文件至本项目合同履行完毕止均保持有效，我方将按“</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文件”及政府采购法律、法规的规定履行合同责任和义务。</w:t>
      </w:r>
    </w:p>
    <w:p w14:paraId="06BB40D4">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5.我方同意按照贵方要求提供与投标有关的一切数据或者资料。</w:t>
      </w:r>
    </w:p>
    <w:p w14:paraId="5D3D6FF9">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6.我方向贵方提交的所有投标文件、资料都是准确的和真实的。</w:t>
      </w:r>
    </w:p>
    <w:p w14:paraId="6F6BEA62">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7.以上事项如有虚假或者隐瞒，我方愿意承担一切后果，并不再寻求任何旨在减轻或者免除法律责任的辩解。</w:t>
      </w:r>
    </w:p>
    <w:p w14:paraId="51A1BEC3">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154E0849">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□我方本次投标文件</w:t>
      </w:r>
      <w:r>
        <w:rPr>
          <w:rFonts w:hint="eastAsia" w:ascii="宋体" w:hAnsi="宋体" w:eastAsia="宋体" w:cs="宋体"/>
          <w:color w:val="auto"/>
          <w:kern w:val="0"/>
          <w:sz w:val="21"/>
          <w:szCs w:val="21"/>
          <w:highlight w:val="none"/>
        </w:rPr>
        <w:t>内容中</w:t>
      </w:r>
      <w:r>
        <w:rPr>
          <w:rFonts w:hint="eastAsia" w:ascii="宋体" w:hAnsi="宋体" w:eastAsia="宋体" w:cs="宋体"/>
          <w:color w:val="auto"/>
          <w:sz w:val="21"/>
          <w:szCs w:val="21"/>
          <w:highlight w:val="none"/>
        </w:rPr>
        <w:t>未</w:t>
      </w:r>
      <w:r>
        <w:rPr>
          <w:rFonts w:hint="eastAsia" w:ascii="宋体" w:hAnsi="宋体" w:eastAsia="宋体" w:cs="宋体"/>
          <w:color w:val="auto"/>
          <w:kern w:val="0"/>
          <w:sz w:val="21"/>
          <w:szCs w:val="21"/>
          <w:highlight w:val="none"/>
        </w:rPr>
        <w:t>涉及商业秘密；</w:t>
      </w:r>
    </w:p>
    <w:p w14:paraId="0D130FCF">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□我方本次投标文件</w:t>
      </w:r>
      <w:r>
        <w:rPr>
          <w:rFonts w:hint="eastAsia" w:ascii="宋体" w:hAnsi="宋体" w:eastAsia="宋体" w:cs="宋体"/>
          <w:color w:val="auto"/>
          <w:kern w:val="0"/>
          <w:sz w:val="21"/>
          <w:szCs w:val="21"/>
          <w:highlight w:val="none"/>
        </w:rPr>
        <w:t>涉及商业秘密的内容有：</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CDBB07D">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9.与本投标有关的一切正式往来信函请寄：</w:t>
      </w:r>
    </w:p>
    <w:p w14:paraId="1D1350D7">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single"/>
        </w:rPr>
        <w:t xml:space="preserve">            </w:t>
      </w:r>
    </w:p>
    <w:p w14:paraId="28883AF0">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电子邮箱：</w:t>
      </w:r>
      <w:r>
        <w:rPr>
          <w:rFonts w:hint="eastAsia" w:ascii="宋体" w:hAnsi="宋体" w:eastAsia="宋体" w:cs="宋体"/>
          <w:color w:val="auto"/>
          <w:sz w:val="21"/>
          <w:szCs w:val="21"/>
          <w:highlight w:val="none"/>
          <w:u w:val="single"/>
        </w:rPr>
        <w:t xml:space="preserve">         </w:t>
      </w:r>
    </w:p>
    <w:p w14:paraId="3AAF5110">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14:paraId="56939A34">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银行帐号：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C2E2B14">
      <w:pPr>
        <w:pStyle w:val="9"/>
        <w:pageBreakBefore w:val="0"/>
        <w:kinsoku/>
        <w:overflowPunct/>
        <w:topLinePunct w:val="0"/>
        <w:bidi w:val="0"/>
        <w:spacing w:line="240" w:lineRule="auto"/>
        <w:rPr>
          <w:rFonts w:hint="eastAsia" w:ascii="宋体" w:hAnsi="宋体" w:eastAsia="宋体" w:cs="宋体"/>
          <w:color w:val="auto"/>
          <w:sz w:val="21"/>
          <w:szCs w:val="21"/>
          <w:highlight w:val="none"/>
        </w:rPr>
      </w:pPr>
    </w:p>
    <w:p w14:paraId="13F043D7">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法定代表人或者委托代理人（签名）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_______ </w:t>
      </w:r>
    </w:p>
    <w:p w14:paraId="1687D938">
      <w:pPr>
        <w:pStyle w:val="15"/>
        <w:pageBreakBefore w:val="0"/>
        <w:kinsoku/>
        <w:overflowPunct/>
        <w:topLinePunct w:val="0"/>
        <w:bidi w:val="0"/>
        <w:spacing w:line="240" w:lineRule="auto"/>
        <w:contextualSpacing/>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投标人名称（公章）：</w:t>
      </w:r>
    </w:p>
    <w:p w14:paraId="5D38C351">
      <w:pPr>
        <w:pStyle w:val="15"/>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30CC030C">
      <w:pPr>
        <w:pageBreakBefore w:val="0"/>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lang w:eastAsia="zh-CN"/>
        </w:rPr>
      </w:pPr>
      <w:r>
        <w:rPr>
          <w:rFonts w:hint="eastAsia"/>
          <w:lang w:val="en-US" w:eastAsia="zh-CN"/>
        </w:rPr>
        <w:br w:type="page"/>
      </w:r>
      <w:r>
        <w:rPr>
          <w:rFonts w:hint="eastAsia" w:ascii="宋体" w:hAnsi="宋体" w:eastAsia="宋体" w:cs="宋体"/>
          <w:b/>
          <w:color w:val="auto"/>
          <w:sz w:val="21"/>
          <w:szCs w:val="21"/>
          <w:highlight w:val="none"/>
        </w:rPr>
        <w:t xml:space="preserve">4. </w:t>
      </w:r>
      <w:r>
        <w:rPr>
          <w:rFonts w:hint="eastAsia" w:ascii="宋体" w:hAnsi="宋体" w:eastAsia="宋体" w:cs="宋体"/>
          <w:b/>
          <w:color w:val="auto"/>
          <w:sz w:val="21"/>
          <w:szCs w:val="21"/>
          <w:highlight w:val="none"/>
          <w:lang w:eastAsia="zh-CN"/>
        </w:rPr>
        <w:t>开标一览表</w:t>
      </w:r>
    </w:p>
    <w:p w14:paraId="0B3E1EDE">
      <w:pPr>
        <w:pageBreakBefore w:val="0"/>
        <w:kinsoku/>
        <w:overflowPunct/>
        <w:topLinePunct w:val="0"/>
        <w:bidi w:val="0"/>
        <w:snapToGrid w:val="0"/>
        <w:spacing w:before="50" w:after="50" w:line="24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开标一览表</w:t>
      </w:r>
    </w:p>
    <w:p w14:paraId="01336012">
      <w:pPr>
        <w:pageBreakBefore w:val="0"/>
        <w:kinsoku/>
        <w:overflowPunct/>
        <w:topLinePunct w:val="0"/>
        <w:bidi w:val="0"/>
        <w:snapToGrid w:val="0"/>
        <w:spacing w:before="50" w:after="50" w:line="240" w:lineRule="auto"/>
        <w:jc w:val="center"/>
        <w:rPr>
          <w:rFonts w:hint="eastAsia" w:ascii="宋体" w:hAnsi="宋体" w:eastAsia="宋体" w:cs="宋体"/>
          <w:b/>
          <w:color w:val="auto"/>
          <w:sz w:val="21"/>
          <w:szCs w:val="21"/>
          <w:highlight w:val="none"/>
        </w:rPr>
      </w:pPr>
    </w:p>
    <w:p w14:paraId="20DCC5AA">
      <w:pPr>
        <w:pageBreakBefore w:val="0"/>
        <w:kinsoku/>
        <w:overflowPunct/>
        <w:topLinePunct w:val="0"/>
        <w:bidi w:val="0"/>
        <w:snapToGrid w:val="0"/>
        <w:spacing w:before="50" w:after="50"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分标：</w:t>
      </w:r>
      <w:r>
        <w:rPr>
          <w:rFonts w:hint="eastAsia" w:ascii="宋体" w:hAnsi="宋体" w:eastAsia="宋体" w:cs="宋体"/>
          <w:color w:val="auto"/>
          <w:sz w:val="21"/>
          <w:szCs w:val="21"/>
          <w:highlight w:val="none"/>
          <w:u w:val="single"/>
        </w:rPr>
        <w:t xml:space="preserve">      </w:t>
      </w:r>
    </w:p>
    <w:p w14:paraId="35C86E99">
      <w:pPr>
        <w:pageBreakBefore w:val="0"/>
        <w:kinsoku/>
        <w:overflowPunct/>
        <w:topLinePunct w:val="0"/>
        <w:bidi w:val="0"/>
        <w:snapToGrid w:val="0"/>
        <w:spacing w:before="50" w:after="50"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投标人名称：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单位：</w:t>
      </w:r>
      <w:r>
        <w:rPr>
          <w:rFonts w:hint="eastAsia" w:ascii="宋体" w:hAnsi="宋体" w:cs="宋体"/>
          <w:color w:val="auto"/>
          <w:sz w:val="21"/>
          <w:szCs w:val="21"/>
          <w:highlight w:val="none"/>
          <w:lang w:val="en-US" w:eastAsia="zh-CN"/>
        </w:rPr>
        <w:t>元</w:t>
      </w:r>
    </w:p>
    <w:tbl>
      <w:tblPr>
        <w:tblStyle w:val="20"/>
        <w:tblW w:w="952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12"/>
        <w:gridCol w:w="1521"/>
        <w:gridCol w:w="1418"/>
        <w:gridCol w:w="1673"/>
        <w:gridCol w:w="1184"/>
      </w:tblGrid>
      <w:tr w14:paraId="7FF31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1012" w:type="dxa"/>
            <w:tcBorders>
              <w:top w:val="single" w:color="auto" w:sz="4" w:space="0"/>
              <w:left w:val="single" w:color="auto" w:sz="4" w:space="0"/>
              <w:bottom w:val="single" w:color="auto" w:sz="4" w:space="0"/>
              <w:right w:val="single" w:color="auto" w:sz="4" w:space="0"/>
            </w:tcBorders>
            <w:vAlign w:val="center"/>
          </w:tcPr>
          <w:p w14:paraId="446B32FD">
            <w:pPr>
              <w:pageBreakBefore w:val="0"/>
              <w:kinsoku/>
              <w:overflowPunct/>
              <w:topLinePunct w:val="0"/>
              <w:bidi w:val="0"/>
              <w:spacing w:line="240" w:lineRule="auto"/>
              <w:jc w:val="center"/>
              <w:rPr>
                <w:rFonts w:hint="eastAsia" w:ascii="宋体" w:hAnsi="宋体" w:cs="宋体"/>
                <w:color w:val="auto"/>
                <w:sz w:val="24"/>
              </w:rPr>
            </w:pPr>
            <w:r>
              <w:rPr>
                <w:rFonts w:hint="eastAsia" w:ascii="宋体" w:hAnsi="宋体" w:cs="宋体"/>
                <w:color w:val="auto"/>
                <w:sz w:val="24"/>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2EEA3812">
            <w:pPr>
              <w:pageBreakBefore w:val="0"/>
              <w:kinsoku/>
              <w:overflowPunct/>
              <w:topLinePunct w:val="0"/>
              <w:bidi w:val="0"/>
              <w:spacing w:line="240" w:lineRule="auto"/>
              <w:jc w:val="center"/>
              <w:rPr>
                <w:rFonts w:hint="eastAsia" w:ascii="宋体" w:hAnsi="宋体" w:cs="宋体"/>
                <w:color w:val="auto"/>
                <w:sz w:val="24"/>
              </w:rPr>
            </w:pPr>
            <w:r>
              <w:rPr>
                <w:rFonts w:hint="eastAsia" w:ascii="宋体" w:hAnsi="宋体" w:cs="宋体"/>
                <w:b/>
                <w:color w:val="auto"/>
                <w:sz w:val="24"/>
              </w:rPr>
              <w:t>标的的名称</w:t>
            </w:r>
          </w:p>
        </w:tc>
        <w:tc>
          <w:tcPr>
            <w:tcW w:w="1521" w:type="dxa"/>
            <w:tcBorders>
              <w:top w:val="single" w:color="auto" w:sz="4" w:space="0"/>
              <w:left w:val="single" w:color="auto" w:sz="4" w:space="0"/>
              <w:bottom w:val="single" w:color="auto" w:sz="4" w:space="0"/>
              <w:right w:val="single" w:color="auto" w:sz="4" w:space="0"/>
            </w:tcBorders>
            <w:vAlign w:val="center"/>
          </w:tcPr>
          <w:p w14:paraId="6BE7B28C">
            <w:pPr>
              <w:pageBreakBefore w:val="0"/>
              <w:kinsoku/>
              <w:overflowPunct/>
              <w:topLinePunct w:val="0"/>
              <w:bidi w:val="0"/>
              <w:spacing w:line="240" w:lineRule="auto"/>
              <w:jc w:val="center"/>
              <w:rPr>
                <w:rFonts w:hint="eastAsia" w:ascii="宋体" w:hAnsi="宋体" w:cs="宋体"/>
                <w:color w:val="auto"/>
                <w:sz w:val="24"/>
              </w:rPr>
            </w:pPr>
            <w:r>
              <w:rPr>
                <w:rFonts w:hint="eastAsia" w:ascii="宋体" w:hAnsi="宋体" w:cs="宋体"/>
                <w:color w:val="auto"/>
                <w:sz w:val="24"/>
              </w:rPr>
              <w:t>数量及单位</w:t>
            </w:r>
          </w:p>
        </w:tc>
        <w:tc>
          <w:tcPr>
            <w:tcW w:w="1418" w:type="dxa"/>
            <w:tcBorders>
              <w:top w:val="single" w:color="auto" w:sz="4" w:space="0"/>
              <w:left w:val="single" w:color="auto" w:sz="4" w:space="0"/>
              <w:bottom w:val="single" w:color="auto" w:sz="4" w:space="0"/>
              <w:right w:val="single" w:color="auto" w:sz="4" w:space="0"/>
            </w:tcBorders>
            <w:vAlign w:val="center"/>
          </w:tcPr>
          <w:p w14:paraId="5E2599C4">
            <w:pPr>
              <w:pageBreakBefore w:val="0"/>
              <w:kinsoku/>
              <w:overflowPunct/>
              <w:topLinePunct w:val="0"/>
              <w:bidi w:val="0"/>
              <w:spacing w:line="240" w:lineRule="auto"/>
              <w:jc w:val="center"/>
              <w:rPr>
                <w:rFonts w:hint="eastAsia" w:ascii="宋体" w:hAnsi="宋体" w:cs="宋体"/>
                <w:color w:val="auto"/>
                <w:sz w:val="24"/>
              </w:rPr>
            </w:pPr>
            <w:r>
              <w:rPr>
                <w:rFonts w:hint="eastAsia" w:ascii="宋体" w:hAnsi="宋体" w:cs="宋体"/>
                <w:color w:val="auto"/>
                <w:sz w:val="24"/>
              </w:rPr>
              <w:t>单价</w:t>
            </w:r>
          </w:p>
        </w:tc>
        <w:tc>
          <w:tcPr>
            <w:tcW w:w="1673" w:type="dxa"/>
            <w:tcBorders>
              <w:top w:val="single" w:color="auto" w:sz="4" w:space="0"/>
              <w:left w:val="single" w:color="auto" w:sz="4" w:space="0"/>
              <w:bottom w:val="single" w:color="auto" w:sz="4" w:space="0"/>
              <w:right w:val="single" w:color="auto" w:sz="4" w:space="0"/>
            </w:tcBorders>
            <w:vAlign w:val="center"/>
          </w:tcPr>
          <w:p w14:paraId="5A6A5A2A">
            <w:pPr>
              <w:pageBreakBefore w:val="0"/>
              <w:kinsoku/>
              <w:overflowPunct/>
              <w:topLinePunct w:val="0"/>
              <w:bidi w:val="0"/>
              <w:spacing w:line="240" w:lineRule="auto"/>
              <w:jc w:val="center"/>
              <w:rPr>
                <w:rFonts w:hint="eastAsia" w:ascii="宋体" w:hAnsi="宋体" w:cs="宋体"/>
                <w:color w:val="auto"/>
                <w:sz w:val="24"/>
              </w:rPr>
            </w:pPr>
            <w:r>
              <w:rPr>
                <w:rFonts w:hint="eastAsia" w:ascii="宋体" w:hAnsi="宋体" w:cs="宋体"/>
                <w:color w:val="auto"/>
                <w:sz w:val="24"/>
              </w:rPr>
              <w:t>总价</w:t>
            </w:r>
          </w:p>
        </w:tc>
        <w:tc>
          <w:tcPr>
            <w:tcW w:w="1184" w:type="dxa"/>
            <w:tcBorders>
              <w:top w:val="single" w:color="auto" w:sz="4" w:space="0"/>
              <w:left w:val="single" w:color="auto" w:sz="4" w:space="0"/>
              <w:bottom w:val="single" w:color="auto" w:sz="4" w:space="0"/>
              <w:right w:val="single" w:color="auto" w:sz="4" w:space="0"/>
            </w:tcBorders>
            <w:vAlign w:val="center"/>
          </w:tcPr>
          <w:p w14:paraId="28E4FC5C">
            <w:pPr>
              <w:pageBreakBefore w:val="0"/>
              <w:kinsoku/>
              <w:overflowPunct/>
              <w:topLinePunct w:val="0"/>
              <w:bidi w:val="0"/>
              <w:spacing w:line="240" w:lineRule="auto"/>
              <w:jc w:val="center"/>
              <w:rPr>
                <w:rFonts w:hint="eastAsia" w:ascii="宋体" w:hAnsi="宋体" w:cs="宋体"/>
                <w:color w:val="auto"/>
                <w:sz w:val="24"/>
              </w:rPr>
            </w:pPr>
            <w:r>
              <w:rPr>
                <w:rFonts w:hint="eastAsia" w:ascii="宋体" w:hAnsi="宋体" w:cs="宋体"/>
                <w:color w:val="auto"/>
                <w:sz w:val="24"/>
              </w:rPr>
              <w:t>备注</w:t>
            </w:r>
          </w:p>
        </w:tc>
      </w:tr>
      <w:tr w14:paraId="3600A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right"/>
        </w:trPr>
        <w:tc>
          <w:tcPr>
            <w:tcW w:w="1012" w:type="dxa"/>
            <w:tcBorders>
              <w:top w:val="single" w:color="auto" w:sz="4" w:space="0"/>
              <w:left w:val="single" w:color="auto" w:sz="4" w:space="0"/>
              <w:bottom w:val="single" w:color="auto" w:sz="4" w:space="0"/>
              <w:right w:val="single" w:color="auto" w:sz="4" w:space="0"/>
            </w:tcBorders>
            <w:vAlign w:val="center"/>
          </w:tcPr>
          <w:p w14:paraId="1F9B7A82">
            <w:pPr>
              <w:pageBreakBefore w:val="0"/>
              <w:kinsoku/>
              <w:overflowPunct/>
              <w:topLinePunct w:val="0"/>
              <w:bidi w:val="0"/>
              <w:spacing w:line="240" w:lineRule="auto"/>
              <w:jc w:val="center"/>
              <w:rPr>
                <w:rFonts w:hint="eastAsia" w:ascii="宋体" w:hAnsi="宋体" w:cs="宋体"/>
                <w:color w:val="auto"/>
                <w:sz w:val="24"/>
              </w:rPr>
            </w:pPr>
            <w:r>
              <w:rPr>
                <w:rFonts w:hint="eastAsia" w:ascii="宋体" w:hAnsi="宋体" w:cs="宋体"/>
                <w:color w:val="auto"/>
                <w:sz w:val="24"/>
              </w:rPr>
              <w:t>1</w:t>
            </w:r>
          </w:p>
        </w:tc>
        <w:tc>
          <w:tcPr>
            <w:tcW w:w="2712" w:type="dxa"/>
            <w:tcBorders>
              <w:top w:val="single" w:color="auto" w:sz="4" w:space="0"/>
              <w:left w:val="single" w:color="auto" w:sz="4" w:space="0"/>
              <w:bottom w:val="single" w:color="auto" w:sz="4" w:space="0"/>
              <w:right w:val="single" w:color="auto" w:sz="4" w:space="0"/>
            </w:tcBorders>
            <w:vAlign w:val="center"/>
          </w:tcPr>
          <w:p w14:paraId="19064D72">
            <w:pPr>
              <w:pageBreakBefore w:val="0"/>
              <w:kinsoku/>
              <w:overflowPunct/>
              <w:topLinePunct w:val="0"/>
              <w:bidi w:val="0"/>
              <w:spacing w:line="240" w:lineRule="auto"/>
              <w:jc w:val="center"/>
              <w:rPr>
                <w:rFonts w:hint="eastAsia" w:ascii="宋体" w:hAnsi="宋体" w:cs="宋体"/>
                <w:color w:val="auto"/>
                <w:sz w:val="24"/>
              </w:rPr>
            </w:pPr>
          </w:p>
        </w:tc>
        <w:tc>
          <w:tcPr>
            <w:tcW w:w="1521" w:type="dxa"/>
            <w:tcBorders>
              <w:top w:val="single" w:color="auto" w:sz="4" w:space="0"/>
              <w:left w:val="single" w:color="auto" w:sz="4" w:space="0"/>
              <w:bottom w:val="single" w:color="auto" w:sz="4" w:space="0"/>
              <w:right w:val="single" w:color="auto" w:sz="4" w:space="0"/>
            </w:tcBorders>
            <w:vAlign w:val="center"/>
          </w:tcPr>
          <w:p w14:paraId="367C8F7B">
            <w:pPr>
              <w:pageBreakBefore w:val="0"/>
              <w:kinsoku/>
              <w:overflowPunct/>
              <w:topLinePunct w:val="0"/>
              <w:bidi w:val="0"/>
              <w:spacing w:line="240" w:lineRule="auto"/>
              <w:rPr>
                <w:rFonts w:hint="eastAsia" w:ascii="宋体" w:hAnsi="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7B25EFCD">
            <w:pPr>
              <w:pageBreakBefore w:val="0"/>
              <w:kinsoku/>
              <w:overflowPunct/>
              <w:topLinePunct w:val="0"/>
              <w:bidi w:val="0"/>
              <w:spacing w:line="240" w:lineRule="auto"/>
              <w:rPr>
                <w:rFonts w:hint="eastAsia"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tcPr>
          <w:p w14:paraId="42882C6F">
            <w:pPr>
              <w:pageBreakBefore w:val="0"/>
              <w:kinsoku/>
              <w:overflowPunct/>
              <w:topLinePunct w:val="0"/>
              <w:bidi w:val="0"/>
              <w:spacing w:line="240" w:lineRule="auto"/>
              <w:rPr>
                <w:rFonts w:hint="eastAsia" w:ascii="宋体" w:hAnsi="宋体" w:cs="宋体"/>
                <w:color w:val="auto"/>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4E807D18">
            <w:pPr>
              <w:pageBreakBefore w:val="0"/>
              <w:kinsoku/>
              <w:overflowPunct/>
              <w:topLinePunct w:val="0"/>
              <w:bidi w:val="0"/>
              <w:spacing w:line="240" w:lineRule="auto"/>
              <w:rPr>
                <w:rFonts w:hint="eastAsia" w:ascii="宋体" w:hAnsi="宋体" w:cs="宋体"/>
                <w:color w:val="auto"/>
                <w:sz w:val="24"/>
              </w:rPr>
            </w:pPr>
          </w:p>
        </w:tc>
      </w:tr>
      <w:tr w14:paraId="4E822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right"/>
        </w:trPr>
        <w:tc>
          <w:tcPr>
            <w:tcW w:w="1012" w:type="dxa"/>
            <w:tcBorders>
              <w:top w:val="single" w:color="auto" w:sz="4" w:space="0"/>
              <w:left w:val="single" w:color="auto" w:sz="4" w:space="0"/>
              <w:bottom w:val="single" w:color="auto" w:sz="4" w:space="0"/>
              <w:right w:val="single" w:color="auto" w:sz="4" w:space="0"/>
            </w:tcBorders>
            <w:vAlign w:val="center"/>
          </w:tcPr>
          <w:p w14:paraId="56DA93C5">
            <w:pPr>
              <w:pageBreakBefore w:val="0"/>
              <w:kinsoku/>
              <w:overflowPunct/>
              <w:topLinePunct w:val="0"/>
              <w:bidi w:val="0"/>
              <w:spacing w:line="240" w:lineRule="auto"/>
              <w:jc w:val="center"/>
              <w:rPr>
                <w:rFonts w:hint="eastAsia" w:ascii="宋体" w:hAnsi="宋体" w:cs="宋体"/>
                <w:color w:val="auto"/>
                <w:sz w:val="24"/>
              </w:rPr>
            </w:pPr>
            <w:r>
              <w:rPr>
                <w:rFonts w:hint="eastAsia" w:ascii="宋体" w:hAnsi="宋体" w:cs="宋体"/>
                <w:color w:val="auto"/>
                <w:sz w:val="24"/>
              </w:rPr>
              <w:t>2</w:t>
            </w:r>
          </w:p>
        </w:tc>
        <w:tc>
          <w:tcPr>
            <w:tcW w:w="2712" w:type="dxa"/>
            <w:tcBorders>
              <w:top w:val="single" w:color="auto" w:sz="4" w:space="0"/>
              <w:left w:val="single" w:color="auto" w:sz="4" w:space="0"/>
              <w:bottom w:val="single" w:color="auto" w:sz="4" w:space="0"/>
              <w:right w:val="single" w:color="auto" w:sz="4" w:space="0"/>
            </w:tcBorders>
            <w:vAlign w:val="center"/>
          </w:tcPr>
          <w:p w14:paraId="2D5CCB3A">
            <w:pPr>
              <w:pageBreakBefore w:val="0"/>
              <w:kinsoku/>
              <w:overflowPunct/>
              <w:topLinePunct w:val="0"/>
              <w:bidi w:val="0"/>
              <w:spacing w:line="240" w:lineRule="auto"/>
              <w:jc w:val="center"/>
              <w:rPr>
                <w:rFonts w:hint="eastAsia" w:ascii="宋体" w:hAnsi="宋体" w:cs="宋体"/>
                <w:color w:val="auto"/>
                <w:sz w:val="24"/>
              </w:rPr>
            </w:pPr>
          </w:p>
        </w:tc>
        <w:tc>
          <w:tcPr>
            <w:tcW w:w="1521" w:type="dxa"/>
            <w:tcBorders>
              <w:top w:val="single" w:color="auto" w:sz="4" w:space="0"/>
              <w:left w:val="single" w:color="auto" w:sz="4" w:space="0"/>
              <w:bottom w:val="single" w:color="auto" w:sz="4" w:space="0"/>
              <w:right w:val="single" w:color="auto" w:sz="4" w:space="0"/>
            </w:tcBorders>
            <w:vAlign w:val="center"/>
          </w:tcPr>
          <w:p w14:paraId="66D78F4F">
            <w:pPr>
              <w:pageBreakBefore w:val="0"/>
              <w:kinsoku/>
              <w:overflowPunct/>
              <w:topLinePunct w:val="0"/>
              <w:bidi w:val="0"/>
              <w:spacing w:line="240" w:lineRule="auto"/>
              <w:rPr>
                <w:rFonts w:hint="eastAsia" w:ascii="宋体" w:hAnsi="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11017A1B">
            <w:pPr>
              <w:pageBreakBefore w:val="0"/>
              <w:kinsoku/>
              <w:overflowPunct/>
              <w:topLinePunct w:val="0"/>
              <w:bidi w:val="0"/>
              <w:spacing w:line="240" w:lineRule="auto"/>
              <w:rPr>
                <w:rFonts w:hint="eastAsia"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tcPr>
          <w:p w14:paraId="344B1478">
            <w:pPr>
              <w:pageBreakBefore w:val="0"/>
              <w:kinsoku/>
              <w:overflowPunct/>
              <w:topLinePunct w:val="0"/>
              <w:bidi w:val="0"/>
              <w:spacing w:line="240" w:lineRule="auto"/>
              <w:rPr>
                <w:rFonts w:hint="eastAsia" w:ascii="宋体" w:hAnsi="宋体" w:cs="宋体"/>
                <w:color w:val="auto"/>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2B4CE326">
            <w:pPr>
              <w:pageBreakBefore w:val="0"/>
              <w:kinsoku/>
              <w:overflowPunct/>
              <w:topLinePunct w:val="0"/>
              <w:bidi w:val="0"/>
              <w:spacing w:line="240" w:lineRule="auto"/>
              <w:rPr>
                <w:rFonts w:hint="eastAsia" w:ascii="宋体" w:hAnsi="宋体" w:cs="宋体"/>
                <w:color w:val="auto"/>
                <w:sz w:val="24"/>
              </w:rPr>
            </w:pPr>
          </w:p>
        </w:tc>
      </w:tr>
      <w:tr w14:paraId="1634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right"/>
        </w:trPr>
        <w:tc>
          <w:tcPr>
            <w:tcW w:w="1012" w:type="dxa"/>
            <w:tcBorders>
              <w:top w:val="single" w:color="auto" w:sz="4" w:space="0"/>
              <w:left w:val="single" w:color="auto" w:sz="4" w:space="0"/>
              <w:bottom w:val="single" w:color="auto" w:sz="4" w:space="0"/>
              <w:right w:val="single" w:color="auto" w:sz="4" w:space="0"/>
            </w:tcBorders>
            <w:vAlign w:val="center"/>
          </w:tcPr>
          <w:p w14:paraId="4E811F75">
            <w:pPr>
              <w:pageBreakBefore w:val="0"/>
              <w:kinsoku/>
              <w:overflowPunct/>
              <w:topLinePunct w:val="0"/>
              <w:bidi w:val="0"/>
              <w:spacing w:line="240" w:lineRule="auto"/>
              <w:jc w:val="center"/>
              <w:rPr>
                <w:rFonts w:hint="eastAsia" w:ascii="宋体" w:hAnsi="宋体" w:cs="宋体"/>
                <w:color w:val="auto"/>
                <w:sz w:val="24"/>
              </w:rPr>
            </w:pPr>
            <w:r>
              <w:rPr>
                <w:rFonts w:hint="eastAsia" w:ascii="宋体" w:hAnsi="宋体" w:cs="宋体"/>
                <w:b/>
                <w:color w:val="auto"/>
                <w:sz w:val="24"/>
              </w:rPr>
              <w:t>……</w:t>
            </w:r>
          </w:p>
        </w:tc>
        <w:tc>
          <w:tcPr>
            <w:tcW w:w="2712" w:type="dxa"/>
            <w:tcBorders>
              <w:top w:val="single" w:color="auto" w:sz="4" w:space="0"/>
              <w:left w:val="single" w:color="auto" w:sz="4" w:space="0"/>
              <w:bottom w:val="single" w:color="auto" w:sz="4" w:space="0"/>
              <w:right w:val="single" w:color="auto" w:sz="4" w:space="0"/>
            </w:tcBorders>
            <w:vAlign w:val="center"/>
          </w:tcPr>
          <w:p w14:paraId="0891D968">
            <w:pPr>
              <w:pageBreakBefore w:val="0"/>
              <w:kinsoku/>
              <w:overflowPunct/>
              <w:topLinePunct w:val="0"/>
              <w:bidi w:val="0"/>
              <w:spacing w:line="240" w:lineRule="auto"/>
              <w:jc w:val="center"/>
              <w:rPr>
                <w:rFonts w:hint="eastAsia" w:ascii="宋体" w:hAnsi="宋体" w:cs="宋体"/>
                <w:color w:val="auto"/>
                <w:sz w:val="24"/>
              </w:rPr>
            </w:pPr>
            <w:r>
              <w:rPr>
                <w:rFonts w:hint="eastAsia" w:ascii="宋体" w:hAnsi="宋体" w:cs="宋体"/>
                <w:b/>
                <w:color w:val="auto"/>
                <w:sz w:val="24"/>
              </w:rPr>
              <w:t>……</w:t>
            </w:r>
          </w:p>
        </w:tc>
        <w:tc>
          <w:tcPr>
            <w:tcW w:w="1521" w:type="dxa"/>
            <w:tcBorders>
              <w:top w:val="single" w:color="auto" w:sz="4" w:space="0"/>
              <w:left w:val="single" w:color="auto" w:sz="4" w:space="0"/>
              <w:bottom w:val="single" w:color="auto" w:sz="4" w:space="0"/>
              <w:right w:val="single" w:color="auto" w:sz="4" w:space="0"/>
            </w:tcBorders>
            <w:vAlign w:val="center"/>
          </w:tcPr>
          <w:p w14:paraId="11AA6718">
            <w:pPr>
              <w:pageBreakBefore w:val="0"/>
              <w:kinsoku/>
              <w:overflowPunct/>
              <w:topLinePunct w:val="0"/>
              <w:bidi w:val="0"/>
              <w:spacing w:line="240" w:lineRule="auto"/>
              <w:rPr>
                <w:rFonts w:hint="eastAsia" w:ascii="宋体" w:hAnsi="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3D070AC9">
            <w:pPr>
              <w:pageBreakBefore w:val="0"/>
              <w:kinsoku/>
              <w:overflowPunct/>
              <w:topLinePunct w:val="0"/>
              <w:bidi w:val="0"/>
              <w:spacing w:line="240" w:lineRule="auto"/>
              <w:rPr>
                <w:rFonts w:hint="eastAsia"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tcPr>
          <w:p w14:paraId="486A8A7F">
            <w:pPr>
              <w:pageBreakBefore w:val="0"/>
              <w:kinsoku/>
              <w:overflowPunct/>
              <w:topLinePunct w:val="0"/>
              <w:bidi w:val="0"/>
              <w:spacing w:line="240" w:lineRule="auto"/>
              <w:rPr>
                <w:rFonts w:hint="eastAsia" w:ascii="宋体" w:hAnsi="宋体" w:cs="宋体"/>
                <w:color w:val="auto"/>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04941F29">
            <w:pPr>
              <w:pageBreakBefore w:val="0"/>
              <w:kinsoku/>
              <w:overflowPunct/>
              <w:topLinePunct w:val="0"/>
              <w:bidi w:val="0"/>
              <w:spacing w:line="240" w:lineRule="auto"/>
              <w:rPr>
                <w:rFonts w:hint="eastAsia" w:ascii="宋体" w:hAnsi="宋体" w:cs="宋体"/>
                <w:color w:val="auto"/>
                <w:sz w:val="24"/>
              </w:rPr>
            </w:pPr>
          </w:p>
        </w:tc>
      </w:tr>
      <w:tr w14:paraId="487BD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right"/>
        </w:trPr>
        <w:tc>
          <w:tcPr>
            <w:tcW w:w="9520" w:type="dxa"/>
            <w:gridSpan w:val="6"/>
            <w:tcBorders>
              <w:top w:val="single" w:color="auto" w:sz="4" w:space="0"/>
              <w:left w:val="single" w:color="auto" w:sz="4" w:space="0"/>
              <w:bottom w:val="single" w:color="auto" w:sz="4" w:space="0"/>
              <w:right w:val="single" w:color="auto" w:sz="4" w:space="0"/>
            </w:tcBorders>
            <w:vAlign w:val="center"/>
          </w:tcPr>
          <w:p w14:paraId="75C0078E">
            <w:pPr>
              <w:pageBreakBefore w:val="0"/>
              <w:kinsoku/>
              <w:overflowPunct/>
              <w:topLinePunct w:val="0"/>
              <w:bidi w:val="0"/>
              <w:snapToGrid w:val="0"/>
              <w:spacing w:before="50" w:after="50" w:line="240" w:lineRule="auto"/>
              <w:rPr>
                <w:rFonts w:hint="eastAsia" w:ascii="宋体" w:hAnsi="宋体" w:cs="宋体"/>
                <w:color w:val="auto"/>
                <w:sz w:val="24"/>
              </w:rPr>
            </w:pPr>
            <w:r>
              <w:rPr>
                <w:rFonts w:hint="eastAsia" w:ascii="宋体" w:hAnsi="宋体" w:cs="宋体"/>
                <w:color w:val="auto"/>
                <w:sz w:val="24"/>
              </w:rPr>
              <w:t>合计金额大写：人民币（￥）</w:t>
            </w:r>
          </w:p>
        </w:tc>
      </w:tr>
    </w:tbl>
    <w:p w14:paraId="1536A691">
      <w:pPr>
        <w:pageBreakBefore w:val="0"/>
        <w:kinsoku/>
        <w:overflowPunct/>
        <w:topLinePunct w:val="0"/>
        <w:bidi w:val="0"/>
        <w:snapToGrid w:val="0"/>
        <w:spacing w:before="50" w:after="50" w:line="240" w:lineRule="auto"/>
        <w:jc w:val="left"/>
        <w:rPr>
          <w:rFonts w:hint="eastAsia" w:ascii="宋体" w:hAnsi="宋体" w:eastAsia="宋体" w:cs="宋体"/>
          <w:color w:val="auto"/>
          <w:sz w:val="21"/>
          <w:szCs w:val="21"/>
          <w:highlight w:val="none"/>
        </w:rPr>
      </w:pPr>
    </w:p>
    <w:p w14:paraId="290CE798">
      <w:pPr>
        <w:pageBreakBefore w:val="0"/>
        <w:kinsoku/>
        <w:overflowPunct/>
        <w:topLinePunct w:val="0"/>
        <w:bidi w:val="0"/>
        <w:snapToGrid w:val="0"/>
        <w:spacing w:before="50" w:after="50" w:line="240" w:lineRule="auto"/>
        <w:jc w:val="left"/>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eastAsia="zh-CN"/>
        </w:rPr>
        <w:t>：</w:t>
      </w:r>
      <w:r>
        <w:rPr>
          <w:rFonts w:hint="eastAsia" w:ascii="宋体" w:hAnsi="宋体" w:cs="宋体"/>
          <w:color w:val="auto"/>
          <w:sz w:val="24"/>
        </w:rPr>
        <w:t xml:space="preserve"> </w:t>
      </w:r>
    </w:p>
    <w:p w14:paraId="2509A5B1">
      <w:pPr>
        <w:pageBreakBefore w:val="0"/>
        <w:kinsoku/>
        <w:overflowPunct/>
        <w:topLinePunct w:val="0"/>
        <w:bidi w:val="0"/>
        <w:snapToGrid w:val="0"/>
        <w:spacing w:before="50" w:after="50" w:line="240" w:lineRule="auto"/>
        <w:ind w:firstLine="480" w:firstLineChars="200"/>
        <w:jc w:val="left"/>
        <w:rPr>
          <w:rFonts w:hint="eastAsia" w:ascii="宋体" w:hAnsi="宋体" w:cs="宋体"/>
          <w:color w:val="auto"/>
          <w:sz w:val="24"/>
        </w:rPr>
      </w:pPr>
      <w:r>
        <w:rPr>
          <w:rFonts w:hint="eastAsia" w:ascii="宋体" w:hAnsi="宋体" w:cs="宋体"/>
          <w:color w:val="auto"/>
          <w:sz w:val="24"/>
        </w:rPr>
        <w:t>1.投标人的开标一览表必须加盖投标人公章并由法定代表人或者委托代理人签字，</w:t>
      </w:r>
      <w:r>
        <w:rPr>
          <w:rFonts w:hint="eastAsia" w:ascii="宋体" w:hAnsi="宋体" w:cs="宋体"/>
          <w:b/>
          <w:color w:val="auto"/>
          <w:sz w:val="24"/>
        </w:rPr>
        <w:t>否则其投标作无效标处理</w:t>
      </w:r>
      <w:r>
        <w:rPr>
          <w:rFonts w:hint="eastAsia" w:ascii="宋体" w:hAnsi="宋体" w:cs="宋体"/>
          <w:color w:val="auto"/>
          <w:sz w:val="24"/>
        </w:rPr>
        <w:t>。</w:t>
      </w:r>
    </w:p>
    <w:p w14:paraId="5E7DCB58">
      <w:pPr>
        <w:pageBreakBefore w:val="0"/>
        <w:kinsoku/>
        <w:overflowPunct/>
        <w:topLinePunct w:val="0"/>
        <w:bidi w:val="0"/>
        <w:snapToGrid w:val="0"/>
        <w:spacing w:before="50" w:after="50" w:line="240" w:lineRule="auto"/>
        <w:ind w:firstLine="480" w:firstLineChars="200"/>
        <w:jc w:val="left"/>
        <w:rPr>
          <w:rFonts w:hint="eastAsia" w:ascii="宋体" w:hAnsi="宋体" w:cs="宋体"/>
          <w:b/>
          <w:color w:val="auto"/>
          <w:sz w:val="24"/>
        </w:rPr>
      </w:pPr>
      <w:r>
        <w:rPr>
          <w:rFonts w:hint="eastAsia" w:ascii="宋体" w:hAnsi="宋体" w:cs="宋体"/>
          <w:bCs/>
          <w:color w:val="auto"/>
          <w:sz w:val="24"/>
        </w:rPr>
        <w:t>2.</w:t>
      </w:r>
      <w:r>
        <w:rPr>
          <w:rFonts w:hint="eastAsia" w:ascii="宋体" w:hAnsi="宋体" w:cs="宋体"/>
          <w:color w:val="auto"/>
          <w:sz w:val="24"/>
        </w:rPr>
        <w:t>报价一经涂改，应在涂改处加盖投标人公章或者由法定代表人或者委托代理人签字或者盖章</w:t>
      </w:r>
      <w:r>
        <w:rPr>
          <w:rFonts w:hint="eastAsia" w:ascii="宋体" w:hAnsi="宋体" w:cs="宋体"/>
          <w:b/>
          <w:color w:val="auto"/>
          <w:sz w:val="24"/>
        </w:rPr>
        <w:t>，否则其投标作无效标处理。</w:t>
      </w:r>
    </w:p>
    <w:p w14:paraId="4FC45823">
      <w:pPr>
        <w:pageBreakBefore w:val="0"/>
        <w:kinsoku/>
        <w:overflowPunct/>
        <w:topLinePunct w:val="0"/>
        <w:bidi w:val="0"/>
        <w:snapToGrid w:val="0"/>
        <w:spacing w:before="50" w:after="50" w:line="240" w:lineRule="auto"/>
        <w:ind w:firstLine="480" w:firstLineChars="200"/>
        <w:jc w:val="left"/>
        <w:rPr>
          <w:rFonts w:hint="eastAsia" w:ascii="宋体" w:hAnsi="宋体" w:cs="宋体"/>
          <w:color w:val="auto"/>
          <w:sz w:val="24"/>
        </w:rPr>
      </w:pPr>
      <w:r>
        <w:rPr>
          <w:rFonts w:hint="eastAsia" w:ascii="宋体" w:hAnsi="宋体" w:cs="宋体"/>
          <w:color w:val="auto"/>
          <w:sz w:val="24"/>
        </w:rPr>
        <w:t>3.如为联合体投标，“投标人名称”处必须列明联合体各方名称，并标注联合体牵头人名称，</w:t>
      </w:r>
      <w:r>
        <w:rPr>
          <w:rFonts w:hint="eastAsia" w:ascii="宋体" w:hAnsi="宋体" w:cs="宋体"/>
          <w:b/>
          <w:color w:val="auto"/>
          <w:sz w:val="24"/>
        </w:rPr>
        <w:t>否则其投标作无效标处理。</w:t>
      </w:r>
    </w:p>
    <w:p w14:paraId="54CC1569">
      <w:pPr>
        <w:pageBreakBefore w:val="0"/>
        <w:kinsoku/>
        <w:overflowPunct/>
        <w:topLinePunct w:val="0"/>
        <w:bidi w:val="0"/>
        <w:snapToGrid w:val="0"/>
        <w:spacing w:before="50" w:after="50" w:line="240" w:lineRule="auto"/>
        <w:ind w:firstLine="480" w:firstLineChars="200"/>
        <w:jc w:val="left"/>
        <w:rPr>
          <w:rFonts w:hint="eastAsia" w:ascii="宋体" w:hAnsi="宋体" w:cs="宋体"/>
          <w:color w:val="auto"/>
          <w:sz w:val="24"/>
        </w:rPr>
      </w:pPr>
      <w:r>
        <w:rPr>
          <w:rFonts w:hint="eastAsia" w:ascii="宋体" w:hAnsi="宋体" w:cs="宋体"/>
          <w:color w:val="auto"/>
          <w:sz w:val="24"/>
        </w:rPr>
        <w:t>4.如为联合体投标，盖章处须加盖联合体各方公章，</w:t>
      </w:r>
      <w:r>
        <w:rPr>
          <w:rFonts w:hint="eastAsia" w:ascii="宋体" w:hAnsi="宋体" w:cs="宋体"/>
          <w:b/>
          <w:color w:val="auto"/>
          <w:sz w:val="24"/>
        </w:rPr>
        <w:t>否则其投标作无效标处理。</w:t>
      </w:r>
    </w:p>
    <w:p w14:paraId="59C24A3A">
      <w:pPr>
        <w:pageBreakBefore w:val="0"/>
        <w:kinsoku/>
        <w:overflowPunct/>
        <w:topLinePunct w:val="0"/>
        <w:bidi w:val="0"/>
        <w:snapToGrid w:val="0"/>
        <w:spacing w:before="50" w:after="50" w:line="240" w:lineRule="auto"/>
        <w:ind w:firstLine="480" w:firstLineChars="200"/>
        <w:rPr>
          <w:rFonts w:hint="eastAsia" w:ascii="宋体" w:hAnsi="宋体" w:cs="宋体"/>
          <w:color w:val="auto"/>
          <w:sz w:val="24"/>
        </w:rPr>
      </w:pPr>
      <w:r>
        <w:rPr>
          <w:rFonts w:hint="eastAsia" w:ascii="宋体" w:hAnsi="宋体" w:cs="宋体"/>
          <w:color w:val="auto"/>
          <w:sz w:val="24"/>
        </w:rPr>
        <w:t>5.如有多分标，按分标分别提供开标一览表，</w:t>
      </w:r>
      <w:r>
        <w:rPr>
          <w:rFonts w:hint="eastAsia" w:ascii="宋体" w:hAnsi="宋体" w:cs="宋体"/>
          <w:b/>
          <w:color w:val="auto"/>
          <w:sz w:val="24"/>
        </w:rPr>
        <w:t>否则投标无效。</w:t>
      </w:r>
    </w:p>
    <w:p w14:paraId="7F922366">
      <w:pPr>
        <w:pageBreakBefore w:val="0"/>
        <w:kinsoku/>
        <w:overflowPunct/>
        <w:topLinePunct w:val="0"/>
        <w:bidi w:val="0"/>
        <w:snapToGrid w:val="0"/>
        <w:spacing w:before="50" w:after="50" w:line="240" w:lineRule="auto"/>
        <w:ind w:left="-2" w:right="-817" w:rightChars="-389"/>
        <w:rPr>
          <w:rFonts w:hint="eastAsia" w:ascii="宋体" w:hAnsi="宋体" w:cs="宋体"/>
          <w:color w:val="auto"/>
          <w:sz w:val="24"/>
        </w:rPr>
      </w:pPr>
    </w:p>
    <w:p w14:paraId="478DD1DC">
      <w:pPr>
        <w:pageBreakBefore w:val="0"/>
        <w:kinsoku/>
        <w:overflowPunct/>
        <w:topLinePunct w:val="0"/>
        <w:bidi w:val="0"/>
        <w:snapToGrid w:val="0"/>
        <w:spacing w:before="50" w:after="50" w:line="240" w:lineRule="auto"/>
        <w:ind w:left="-2" w:right="-817" w:rightChars="-389"/>
        <w:rPr>
          <w:rFonts w:hint="eastAsia" w:ascii="宋体" w:hAnsi="宋体" w:cs="宋体"/>
          <w:color w:val="auto"/>
          <w:sz w:val="24"/>
        </w:rPr>
      </w:pPr>
      <w:r>
        <w:rPr>
          <w:rFonts w:hint="eastAsia" w:ascii="宋体" w:hAnsi="宋体" w:cs="宋体"/>
          <w:color w:val="auto"/>
          <w:sz w:val="24"/>
        </w:rPr>
        <w:t xml:space="preserve">法定代表人或者委托代理人（签字）：                    </w:t>
      </w:r>
    </w:p>
    <w:p w14:paraId="6029E2AB">
      <w:pPr>
        <w:pageBreakBefore w:val="0"/>
        <w:kinsoku/>
        <w:overflowPunct/>
        <w:topLinePunct w:val="0"/>
        <w:bidi w:val="0"/>
        <w:snapToGrid w:val="0"/>
        <w:spacing w:before="50" w:after="50" w:line="240" w:lineRule="auto"/>
        <w:ind w:left="-3" w:leftChars="-72" w:right="-817" w:rightChars="-389" w:hanging="148" w:hangingChars="62"/>
        <w:rPr>
          <w:rFonts w:hint="eastAsia" w:ascii="宋体" w:hAnsi="宋体" w:cs="宋体"/>
          <w:color w:val="auto"/>
          <w:sz w:val="24"/>
        </w:rPr>
      </w:pPr>
    </w:p>
    <w:p w14:paraId="55E654E7">
      <w:pPr>
        <w:pageBreakBefore w:val="0"/>
        <w:kinsoku/>
        <w:overflowPunct/>
        <w:topLinePunct w:val="0"/>
        <w:bidi w:val="0"/>
        <w:snapToGrid w:val="0"/>
        <w:spacing w:before="50" w:after="50" w:line="240" w:lineRule="auto"/>
        <w:ind w:left="-3" w:leftChars="-15" w:right="-817" w:rightChars="-389" w:hanging="28" w:hangingChars="12"/>
        <w:rPr>
          <w:rFonts w:hint="eastAsia" w:ascii="宋体" w:hAnsi="宋体" w:cs="宋体"/>
          <w:color w:val="auto"/>
          <w:sz w:val="24"/>
        </w:rPr>
      </w:pPr>
      <w:r>
        <w:rPr>
          <w:rFonts w:hint="eastAsia" w:ascii="宋体" w:hAnsi="宋体" w:cs="宋体"/>
          <w:color w:val="auto"/>
          <w:sz w:val="24"/>
        </w:rPr>
        <w:t>投标人（盖公章）：                                 日期：    年   月   日</w:t>
      </w:r>
    </w:p>
    <w:p w14:paraId="4EE14D10">
      <w:pPr>
        <w:rPr>
          <w:rFonts w:hint="eastAsia"/>
        </w:rPr>
      </w:pPr>
      <w:r>
        <w:rPr>
          <w:rFonts w:hint="eastAsia" w:ascii="宋体" w:hAnsi="宋体" w:cs="宋体"/>
          <w:color w:val="auto"/>
          <w:sz w:val="24"/>
        </w:rPr>
        <w:br w:type="page"/>
      </w:r>
    </w:p>
    <w:p w14:paraId="186E1E33">
      <w:pPr>
        <w:pageBreakBefore w:val="0"/>
        <w:kinsoku/>
        <w:overflowPunct/>
        <w:topLinePunct w:val="0"/>
        <w:bidi w:val="0"/>
        <w:spacing w:line="240" w:lineRule="auto"/>
        <w:rPr>
          <w:rFonts w:hint="eastAsia" w:ascii="宋体" w:hAnsi="宋体" w:eastAsia="宋体" w:cs="宋体"/>
          <w:b/>
          <w:color w:val="auto"/>
          <w:sz w:val="21"/>
          <w:szCs w:val="21"/>
          <w:highlight w:val="none"/>
        </w:rPr>
      </w:pPr>
      <w:bookmarkStart w:id="129" w:name="_Toc19686837"/>
      <w:r>
        <w:rPr>
          <w:rFonts w:hint="eastAsia" w:ascii="宋体" w:hAnsi="宋体" w:eastAsia="宋体" w:cs="宋体"/>
          <w:b/>
          <w:color w:val="auto"/>
          <w:sz w:val="21"/>
          <w:szCs w:val="21"/>
          <w:highlight w:val="none"/>
        </w:rPr>
        <w:t>二、资格证明文件格式</w:t>
      </w:r>
      <w:bookmarkEnd w:id="129"/>
    </w:p>
    <w:p w14:paraId="0899EB95">
      <w:pPr>
        <w:pageBreakBefore w:val="0"/>
        <w:numPr>
          <w:ilvl w:val="2"/>
          <w:numId w:val="9"/>
        </w:numPr>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资格证明文件封面格式： </w:t>
      </w:r>
    </w:p>
    <w:p w14:paraId="44284E21">
      <w:pPr>
        <w:pageBreakBefore w:val="0"/>
        <w:kinsoku/>
        <w:overflowPunct/>
        <w:topLinePunct w:val="0"/>
        <w:bidi w:val="0"/>
        <w:snapToGrid w:val="0"/>
        <w:spacing w:before="120" w:beforeLines="50" w:after="50"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电子投标文件</w:t>
      </w:r>
    </w:p>
    <w:p w14:paraId="7BFAB3AF">
      <w:pPr>
        <w:pageBreakBefore w:val="0"/>
        <w:kinsoku/>
        <w:overflowPunct/>
        <w:topLinePunct w:val="0"/>
        <w:bidi w:val="0"/>
        <w:snapToGrid w:val="0"/>
        <w:spacing w:before="120" w:beforeLines="50" w:after="5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资格证明文件</w:t>
      </w:r>
    </w:p>
    <w:p w14:paraId="359E8858">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15948238">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67F05184">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57923F4F">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709EEBD0">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5B3E7B83">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7B47F30E">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40B4D73F">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项目名称：</w:t>
      </w:r>
    </w:p>
    <w:p w14:paraId="6FE7BD1C">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rPr>
      </w:pPr>
    </w:p>
    <w:p w14:paraId="0396A6F4">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项目编号：</w:t>
      </w:r>
    </w:p>
    <w:p w14:paraId="68D9309F">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lang w:val="en-US" w:eastAsia="zh-CN"/>
        </w:rPr>
      </w:pPr>
    </w:p>
    <w:p w14:paraId="1CC9976A">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分标：</w:t>
      </w:r>
    </w:p>
    <w:p w14:paraId="52424857">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rPr>
      </w:pPr>
    </w:p>
    <w:p w14:paraId="5A16D303">
      <w:pPr>
        <w:pStyle w:val="6"/>
        <w:pageBreakBefore w:val="0"/>
        <w:kinsoku/>
        <w:overflowPunct/>
        <w:topLinePunct w:val="0"/>
        <w:bidi w:val="0"/>
        <w:snapToGrid w:val="0"/>
        <w:spacing w:before="50" w:after="50" w:line="240" w:lineRule="auto"/>
        <w:ind w:firstLine="472" w:firstLineChars="22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投标人名称：</w:t>
      </w:r>
    </w:p>
    <w:p w14:paraId="2AC471F7">
      <w:pPr>
        <w:pStyle w:val="6"/>
        <w:pageBreakBefore w:val="0"/>
        <w:kinsoku/>
        <w:overflowPunct/>
        <w:topLinePunct w:val="0"/>
        <w:bidi w:val="0"/>
        <w:snapToGrid w:val="0"/>
        <w:spacing w:before="50" w:after="50" w:line="240" w:lineRule="auto"/>
        <w:ind w:firstLine="472" w:firstLineChars="225"/>
        <w:rPr>
          <w:rFonts w:hint="eastAsia" w:ascii="宋体" w:hAnsi="宋体" w:eastAsia="宋体" w:cs="宋体"/>
          <w:bCs/>
          <w:color w:val="auto"/>
          <w:sz w:val="21"/>
          <w:szCs w:val="21"/>
          <w:highlight w:val="none"/>
        </w:rPr>
      </w:pPr>
    </w:p>
    <w:p w14:paraId="21AFC191">
      <w:pPr>
        <w:pStyle w:val="6"/>
        <w:pageBreakBefore w:val="0"/>
        <w:kinsoku/>
        <w:overflowPunct/>
        <w:topLinePunct w:val="0"/>
        <w:bidi w:val="0"/>
        <w:snapToGrid w:val="0"/>
        <w:spacing w:before="50" w:after="50" w:line="240" w:lineRule="auto"/>
        <w:ind w:firstLine="472" w:firstLineChars="22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投标人地址：</w:t>
      </w:r>
    </w:p>
    <w:p w14:paraId="1B4BC7F4">
      <w:pPr>
        <w:pStyle w:val="6"/>
        <w:pageBreakBefore w:val="0"/>
        <w:kinsoku/>
        <w:overflowPunct/>
        <w:topLinePunct w:val="0"/>
        <w:bidi w:val="0"/>
        <w:snapToGrid w:val="0"/>
        <w:spacing w:before="50" w:after="50" w:line="240" w:lineRule="auto"/>
        <w:ind w:firstLine="472" w:firstLineChars="225"/>
        <w:rPr>
          <w:rFonts w:hint="eastAsia" w:ascii="宋体" w:hAnsi="宋体" w:eastAsia="宋体" w:cs="宋体"/>
          <w:bCs/>
          <w:color w:val="auto"/>
          <w:sz w:val="21"/>
          <w:szCs w:val="21"/>
          <w:highlight w:val="none"/>
        </w:rPr>
      </w:pPr>
    </w:p>
    <w:p w14:paraId="23F42AB7">
      <w:pPr>
        <w:pStyle w:val="6"/>
        <w:pageBreakBefore w:val="0"/>
        <w:kinsoku/>
        <w:overflowPunct/>
        <w:topLinePunct w:val="0"/>
        <w:bidi w:val="0"/>
        <w:snapToGrid w:val="0"/>
        <w:spacing w:before="50" w:after="50" w:line="240" w:lineRule="auto"/>
        <w:ind w:firstLine="840" w:firstLineChars="400"/>
        <w:rPr>
          <w:rFonts w:hint="eastAsia" w:ascii="宋体" w:hAnsi="宋体" w:eastAsia="宋体" w:cs="宋体"/>
          <w:bCs/>
          <w:color w:val="auto"/>
          <w:sz w:val="21"/>
          <w:szCs w:val="21"/>
          <w:highlight w:val="none"/>
        </w:rPr>
      </w:pPr>
    </w:p>
    <w:p w14:paraId="2049606E">
      <w:pPr>
        <w:pageBreakBefore w:val="0"/>
        <w:kinsoku/>
        <w:overflowPunct/>
        <w:topLinePunct w:val="0"/>
        <w:bidi w:val="0"/>
        <w:snapToGrid w:val="0"/>
        <w:spacing w:before="120" w:beforeLines="50" w:after="50" w:line="240" w:lineRule="auto"/>
        <w:ind w:firstLine="64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14:paraId="615F6657">
      <w:pPr>
        <w:rPr>
          <w:rFonts w:hint="eastAsia"/>
          <w:lang w:val="en-US" w:eastAsia="zh-CN"/>
        </w:rPr>
      </w:pPr>
      <w:r>
        <w:rPr>
          <w:rFonts w:hint="eastAsia"/>
          <w:lang w:val="en-US" w:eastAsia="zh-CN"/>
        </w:rPr>
        <w:br w:type="page"/>
      </w:r>
    </w:p>
    <w:p w14:paraId="6197E3B9">
      <w:pPr>
        <w:pageBreakBefore w:val="0"/>
        <w:numPr>
          <w:ilvl w:val="2"/>
          <w:numId w:val="9"/>
        </w:numPr>
        <w:kinsoku/>
        <w:overflowPunct/>
        <w:topLinePunct w:val="0"/>
        <w:bidi w:val="0"/>
        <w:snapToGrid w:val="0"/>
        <w:spacing w:before="120" w:beforeLines="50" w:after="50" w:line="240" w:lineRule="auto"/>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资格证明文件目录</w:t>
      </w:r>
    </w:p>
    <w:p w14:paraId="6DEA33BF">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文件规定及投标人提供的材料自行编写目录。</w:t>
      </w:r>
    </w:p>
    <w:p w14:paraId="22B6B901">
      <w:pPr>
        <w:rPr>
          <w:rFonts w:hint="eastAsia"/>
          <w:lang w:val="en-US" w:eastAsia="zh-CN"/>
        </w:rPr>
      </w:pPr>
      <w:r>
        <w:rPr>
          <w:rFonts w:hint="eastAsia"/>
          <w:lang w:val="en-US" w:eastAsia="zh-CN"/>
        </w:rPr>
        <w:br w:type="page"/>
      </w:r>
    </w:p>
    <w:p w14:paraId="299E338D">
      <w:pPr>
        <w:pageBreakBefore w:val="0"/>
        <w:numPr>
          <w:ilvl w:val="2"/>
          <w:numId w:val="9"/>
        </w:numPr>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防城港市政府采购供应商信用承诺函</w:t>
      </w:r>
    </w:p>
    <w:p w14:paraId="5DD36995">
      <w:pPr>
        <w:pStyle w:val="17"/>
        <w:pageBreakBefore w:val="0"/>
        <w:kinsoku/>
        <w:overflowPunct/>
        <w:topLinePunct w:val="0"/>
        <w:bidi w:val="0"/>
        <w:spacing w:line="240" w:lineRule="auto"/>
        <w:rPr>
          <w:rFonts w:hint="eastAsia" w:ascii="宋体" w:hAnsi="宋体" w:eastAsia="宋体" w:cs="宋体"/>
          <w:color w:val="auto"/>
          <w:sz w:val="21"/>
          <w:szCs w:val="21"/>
          <w:highlight w:val="none"/>
        </w:rPr>
      </w:pPr>
    </w:p>
    <w:p w14:paraId="3C7C2071">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防城港市政府采购供应商信用承诺函</w:t>
      </w:r>
    </w:p>
    <w:p w14:paraId="485D96E0">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p>
    <w:p w14:paraId="705FA071">
      <w:pPr>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致（采购人或采购代理机构） ：</w:t>
      </w:r>
    </w:p>
    <w:p w14:paraId="3A072276">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我方自愿参加</w:t>
      </w:r>
      <w:r>
        <w:rPr>
          <w:rFonts w:hint="eastAsia" w:ascii="宋体" w:hAnsi="宋体" w:eastAsia="宋体" w:cs="宋体"/>
          <w:color w:val="auto"/>
          <w:sz w:val="21"/>
          <w:szCs w:val="21"/>
          <w:highlight w:val="none"/>
          <w:u w:val="single"/>
        </w:rPr>
        <w:t xml:space="preserve"> （项目名称） </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u w:val="single"/>
        </w:rPr>
        <w:t xml:space="preserve">项目编号：         </w:t>
      </w:r>
      <w:r>
        <w:rPr>
          <w:rFonts w:hint="eastAsia" w:ascii="宋体" w:hAnsi="宋体" w:eastAsia="宋体" w:cs="宋体"/>
          <w:color w:val="auto"/>
          <w:sz w:val="21"/>
          <w:szCs w:val="21"/>
          <w:highlight w:val="none"/>
        </w:rPr>
        <w:t xml:space="preserve">）的政府采购活动，严格遵守《中华人民共和国政府采购法》及相关法律法规，依法诚信经营，无条件遵守本次政府采购活动的各项规定，并郑重承诺： </w:t>
      </w:r>
    </w:p>
    <w:p w14:paraId="73BFD98B">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1.我方具有符合采购文件资格要求的财务状况报告。 </w:t>
      </w:r>
    </w:p>
    <w:p w14:paraId="02772582">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2.我方具有符合采购文件资格要求的依法缴纳税收和社会保障资金的良好记录。 </w:t>
      </w:r>
    </w:p>
    <w:p w14:paraId="3C2348E8">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3.我方参加政府采购活动前三年内在经营活动中没有重大违法记录。 </w:t>
      </w:r>
    </w:p>
    <w:p w14:paraId="29EA9D53">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我方对以上承诺内容的真实性负责。如有虚假，将依法承担相应责任。</w:t>
      </w:r>
    </w:p>
    <w:p w14:paraId="74EE7167">
      <w:pPr>
        <w:pageBreakBefore w:val="0"/>
        <w:kinsoku/>
        <w:overflowPunct/>
        <w:topLinePunct w:val="0"/>
        <w:bidi w:val="0"/>
        <w:spacing w:line="240" w:lineRule="auto"/>
        <w:ind w:firstLine="2415" w:firstLineChars="1150"/>
        <w:rPr>
          <w:rFonts w:hint="eastAsia" w:ascii="宋体" w:hAnsi="宋体" w:eastAsia="宋体" w:cs="宋体"/>
          <w:color w:val="auto"/>
          <w:sz w:val="21"/>
          <w:szCs w:val="21"/>
          <w:highlight w:val="none"/>
        </w:rPr>
      </w:pPr>
    </w:p>
    <w:p w14:paraId="2BECE58A">
      <w:pPr>
        <w:pageBreakBefore w:val="0"/>
        <w:kinsoku/>
        <w:overflowPunct/>
        <w:topLinePunct w:val="0"/>
        <w:bidi w:val="0"/>
        <w:spacing w:line="240" w:lineRule="auto"/>
        <w:ind w:firstLine="2415" w:firstLineChars="1150"/>
        <w:rPr>
          <w:rFonts w:hint="eastAsia" w:ascii="宋体" w:hAnsi="宋体" w:eastAsia="宋体" w:cs="宋体"/>
          <w:color w:val="auto"/>
          <w:sz w:val="21"/>
          <w:szCs w:val="21"/>
          <w:highlight w:val="none"/>
        </w:rPr>
      </w:pPr>
    </w:p>
    <w:p w14:paraId="255856BD">
      <w:pPr>
        <w:pageBreakBefore w:val="0"/>
        <w:kinsoku/>
        <w:overflowPunct/>
        <w:topLinePunct w:val="0"/>
        <w:bidi w:val="0"/>
        <w:spacing w:line="240" w:lineRule="auto"/>
        <w:ind w:firstLine="2415" w:firstLineChars="1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供应商名称（公章）：</w:t>
      </w:r>
      <w:r>
        <w:rPr>
          <w:rFonts w:hint="eastAsia" w:ascii="宋体" w:hAnsi="宋体" w:eastAsia="宋体" w:cs="宋体"/>
          <w:color w:val="auto"/>
          <w:sz w:val="21"/>
          <w:szCs w:val="21"/>
          <w:highlight w:val="none"/>
          <w:u w:val="single"/>
        </w:rPr>
        <w:t xml:space="preserve">               </w:t>
      </w:r>
    </w:p>
    <w:p w14:paraId="3C0CC069">
      <w:pPr>
        <w:pageBreakBefore w:val="0"/>
        <w:kinsoku/>
        <w:overflowPunct/>
        <w:topLinePunct w:val="0"/>
        <w:bidi w:val="0"/>
        <w:spacing w:line="240" w:lineRule="auto"/>
        <w:ind w:firstLine="2310" w:firstLineChars="1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r>
        <w:rPr>
          <w:rFonts w:hint="eastAsia" w:ascii="宋体" w:hAnsi="宋体" w:eastAsia="宋体" w:cs="宋体"/>
          <w:color w:val="auto"/>
          <w:sz w:val="21"/>
          <w:szCs w:val="21"/>
          <w:highlight w:val="none"/>
          <w:u w:val="single"/>
        </w:rPr>
        <w:t xml:space="preserve">                  </w:t>
      </w:r>
    </w:p>
    <w:p w14:paraId="68F54F52">
      <w:pPr>
        <w:pageBreakBefore w:val="0"/>
        <w:kinsoku/>
        <w:overflowPunct/>
        <w:topLinePunct w:val="0"/>
        <w:bidi w:val="0"/>
        <w:spacing w:line="240" w:lineRule="auto"/>
        <w:ind w:firstLine="1470" w:firstLineChars="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法定代表人或授权代表(签名)：</w:t>
      </w:r>
      <w:r>
        <w:rPr>
          <w:rFonts w:hint="eastAsia" w:ascii="宋体" w:hAnsi="宋体" w:eastAsia="宋体" w:cs="宋体"/>
          <w:color w:val="auto"/>
          <w:sz w:val="21"/>
          <w:szCs w:val="21"/>
          <w:highlight w:val="none"/>
          <w:u w:val="single"/>
        </w:rPr>
        <w:t xml:space="preserve">                </w:t>
      </w:r>
    </w:p>
    <w:p w14:paraId="194B5B4E">
      <w:pPr>
        <w:pageBreakBefore w:val="0"/>
        <w:kinsoku/>
        <w:overflowPunct/>
        <w:topLinePunct w:val="0"/>
        <w:bidi w:val="0"/>
        <w:spacing w:line="240" w:lineRule="auto"/>
        <w:ind w:firstLine="2730" w:firstLineChars="1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7BEDAF52">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p>
    <w:p w14:paraId="5B365EC3">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注：1.供应商须在投标（响应）文件中按此模板提供承诺函，未提供视为未实质性响应</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（采购）文件要求，按无效投标（响应）处理。</w:t>
      </w:r>
    </w:p>
    <w:p w14:paraId="4A647282">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2.供应商的法定代表人（其他组织的为负责人）或者授权代表的签名或盖章应真实、有效，如由授权代表签名或盖章的，应提供“法定代表人授权书”。</w:t>
      </w:r>
    </w:p>
    <w:p w14:paraId="45D6EE57">
      <w:pPr>
        <w:rPr>
          <w:rFonts w:hint="eastAsia"/>
          <w:lang w:val="en-US" w:eastAsia="zh-CN"/>
        </w:rPr>
      </w:pPr>
      <w:r>
        <w:rPr>
          <w:rFonts w:hint="eastAsia"/>
          <w:lang w:val="en-US" w:eastAsia="zh-CN"/>
        </w:rPr>
        <w:br w:type="page"/>
      </w:r>
    </w:p>
    <w:p w14:paraId="34727AA3">
      <w:pPr>
        <w:pageBreakBefore w:val="0"/>
        <w:numPr>
          <w:ilvl w:val="2"/>
          <w:numId w:val="9"/>
        </w:numPr>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投标人直接控股、管理关系信息表</w:t>
      </w:r>
    </w:p>
    <w:p w14:paraId="195EADF8">
      <w:pPr>
        <w:pageBreakBefore w:val="0"/>
        <w:kinsoku/>
        <w:overflowPunct/>
        <w:topLinePunct w:val="0"/>
        <w:bidi w:val="0"/>
        <w:snapToGrid w:val="0"/>
        <w:spacing w:before="50" w:after="120" w:afterLines="50" w:line="240" w:lineRule="auto"/>
        <w:jc w:val="center"/>
        <w:rPr>
          <w:rFonts w:hint="eastAsia" w:ascii="宋体" w:hAnsi="宋体" w:eastAsia="宋体" w:cs="宋体"/>
          <w:b/>
          <w:color w:val="auto"/>
          <w:sz w:val="21"/>
          <w:szCs w:val="21"/>
          <w:highlight w:val="none"/>
        </w:rPr>
      </w:pPr>
    </w:p>
    <w:p w14:paraId="62A1FABA">
      <w:pPr>
        <w:pageBreakBefore w:val="0"/>
        <w:kinsoku/>
        <w:overflowPunct/>
        <w:topLinePunct w:val="0"/>
        <w:bidi w:val="0"/>
        <w:snapToGrid w:val="0"/>
        <w:spacing w:before="50" w:after="120" w:afterLines="5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投标人直接控股股东信息表</w:t>
      </w:r>
    </w:p>
    <w:tbl>
      <w:tblPr>
        <w:tblStyle w:val="20"/>
        <w:tblW w:w="9476" w:type="dxa"/>
        <w:jc w:val="center"/>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68DB6C5B">
        <w:tblPrEx>
          <w:tblCellMar>
            <w:top w:w="0" w:type="dxa"/>
            <w:left w:w="0" w:type="dxa"/>
            <w:bottom w:w="0" w:type="dxa"/>
            <w:right w:w="0" w:type="dxa"/>
          </w:tblCellMar>
        </w:tblPrEx>
        <w:trPr>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5158395">
            <w:pPr>
              <w:pageBreakBefore w:val="0"/>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8E89831">
            <w:pPr>
              <w:pageBreakBefore w:val="0"/>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8DED1F1">
            <w:pPr>
              <w:pageBreakBefore w:val="0"/>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7E06DEC">
            <w:pPr>
              <w:pageBreakBefore w:val="0"/>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E4DFE46">
            <w:pPr>
              <w:pageBreakBefore w:val="0"/>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14:paraId="48AA9D32">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5FC06C">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D42C0B">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E4D8BE4">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0612CF">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8029F0">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r>
      <w:tr w14:paraId="19B75C34">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1147E3">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E85D39">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28929B">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7AAEC9">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B16646">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r>
      <w:tr w14:paraId="77234491">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2DD7F98">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D7DAC9">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2B1D52">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63DBD4">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B40EFD3">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r>
      <w:tr w14:paraId="30CEC793">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211840C">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669CE0">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5D963B">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60BB0D">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E31E9A">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r>
    </w:tbl>
    <w:p w14:paraId="2D077B9F">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24B60350">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41C31DB">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2.本表所指的控股关系仅限于直接控股关系，不包括间接的控股关系。公司实际控制人与公司之间的关系不属于本表所指的直接控股关系。</w:t>
      </w:r>
    </w:p>
    <w:p w14:paraId="44B89184">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3.供应商不存在直接控股股东的，则在“</w:t>
      </w:r>
      <w:r>
        <w:rPr>
          <w:rFonts w:hint="eastAsia" w:ascii="宋体" w:hAnsi="宋体" w:eastAsia="宋体" w:cs="宋体"/>
          <w:b/>
          <w:bCs/>
          <w:color w:val="auto"/>
          <w:kern w:val="0"/>
          <w:sz w:val="21"/>
          <w:szCs w:val="21"/>
          <w:highlight w:val="none"/>
        </w:rPr>
        <w:t>直接控股股东名称</w:t>
      </w:r>
      <w:r>
        <w:rPr>
          <w:rFonts w:hint="eastAsia" w:ascii="宋体" w:hAnsi="宋体" w:eastAsia="宋体" w:cs="宋体"/>
          <w:color w:val="auto"/>
          <w:sz w:val="21"/>
          <w:szCs w:val="21"/>
          <w:highlight w:val="none"/>
        </w:rPr>
        <w:t>”中填“无”。</w:t>
      </w:r>
    </w:p>
    <w:p w14:paraId="1BA54C3F">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p>
    <w:p w14:paraId="744264D3">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p>
    <w:p w14:paraId="16454DC0">
      <w:pPr>
        <w:pageBreakBefore w:val="0"/>
        <w:kinsoku/>
        <w:overflowPunct/>
        <w:topLinePunct w:val="0"/>
        <w:bidi w:val="0"/>
        <w:snapToGrid w:val="0"/>
        <w:spacing w:line="240" w:lineRule="auto"/>
        <w:ind w:left="-2" w:right="-817" w:rightChars="-38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法定代表人或者委托代理人（签名）： </w:t>
      </w:r>
    </w:p>
    <w:p w14:paraId="7B8AEA44">
      <w:pPr>
        <w:pageBreakBefore w:val="0"/>
        <w:kinsoku/>
        <w:overflowPunct/>
        <w:topLinePunct w:val="0"/>
        <w:bidi w:val="0"/>
        <w:snapToGrid w:val="0"/>
        <w:spacing w:line="240" w:lineRule="auto"/>
        <w:ind w:left="-6" w:leftChars="-15" w:right="-817" w:rightChars="-389" w:hanging="25" w:hangingChars="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投标人名称（公章）：</w:t>
      </w:r>
    </w:p>
    <w:p w14:paraId="081088CA">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    年   月   日</w:t>
      </w:r>
    </w:p>
    <w:p w14:paraId="7E03207A">
      <w:pPr>
        <w:rPr>
          <w:rFonts w:hint="eastAsia"/>
          <w:lang w:val="en-US" w:eastAsia="zh-CN"/>
        </w:rPr>
      </w:pPr>
      <w:r>
        <w:rPr>
          <w:rFonts w:hint="eastAsia"/>
          <w:lang w:val="en-US" w:eastAsia="zh-CN"/>
        </w:rPr>
        <w:br w:type="page"/>
      </w:r>
    </w:p>
    <w:p w14:paraId="69EC45B6">
      <w:pPr>
        <w:pageBreakBefore w:val="0"/>
        <w:kinsoku/>
        <w:overflowPunct/>
        <w:topLinePunct w:val="0"/>
        <w:bidi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投标人直接管理关系信息表</w:t>
      </w:r>
    </w:p>
    <w:tbl>
      <w:tblPr>
        <w:tblStyle w:val="20"/>
        <w:tblW w:w="9652" w:type="dxa"/>
        <w:jc w:val="center"/>
        <w:shd w:val="clear" w:color="auto" w:fill="FBFBFB"/>
        <w:tblLayout w:type="fixed"/>
        <w:tblCellMar>
          <w:top w:w="0" w:type="dxa"/>
          <w:left w:w="0" w:type="dxa"/>
          <w:bottom w:w="0" w:type="dxa"/>
          <w:right w:w="0" w:type="dxa"/>
        </w:tblCellMar>
      </w:tblPr>
      <w:tblGrid>
        <w:gridCol w:w="1005"/>
        <w:gridCol w:w="2659"/>
        <w:gridCol w:w="3924"/>
        <w:gridCol w:w="2064"/>
      </w:tblGrid>
      <w:tr w14:paraId="0B0C036F">
        <w:tblPrEx>
          <w:shd w:val="clear" w:color="auto" w:fill="FBFBFB"/>
          <w:tblCellMar>
            <w:top w:w="0" w:type="dxa"/>
            <w:left w:w="0" w:type="dxa"/>
            <w:bottom w:w="0" w:type="dxa"/>
            <w:right w:w="0" w:type="dxa"/>
          </w:tblCellMar>
        </w:tblPrEx>
        <w:trPr>
          <w:tblHeader/>
          <w:jc w:val="cent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0706CA0">
            <w:pPr>
              <w:pageBreakBefore w:val="0"/>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87405D1">
            <w:pPr>
              <w:pageBreakBefore w:val="0"/>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5110C09">
            <w:pPr>
              <w:pageBreakBefore w:val="0"/>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C851EE0">
            <w:pPr>
              <w:pageBreakBefore w:val="0"/>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14:paraId="01C9F2C4">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4160FF">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EB0C45">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A2F661">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EF31ED">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r>
      <w:tr w14:paraId="2E4E6EC6">
        <w:tblPrEx>
          <w:shd w:val="clear" w:color="auto" w:fill="FBFBFB"/>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57152C4">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6349D1">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D41A65">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A143C5">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r>
      <w:tr w14:paraId="6377DBC7">
        <w:tblPrEx>
          <w:shd w:val="clear" w:color="auto" w:fill="FBFBFB"/>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76DB52">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5ACF15">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1B8FBB">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ED6AE0">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r>
      <w:tr w14:paraId="379D01CA">
        <w:tblPrEx>
          <w:shd w:val="clear" w:color="auto" w:fill="FBFBFB"/>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86C206">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FBAF93">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A12FC89">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62A634">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r>
    </w:tbl>
    <w:p w14:paraId="05E8EB8E">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6385DEB5">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1.管理关系：是指不具有出资持股关系的其他单位之间存在的管理与被管理关系，如一些上下级关系的事业单位和团体组织。</w:t>
      </w:r>
    </w:p>
    <w:p w14:paraId="59E818CE">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pacing w:val="-6"/>
          <w:sz w:val="21"/>
          <w:szCs w:val="21"/>
          <w:highlight w:val="none"/>
        </w:rPr>
        <w:t>本表所指的管理关系仅限于直接管理关系，不包括间接的管理关系。</w:t>
      </w:r>
    </w:p>
    <w:p w14:paraId="42FA8472">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3.供应商不存在直接管理关系的，则在“</w:t>
      </w:r>
      <w:r>
        <w:rPr>
          <w:rFonts w:hint="eastAsia" w:ascii="宋体" w:hAnsi="宋体" w:eastAsia="宋体" w:cs="宋体"/>
          <w:b/>
          <w:bCs/>
          <w:color w:val="auto"/>
          <w:kern w:val="0"/>
          <w:sz w:val="21"/>
          <w:szCs w:val="21"/>
          <w:highlight w:val="none"/>
        </w:rPr>
        <w:t>直接管理关系单位名称</w:t>
      </w:r>
      <w:r>
        <w:rPr>
          <w:rFonts w:hint="eastAsia" w:ascii="宋体" w:hAnsi="宋体" w:eastAsia="宋体" w:cs="宋体"/>
          <w:color w:val="auto"/>
          <w:sz w:val="21"/>
          <w:szCs w:val="21"/>
          <w:highlight w:val="none"/>
        </w:rPr>
        <w:t>”中填“无”。</w:t>
      </w:r>
    </w:p>
    <w:p w14:paraId="1B024AA8">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p>
    <w:p w14:paraId="7FE7C286">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p>
    <w:p w14:paraId="059FE5C6">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p>
    <w:p w14:paraId="36E604A7">
      <w:pPr>
        <w:pageBreakBefore w:val="0"/>
        <w:kinsoku/>
        <w:overflowPunct/>
        <w:topLinePunct w:val="0"/>
        <w:bidi w:val="0"/>
        <w:snapToGrid w:val="0"/>
        <w:spacing w:line="240" w:lineRule="auto"/>
        <w:ind w:left="-2" w:right="-817" w:rightChars="-38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法定代表人或者委托代理人（签名）： </w:t>
      </w:r>
    </w:p>
    <w:p w14:paraId="5E92D3FA">
      <w:pPr>
        <w:pageBreakBefore w:val="0"/>
        <w:kinsoku/>
        <w:overflowPunct/>
        <w:topLinePunct w:val="0"/>
        <w:bidi w:val="0"/>
        <w:snapToGrid w:val="0"/>
        <w:spacing w:line="240" w:lineRule="auto"/>
        <w:ind w:left="-6" w:leftChars="-15" w:right="-817" w:rightChars="-389" w:hanging="25" w:hangingChars="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投标人名称（公章）：</w:t>
      </w:r>
    </w:p>
    <w:p w14:paraId="000BFF51">
      <w:pPr>
        <w:pageBreakBefore w:val="0"/>
        <w:kinsoku/>
        <w:overflowPunct/>
        <w:topLinePunct w:val="0"/>
        <w:bidi w:val="0"/>
        <w:snapToGrid w:val="0"/>
        <w:spacing w:line="240" w:lineRule="auto"/>
        <w:ind w:right="48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    年   月   日</w:t>
      </w:r>
    </w:p>
    <w:p w14:paraId="395AB2CC">
      <w:pPr>
        <w:rPr>
          <w:rFonts w:hint="eastAsia"/>
          <w:lang w:val="en-US" w:eastAsia="zh-CN"/>
        </w:rPr>
      </w:pPr>
      <w:r>
        <w:rPr>
          <w:rFonts w:hint="eastAsia"/>
          <w:lang w:val="en-US" w:eastAsia="zh-CN"/>
        </w:rPr>
        <w:br w:type="page"/>
      </w:r>
    </w:p>
    <w:p w14:paraId="79073F3B">
      <w:pPr>
        <w:pageBreakBefore w:val="0"/>
        <w:numPr>
          <w:ilvl w:val="2"/>
          <w:numId w:val="9"/>
        </w:numPr>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投标声明</w:t>
      </w:r>
    </w:p>
    <w:p w14:paraId="0A6BF496">
      <w:pPr>
        <w:pageBreakBefore w:val="0"/>
        <w:kinsoku/>
        <w:overflowPunct/>
        <w:topLinePunct w:val="0"/>
        <w:bidi w:val="0"/>
        <w:snapToGrid w:val="0"/>
        <w:spacing w:before="50" w:after="120" w:afterLines="50" w:line="240" w:lineRule="auto"/>
        <w:jc w:val="left"/>
        <w:rPr>
          <w:rFonts w:hint="eastAsia" w:ascii="宋体" w:hAnsi="宋体" w:eastAsia="宋体" w:cs="宋体"/>
          <w:color w:val="auto"/>
          <w:sz w:val="21"/>
          <w:szCs w:val="21"/>
          <w:highlight w:val="none"/>
        </w:rPr>
      </w:pPr>
    </w:p>
    <w:p w14:paraId="75045936">
      <w:pPr>
        <w:pageBreakBefore w:val="0"/>
        <w:kinsoku/>
        <w:overflowPunct/>
        <w:topLinePunct w:val="0"/>
        <w:bidi w:val="0"/>
        <w:snapToGrid w:val="0"/>
        <w:spacing w:before="50" w:after="120" w:afterLines="50"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投标声明</w:t>
      </w:r>
    </w:p>
    <w:p w14:paraId="163DC183">
      <w:pPr>
        <w:pageBreakBefore w:val="0"/>
        <w:kinsoku/>
        <w:overflowPunct/>
        <w:topLinePunct w:val="0"/>
        <w:bidi w:val="0"/>
        <w:spacing w:line="24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w:t>
      </w:r>
    </w:p>
    <w:p w14:paraId="6A8D2272">
      <w:pPr>
        <w:pageBreakBefore w:val="0"/>
        <w:kinsoku/>
        <w:overflowPunct/>
        <w:topLinePunct w:val="0"/>
        <w:bidi w:val="0"/>
        <w:spacing w:line="240" w:lineRule="auto"/>
        <w:ind w:firstLine="457" w:firstLineChars="218"/>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我方参加贵单位组织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）的政府采购活动。我方在此郑重声明：</w:t>
      </w:r>
    </w:p>
    <w:p w14:paraId="05CC6D83">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56E66AF">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2.我方不是为本次采购项目提供整体设计、规范编制或者项目管理、监理、检测等服务的供应商。</w:t>
      </w:r>
    </w:p>
    <w:p w14:paraId="61FA74B6">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我方承诺符合《中华人民共和国政府采购法》第二十二条规定：</w:t>
      </w:r>
    </w:p>
    <w:p w14:paraId="0FD15324">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（一）具有独立承担民事责任的能力；</w:t>
      </w:r>
    </w:p>
    <w:p w14:paraId="4B7679D8">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（二）具有良好的商业信誉和健全的财务会计制度；</w:t>
      </w:r>
    </w:p>
    <w:p w14:paraId="22CBED46">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（三）具有履行合同所必需的设备和专业技术能力；</w:t>
      </w:r>
    </w:p>
    <w:p w14:paraId="620AD94A">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（四）有依法缴纳税收和社会保障资金的良好记录；</w:t>
      </w:r>
    </w:p>
    <w:p w14:paraId="10EC9E73">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（五）参加政府采购活动前三年内，在经营活动中没有重大违法记录；</w:t>
      </w:r>
    </w:p>
    <w:p w14:paraId="3522C433">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（六）法律、行政法规规定的其他条件。</w:t>
      </w:r>
    </w:p>
    <w:p w14:paraId="55972EEF">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4.以上事项如有虚假或者隐瞒，我方愿意承担一切后果，并不再寻求任何旨在减轻或者免除法律责任的辩解。</w:t>
      </w:r>
    </w:p>
    <w:p w14:paraId="6E7BC890">
      <w:pPr>
        <w:pageBreakBefore w:val="0"/>
        <w:kinsoku/>
        <w:overflowPunct/>
        <w:topLinePunct w:val="0"/>
        <w:bidi w:val="0"/>
        <w:spacing w:line="24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特此承诺。</w:t>
      </w:r>
    </w:p>
    <w:p w14:paraId="371FF0C0">
      <w:pPr>
        <w:pageBreakBefore w:val="0"/>
        <w:kinsoku/>
        <w:overflowPunct/>
        <w:topLinePunct w:val="0"/>
        <w:bidi w:val="0"/>
        <w:spacing w:line="24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color w:val="auto"/>
          <w:sz w:val="21"/>
          <w:szCs w:val="21"/>
          <w:highlight w:val="none"/>
        </w:rPr>
        <w:t xml:space="preserve">            法定代表人（签名）：</w:t>
      </w:r>
      <w:r>
        <w:rPr>
          <w:rFonts w:hint="eastAsia" w:ascii="宋体" w:hAnsi="宋体" w:eastAsia="宋体" w:cs="宋体"/>
          <w:color w:val="auto"/>
          <w:sz w:val="21"/>
          <w:szCs w:val="21"/>
          <w:highlight w:val="none"/>
          <w:u w:val="single"/>
        </w:rPr>
        <w:t xml:space="preserve">             </w:t>
      </w:r>
    </w:p>
    <w:p w14:paraId="67676074">
      <w:pPr>
        <w:pageBreakBefore w:val="0"/>
        <w:kinsoku/>
        <w:overflowPunct/>
        <w:topLinePunct w:val="0"/>
        <w:bidi w:val="0"/>
        <w:spacing w:line="24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投标人名称（公章）：</w:t>
      </w:r>
      <w:r>
        <w:rPr>
          <w:rFonts w:hint="eastAsia" w:ascii="宋体" w:hAnsi="宋体" w:eastAsia="宋体" w:cs="宋体"/>
          <w:color w:val="auto"/>
          <w:sz w:val="21"/>
          <w:szCs w:val="21"/>
          <w:highlight w:val="none"/>
          <w:u w:val="single"/>
        </w:rPr>
        <w:t xml:space="preserve">                 </w:t>
      </w:r>
    </w:p>
    <w:p w14:paraId="13F81023">
      <w:pPr>
        <w:pageBreakBefore w:val="0"/>
        <w:kinsoku/>
        <w:overflowPunct/>
        <w:topLinePunct w:val="0"/>
        <w:bidi w:val="0"/>
        <w:spacing w:line="24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5040D465">
      <w:pPr>
        <w:rPr>
          <w:rFonts w:hint="eastAsia"/>
          <w:lang w:val="en-US" w:eastAsia="zh-CN"/>
        </w:rPr>
      </w:pPr>
      <w:r>
        <w:rPr>
          <w:rFonts w:hint="eastAsia"/>
          <w:lang w:val="en-US" w:eastAsia="zh-CN"/>
        </w:rPr>
        <w:br w:type="page"/>
      </w:r>
    </w:p>
    <w:p w14:paraId="33F851D5">
      <w:pPr>
        <w:pageBreakBefore w:val="0"/>
        <w:numPr>
          <w:ilvl w:val="2"/>
          <w:numId w:val="9"/>
        </w:numPr>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中小企业声明函或监狱企业证明材料或</w:t>
      </w:r>
      <w:r>
        <w:rPr>
          <w:rFonts w:hint="eastAsia" w:ascii="宋体" w:hAnsi="宋体" w:eastAsia="宋体" w:cs="宋体"/>
          <w:b/>
          <w:color w:val="auto"/>
          <w:sz w:val="21"/>
          <w:szCs w:val="21"/>
          <w:highlight w:val="none"/>
          <w:lang w:val="en-US" w:eastAsia="zh-CN"/>
        </w:rPr>
        <w:t>残疾人福利性单位</w:t>
      </w:r>
      <w:r>
        <w:rPr>
          <w:rFonts w:hint="eastAsia" w:ascii="宋体" w:hAnsi="宋体" w:eastAsia="宋体" w:cs="宋体"/>
          <w:b/>
          <w:color w:val="auto"/>
          <w:sz w:val="21"/>
          <w:szCs w:val="21"/>
          <w:highlight w:val="none"/>
        </w:rPr>
        <w:t>声明函</w:t>
      </w:r>
    </w:p>
    <w:p w14:paraId="6B524D91">
      <w:pPr>
        <w:pStyle w:val="17"/>
        <w:pageBreakBefore w:val="0"/>
        <w:kinsoku/>
        <w:overflowPunct/>
        <w:topLinePunct w:val="0"/>
        <w:bidi w:val="0"/>
        <w:spacing w:line="240" w:lineRule="auto"/>
        <w:rPr>
          <w:rFonts w:hint="eastAsia" w:ascii="宋体" w:hAnsi="宋体" w:eastAsia="宋体" w:cs="宋体"/>
          <w:color w:val="auto"/>
          <w:sz w:val="21"/>
          <w:szCs w:val="21"/>
          <w:highlight w:val="none"/>
        </w:rPr>
      </w:pPr>
    </w:p>
    <w:p w14:paraId="7F5D7099">
      <w:pPr>
        <w:pStyle w:val="17"/>
        <w:pageBreakBefore w:val="0"/>
        <w:kinsoku/>
        <w:overflowPunct/>
        <w:topLinePunct w:val="0"/>
        <w:bidi w:val="0"/>
        <w:spacing w:line="240" w:lineRule="auto"/>
        <w:rPr>
          <w:rFonts w:hint="eastAsia" w:ascii="宋体" w:hAnsi="宋体" w:eastAsia="宋体" w:cs="宋体"/>
          <w:color w:val="auto"/>
          <w:sz w:val="21"/>
          <w:szCs w:val="21"/>
          <w:highlight w:val="none"/>
        </w:rPr>
      </w:pPr>
    </w:p>
    <w:p w14:paraId="61D60755">
      <w:pPr>
        <w:pageBreakBefore w:val="0"/>
        <w:kinsoku/>
        <w:overflowPunct/>
        <w:topLinePunct w:val="0"/>
        <w:bidi w:val="0"/>
        <w:snapToGrid w:val="0"/>
        <w:spacing w:before="120" w:beforeLines="50" w:after="50" w:line="240" w:lineRule="auto"/>
        <w:jc w:val="center"/>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lang w:eastAsia="zh-CN"/>
        </w:rPr>
        <w:t>中小</w:t>
      </w:r>
      <w:r>
        <w:rPr>
          <w:rFonts w:hint="eastAsia" w:ascii="宋体" w:hAnsi="宋体" w:eastAsia="宋体" w:cs="宋体"/>
          <w:b/>
          <w:color w:val="auto"/>
          <w:sz w:val="21"/>
          <w:szCs w:val="21"/>
          <w:highlight w:val="none"/>
        </w:rPr>
        <w:t>企业声明函格式</w:t>
      </w:r>
    </w:p>
    <w:p w14:paraId="3860B4C8">
      <w:pPr>
        <w:pageBreakBefore w:val="0"/>
        <w:kinsoku/>
        <w:overflowPunct/>
        <w:topLinePunct w:val="0"/>
        <w:bidi w:val="0"/>
        <w:spacing w:line="240" w:lineRule="auto"/>
        <w:rPr>
          <w:rFonts w:hint="eastAsia" w:ascii="宋体" w:hAnsi="宋体" w:eastAsia="宋体" w:cs="宋体"/>
          <w:color w:val="auto"/>
          <w:sz w:val="21"/>
          <w:szCs w:val="21"/>
          <w:highlight w:val="none"/>
        </w:rPr>
      </w:pPr>
    </w:p>
    <w:p w14:paraId="3DCB01F1">
      <w:pPr>
        <w:pageBreakBefore w:val="0"/>
        <w:kinsoku/>
        <w:overflowPunct/>
        <w:topLinePunct w:val="0"/>
        <w:bidi w:val="0"/>
        <w:spacing w:line="240" w:lineRule="auto"/>
        <w:ind w:left="-426" w:leftChars="-203" w:right="142" w:firstLine="420" w:firstLineChars="200"/>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0"/>
          <w:sz w:val="21"/>
          <w:szCs w:val="21"/>
          <w:highlight w:val="none"/>
        </w:rPr>
        <w:t>本公司（联合体）郑重声明，根据《政府采购促进中小企业发展管理办法》（财库﹝2020﹞46号）的规定，本公司（联合体）参加</w:t>
      </w:r>
      <w:r>
        <w:rPr>
          <w:rFonts w:hint="eastAsia" w:ascii="宋体" w:hAnsi="宋体" w:eastAsia="宋体" w:cs="宋体"/>
          <w:color w:val="auto"/>
          <w:kern w:val="0"/>
          <w:sz w:val="21"/>
          <w:szCs w:val="21"/>
          <w:highlight w:val="none"/>
          <w:u w:val="single"/>
        </w:rPr>
        <w:t>（单位名称）</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u w:val="single"/>
        </w:rPr>
        <w:t>（项目名称）</w:t>
      </w:r>
      <w:r>
        <w:rPr>
          <w:rFonts w:hint="eastAsia" w:ascii="宋体" w:hAnsi="宋体" w:eastAsia="宋体" w:cs="宋体"/>
          <w:color w:val="auto"/>
          <w:kern w:val="0"/>
          <w:sz w:val="21"/>
          <w:szCs w:val="21"/>
          <w:highlight w:val="none"/>
        </w:rPr>
        <w:t>采购活动，服务全部由符合政策要求的中小企业承接。相关企业（含联合体中的中小企业、签订分包意向协议的中小企业）的具体情况如下：</w:t>
      </w:r>
    </w:p>
    <w:p w14:paraId="1D7D6C2C">
      <w:pPr>
        <w:pageBreakBefore w:val="0"/>
        <w:tabs>
          <w:tab w:val="left" w:pos="1384"/>
          <w:tab w:val="left" w:pos="4562"/>
          <w:tab w:val="left" w:pos="6803"/>
        </w:tabs>
        <w:kinsoku/>
        <w:overflowPunct/>
        <w:topLinePunct w:val="0"/>
        <w:bidi w:val="0"/>
        <w:spacing w:line="240" w:lineRule="auto"/>
        <w:ind w:left="-426" w:right="-58" w:firstLine="655"/>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1.</w:t>
      </w:r>
      <w:r>
        <w:rPr>
          <w:rFonts w:hint="eastAsia" w:ascii="宋体" w:hAnsi="宋体" w:eastAsia="宋体" w:cs="宋体"/>
          <w:color w:val="auto"/>
          <w:kern w:val="24"/>
          <w:sz w:val="21"/>
          <w:szCs w:val="21"/>
          <w:highlight w:val="none"/>
          <w:u w:val="single"/>
        </w:rPr>
        <w:t>（标的名称）</w:t>
      </w:r>
      <w:r>
        <w:rPr>
          <w:rFonts w:hint="eastAsia" w:ascii="宋体" w:hAnsi="宋体" w:eastAsia="宋体" w:cs="宋体"/>
          <w:color w:val="auto"/>
          <w:kern w:val="24"/>
          <w:sz w:val="21"/>
          <w:szCs w:val="21"/>
          <w:highlight w:val="none"/>
        </w:rPr>
        <w:t>，属于</w:t>
      </w:r>
      <w:r>
        <w:rPr>
          <w:rFonts w:hint="eastAsia" w:ascii="宋体" w:hAnsi="宋体" w:eastAsia="宋体" w:cs="宋体"/>
          <w:color w:val="auto"/>
          <w:kern w:val="24"/>
          <w:sz w:val="21"/>
          <w:szCs w:val="21"/>
          <w:highlight w:val="none"/>
          <w:u w:val="single"/>
        </w:rPr>
        <w:t>（采购文件中明确的所属行业）</w:t>
      </w:r>
      <w:r>
        <w:rPr>
          <w:rFonts w:hint="eastAsia" w:ascii="宋体" w:hAnsi="宋体" w:eastAsia="宋体" w:cs="宋体"/>
          <w:color w:val="auto"/>
          <w:kern w:val="24"/>
          <w:sz w:val="21"/>
          <w:szCs w:val="21"/>
          <w:highlight w:val="none"/>
        </w:rPr>
        <w:t>行业；承接企业为</w:t>
      </w:r>
      <w:r>
        <w:rPr>
          <w:rFonts w:hint="eastAsia" w:ascii="宋体" w:hAnsi="宋体" w:eastAsia="宋体" w:cs="宋体"/>
          <w:color w:val="auto"/>
          <w:kern w:val="24"/>
          <w:sz w:val="21"/>
          <w:szCs w:val="21"/>
          <w:highlight w:val="none"/>
          <w:u w:val="single"/>
        </w:rPr>
        <w:t>（企业名称）</w:t>
      </w:r>
      <w:r>
        <w:rPr>
          <w:rFonts w:hint="eastAsia" w:ascii="宋体" w:hAnsi="宋体" w:eastAsia="宋体" w:cs="宋体"/>
          <w:color w:val="auto"/>
          <w:kern w:val="24"/>
          <w:sz w:val="21"/>
          <w:szCs w:val="21"/>
          <w:highlight w:val="none"/>
        </w:rPr>
        <w:t>，从业人员</w:t>
      </w:r>
      <w:r>
        <w:rPr>
          <w:rFonts w:hint="eastAsia" w:ascii="宋体" w:hAnsi="宋体" w:eastAsia="宋体" w:cs="宋体"/>
          <w:color w:val="auto"/>
          <w:kern w:val="24"/>
          <w:sz w:val="21"/>
          <w:szCs w:val="21"/>
          <w:highlight w:val="none"/>
          <w:u w:val="single"/>
        </w:rPr>
        <w:t xml:space="preserve">      </w:t>
      </w:r>
      <w:r>
        <w:rPr>
          <w:rFonts w:hint="eastAsia" w:ascii="宋体" w:hAnsi="宋体" w:eastAsia="宋体" w:cs="宋体"/>
          <w:color w:val="auto"/>
          <w:kern w:val="24"/>
          <w:sz w:val="21"/>
          <w:szCs w:val="21"/>
          <w:highlight w:val="none"/>
        </w:rPr>
        <w:t>人，营业收入为</w:t>
      </w:r>
      <w:r>
        <w:rPr>
          <w:rFonts w:hint="eastAsia" w:ascii="宋体" w:hAnsi="宋体" w:eastAsia="宋体" w:cs="宋体"/>
          <w:color w:val="auto"/>
          <w:kern w:val="24"/>
          <w:sz w:val="21"/>
          <w:szCs w:val="21"/>
          <w:highlight w:val="none"/>
          <w:u w:val="single"/>
        </w:rPr>
        <w:t xml:space="preserve">      </w:t>
      </w:r>
      <w:r>
        <w:rPr>
          <w:rFonts w:hint="eastAsia" w:ascii="宋体" w:hAnsi="宋体" w:eastAsia="宋体" w:cs="宋体"/>
          <w:color w:val="auto"/>
          <w:kern w:val="24"/>
          <w:sz w:val="21"/>
          <w:szCs w:val="21"/>
          <w:highlight w:val="none"/>
        </w:rPr>
        <w:t>万元，资产总额为</w:t>
      </w:r>
      <w:r>
        <w:rPr>
          <w:rFonts w:hint="eastAsia" w:ascii="宋体" w:hAnsi="宋体" w:eastAsia="宋体" w:cs="宋体"/>
          <w:color w:val="auto"/>
          <w:kern w:val="24"/>
          <w:sz w:val="21"/>
          <w:szCs w:val="21"/>
          <w:highlight w:val="none"/>
          <w:u w:val="single"/>
        </w:rPr>
        <w:t xml:space="preserve">      </w:t>
      </w:r>
      <w:r>
        <w:rPr>
          <w:rFonts w:hint="eastAsia" w:ascii="宋体" w:hAnsi="宋体" w:eastAsia="宋体" w:cs="宋体"/>
          <w:color w:val="auto"/>
          <w:kern w:val="24"/>
          <w:sz w:val="21"/>
          <w:szCs w:val="21"/>
          <w:highlight w:val="none"/>
        </w:rPr>
        <w:t>万元，属于</w:t>
      </w:r>
      <w:r>
        <w:rPr>
          <w:rFonts w:hint="eastAsia" w:ascii="宋体" w:hAnsi="宋体" w:eastAsia="宋体" w:cs="宋体"/>
          <w:color w:val="auto"/>
          <w:kern w:val="24"/>
          <w:sz w:val="21"/>
          <w:szCs w:val="21"/>
          <w:highlight w:val="none"/>
          <w:u w:val="single"/>
        </w:rPr>
        <w:t>（中型企业、小型企业、微型企业）</w:t>
      </w:r>
      <w:r>
        <w:rPr>
          <w:rFonts w:hint="eastAsia" w:ascii="宋体" w:hAnsi="宋体" w:eastAsia="宋体" w:cs="宋体"/>
          <w:color w:val="auto"/>
          <w:kern w:val="24"/>
          <w:sz w:val="21"/>
          <w:szCs w:val="21"/>
          <w:highlight w:val="none"/>
        </w:rPr>
        <w:t>；</w:t>
      </w:r>
    </w:p>
    <w:p w14:paraId="10AEF711">
      <w:pPr>
        <w:pageBreakBefore w:val="0"/>
        <w:tabs>
          <w:tab w:val="left" w:pos="1065"/>
          <w:tab w:val="left" w:pos="6477"/>
        </w:tabs>
        <w:kinsoku/>
        <w:overflowPunct/>
        <w:topLinePunct w:val="0"/>
        <w:bidi w:val="0"/>
        <w:spacing w:line="240" w:lineRule="auto"/>
        <w:ind w:left="-426" w:right="-58" w:firstLine="655"/>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2.</w:t>
      </w:r>
      <w:r>
        <w:rPr>
          <w:rFonts w:hint="eastAsia" w:ascii="宋体" w:hAnsi="宋体" w:eastAsia="宋体" w:cs="宋体"/>
          <w:color w:val="auto"/>
          <w:kern w:val="24"/>
          <w:sz w:val="21"/>
          <w:szCs w:val="21"/>
          <w:highlight w:val="none"/>
          <w:u w:val="single"/>
        </w:rPr>
        <w:t>（标的名称）</w:t>
      </w:r>
      <w:r>
        <w:rPr>
          <w:rFonts w:hint="eastAsia" w:ascii="宋体" w:hAnsi="宋体" w:eastAsia="宋体" w:cs="宋体"/>
          <w:color w:val="auto"/>
          <w:kern w:val="24"/>
          <w:sz w:val="21"/>
          <w:szCs w:val="21"/>
          <w:highlight w:val="none"/>
        </w:rPr>
        <w:t>，属于</w:t>
      </w:r>
      <w:r>
        <w:rPr>
          <w:rFonts w:hint="eastAsia" w:ascii="宋体" w:hAnsi="宋体" w:eastAsia="宋体" w:cs="宋体"/>
          <w:color w:val="auto"/>
          <w:kern w:val="24"/>
          <w:sz w:val="21"/>
          <w:szCs w:val="21"/>
          <w:highlight w:val="none"/>
          <w:u w:val="single"/>
        </w:rPr>
        <w:t>（采购文件中明确的所属行业）</w:t>
      </w:r>
      <w:r>
        <w:rPr>
          <w:rFonts w:hint="eastAsia" w:ascii="宋体" w:hAnsi="宋体" w:eastAsia="宋体" w:cs="宋体"/>
          <w:color w:val="auto"/>
          <w:kern w:val="24"/>
          <w:sz w:val="21"/>
          <w:szCs w:val="21"/>
          <w:highlight w:val="none"/>
        </w:rPr>
        <w:t>行业；承接企业为</w:t>
      </w:r>
      <w:r>
        <w:rPr>
          <w:rFonts w:hint="eastAsia" w:ascii="宋体" w:hAnsi="宋体" w:eastAsia="宋体" w:cs="宋体"/>
          <w:color w:val="auto"/>
          <w:kern w:val="24"/>
          <w:sz w:val="21"/>
          <w:szCs w:val="21"/>
          <w:highlight w:val="none"/>
          <w:u w:val="single"/>
        </w:rPr>
        <w:t>（企业名称）</w:t>
      </w:r>
      <w:r>
        <w:rPr>
          <w:rFonts w:hint="eastAsia" w:ascii="宋体" w:hAnsi="宋体" w:eastAsia="宋体" w:cs="宋体"/>
          <w:color w:val="auto"/>
          <w:kern w:val="24"/>
          <w:sz w:val="21"/>
          <w:szCs w:val="21"/>
          <w:highlight w:val="none"/>
        </w:rPr>
        <w:t>，从业人员</w:t>
      </w:r>
      <w:r>
        <w:rPr>
          <w:rFonts w:hint="eastAsia" w:ascii="宋体" w:hAnsi="宋体" w:eastAsia="宋体" w:cs="宋体"/>
          <w:color w:val="auto"/>
          <w:kern w:val="24"/>
          <w:sz w:val="21"/>
          <w:szCs w:val="21"/>
          <w:highlight w:val="none"/>
          <w:u w:val="single"/>
        </w:rPr>
        <w:t xml:space="preserve">      </w:t>
      </w:r>
      <w:r>
        <w:rPr>
          <w:rFonts w:hint="eastAsia" w:ascii="宋体" w:hAnsi="宋体" w:eastAsia="宋体" w:cs="宋体"/>
          <w:color w:val="auto"/>
          <w:kern w:val="24"/>
          <w:sz w:val="21"/>
          <w:szCs w:val="21"/>
          <w:highlight w:val="none"/>
        </w:rPr>
        <w:t>人，营业收入为</w:t>
      </w:r>
      <w:r>
        <w:rPr>
          <w:rFonts w:hint="eastAsia" w:ascii="宋体" w:hAnsi="宋体" w:eastAsia="宋体" w:cs="宋体"/>
          <w:color w:val="auto"/>
          <w:kern w:val="24"/>
          <w:sz w:val="21"/>
          <w:szCs w:val="21"/>
          <w:highlight w:val="none"/>
          <w:u w:val="single"/>
        </w:rPr>
        <w:t xml:space="preserve">      </w:t>
      </w:r>
      <w:r>
        <w:rPr>
          <w:rFonts w:hint="eastAsia" w:ascii="宋体" w:hAnsi="宋体" w:eastAsia="宋体" w:cs="宋体"/>
          <w:color w:val="auto"/>
          <w:kern w:val="24"/>
          <w:sz w:val="21"/>
          <w:szCs w:val="21"/>
          <w:highlight w:val="none"/>
        </w:rPr>
        <w:t>万元，资产总额为</w:t>
      </w:r>
      <w:r>
        <w:rPr>
          <w:rFonts w:hint="eastAsia" w:ascii="宋体" w:hAnsi="宋体" w:eastAsia="宋体" w:cs="宋体"/>
          <w:color w:val="auto"/>
          <w:kern w:val="24"/>
          <w:sz w:val="21"/>
          <w:szCs w:val="21"/>
          <w:highlight w:val="none"/>
          <w:u w:val="single"/>
        </w:rPr>
        <w:t xml:space="preserve">      </w:t>
      </w:r>
      <w:r>
        <w:rPr>
          <w:rFonts w:hint="eastAsia" w:ascii="宋体" w:hAnsi="宋体" w:eastAsia="宋体" w:cs="宋体"/>
          <w:color w:val="auto"/>
          <w:kern w:val="24"/>
          <w:sz w:val="21"/>
          <w:szCs w:val="21"/>
          <w:highlight w:val="none"/>
        </w:rPr>
        <w:t>万元，属于</w:t>
      </w:r>
      <w:r>
        <w:rPr>
          <w:rFonts w:hint="eastAsia" w:ascii="宋体" w:hAnsi="宋体" w:eastAsia="宋体" w:cs="宋体"/>
          <w:color w:val="auto"/>
          <w:kern w:val="24"/>
          <w:sz w:val="21"/>
          <w:szCs w:val="21"/>
          <w:highlight w:val="none"/>
          <w:u w:val="single"/>
        </w:rPr>
        <w:t>（中型企业、小型企业、微型企业）</w:t>
      </w:r>
      <w:r>
        <w:rPr>
          <w:rFonts w:hint="eastAsia" w:ascii="宋体" w:hAnsi="宋体" w:eastAsia="宋体" w:cs="宋体"/>
          <w:color w:val="auto"/>
          <w:kern w:val="24"/>
          <w:sz w:val="21"/>
          <w:szCs w:val="21"/>
          <w:highlight w:val="none"/>
        </w:rPr>
        <w:t>；</w:t>
      </w:r>
    </w:p>
    <w:p w14:paraId="6F9676E5">
      <w:pPr>
        <w:pageBreakBefore w:val="0"/>
        <w:kinsoku/>
        <w:overflowPunct/>
        <w:topLinePunct w:val="0"/>
        <w:bidi w:val="0"/>
        <w:spacing w:line="240" w:lineRule="auto"/>
        <w:ind w:left="142" w:right="142"/>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 xml:space="preserve">…… </w:t>
      </w:r>
    </w:p>
    <w:p w14:paraId="23D6E2A2">
      <w:pPr>
        <w:pageBreakBefore w:val="0"/>
        <w:kinsoku/>
        <w:overflowPunct/>
        <w:topLinePunct w:val="0"/>
        <w:bidi w:val="0"/>
        <w:spacing w:line="240" w:lineRule="auto"/>
        <w:ind w:left="-405" w:leftChars="-193" w:right="142" w:firstLine="396" w:firstLineChars="189"/>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以上企业，不属于大企业的分支机构，不存在控股股东为大企业的情形，也不存在与大企业的负责人为同一人的情形。</w:t>
      </w:r>
    </w:p>
    <w:p w14:paraId="608D337D">
      <w:pPr>
        <w:pageBreakBefore w:val="0"/>
        <w:kinsoku/>
        <w:overflowPunct/>
        <w:topLinePunct w:val="0"/>
        <w:bidi w:val="0"/>
        <w:spacing w:line="240" w:lineRule="auto"/>
        <w:ind w:left="-426" w:right="142" w:firstLine="567"/>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本企业对上述声明内容的真实性负责。如有虚假，将依法承担相应责任。</w:t>
      </w:r>
    </w:p>
    <w:p w14:paraId="7E9123BF">
      <w:pPr>
        <w:pageBreakBefore w:val="0"/>
        <w:kinsoku/>
        <w:overflowPunct/>
        <w:topLinePunct w:val="0"/>
        <w:bidi w:val="0"/>
        <w:spacing w:line="240" w:lineRule="auto"/>
        <w:ind w:left="3960" w:right="1808"/>
        <w:contextualSpacing/>
        <w:rPr>
          <w:rFonts w:hint="eastAsia" w:ascii="宋体" w:hAnsi="宋体" w:eastAsia="宋体" w:cs="宋体"/>
          <w:color w:val="auto"/>
          <w:kern w:val="24"/>
          <w:sz w:val="21"/>
          <w:szCs w:val="21"/>
          <w:highlight w:val="none"/>
        </w:rPr>
      </w:pPr>
    </w:p>
    <w:p w14:paraId="40C89790">
      <w:pPr>
        <w:pageBreakBefore w:val="0"/>
        <w:kinsoku/>
        <w:overflowPunct/>
        <w:topLinePunct w:val="0"/>
        <w:bidi w:val="0"/>
        <w:spacing w:line="240" w:lineRule="auto"/>
        <w:ind w:left="3960" w:right="1808"/>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企业名称（</w:t>
      </w:r>
      <w:r>
        <w:rPr>
          <w:rFonts w:hint="eastAsia" w:ascii="宋体" w:hAnsi="宋体" w:eastAsia="宋体" w:cs="宋体"/>
          <w:color w:val="auto"/>
          <w:sz w:val="21"/>
          <w:szCs w:val="21"/>
          <w:highlight w:val="none"/>
        </w:rPr>
        <w:t>公章</w:t>
      </w:r>
      <w:r>
        <w:rPr>
          <w:rFonts w:hint="eastAsia" w:ascii="宋体" w:hAnsi="宋体" w:eastAsia="宋体" w:cs="宋体"/>
          <w:color w:val="auto"/>
          <w:kern w:val="24"/>
          <w:sz w:val="21"/>
          <w:szCs w:val="21"/>
          <w:highlight w:val="none"/>
        </w:rPr>
        <w:t>）：</w:t>
      </w:r>
    </w:p>
    <w:p w14:paraId="62B3876B">
      <w:pPr>
        <w:pageBreakBefore w:val="0"/>
        <w:kinsoku/>
        <w:overflowPunct/>
        <w:topLinePunct w:val="0"/>
        <w:bidi w:val="0"/>
        <w:spacing w:line="240" w:lineRule="auto"/>
        <w:ind w:left="3960" w:right="1808"/>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日 期：</w:t>
      </w:r>
    </w:p>
    <w:p w14:paraId="5BF72BEE">
      <w:pPr>
        <w:pageBreakBefore w:val="0"/>
        <w:kinsoku/>
        <w:overflowPunct/>
        <w:topLinePunct w:val="0"/>
        <w:bidi w:val="0"/>
        <w:spacing w:line="240" w:lineRule="auto"/>
        <w:ind w:left="3960" w:right="1808"/>
        <w:contextualSpacing/>
        <w:rPr>
          <w:rFonts w:hint="eastAsia" w:ascii="宋体" w:hAnsi="宋体" w:eastAsia="宋体" w:cs="宋体"/>
          <w:color w:val="auto"/>
          <w:kern w:val="24"/>
          <w:sz w:val="21"/>
          <w:szCs w:val="21"/>
          <w:highlight w:val="none"/>
        </w:rPr>
      </w:pPr>
    </w:p>
    <w:p w14:paraId="0B50B4EC">
      <w:pPr>
        <w:pageBreakBefore w:val="0"/>
        <w:kinsoku/>
        <w:overflowPunct/>
        <w:topLinePunct w:val="0"/>
        <w:bidi w:val="0"/>
        <w:spacing w:line="240" w:lineRule="auto"/>
        <w:ind w:left="3960" w:right="1808"/>
        <w:contextualSpacing/>
        <w:rPr>
          <w:rFonts w:hint="eastAsia" w:ascii="宋体" w:hAnsi="宋体" w:eastAsia="宋体" w:cs="宋体"/>
          <w:color w:val="auto"/>
          <w:kern w:val="24"/>
          <w:sz w:val="21"/>
          <w:szCs w:val="21"/>
          <w:highlight w:val="none"/>
        </w:rPr>
      </w:pPr>
    </w:p>
    <w:p w14:paraId="5BC060E4">
      <w:pPr>
        <w:pageBreakBefore w:val="0"/>
        <w:kinsoku/>
        <w:overflowPunct/>
        <w:topLinePunct w:val="0"/>
        <w:bidi w:val="0"/>
        <w:spacing w:line="240" w:lineRule="auto"/>
        <w:ind w:left="-426" w:right="142" w:firstLine="567"/>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7A7C369B">
      <w:pPr>
        <w:rPr>
          <w:rFonts w:hint="eastAsia"/>
          <w:lang w:val="en-US" w:eastAsia="zh-CN"/>
        </w:rPr>
      </w:pPr>
      <w:r>
        <w:rPr>
          <w:rFonts w:hint="eastAsia"/>
          <w:lang w:val="en-US" w:eastAsia="zh-CN"/>
        </w:rPr>
        <w:br w:type="page"/>
      </w:r>
    </w:p>
    <w:p w14:paraId="50FC5997">
      <w:pPr>
        <w:pageBreakBefore w:val="0"/>
        <w:widowControl/>
        <w:kinsoku/>
        <w:overflowPunct/>
        <w:topLinePunct w:val="0"/>
        <w:bidi w:val="0"/>
        <w:spacing w:before="120" w:beforeLines="50" w:after="120" w:afterLines="50"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附表</w:t>
      </w:r>
    </w:p>
    <w:p w14:paraId="3ACAA001">
      <w:pPr>
        <w:pageBreakBefore w:val="0"/>
        <w:widowControl/>
        <w:kinsoku/>
        <w:overflowPunct/>
        <w:topLinePunct w:val="0"/>
        <w:bidi w:val="0"/>
        <w:spacing w:before="120" w:beforeLines="50" w:after="120" w:afterLines="50" w:line="240" w:lineRule="auto"/>
        <w:jc w:val="center"/>
        <w:rPr>
          <w:rFonts w:hint="eastAsia" w:ascii="宋体" w:hAnsi="宋体" w:eastAsia="宋体" w:cs="宋体"/>
          <w:b/>
          <w:bCs/>
          <w:color w:val="auto"/>
          <w:kern w:val="0"/>
          <w:sz w:val="21"/>
          <w:szCs w:val="21"/>
          <w:highlight w:val="none"/>
        </w:rPr>
      </w:pPr>
      <w:bookmarkStart w:id="130" w:name="_Toc28361_WPSOffice_Level2"/>
      <w:r>
        <w:rPr>
          <w:rFonts w:hint="eastAsia" w:ascii="宋体" w:hAnsi="宋体" w:eastAsia="宋体" w:cs="宋体"/>
          <w:b/>
          <w:bCs/>
          <w:color w:val="auto"/>
          <w:kern w:val="0"/>
          <w:sz w:val="21"/>
          <w:szCs w:val="21"/>
          <w:highlight w:val="none"/>
        </w:rPr>
        <w:t>大中小微型企业划分标准</w:t>
      </w:r>
      <w:bookmarkEnd w:id="130"/>
    </w:p>
    <w:tbl>
      <w:tblPr>
        <w:tblStyle w:val="20"/>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531"/>
        <w:gridCol w:w="709"/>
        <w:gridCol w:w="1125"/>
        <w:gridCol w:w="1701"/>
        <w:gridCol w:w="1426"/>
        <w:gridCol w:w="992"/>
      </w:tblGrid>
      <w:tr w14:paraId="3A04D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951" w:type="dxa"/>
            <w:shd w:val="clear" w:color="auto" w:fill="8DB3E2"/>
            <w:vAlign w:val="center"/>
          </w:tcPr>
          <w:p w14:paraId="3CCA7D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行业名称</w:t>
            </w:r>
          </w:p>
        </w:tc>
        <w:tc>
          <w:tcPr>
            <w:tcW w:w="1531" w:type="dxa"/>
            <w:shd w:val="clear" w:color="auto" w:fill="8DB3E2"/>
            <w:vAlign w:val="center"/>
          </w:tcPr>
          <w:p w14:paraId="0A73C1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指标名称</w:t>
            </w:r>
          </w:p>
        </w:tc>
        <w:tc>
          <w:tcPr>
            <w:tcW w:w="709" w:type="dxa"/>
            <w:shd w:val="clear" w:color="auto" w:fill="8DB3E2"/>
            <w:vAlign w:val="center"/>
          </w:tcPr>
          <w:p w14:paraId="578CDA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计量</w:t>
            </w:r>
          </w:p>
          <w:p w14:paraId="36FFFA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c>
          <w:tcPr>
            <w:tcW w:w="1125" w:type="dxa"/>
            <w:shd w:val="clear" w:color="auto" w:fill="8DB3E2"/>
            <w:vAlign w:val="center"/>
          </w:tcPr>
          <w:p w14:paraId="44C6A6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大型</w:t>
            </w:r>
          </w:p>
        </w:tc>
        <w:tc>
          <w:tcPr>
            <w:tcW w:w="1701" w:type="dxa"/>
            <w:shd w:val="clear" w:color="auto" w:fill="8DB3E2"/>
            <w:vAlign w:val="center"/>
          </w:tcPr>
          <w:p w14:paraId="100114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中型</w:t>
            </w:r>
          </w:p>
        </w:tc>
        <w:tc>
          <w:tcPr>
            <w:tcW w:w="1426" w:type="dxa"/>
            <w:shd w:val="clear" w:color="auto" w:fill="8DB3E2"/>
            <w:vAlign w:val="center"/>
          </w:tcPr>
          <w:p w14:paraId="2727E5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小型</w:t>
            </w:r>
          </w:p>
        </w:tc>
        <w:tc>
          <w:tcPr>
            <w:tcW w:w="992" w:type="dxa"/>
            <w:shd w:val="clear" w:color="auto" w:fill="8DB3E2"/>
            <w:vAlign w:val="center"/>
          </w:tcPr>
          <w:p w14:paraId="7B9FE2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微型</w:t>
            </w:r>
          </w:p>
        </w:tc>
      </w:tr>
      <w:tr w14:paraId="7E86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Align w:val="center"/>
          </w:tcPr>
          <w:p w14:paraId="285AA62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农、林、牧、渔业</w:t>
            </w:r>
          </w:p>
        </w:tc>
        <w:tc>
          <w:tcPr>
            <w:tcW w:w="1531" w:type="dxa"/>
            <w:vAlign w:val="center"/>
          </w:tcPr>
          <w:p w14:paraId="2F69D8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13DBC6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659377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w:t>
            </w:r>
          </w:p>
        </w:tc>
        <w:tc>
          <w:tcPr>
            <w:tcW w:w="1701" w:type="dxa"/>
            <w:vAlign w:val="center"/>
          </w:tcPr>
          <w:p w14:paraId="1F8DB7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1426" w:type="dxa"/>
            <w:vAlign w:val="center"/>
          </w:tcPr>
          <w:p w14:paraId="4DE581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50≤Y＜500</w:t>
            </w:r>
          </w:p>
        </w:tc>
        <w:tc>
          <w:tcPr>
            <w:tcW w:w="992" w:type="dxa"/>
            <w:vAlign w:val="center"/>
          </w:tcPr>
          <w:p w14:paraId="6BFE21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14:paraId="52252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restart"/>
            <w:vAlign w:val="center"/>
          </w:tcPr>
          <w:p w14:paraId="07464CC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工业 *</w:t>
            </w:r>
          </w:p>
        </w:tc>
        <w:tc>
          <w:tcPr>
            <w:tcW w:w="1531" w:type="dxa"/>
            <w:vAlign w:val="center"/>
          </w:tcPr>
          <w:p w14:paraId="17A777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7C7370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0A29E0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701" w:type="dxa"/>
            <w:vAlign w:val="center"/>
          </w:tcPr>
          <w:p w14:paraId="3E7153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426" w:type="dxa"/>
            <w:vAlign w:val="center"/>
          </w:tcPr>
          <w:p w14:paraId="51DD6C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992" w:type="dxa"/>
            <w:vAlign w:val="center"/>
          </w:tcPr>
          <w:p w14:paraId="199517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03DB1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continue"/>
            <w:vAlign w:val="center"/>
          </w:tcPr>
          <w:p w14:paraId="0C5A743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p>
        </w:tc>
        <w:tc>
          <w:tcPr>
            <w:tcW w:w="1531" w:type="dxa"/>
            <w:vAlign w:val="center"/>
          </w:tcPr>
          <w:p w14:paraId="620B40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7A3647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6D0565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Y≥40000</w:t>
            </w:r>
          </w:p>
        </w:tc>
        <w:tc>
          <w:tcPr>
            <w:tcW w:w="1701" w:type="dxa"/>
            <w:vAlign w:val="center"/>
          </w:tcPr>
          <w:p w14:paraId="7AAF12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2000≤Y＜40000</w:t>
            </w:r>
          </w:p>
        </w:tc>
        <w:tc>
          <w:tcPr>
            <w:tcW w:w="1426" w:type="dxa"/>
            <w:vAlign w:val="center"/>
          </w:tcPr>
          <w:p w14:paraId="5FCFDF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300≤Y＜2000</w:t>
            </w:r>
          </w:p>
        </w:tc>
        <w:tc>
          <w:tcPr>
            <w:tcW w:w="992" w:type="dxa"/>
            <w:vAlign w:val="center"/>
          </w:tcPr>
          <w:p w14:paraId="73F2B1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14:paraId="1B0A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restart"/>
            <w:vAlign w:val="center"/>
          </w:tcPr>
          <w:p w14:paraId="1404093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建筑业</w:t>
            </w:r>
          </w:p>
        </w:tc>
        <w:tc>
          <w:tcPr>
            <w:tcW w:w="1531" w:type="dxa"/>
            <w:vAlign w:val="center"/>
          </w:tcPr>
          <w:p w14:paraId="78B570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0240AE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1E0FB7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Y≥80000</w:t>
            </w:r>
          </w:p>
        </w:tc>
        <w:tc>
          <w:tcPr>
            <w:tcW w:w="1701" w:type="dxa"/>
            <w:vAlign w:val="center"/>
          </w:tcPr>
          <w:p w14:paraId="094685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6000≤Y＜80000</w:t>
            </w:r>
          </w:p>
        </w:tc>
        <w:tc>
          <w:tcPr>
            <w:tcW w:w="1426" w:type="dxa"/>
            <w:vAlign w:val="center"/>
          </w:tcPr>
          <w:p w14:paraId="5B9A15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300≤Y＜6000</w:t>
            </w:r>
          </w:p>
        </w:tc>
        <w:tc>
          <w:tcPr>
            <w:tcW w:w="992" w:type="dxa"/>
            <w:vAlign w:val="center"/>
          </w:tcPr>
          <w:p w14:paraId="06EB3A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14:paraId="1D7A0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continue"/>
            <w:vAlign w:val="center"/>
          </w:tcPr>
          <w:p w14:paraId="20F3005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p>
        </w:tc>
        <w:tc>
          <w:tcPr>
            <w:tcW w:w="1531" w:type="dxa"/>
            <w:vAlign w:val="center"/>
          </w:tcPr>
          <w:p w14:paraId="534D2B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709" w:type="dxa"/>
            <w:vAlign w:val="center"/>
          </w:tcPr>
          <w:p w14:paraId="03FABF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00242F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Z≥80000</w:t>
            </w:r>
          </w:p>
        </w:tc>
        <w:tc>
          <w:tcPr>
            <w:tcW w:w="1701" w:type="dxa"/>
            <w:vAlign w:val="center"/>
          </w:tcPr>
          <w:p w14:paraId="0A4C97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5000≤Z＜80000</w:t>
            </w:r>
          </w:p>
        </w:tc>
        <w:tc>
          <w:tcPr>
            <w:tcW w:w="1426" w:type="dxa"/>
            <w:vAlign w:val="center"/>
          </w:tcPr>
          <w:p w14:paraId="129B82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300≤Z＜5000</w:t>
            </w:r>
          </w:p>
        </w:tc>
        <w:tc>
          <w:tcPr>
            <w:tcW w:w="992" w:type="dxa"/>
            <w:vAlign w:val="center"/>
          </w:tcPr>
          <w:p w14:paraId="28F3AC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Z＜300</w:t>
            </w:r>
          </w:p>
        </w:tc>
      </w:tr>
      <w:tr w14:paraId="6A05B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restart"/>
            <w:vAlign w:val="center"/>
          </w:tcPr>
          <w:p w14:paraId="4A5FDE7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批发业</w:t>
            </w:r>
          </w:p>
        </w:tc>
        <w:tc>
          <w:tcPr>
            <w:tcW w:w="1531" w:type="dxa"/>
            <w:vAlign w:val="center"/>
          </w:tcPr>
          <w:p w14:paraId="0ECBEB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3B996C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2ACF83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w:t>
            </w:r>
          </w:p>
        </w:tc>
        <w:tc>
          <w:tcPr>
            <w:tcW w:w="1701" w:type="dxa"/>
            <w:vAlign w:val="center"/>
          </w:tcPr>
          <w:p w14:paraId="1A39AA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20≤X＜200</w:t>
            </w:r>
          </w:p>
        </w:tc>
        <w:tc>
          <w:tcPr>
            <w:tcW w:w="1426" w:type="dxa"/>
            <w:vAlign w:val="center"/>
          </w:tcPr>
          <w:p w14:paraId="1F4F04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5≤X＜20</w:t>
            </w:r>
          </w:p>
        </w:tc>
        <w:tc>
          <w:tcPr>
            <w:tcW w:w="992" w:type="dxa"/>
            <w:vAlign w:val="center"/>
          </w:tcPr>
          <w:p w14:paraId="3F470D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X＜5</w:t>
            </w:r>
          </w:p>
        </w:tc>
      </w:tr>
      <w:tr w14:paraId="38782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continue"/>
            <w:vAlign w:val="center"/>
          </w:tcPr>
          <w:p w14:paraId="7CD9D0F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p>
        </w:tc>
        <w:tc>
          <w:tcPr>
            <w:tcW w:w="1531" w:type="dxa"/>
            <w:vAlign w:val="center"/>
          </w:tcPr>
          <w:p w14:paraId="047C6F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61ABF8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63B0BD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Y≥40000</w:t>
            </w:r>
          </w:p>
        </w:tc>
        <w:tc>
          <w:tcPr>
            <w:tcW w:w="1701" w:type="dxa"/>
            <w:vAlign w:val="center"/>
          </w:tcPr>
          <w:p w14:paraId="7F7A03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5000≤Y＜40000</w:t>
            </w:r>
          </w:p>
        </w:tc>
        <w:tc>
          <w:tcPr>
            <w:tcW w:w="1426" w:type="dxa"/>
            <w:vAlign w:val="center"/>
          </w:tcPr>
          <w:p w14:paraId="5D1FF2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992" w:type="dxa"/>
            <w:vAlign w:val="center"/>
          </w:tcPr>
          <w:p w14:paraId="1B1303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w:t>
            </w:r>
          </w:p>
        </w:tc>
      </w:tr>
      <w:tr w14:paraId="5D3CC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restart"/>
            <w:vAlign w:val="center"/>
          </w:tcPr>
          <w:p w14:paraId="52A57B2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零售业</w:t>
            </w:r>
          </w:p>
        </w:tc>
        <w:tc>
          <w:tcPr>
            <w:tcW w:w="1531" w:type="dxa"/>
            <w:vAlign w:val="center"/>
          </w:tcPr>
          <w:p w14:paraId="71F4A6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1FDBB5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021B74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701" w:type="dxa"/>
            <w:vAlign w:val="center"/>
          </w:tcPr>
          <w:p w14:paraId="4469EF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50≤X＜300</w:t>
            </w:r>
          </w:p>
        </w:tc>
        <w:tc>
          <w:tcPr>
            <w:tcW w:w="1426" w:type="dxa"/>
            <w:vAlign w:val="center"/>
          </w:tcPr>
          <w:p w14:paraId="6082DF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10≤X＜50 </w:t>
            </w:r>
          </w:p>
        </w:tc>
        <w:tc>
          <w:tcPr>
            <w:tcW w:w="992" w:type="dxa"/>
            <w:vAlign w:val="center"/>
          </w:tcPr>
          <w:p w14:paraId="021BA5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50CE9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continue"/>
            <w:vAlign w:val="center"/>
          </w:tcPr>
          <w:p w14:paraId="5454A88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p>
        </w:tc>
        <w:tc>
          <w:tcPr>
            <w:tcW w:w="1531" w:type="dxa"/>
            <w:vAlign w:val="center"/>
          </w:tcPr>
          <w:p w14:paraId="246B72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730281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28A89F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w:t>
            </w:r>
          </w:p>
        </w:tc>
        <w:tc>
          <w:tcPr>
            <w:tcW w:w="1701" w:type="dxa"/>
            <w:vAlign w:val="center"/>
          </w:tcPr>
          <w:p w14:paraId="67B375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1426" w:type="dxa"/>
            <w:vAlign w:val="center"/>
          </w:tcPr>
          <w:p w14:paraId="05DA94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100≤Y＜500</w:t>
            </w:r>
          </w:p>
        </w:tc>
        <w:tc>
          <w:tcPr>
            <w:tcW w:w="992" w:type="dxa"/>
            <w:vAlign w:val="center"/>
          </w:tcPr>
          <w:p w14:paraId="10532A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65EAC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restart"/>
            <w:vAlign w:val="center"/>
          </w:tcPr>
          <w:p w14:paraId="459FA24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交通运输业 *</w:t>
            </w:r>
          </w:p>
        </w:tc>
        <w:tc>
          <w:tcPr>
            <w:tcW w:w="1531" w:type="dxa"/>
            <w:vAlign w:val="center"/>
          </w:tcPr>
          <w:p w14:paraId="2A2674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27ADC3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23F692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701" w:type="dxa"/>
            <w:vAlign w:val="center"/>
          </w:tcPr>
          <w:p w14:paraId="070C4A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426" w:type="dxa"/>
            <w:vAlign w:val="center"/>
          </w:tcPr>
          <w:p w14:paraId="1066A9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992" w:type="dxa"/>
            <w:vAlign w:val="center"/>
          </w:tcPr>
          <w:p w14:paraId="4D1226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1469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continue"/>
            <w:vAlign w:val="center"/>
          </w:tcPr>
          <w:p w14:paraId="0AAF978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p>
        </w:tc>
        <w:tc>
          <w:tcPr>
            <w:tcW w:w="1531" w:type="dxa"/>
            <w:vAlign w:val="center"/>
          </w:tcPr>
          <w:p w14:paraId="47B668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7BF7B4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320AB1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701" w:type="dxa"/>
            <w:vAlign w:val="center"/>
          </w:tcPr>
          <w:p w14:paraId="2D0428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3000≤Y＜30000</w:t>
            </w:r>
          </w:p>
        </w:tc>
        <w:tc>
          <w:tcPr>
            <w:tcW w:w="1426" w:type="dxa"/>
            <w:vAlign w:val="center"/>
          </w:tcPr>
          <w:p w14:paraId="63532B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200≤Y＜3000</w:t>
            </w:r>
          </w:p>
        </w:tc>
        <w:tc>
          <w:tcPr>
            <w:tcW w:w="992" w:type="dxa"/>
            <w:vAlign w:val="center"/>
          </w:tcPr>
          <w:p w14:paraId="4F4F71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w:t>
            </w:r>
          </w:p>
        </w:tc>
      </w:tr>
      <w:tr w14:paraId="5EF5F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restart"/>
            <w:vAlign w:val="center"/>
          </w:tcPr>
          <w:p w14:paraId="00AC11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仓储业*</w:t>
            </w:r>
          </w:p>
        </w:tc>
        <w:tc>
          <w:tcPr>
            <w:tcW w:w="1531" w:type="dxa"/>
            <w:vAlign w:val="center"/>
          </w:tcPr>
          <w:p w14:paraId="6E01A6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37735F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613225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w:t>
            </w:r>
          </w:p>
        </w:tc>
        <w:tc>
          <w:tcPr>
            <w:tcW w:w="1701" w:type="dxa"/>
            <w:vAlign w:val="center"/>
          </w:tcPr>
          <w:p w14:paraId="5275E18A">
            <w:pPr>
              <w:keepNext w:val="0"/>
              <w:keepLines w:val="0"/>
              <w:pageBreakBefore w:val="0"/>
              <w:widowControl/>
              <w:kinsoku/>
              <w:wordWrap/>
              <w:overflowPunct/>
              <w:topLinePunct w:val="0"/>
              <w:autoSpaceDE/>
              <w:autoSpaceDN/>
              <w:bidi w:val="0"/>
              <w:adjustRightInd/>
              <w:snapToGrid/>
              <w:spacing w:line="260" w:lineRule="exact"/>
              <w:ind w:left="19" w:leftChars="-51" w:hanging="126" w:hangingChars="6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w:t>
            </w:r>
          </w:p>
        </w:tc>
        <w:tc>
          <w:tcPr>
            <w:tcW w:w="1426" w:type="dxa"/>
            <w:vAlign w:val="center"/>
          </w:tcPr>
          <w:p w14:paraId="3E9A5D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20≤X＜100</w:t>
            </w:r>
          </w:p>
        </w:tc>
        <w:tc>
          <w:tcPr>
            <w:tcW w:w="992" w:type="dxa"/>
            <w:vAlign w:val="center"/>
          </w:tcPr>
          <w:p w14:paraId="0C6011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6FAB2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continue"/>
            <w:vAlign w:val="center"/>
          </w:tcPr>
          <w:p w14:paraId="2E01E3F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p>
        </w:tc>
        <w:tc>
          <w:tcPr>
            <w:tcW w:w="1531" w:type="dxa"/>
            <w:vAlign w:val="center"/>
          </w:tcPr>
          <w:p w14:paraId="04823E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64BF99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2F5820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701" w:type="dxa"/>
            <w:vAlign w:val="center"/>
          </w:tcPr>
          <w:p w14:paraId="5EF78F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1000≤Y＜30000</w:t>
            </w:r>
          </w:p>
        </w:tc>
        <w:tc>
          <w:tcPr>
            <w:tcW w:w="1426" w:type="dxa"/>
            <w:vAlign w:val="center"/>
          </w:tcPr>
          <w:p w14:paraId="7340BB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992" w:type="dxa"/>
            <w:vAlign w:val="center"/>
          </w:tcPr>
          <w:p w14:paraId="59AF45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32AE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restart"/>
            <w:vAlign w:val="center"/>
          </w:tcPr>
          <w:p w14:paraId="17B1B0A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邮政业</w:t>
            </w:r>
          </w:p>
        </w:tc>
        <w:tc>
          <w:tcPr>
            <w:tcW w:w="1531" w:type="dxa"/>
            <w:vAlign w:val="center"/>
          </w:tcPr>
          <w:p w14:paraId="2E0535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65269C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4E2AAC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701" w:type="dxa"/>
            <w:vAlign w:val="center"/>
          </w:tcPr>
          <w:p w14:paraId="4FED59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426" w:type="dxa"/>
            <w:vAlign w:val="center"/>
          </w:tcPr>
          <w:p w14:paraId="0552B1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992" w:type="dxa"/>
            <w:vAlign w:val="center"/>
          </w:tcPr>
          <w:p w14:paraId="5A8628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6CBE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continue"/>
            <w:vAlign w:val="center"/>
          </w:tcPr>
          <w:p w14:paraId="725AA7C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p>
        </w:tc>
        <w:tc>
          <w:tcPr>
            <w:tcW w:w="1531" w:type="dxa"/>
            <w:vAlign w:val="center"/>
          </w:tcPr>
          <w:p w14:paraId="5E9678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5F7595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5D8977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701" w:type="dxa"/>
            <w:vAlign w:val="center"/>
          </w:tcPr>
          <w:p w14:paraId="22B701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2000≤Y＜30000</w:t>
            </w:r>
          </w:p>
        </w:tc>
        <w:tc>
          <w:tcPr>
            <w:tcW w:w="1426" w:type="dxa"/>
            <w:vAlign w:val="center"/>
          </w:tcPr>
          <w:p w14:paraId="2E89F9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992" w:type="dxa"/>
            <w:vAlign w:val="center"/>
          </w:tcPr>
          <w:p w14:paraId="77FC05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4973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restart"/>
            <w:vAlign w:val="center"/>
          </w:tcPr>
          <w:p w14:paraId="20E7033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住宿业</w:t>
            </w:r>
          </w:p>
        </w:tc>
        <w:tc>
          <w:tcPr>
            <w:tcW w:w="1531" w:type="dxa"/>
            <w:vAlign w:val="center"/>
          </w:tcPr>
          <w:p w14:paraId="2B0706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2031C1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2A1B4C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701" w:type="dxa"/>
            <w:vAlign w:val="center"/>
          </w:tcPr>
          <w:p w14:paraId="75FA66B4">
            <w:pPr>
              <w:keepNext w:val="0"/>
              <w:keepLines w:val="0"/>
              <w:pageBreakBefore w:val="0"/>
              <w:widowControl/>
              <w:kinsoku/>
              <w:wordWrap/>
              <w:overflowPunct/>
              <w:topLinePunct w:val="0"/>
              <w:autoSpaceDE/>
              <w:autoSpaceDN/>
              <w:bidi w:val="0"/>
              <w:adjustRightInd/>
              <w:snapToGrid/>
              <w:spacing w:line="260" w:lineRule="exact"/>
              <w:ind w:left="19" w:leftChars="-51" w:hanging="126" w:hangingChars="6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426" w:type="dxa"/>
            <w:vAlign w:val="center"/>
          </w:tcPr>
          <w:p w14:paraId="332D6B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92" w:type="dxa"/>
            <w:vAlign w:val="center"/>
          </w:tcPr>
          <w:p w14:paraId="2B43C3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60802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continue"/>
            <w:vAlign w:val="center"/>
          </w:tcPr>
          <w:p w14:paraId="2E7099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p>
        </w:tc>
        <w:tc>
          <w:tcPr>
            <w:tcW w:w="1531" w:type="dxa"/>
            <w:vAlign w:val="center"/>
          </w:tcPr>
          <w:p w14:paraId="0FD820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46C65A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165C2C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701" w:type="dxa"/>
            <w:vAlign w:val="center"/>
          </w:tcPr>
          <w:p w14:paraId="1949EF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426" w:type="dxa"/>
            <w:vAlign w:val="center"/>
          </w:tcPr>
          <w:p w14:paraId="30026F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992" w:type="dxa"/>
            <w:vAlign w:val="center"/>
          </w:tcPr>
          <w:p w14:paraId="3586DE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48A2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restart"/>
            <w:vAlign w:val="center"/>
          </w:tcPr>
          <w:p w14:paraId="05BD1EA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餐饮业</w:t>
            </w:r>
          </w:p>
        </w:tc>
        <w:tc>
          <w:tcPr>
            <w:tcW w:w="1531" w:type="dxa"/>
            <w:vAlign w:val="center"/>
          </w:tcPr>
          <w:p w14:paraId="7E5E99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18FBD9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0F93EF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701" w:type="dxa"/>
            <w:vAlign w:val="center"/>
          </w:tcPr>
          <w:p w14:paraId="5A191D1D">
            <w:pPr>
              <w:keepNext w:val="0"/>
              <w:keepLines w:val="0"/>
              <w:pageBreakBefore w:val="0"/>
              <w:widowControl/>
              <w:kinsoku/>
              <w:wordWrap/>
              <w:overflowPunct/>
              <w:topLinePunct w:val="0"/>
              <w:autoSpaceDE/>
              <w:autoSpaceDN/>
              <w:bidi w:val="0"/>
              <w:adjustRightInd/>
              <w:snapToGrid/>
              <w:spacing w:line="260" w:lineRule="exact"/>
              <w:ind w:left="19" w:leftChars="-51" w:hanging="126" w:hangingChars="6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426" w:type="dxa"/>
            <w:vAlign w:val="center"/>
          </w:tcPr>
          <w:p w14:paraId="26870D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92" w:type="dxa"/>
            <w:vAlign w:val="center"/>
          </w:tcPr>
          <w:p w14:paraId="6037FD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5B73E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continue"/>
            <w:vAlign w:val="center"/>
          </w:tcPr>
          <w:p w14:paraId="1BADE1A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p>
        </w:tc>
        <w:tc>
          <w:tcPr>
            <w:tcW w:w="1531" w:type="dxa"/>
            <w:vAlign w:val="center"/>
          </w:tcPr>
          <w:p w14:paraId="4A1E9B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25B6B3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39B344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701" w:type="dxa"/>
            <w:vAlign w:val="center"/>
          </w:tcPr>
          <w:p w14:paraId="20A059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426" w:type="dxa"/>
            <w:vAlign w:val="center"/>
          </w:tcPr>
          <w:p w14:paraId="55B138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992" w:type="dxa"/>
            <w:vAlign w:val="center"/>
          </w:tcPr>
          <w:p w14:paraId="777C27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10818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restart"/>
            <w:vAlign w:val="center"/>
          </w:tcPr>
          <w:p w14:paraId="7946C81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信息传输业*</w:t>
            </w:r>
          </w:p>
        </w:tc>
        <w:tc>
          <w:tcPr>
            <w:tcW w:w="1531" w:type="dxa"/>
            <w:vAlign w:val="center"/>
          </w:tcPr>
          <w:p w14:paraId="65031C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42822A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7485B1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X≥2000</w:t>
            </w:r>
          </w:p>
        </w:tc>
        <w:tc>
          <w:tcPr>
            <w:tcW w:w="1701" w:type="dxa"/>
            <w:vAlign w:val="center"/>
          </w:tcPr>
          <w:p w14:paraId="578D2D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100≤X＜2000</w:t>
            </w:r>
          </w:p>
        </w:tc>
        <w:tc>
          <w:tcPr>
            <w:tcW w:w="1426" w:type="dxa"/>
            <w:vAlign w:val="center"/>
          </w:tcPr>
          <w:p w14:paraId="657A8F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92" w:type="dxa"/>
            <w:vAlign w:val="center"/>
          </w:tcPr>
          <w:p w14:paraId="7CC948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55C58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continue"/>
            <w:vAlign w:val="center"/>
          </w:tcPr>
          <w:p w14:paraId="58F1F1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p>
        </w:tc>
        <w:tc>
          <w:tcPr>
            <w:tcW w:w="1531" w:type="dxa"/>
            <w:vAlign w:val="center"/>
          </w:tcPr>
          <w:p w14:paraId="1A5549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74D17B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2EDCEB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Y≥100000</w:t>
            </w:r>
          </w:p>
        </w:tc>
        <w:tc>
          <w:tcPr>
            <w:tcW w:w="1701" w:type="dxa"/>
            <w:vAlign w:val="center"/>
          </w:tcPr>
          <w:p w14:paraId="5A64EB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1000≤Y＜100000</w:t>
            </w:r>
          </w:p>
        </w:tc>
        <w:tc>
          <w:tcPr>
            <w:tcW w:w="1426" w:type="dxa"/>
            <w:vAlign w:val="center"/>
          </w:tcPr>
          <w:p w14:paraId="64827C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992" w:type="dxa"/>
            <w:vAlign w:val="center"/>
          </w:tcPr>
          <w:p w14:paraId="3AD788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1FE9D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restart"/>
            <w:vAlign w:val="center"/>
          </w:tcPr>
          <w:p w14:paraId="4C6E82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pacing w:val="-12"/>
                <w:kern w:val="0"/>
                <w:sz w:val="21"/>
                <w:szCs w:val="21"/>
                <w:highlight w:val="none"/>
              </w:rPr>
            </w:pPr>
            <w:r>
              <w:rPr>
                <w:rFonts w:hint="eastAsia" w:ascii="宋体" w:hAnsi="宋体" w:eastAsia="宋体" w:cs="宋体"/>
                <w:color w:val="auto"/>
                <w:spacing w:val="-12"/>
                <w:kern w:val="0"/>
                <w:sz w:val="21"/>
                <w:szCs w:val="21"/>
                <w:highlight w:val="none"/>
              </w:rPr>
              <w:t>软件和信息技术服</w:t>
            </w:r>
            <w:r>
              <w:rPr>
                <w:rFonts w:hint="eastAsia" w:ascii="宋体" w:hAnsi="宋体" w:eastAsia="宋体" w:cs="宋体"/>
                <w:color w:val="auto"/>
                <w:kern w:val="0"/>
                <w:sz w:val="21"/>
                <w:szCs w:val="21"/>
                <w:highlight w:val="none"/>
              </w:rPr>
              <w:t>务业</w:t>
            </w:r>
          </w:p>
        </w:tc>
        <w:tc>
          <w:tcPr>
            <w:tcW w:w="1531" w:type="dxa"/>
            <w:vAlign w:val="center"/>
          </w:tcPr>
          <w:p w14:paraId="4B3EBB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2817E6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02DCB0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701" w:type="dxa"/>
            <w:vAlign w:val="center"/>
          </w:tcPr>
          <w:p w14:paraId="7A67636A">
            <w:pPr>
              <w:keepNext w:val="0"/>
              <w:keepLines w:val="0"/>
              <w:pageBreakBefore w:val="0"/>
              <w:widowControl/>
              <w:kinsoku/>
              <w:wordWrap/>
              <w:overflowPunct/>
              <w:topLinePunct w:val="0"/>
              <w:autoSpaceDE/>
              <w:autoSpaceDN/>
              <w:bidi w:val="0"/>
              <w:adjustRightInd/>
              <w:snapToGrid/>
              <w:spacing w:line="260" w:lineRule="exact"/>
              <w:ind w:left="19" w:leftChars="-51" w:hanging="126" w:hangingChars="6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426" w:type="dxa"/>
            <w:vAlign w:val="center"/>
          </w:tcPr>
          <w:p w14:paraId="77FD8E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92" w:type="dxa"/>
            <w:vAlign w:val="center"/>
          </w:tcPr>
          <w:p w14:paraId="0397361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2FE8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continue"/>
            <w:vAlign w:val="center"/>
          </w:tcPr>
          <w:p w14:paraId="4D54925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pacing w:val="-12"/>
                <w:kern w:val="0"/>
                <w:sz w:val="21"/>
                <w:szCs w:val="21"/>
                <w:highlight w:val="none"/>
              </w:rPr>
            </w:pPr>
          </w:p>
        </w:tc>
        <w:tc>
          <w:tcPr>
            <w:tcW w:w="1531" w:type="dxa"/>
            <w:vAlign w:val="center"/>
          </w:tcPr>
          <w:p w14:paraId="610C0B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708DAD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2D60D8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701" w:type="dxa"/>
            <w:vAlign w:val="center"/>
          </w:tcPr>
          <w:p w14:paraId="62DCDE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w:t>
            </w:r>
          </w:p>
        </w:tc>
        <w:tc>
          <w:tcPr>
            <w:tcW w:w="1426" w:type="dxa"/>
            <w:vAlign w:val="center"/>
          </w:tcPr>
          <w:p w14:paraId="156515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50≤Y＜1000</w:t>
            </w:r>
          </w:p>
        </w:tc>
        <w:tc>
          <w:tcPr>
            <w:tcW w:w="992" w:type="dxa"/>
            <w:vAlign w:val="center"/>
          </w:tcPr>
          <w:p w14:paraId="4B103C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14:paraId="28F25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restart"/>
            <w:vAlign w:val="center"/>
          </w:tcPr>
          <w:p w14:paraId="656D2CB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房地产开发经营</w:t>
            </w:r>
          </w:p>
        </w:tc>
        <w:tc>
          <w:tcPr>
            <w:tcW w:w="1531" w:type="dxa"/>
            <w:vAlign w:val="center"/>
          </w:tcPr>
          <w:p w14:paraId="0916C1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34F97D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231FA9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Y≥200000</w:t>
            </w:r>
          </w:p>
        </w:tc>
        <w:tc>
          <w:tcPr>
            <w:tcW w:w="1701" w:type="dxa"/>
            <w:vAlign w:val="center"/>
          </w:tcPr>
          <w:p w14:paraId="5891F0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1000≤Y＜200000</w:t>
            </w:r>
          </w:p>
        </w:tc>
        <w:tc>
          <w:tcPr>
            <w:tcW w:w="1426" w:type="dxa"/>
            <w:vAlign w:val="center"/>
          </w:tcPr>
          <w:p w14:paraId="452D51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992" w:type="dxa"/>
            <w:vAlign w:val="center"/>
          </w:tcPr>
          <w:p w14:paraId="774EF9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362EC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continue"/>
            <w:vAlign w:val="center"/>
          </w:tcPr>
          <w:p w14:paraId="6A586D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p>
        </w:tc>
        <w:tc>
          <w:tcPr>
            <w:tcW w:w="1531" w:type="dxa"/>
            <w:vAlign w:val="center"/>
          </w:tcPr>
          <w:p w14:paraId="5D2AAC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709" w:type="dxa"/>
            <w:vAlign w:val="center"/>
          </w:tcPr>
          <w:p w14:paraId="5417ED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5F5439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Z≥10000</w:t>
            </w:r>
          </w:p>
        </w:tc>
        <w:tc>
          <w:tcPr>
            <w:tcW w:w="1701" w:type="dxa"/>
            <w:vAlign w:val="center"/>
          </w:tcPr>
          <w:p w14:paraId="67D5E0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5000≤Z＜10000</w:t>
            </w:r>
          </w:p>
        </w:tc>
        <w:tc>
          <w:tcPr>
            <w:tcW w:w="1426" w:type="dxa"/>
            <w:vAlign w:val="center"/>
          </w:tcPr>
          <w:p w14:paraId="2365C0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2000≤Z＜5000</w:t>
            </w:r>
          </w:p>
        </w:tc>
        <w:tc>
          <w:tcPr>
            <w:tcW w:w="992" w:type="dxa"/>
            <w:vAlign w:val="center"/>
          </w:tcPr>
          <w:p w14:paraId="4F8CDF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Z＜2000</w:t>
            </w:r>
          </w:p>
        </w:tc>
      </w:tr>
      <w:tr w14:paraId="45ED0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restart"/>
            <w:vAlign w:val="center"/>
          </w:tcPr>
          <w:p w14:paraId="226ED15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物业管理</w:t>
            </w:r>
          </w:p>
        </w:tc>
        <w:tc>
          <w:tcPr>
            <w:tcW w:w="1531" w:type="dxa"/>
            <w:vAlign w:val="center"/>
          </w:tcPr>
          <w:p w14:paraId="698023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5A5CB1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57B0D8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701" w:type="dxa"/>
            <w:vAlign w:val="center"/>
          </w:tcPr>
          <w:p w14:paraId="34266B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426" w:type="dxa"/>
            <w:vAlign w:val="center"/>
          </w:tcPr>
          <w:p w14:paraId="39A0C4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992" w:type="dxa"/>
            <w:vAlign w:val="center"/>
          </w:tcPr>
          <w:p w14:paraId="22CF64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w:t>
            </w:r>
          </w:p>
        </w:tc>
      </w:tr>
      <w:tr w14:paraId="27F0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continue"/>
            <w:vAlign w:val="center"/>
          </w:tcPr>
          <w:p w14:paraId="23C0E1A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p>
        </w:tc>
        <w:tc>
          <w:tcPr>
            <w:tcW w:w="1531" w:type="dxa"/>
            <w:vAlign w:val="center"/>
          </w:tcPr>
          <w:p w14:paraId="1C5C93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1F1954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2052AA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Y≥5000</w:t>
            </w:r>
          </w:p>
        </w:tc>
        <w:tc>
          <w:tcPr>
            <w:tcW w:w="1701" w:type="dxa"/>
            <w:vAlign w:val="center"/>
          </w:tcPr>
          <w:p w14:paraId="6DA49AC3">
            <w:pPr>
              <w:keepNext w:val="0"/>
              <w:keepLines w:val="0"/>
              <w:pageBreakBefore w:val="0"/>
              <w:widowControl/>
              <w:kinsoku/>
              <w:wordWrap/>
              <w:overflowPunct/>
              <w:topLinePunct w:val="0"/>
              <w:autoSpaceDE/>
              <w:autoSpaceDN/>
              <w:bidi w:val="0"/>
              <w:adjustRightInd/>
              <w:snapToGrid/>
              <w:spacing w:line="260" w:lineRule="exact"/>
              <w:ind w:left="19" w:leftChars="-51" w:hanging="126" w:hangingChars="6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1426" w:type="dxa"/>
            <w:vAlign w:val="center"/>
          </w:tcPr>
          <w:p w14:paraId="5A45EF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500≤Y＜1000</w:t>
            </w:r>
          </w:p>
        </w:tc>
        <w:tc>
          <w:tcPr>
            <w:tcW w:w="992" w:type="dxa"/>
            <w:vAlign w:val="center"/>
          </w:tcPr>
          <w:p w14:paraId="11C4FA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w:t>
            </w:r>
          </w:p>
        </w:tc>
      </w:tr>
      <w:tr w14:paraId="4633F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restart"/>
            <w:vAlign w:val="center"/>
          </w:tcPr>
          <w:p w14:paraId="5A2F144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租赁和商务服务业</w:t>
            </w:r>
          </w:p>
        </w:tc>
        <w:tc>
          <w:tcPr>
            <w:tcW w:w="1531" w:type="dxa"/>
            <w:vAlign w:val="center"/>
          </w:tcPr>
          <w:p w14:paraId="388858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25E8DE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6BD649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701" w:type="dxa"/>
            <w:vAlign w:val="center"/>
          </w:tcPr>
          <w:p w14:paraId="4172F07F">
            <w:pPr>
              <w:keepNext w:val="0"/>
              <w:keepLines w:val="0"/>
              <w:pageBreakBefore w:val="0"/>
              <w:widowControl/>
              <w:kinsoku/>
              <w:wordWrap/>
              <w:overflowPunct/>
              <w:topLinePunct w:val="0"/>
              <w:autoSpaceDE/>
              <w:autoSpaceDN/>
              <w:bidi w:val="0"/>
              <w:adjustRightInd/>
              <w:snapToGrid/>
              <w:spacing w:line="260" w:lineRule="exact"/>
              <w:ind w:left="19" w:leftChars="-51" w:hanging="126" w:hangingChars="6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426" w:type="dxa"/>
            <w:vAlign w:val="center"/>
          </w:tcPr>
          <w:p w14:paraId="0941FE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92" w:type="dxa"/>
            <w:vAlign w:val="center"/>
          </w:tcPr>
          <w:p w14:paraId="1A5358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33ABE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Merge w:val="continue"/>
            <w:vAlign w:val="center"/>
          </w:tcPr>
          <w:p w14:paraId="413704C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p>
        </w:tc>
        <w:tc>
          <w:tcPr>
            <w:tcW w:w="1531" w:type="dxa"/>
            <w:vAlign w:val="center"/>
          </w:tcPr>
          <w:p w14:paraId="6724E7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709" w:type="dxa"/>
            <w:vAlign w:val="center"/>
          </w:tcPr>
          <w:p w14:paraId="379AFD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3062BA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Z≥120000</w:t>
            </w:r>
          </w:p>
        </w:tc>
        <w:tc>
          <w:tcPr>
            <w:tcW w:w="1701" w:type="dxa"/>
            <w:vAlign w:val="center"/>
          </w:tcPr>
          <w:p w14:paraId="18B7F2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8000≤Z＜120000</w:t>
            </w:r>
          </w:p>
        </w:tc>
        <w:tc>
          <w:tcPr>
            <w:tcW w:w="1426" w:type="dxa"/>
            <w:vAlign w:val="center"/>
          </w:tcPr>
          <w:p w14:paraId="683F04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100≤Z＜8000</w:t>
            </w:r>
          </w:p>
        </w:tc>
        <w:tc>
          <w:tcPr>
            <w:tcW w:w="992" w:type="dxa"/>
            <w:vAlign w:val="center"/>
          </w:tcPr>
          <w:p w14:paraId="7DDC28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Z＜100</w:t>
            </w:r>
          </w:p>
        </w:tc>
      </w:tr>
      <w:tr w14:paraId="4F642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vAlign w:val="center"/>
          </w:tcPr>
          <w:p w14:paraId="3409AA0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其他未列明行业 *</w:t>
            </w:r>
          </w:p>
        </w:tc>
        <w:tc>
          <w:tcPr>
            <w:tcW w:w="1531" w:type="dxa"/>
            <w:vAlign w:val="center"/>
          </w:tcPr>
          <w:p w14:paraId="12A9A9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2AE2F9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6D2093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701" w:type="dxa"/>
            <w:vAlign w:val="center"/>
          </w:tcPr>
          <w:p w14:paraId="77FAFA75">
            <w:pPr>
              <w:keepNext w:val="0"/>
              <w:keepLines w:val="0"/>
              <w:pageBreakBefore w:val="0"/>
              <w:widowControl/>
              <w:kinsoku/>
              <w:wordWrap/>
              <w:overflowPunct/>
              <w:topLinePunct w:val="0"/>
              <w:autoSpaceDE/>
              <w:autoSpaceDN/>
              <w:bidi w:val="0"/>
              <w:adjustRightInd/>
              <w:snapToGrid/>
              <w:spacing w:line="260" w:lineRule="exact"/>
              <w:ind w:left="19" w:leftChars="-51" w:hanging="126" w:hangingChars="6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426" w:type="dxa"/>
            <w:vAlign w:val="center"/>
          </w:tcPr>
          <w:p w14:paraId="6296BD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92" w:type="dxa"/>
            <w:vAlign w:val="center"/>
          </w:tcPr>
          <w:p w14:paraId="393682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bl>
    <w:p w14:paraId="5D5FF707">
      <w:pPr>
        <w:pageBreakBefore w:val="0"/>
        <w:widowControl/>
        <w:kinsoku/>
        <w:overflowPunct/>
        <w:topLinePunct w:val="0"/>
        <w:bidi w:val="0"/>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spacing w:val="8"/>
          <w:kern w:val="0"/>
          <w:sz w:val="21"/>
          <w:szCs w:val="21"/>
          <w:highlight w:val="none"/>
        </w:rPr>
        <w:br w:type="page"/>
      </w:r>
      <w:r>
        <w:rPr>
          <w:rFonts w:hint="eastAsia" w:ascii="宋体" w:hAnsi="宋体" w:eastAsia="宋体" w:cs="宋体"/>
          <w:color w:val="auto"/>
          <w:kern w:val="0"/>
          <w:sz w:val="21"/>
          <w:szCs w:val="21"/>
          <w:highlight w:val="none"/>
        </w:rPr>
        <w:t>说明：</w:t>
      </w:r>
    </w:p>
    <w:p w14:paraId="675ED8DB">
      <w:pPr>
        <w:pStyle w:val="15"/>
        <w:pageBreakBefore w:val="0"/>
        <w:kinsoku/>
        <w:overflowPunct/>
        <w:topLinePunct w:val="0"/>
        <w:bidi w:val="0"/>
        <w:adjustRightInd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1.大型、中型和小型企业须同时满足所列指标的下限，否则下划一档；微型企业只须满足所列指标中的一项即可。</w:t>
      </w:r>
    </w:p>
    <w:p w14:paraId="737A8890">
      <w:pPr>
        <w:pStyle w:val="15"/>
        <w:pageBreakBefore w:val="0"/>
        <w:kinsoku/>
        <w:overflowPunct/>
        <w:topLinePunct w:val="0"/>
        <w:bidi w:val="0"/>
        <w:adjustRightInd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C214FCD">
      <w:pPr>
        <w:pStyle w:val="15"/>
        <w:pageBreakBefore w:val="0"/>
        <w:kinsoku/>
        <w:overflowPunct/>
        <w:topLinePunct w:val="0"/>
        <w:bidi w:val="0"/>
        <w:adjustRightInd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5F3A67F">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p>
    <w:p w14:paraId="318935CB">
      <w:pPr>
        <w:rPr>
          <w:rFonts w:hint="eastAsia"/>
          <w:lang w:val="en-US" w:eastAsia="zh-CN"/>
        </w:rPr>
      </w:pPr>
      <w:r>
        <w:rPr>
          <w:rFonts w:hint="eastAsia"/>
          <w:lang w:val="en-US" w:eastAsia="zh-CN"/>
        </w:rPr>
        <w:br w:type="page"/>
      </w:r>
    </w:p>
    <w:p w14:paraId="4C4500C3">
      <w:pPr>
        <w:pageBreakBefore w:val="0"/>
        <w:kinsoku/>
        <w:overflowPunct/>
        <w:topLinePunct w:val="0"/>
        <w:bidi w:val="0"/>
        <w:snapToGrid w:val="0"/>
        <w:spacing w:before="120" w:beforeLines="50" w:after="50" w:line="240" w:lineRule="auto"/>
        <w:ind w:left="142"/>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残疾人福利性单位声明函格式</w:t>
      </w:r>
    </w:p>
    <w:p w14:paraId="5B232D74">
      <w:pPr>
        <w:pageBreakBefore w:val="0"/>
        <w:kinsoku/>
        <w:overflowPunct/>
        <w:topLinePunct w:val="0"/>
        <w:bidi w:val="0"/>
        <w:spacing w:line="240" w:lineRule="auto"/>
        <w:jc w:val="center"/>
        <w:rPr>
          <w:rFonts w:hint="eastAsia" w:ascii="宋体" w:hAnsi="宋体" w:eastAsia="宋体" w:cs="宋体"/>
          <w:b/>
          <w:color w:val="auto"/>
          <w:spacing w:val="6"/>
          <w:sz w:val="21"/>
          <w:szCs w:val="21"/>
          <w:highlight w:val="none"/>
        </w:rPr>
      </w:pPr>
    </w:p>
    <w:p w14:paraId="33294A99">
      <w:pPr>
        <w:pageBreakBefore w:val="0"/>
        <w:kinsoku/>
        <w:overflowPunct/>
        <w:topLinePunct w:val="0"/>
        <w:bidi w:val="0"/>
        <w:spacing w:line="240" w:lineRule="auto"/>
        <w:jc w:val="center"/>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残疾人福利性单位声明函</w:t>
      </w:r>
    </w:p>
    <w:p w14:paraId="59BE36DE">
      <w:pPr>
        <w:pageBreakBefore w:val="0"/>
        <w:kinsoku/>
        <w:overflowPunct/>
        <w:topLinePunct w:val="0"/>
        <w:bidi w:val="0"/>
        <w:spacing w:line="240" w:lineRule="auto"/>
        <w:contextualSpacing/>
        <w:rPr>
          <w:rFonts w:hint="eastAsia" w:ascii="宋体" w:hAnsi="宋体" w:eastAsia="宋体" w:cs="宋体"/>
          <w:bCs/>
          <w:color w:val="auto"/>
          <w:spacing w:val="6"/>
          <w:sz w:val="21"/>
          <w:szCs w:val="21"/>
          <w:highlight w:val="none"/>
        </w:rPr>
      </w:pPr>
    </w:p>
    <w:p w14:paraId="74830C2C">
      <w:pPr>
        <w:pageBreakBefore w:val="0"/>
        <w:kinsoku/>
        <w:overflowPunct/>
        <w:topLinePunct w:val="0"/>
        <w:bidi w:val="0"/>
        <w:spacing w:line="240" w:lineRule="auto"/>
        <w:ind w:firstLine="444" w:firstLineChars="200"/>
        <w:contextualSpacing/>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 民政部 中国残疾人联合会关于促进残疾人就业政府采购政策的通知》（财库</w:t>
      </w:r>
      <w:r>
        <w:rPr>
          <w:rFonts w:hint="eastAsia" w:ascii="宋体" w:hAnsi="宋体" w:eastAsia="宋体" w:cs="宋体"/>
          <w:color w:val="auto"/>
          <w:sz w:val="21"/>
          <w:szCs w:val="21"/>
          <w:highlight w:val="none"/>
        </w:rPr>
        <w:t>〔2017〕 141</w:t>
      </w:r>
      <w:r>
        <w:rPr>
          <w:rFonts w:hint="eastAsia" w:ascii="宋体" w:hAnsi="宋体" w:eastAsia="宋体" w:cs="宋体"/>
          <w:color w:val="auto"/>
          <w:spacing w:val="6"/>
          <w:sz w:val="21"/>
          <w:szCs w:val="21"/>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eastAsia="宋体" w:cs="宋体"/>
          <w:color w:val="auto"/>
          <w:spacing w:val="-6"/>
          <w:sz w:val="21"/>
          <w:szCs w:val="21"/>
          <w:highlight w:val="none"/>
        </w:rPr>
        <w:t>疾人福利性单位制造的货物（不包括使用非残疾人福利性单位注册商标的货物）。</w:t>
      </w:r>
    </w:p>
    <w:p w14:paraId="3B91AA1C">
      <w:pPr>
        <w:pageBreakBefore w:val="0"/>
        <w:kinsoku/>
        <w:overflowPunct/>
        <w:topLinePunct w:val="0"/>
        <w:bidi w:val="0"/>
        <w:spacing w:line="240" w:lineRule="auto"/>
        <w:ind w:firstLine="444" w:firstLineChars="200"/>
        <w:contextualSpacing/>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40B14CA5">
      <w:pPr>
        <w:pageBreakBefore w:val="0"/>
        <w:kinsoku/>
        <w:overflowPunct/>
        <w:topLinePunct w:val="0"/>
        <w:bidi w:val="0"/>
        <w:spacing w:line="240" w:lineRule="auto"/>
        <w:ind w:firstLine="444" w:firstLineChars="200"/>
        <w:contextualSpacing/>
        <w:rPr>
          <w:rFonts w:hint="eastAsia" w:ascii="宋体" w:hAnsi="宋体" w:eastAsia="宋体" w:cs="宋体"/>
          <w:color w:val="auto"/>
          <w:spacing w:val="6"/>
          <w:sz w:val="21"/>
          <w:szCs w:val="21"/>
          <w:highlight w:val="none"/>
        </w:rPr>
      </w:pPr>
    </w:p>
    <w:p w14:paraId="2427F613">
      <w:pPr>
        <w:pageBreakBefore w:val="0"/>
        <w:kinsoku/>
        <w:overflowPunct/>
        <w:topLinePunct w:val="0"/>
        <w:bidi w:val="0"/>
        <w:spacing w:line="240" w:lineRule="auto"/>
        <w:ind w:firstLine="444" w:firstLineChars="200"/>
        <w:contextualSpacing/>
        <w:rPr>
          <w:rFonts w:hint="eastAsia" w:ascii="宋体" w:hAnsi="宋体" w:eastAsia="宋体" w:cs="宋体"/>
          <w:color w:val="auto"/>
          <w:spacing w:val="6"/>
          <w:sz w:val="21"/>
          <w:szCs w:val="21"/>
          <w:highlight w:val="none"/>
        </w:rPr>
      </w:pPr>
    </w:p>
    <w:p w14:paraId="201BBA75">
      <w:pPr>
        <w:pageBreakBefore w:val="0"/>
        <w:tabs>
          <w:tab w:val="left" w:pos="4860"/>
        </w:tabs>
        <w:kinsoku/>
        <w:overflowPunct/>
        <w:topLinePunct w:val="0"/>
        <w:bidi w:val="0"/>
        <w:spacing w:line="240" w:lineRule="auto"/>
        <w:ind w:right="1560" w:firstLine="444" w:firstLineChars="200"/>
        <w:contextualSpacing/>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单位名称（</w:t>
      </w:r>
      <w:r>
        <w:rPr>
          <w:rFonts w:hint="eastAsia" w:ascii="宋体" w:hAnsi="宋体" w:eastAsia="宋体" w:cs="宋体"/>
          <w:color w:val="auto"/>
          <w:sz w:val="21"/>
          <w:szCs w:val="21"/>
          <w:highlight w:val="none"/>
        </w:rPr>
        <w:t>公章</w:t>
      </w:r>
      <w:r>
        <w:rPr>
          <w:rFonts w:hint="eastAsia" w:ascii="宋体" w:hAnsi="宋体" w:eastAsia="宋体" w:cs="宋体"/>
          <w:color w:val="auto"/>
          <w:spacing w:val="6"/>
          <w:sz w:val="21"/>
          <w:szCs w:val="21"/>
          <w:highlight w:val="none"/>
        </w:rPr>
        <w:t>）：</w:t>
      </w:r>
    </w:p>
    <w:p w14:paraId="5B68138A">
      <w:pPr>
        <w:pageBreakBefore w:val="0"/>
        <w:tabs>
          <w:tab w:val="left" w:pos="4860"/>
        </w:tabs>
        <w:kinsoku/>
        <w:overflowPunct/>
        <w:topLinePunct w:val="0"/>
        <w:bidi w:val="0"/>
        <w:spacing w:line="240" w:lineRule="auto"/>
        <w:ind w:right="1560" w:firstLine="444" w:firstLineChars="200"/>
        <w:contextualSpacing/>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日  期：</w:t>
      </w:r>
    </w:p>
    <w:p w14:paraId="42E15531">
      <w:pPr>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p>
    <w:p w14:paraId="067B04FC">
      <w:pPr>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p>
    <w:p w14:paraId="4C6A9C45">
      <w:pPr>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p>
    <w:p w14:paraId="03D1C1D8">
      <w:pPr>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0245305E">
      <w:pPr>
        <w:rPr>
          <w:rFonts w:hint="eastAsia"/>
          <w:lang w:val="en-US" w:eastAsia="zh-CN"/>
        </w:rPr>
      </w:pPr>
      <w:r>
        <w:rPr>
          <w:rFonts w:hint="eastAsia"/>
          <w:lang w:val="en-US" w:eastAsia="zh-CN"/>
        </w:rPr>
        <w:br w:type="page"/>
      </w:r>
    </w:p>
    <w:p w14:paraId="121FE618">
      <w:pPr>
        <w:pageBreakBefore w:val="0"/>
        <w:kinsoku/>
        <w:overflowPunct/>
        <w:topLinePunct w:val="0"/>
        <w:bidi w:val="0"/>
        <w:spacing w:line="24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三、商务文件格式</w:t>
      </w:r>
    </w:p>
    <w:p w14:paraId="0725DFEE">
      <w:pPr>
        <w:pageBreakBefore w:val="0"/>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1.商务文件封面格式： </w:t>
      </w:r>
    </w:p>
    <w:p w14:paraId="68FE5823">
      <w:pPr>
        <w:pageBreakBefore w:val="0"/>
        <w:kinsoku/>
        <w:overflowPunct/>
        <w:topLinePunct w:val="0"/>
        <w:bidi w:val="0"/>
        <w:snapToGrid w:val="0"/>
        <w:spacing w:before="120" w:beforeLines="50" w:after="50"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电子投标文件</w:t>
      </w:r>
    </w:p>
    <w:p w14:paraId="1CB41B3F">
      <w:pPr>
        <w:pageBreakBefore w:val="0"/>
        <w:kinsoku/>
        <w:overflowPunct/>
        <w:topLinePunct w:val="0"/>
        <w:bidi w:val="0"/>
        <w:snapToGrid w:val="0"/>
        <w:spacing w:before="120" w:beforeLines="50" w:after="50" w:line="240" w:lineRule="auto"/>
        <w:jc w:val="center"/>
        <w:rPr>
          <w:rFonts w:hint="eastAsia" w:ascii="宋体" w:hAnsi="宋体" w:eastAsia="宋体" w:cs="宋体"/>
          <w:color w:val="auto"/>
          <w:sz w:val="21"/>
          <w:szCs w:val="21"/>
          <w:highlight w:val="none"/>
        </w:rPr>
      </w:pPr>
    </w:p>
    <w:p w14:paraId="1BEAA051">
      <w:pPr>
        <w:pageBreakBefore w:val="0"/>
        <w:kinsoku/>
        <w:overflowPunct/>
        <w:topLinePunct w:val="0"/>
        <w:bidi w:val="0"/>
        <w:snapToGrid w:val="0"/>
        <w:spacing w:before="120" w:beforeLines="50" w:after="50"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商  务  文  件</w:t>
      </w:r>
    </w:p>
    <w:p w14:paraId="2F6BDF44">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3AABF1D6">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项目名称：</w:t>
      </w:r>
    </w:p>
    <w:p w14:paraId="7C07C65E">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rPr>
      </w:pPr>
    </w:p>
    <w:p w14:paraId="0A6E8B3E">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项目编号：</w:t>
      </w:r>
    </w:p>
    <w:p w14:paraId="5F15B191">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lang w:val="en-US" w:eastAsia="zh-CN"/>
        </w:rPr>
      </w:pPr>
    </w:p>
    <w:p w14:paraId="11FCE121">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分标：</w:t>
      </w:r>
    </w:p>
    <w:p w14:paraId="0E956700">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rPr>
      </w:pPr>
    </w:p>
    <w:p w14:paraId="15B37957">
      <w:pPr>
        <w:pStyle w:val="6"/>
        <w:pageBreakBefore w:val="0"/>
        <w:kinsoku/>
        <w:overflowPunct/>
        <w:topLinePunct w:val="0"/>
        <w:bidi w:val="0"/>
        <w:snapToGrid w:val="0"/>
        <w:spacing w:before="50" w:after="50" w:line="240" w:lineRule="auto"/>
        <w:ind w:firstLine="472" w:firstLineChars="22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投标人名称：</w:t>
      </w:r>
    </w:p>
    <w:p w14:paraId="5942FEF2">
      <w:pPr>
        <w:pStyle w:val="6"/>
        <w:pageBreakBefore w:val="0"/>
        <w:kinsoku/>
        <w:overflowPunct/>
        <w:topLinePunct w:val="0"/>
        <w:bidi w:val="0"/>
        <w:snapToGrid w:val="0"/>
        <w:spacing w:before="50" w:after="50" w:line="240" w:lineRule="auto"/>
        <w:ind w:firstLine="472" w:firstLineChars="225"/>
        <w:rPr>
          <w:rFonts w:hint="eastAsia" w:ascii="宋体" w:hAnsi="宋体" w:eastAsia="宋体" w:cs="宋体"/>
          <w:bCs/>
          <w:color w:val="auto"/>
          <w:sz w:val="21"/>
          <w:szCs w:val="21"/>
          <w:highlight w:val="none"/>
        </w:rPr>
      </w:pPr>
    </w:p>
    <w:p w14:paraId="743B7CF2">
      <w:pPr>
        <w:pStyle w:val="6"/>
        <w:pageBreakBefore w:val="0"/>
        <w:kinsoku/>
        <w:overflowPunct/>
        <w:topLinePunct w:val="0"/>
        <w:bidi w:val="0"/>
        <w:snapToGrid w:val="0"/>
        <w:spacing w:before="50" w:after="50" w:line="240" w:lineRule="auto"/>
        <w:ind w:firstLine="472" w:firstLineChars="22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投标人地址：</w:t>
      </w:r>
    </w:p>
    <w:p w14:paraId="0AF04224">
      <w:pPr>
        <w:pStyle w:val="6"/>
        <w:pageBreakBefore w:val="0"/>
        <w:kinsoku/>
        <w:overflowPunct/>
        <w:topLinePunct w:val="0"/>
        <w:bidi w:val="0"/>
        <w:snapToGrid w:val="0"/>
        <w:spacing w:before="50" w:after="50" w:line="240" w:lineRule="auto"/>
        <w:ind w:firstLine="840" w:firstLineChars="400"/>
        <w:rPr>
          <w:rFonts w:hint="eastAsia" w:ascii="宋体" w:hAnsi="宋体" w:eastAsia="宋体" w:cs="宋体"/>
          <w:bCs/>
          <w:color w:val="auto"/>
          <w:sz w:val="21"/>
          <w:szCs w:val="21"/>
          <w:highlight w:val="none"/>
        </w:rPr>
      </w:pPr>
    </w:p>
    <w:p w14:paraId="727E6D83">
      <w:pPr>
        <w:pageBreakBefore w:val="0"/>
        <w:kinsoku/>
        <w:overflowPunct/>
        <w:topLinePunct w:val="0"/>
        <w:bidi w:val="0"/>
        <w:snapToGrid w:val="0"/>
        <w:spacing w:before="120" w:beforeLines="50" w:after="50" w:line="240" w:lineRule="auto"/>
        <w:ind w:firstLine="6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0D9C87C1">
      <w:pPr>
        <w:rPr>
          <w:rFonts w:hint="eastAsia"/>
          <w:lang w:val="en-US" w:eastAsia="zh-CN"/>
        </w:rPr>
      </w:pPr>
      <w:r>
        <w:rPr>
          <w:rFonts w:hint="eastAsia"/>
          <w:lang w:val="en-US" w:eastAsia="zh-CN"/>
        </w:rPr>
        <w:br w:type="page"/>
      </w:r>
    </w:p>
    <w:p w14:paraId="3084E173">
      <w:pPr>
        <w:pageBreakBefore w:val="0"/>
        <w:kinsoku/>
        <w:overflowPunct/>
        <w:topLinePunct w:val="0"/>
        <w:bidi w:val="0"/>
        <w:snapToGrid w:val="0"/>
        <w:spacing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2.商务文件目录</w:t>
      </w:r>
    </w:p>
    <w:p w14:paraId="683BA2EA">
      <w:pPr>
        <w:pageBreakBefore w:val="0"/>
        <w:kinsoku/>
        <w:overflowPunct/>
        <w:topLinePunct w:val="0"/>
        <w:bidi w:val="0"/>
        <w:snapToGrid w:val="0"/>
        <w:spacing w:before="50" w:after="120" w:afterLines="50" w:line="240" w:lineRule="auto"/>
        <w:ind w:firstLine="420" w:firstLineChars="20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文件规定及投标人提供的材料自行编写目录。</w:t>
      </w:r>
    </w:p>
    <w:p w14:paraId="19173402">
      <w:pPr>
        <w:rPr>
          <w:rFonts w:hint="eastAsia"/>
          <w:lang w:val="en-US" w:eastAsia="zh-CN"/>
        </w:rPr>
      </w:pPr>
      <w:r>
        <w:rPr>
          <w:rFonts w:hint="eastAsia"/>
          <w:lang w:val="en-US" w:eastAsia="zh-CN"/>
        </w:rPr>
        <w:br w:type="page"/>
      </w:r>
    </w:p>
    <w:p w14:paraId="6D4D462B">
      <w:pPr>
        <w:pageBreakBefore w:val="0"/>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3.投标人参加本项目无围标串标行为的承诺</w:t>
      </w:r>
    </w:p>
    <w:p w14:paraId="2010C273">
      <w:pPr>
        <w:pageBreakBefore w:val="0"/>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p>
    <w:p w14:paraId="6895A5B9">
      <w:pPr>
        <w:pageBreakBefore w:val="0"/>
        <w:kinsoku/>
        <w:overflowPunct/>
        <w:topLinePunct w:val="0"/>
        <w:bidi w:val="0"/>
        <w:spacing w:line="240" w:lineRule="auto"/>
        <w:ind w:left="420"/>
        <w:contextualSpacing/>
        <w:jc w:val="center"/>
        <w:rPr>
          <w:rFonts w:hint="eastAsia" w:ascii="宋体" w:hAnsi="宋体" w:eastAsia="宋体" w:cs="宋体"/>
          <w:b/>
          <w:color w:val="auto"/>
          <w:sz w:val="21"/>
          <w:szCs w:val="21"/>
          <w:highlight w:val="none"/>
        </w:rPr>
      </w:pPr>
      <w:r>
        <w:rPr>
          <w:rFonts w:hint="eastAsia" w:ascii="宋体" w:hAnsi="宋体" w:eastAsia="宋体" w:cs="宋体"/>
          <w:bCs/>
          <w:color w:val="auto"/>
          <w:spacing w:val="-11"/>
          <w:sz w:val="21"/>
          <w:szCs w:val="21"/>
          <w:highlight w:val="none"/>
        </w:rPr>
        <w:t>投标人参加本项目无围标串标行为的承诺函</w:t>
      </w:r>
    </w:p>
    <w:p w14:paraId="5AC24458">
      <w:pPr>
        <w:pageBreakBefore w:val="0"/>
        <w:kinsoku/>
        <w:overflowPunct/>
        <w:topLinePunct w:val="0"/>
        <w:bidi w:val="0"/>
        <w:spacing w:line="240" w:lineRule="auto"/>
        <w:contextualSpacing/>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一、我方承诺无下列相互串通投标的情形：</w:t>
      </w:r>
    </w:p>
    <w:p w14:paraId="396C8E54">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14:paraId="2A967F20">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14:paraId="47E9FF91">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3.不同的投标人的投标文件载明的项目管理员为同一个人；</w:t>
      </w:r>
    </w:p>
    <w:p w14:paraId="53252DCE">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14:paraId="6D614543">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14:paraId="2C18AF3F">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6.不同投标人的投标保证金从同一单位或者个人账户转出。</w:t>
      </w:r>
    </w:p>
    <w:p w14:paraId="560D0C91">
      <w:pPr>
        <w:pageBreakBefore w:val="0"/>
        <w:kinsoku/>
        <w:overflowPunct/>
        <w:topLinePunct w:val="0"/>
        <w:bidi w:val="0"/>
        <w:spacing w:line="24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二、我方承诺无下列恶意串通的情形：</w:t>
      </w:r>
    </w:p>
    <w:p w14:paraId="0C3CA9E5">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1.投标人直接或者间接从采购人或者采购代理机构处获得其他投标人的相关信息并修改其投标文件或者投标文件；</w:t>
      </w:r>
    </w:p>
    <w:p w14:paraId="2DE214A9">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2.投标人按照采购人或者采购代理机构的授意撤换、修改投标文件或者投标文件；</w:t>
      </w:r>
    </w:p>
    <w:p w14:paraId="2AA6460E">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3.投标人之间协商报价、技术方案等投标文件或者投标文件的实质性内容；</w:t>
      </w:r>
    </w:p>
    <w:p w14:paraId="178E6C49">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4.属于同一集团、协会、商会等组织成员的投标人按照该组织要求协同参加政府采购活动；</w:t>
      </w:r>
    </w:p>
    <w:p w14:paraId="3CAE186D">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5.投标人之间事先约定一致抬高或者压低投标报价，或者在</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项目中事先约定轮流以高价位或者低价位中标，或者事先约定由某一特定投标人中标，然后再参加投标；</w:t>
      </w:r>
    </w:p>
    <w:p w14:paraId="125678A5">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6.投标人之间商定部分投标人放弃参加政府采购活动或者放弃中标；</w:t>
      </w:r>
    </w:p>
    <w:p w14:paraId="145CDDED">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7.投标人与采购人或者采购代理机构之间、投标人相互之间，为谋求特定投标人中标或者排斥其他投标人的其他串通行为。</w:t>
      </w:r>
    </w:p>
    <w:p w14:paraId="6D58338F">
      <w:pPr>
        <w:pageBreakBefore w:val="0"/>
        <w:kinsoku/>
        <w:overflowPunct/>
        <w:topLinePunct w:val="0"/>
        <w:bidi w:val="0"/>
        <w:spacing w:line="240" w:lineRule="auto"/>
        <w:ind w:firstLine="413" w:firstLineChars="196"/>
        <w:contextualSpacing/>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以上情形一经核查属实，我方愿意承担一切后果，并不再寻求任何旨在减轻或者免除法律责任的辩解。</w:t>
      </w:r>
    </w:p>
    <w:p w14:paraId="33836D5B">
      <w:pPr>
        <w:pStyle w:val="15"/>
        <w:pageBreakBefore w:val="0"/>
        <w:kinsoku/>
        <w:overflowPunct/>
        <w:topLinePunct w:val="0"/>
        <w:bidi w:val="0"/>
        <w:spacing w:line="240" w:lineRule="auto"/>
        <w:ind w:firstLine="5985" w:firstLineChars="2850"/>
        <w:contextualSpacing/>
        <w:rPr>
          <w:rFonts w:hint="eastAsia" w:ascii="宋体" w:hAnsi="宋体" w:eastAsia="宋体" w:cs="宋体"/>
          <w:color w:val="auto"/>
          <w:sz w:val="21"/>
          <w:szCs w:val="21"/>
          <w:highlight w:val="none"/>
        </w:rPr>
      </w:pPr>
    </w:p>
    <w:p w14:paraId="466C1393">
      <w:pPr>
        <w:pStyle w:val="15"/>
        <w:pageBreakBefore w:val="0"/>
        <w:kinsoku/>
        <w:overflowPunct/>
        <w:topLinePunct w:val="0"/>
        <w:bidi w:val="0"/>
        <w:spacing w:line="24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投标人名称（公章）</w:t>
      </w:r>
    </w:p>
    <w:p w14:paraId="79FF1D49">
      <w:pPr>
        <w:pStyle w:val="15"/>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3F13AA21">
      <w:pPr>
        <w:rPr>
          <w:rFonts w:hint="eastAsia"/>
          <w:lang w:val="en-US" w:eastAsia="zh-CN"/>
        </w:rPr>
      </w:pPr>
      <w:r>
        <w:rPr>
          <w:rFonts w:hint="eastAsia"/>
          <w:lang w:val="en-US" w:eastAsia="zh-CN"/>
        </w:rPr>
        <w:br w:type="page"/>
      </w:r>
    </w:p>
    <w:p w14:paraId="35E65A68">
      <w:pPr>
        <w:pageBreakBefore w:val="0"/>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4.法定代表人身份证明</w:t>
      </w:r>
    </w:p>
    <w:p w14:paraId="3332CA65">
      <w:pPr>
        <w:pageBreakBefore w:val="0"/>
        <w:kinsoku/>
        <w:overflowPunct/>
        <w:topLinePunct w:val="0"/>
        <w:bidi w:val="0"/>
        <w:spacing w:before="240" w:beforeLines="100" w:after="120" w:afterLines="50" w:line="240" w:lineRule="auto"/>
        <w:ind w:left="540"/>
        <w:jc w:val="center"/>
        <w:rPr>
          <w:rFonts w:hint="eastAsia" w:ascii="宋体" w:hAnsi="宋体" w:eastAsia="宋体" w:cs="宋体"/>
          <w:b/>
          <w:color w:val="auto"/>
          <w:sz w:val="21"/>
          <w:szCs w:val="21"/>
          <w:highlight w:val="none"/>
        </w:rPr>
      </w:pPr>
    </w:p>
    <w:p w14:paraId="17E45FCB">
      <w:pPr>
        <w:pageBreakBefore w:val="0"/>
        <w:kinsoku/>
        <w:overflowPunct/>
        <w:topLinePunct w:val="0"/>
        <w:bidi w:val="0"/>
        <w:spacing w:before="240" w:beforeLines="100" w:after="120" w:afterLines="50" w:line="240" w:lineRule="auto"/>
        <w:ind w:left="54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法定代表人身份证明</w:t>
      </w:r>
    </w:p>
    <w:p w14:paraId="0B823734">
      <w:pPr>
        <w:pageBreakBefore w:val="0"/>
        <w:kinsoku/>
        <w:overflowPunct/>
        <w:topLinePunct w:val="0"/>
        <w:bidi w:val="0"/>
        <w:spacing w:line="24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 标 人：</w:t>
      </w:r>
      <w:r>
        <w:rPr>
          <w:rFonts w:hint="eastAsia" w:ascii="宋体" w:hAnsi="宋体" w:eastAsia="宋体" w:cs="宋体"/>
          <w:color w:val="auto"/>
          <w:sz w:val="21"/>
          <w:szCs w:val="21"/>
          <w:highlight w:val="none"/>
          <w:u w:val="single"/>
        </w:rPr>
        <w:t xml:space="preserve">                                                        </w:t>
      </w:r>
    </w:p>
    <w:p w14:paraId="459C9F14">
      <w:pPr>
        <w:pageBreakBefore w:val="0"/>
        <w:kinsoku/>
        <w:overflowPunct/>
        <w:topLinePunct w:val="0"/>
        <w:bidi w:val="0"/>
        <w:spacing w:line="24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14:paraId="44851C0A">
      <w:pPr>
        <w:pageBreakBefore w:val="0"/>
        <w:kinsoku/>
        <w:overflowPunct/>
        <w:topLinePunct w:val="0"/>
        <w:bidi w:val="0"/>
        <w:spacing w:line="24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性      别：</w:t>
      </w:r>
      <w:r>
        <w:rPr>
          <w:rFonts w:hint="eastAsia" w:ascii="宋体" w:hAnsi="宋体" w:eastAsia="宋体" w:cs="宋体"/>
          <w:color w:val="auto"/>
          <w:sz w:val="21"/>
          <w:szCs w:val="21"/>
          <w:highlight w:val="none"/>
          <w:u w:val="single"/>
        </w:rPr>
        <w:t xml:space="preserve">                </w:t>
      </w:r>
    </w:p>
    <w:p w14:paraId="04D4B930">
      <w:pPr>
        <w:pageBreakBefore w:val="0"/>
        <w:kinsoku/>
        <w:overflowPunct/>
        <w:topLinePunct w:val="0"/>
        <w:bidi w:val="0"/>
        <w:spacing w:line="240" w:lineRule="auto"/>
        <w:ind w:left="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年    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157807F">
      <w:pPr>
        <w:pageBreakBefore w:val="0"/>
        <w:kinsoku/>
        <w:overflowPunct/>
        <w:topLinePunct w:val="0"/>
        <w:bidi w:val="0"/>
        <w:spacing w:line="24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p>
    <w:p w14:paraId="165C3C1F">
      <w:pPr>
        <w:pageBreakBefore w:val="0"/>
        <w:kinsoku/>
        <w:overflowPunct/>
        <w:topLinePunct w:val="0"/>
        <w:bidi w:val="0"/>
        <w:spacing w:line="24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的法定代表人。</w:t>
      </w:r>
    </w:p>
    <w:p w14:paraId="6D8C7684">
      <w:pPr>
        <w:pageBreakBefore w:val="0"/>
        <w:kinsoku/>
        <w:overflowPunct/>
        <w:topLinePunct w:val="0"/>
        <w:bidi w:val="0"/>
        <w:spacing w:line="24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14:paraId="14504918">
      <w:pPr>
        <w:pageBreakBefore w:val="0"/>
        <w:kinsoku/>
        <w:overflowPunct/>
        <w:topLinePunct w:val="0"/>
        <w:bidi w:val="0"/>
        <w:spacing w:line="240" w:lineRule="auto"/>
        <w:ind w:left="540"/>
        <w:rPr>
          <w:rFonts w:hint="eastAsia" w:ascii="宋体" w:hAnsi="宋体" w:eastAsia="宋体" w:cs="宋体"/>
          <w:color w:val="auto"/>
          <w:sz w:val="21"/>
          <w:szCs w:val="21"/>
          <w:highlight w:val="none"/>
        </w:rPr>
      </w:pPr>
    </w:p>
    <w:p w14:paraId="692BBADB">
      <w:pPr>
        <w:pageBreakBefore w:val="0"/>
        <w:kinsoku/>
        <w:overflowPunct/>
        <w:topLinePunct w:val="0"/>
        <w:bidi w:val="0"/>
        <w:spacing w:line="240" w:lineRule="auto"/>
        <w:ind w:left="540"/>
        <w:rPr>
          <w:rFonts w:hint="eastAsia" w:ascii="宋体" w:hAnsi="宋体" w:eastAsia="宋体" w:cs="宋体"/>
          <w:color w:val="auto"/>
          <w:sz w:val="21"/>
          <w:szCs w:val="21"/>
          <w:highlight w:val="none"/>
        </w:rPr>
      </w:pPr>
    </w:p>
    <w:p w14:paraId="446E8E01">
      <w:pPr>
        <w:pageBreakBefore w:val="0"/>
        <w:kinsoku/>
        <w:overflowPunct/>
        <w:topLinePunct w:val="0"/>
        <w:bidi w:val="0"/>
        <w:spacing w:line="24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附件：法定代表人有效身份证正反面复印件</w:t>
      </w:r>
    </w:p>
    <w:p w14:paraId="361B6AB8">
      <w:pPr>
        <w:pageBreakBefore w:val="0"/>
        <w:kinsoku/>
        <w:overflowPunct/>
        <w:topLinePunct w:val="0"/>
        <w:bidi w:val="0"/>
        <w:spacing w:line="240" w:lineRule="auto"/>
        <w:ind w:left="540"/>
        <w:rPr>
          <w:rFonts w:hint="eastAsia" w:ascii="宋体" w:hAnsi="宋体" w:eastAsia="宋体" w:cs="宋体"/>
          <w:color w:val="auto"/>
          <w:sz w:val="21"/>
          <w:szCs w:val="21"/>
          <w:highlight w:val="none"/>
        </w:rPr>
      </w:pPr>
    </w:p>
    <w:p w14:paraId="2FC16A37">
      <w:pPr>
        <w:pageBreakBefore w:val="0"/>
        <w:kinsoku/>
        <w:overflowPunct/>
        <w:topLinePunct w:val="0"/>
        <w:bidi w:val="0"/>
        <w:spacing w:line="240" w:lineRule="auto"/>
        <w:ind w:left="54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投标人名称（公章）</w:t>
      </w:r>
    </w:p>
    <w:p w14:paraId="6BCDE2F4">
      <w:pPr>
        <w:pageBreakBefore w:val="0"/>
        <w:kinsoku/>
        <w:overflowPunct/>
        <w:topLinePunct w:val="0"/>
        <w:bidi w:val="0"/>
        <w:spacing w:line="240" w:lineRule="auto"/>
        <w:ind w:left="540"/>
        <w:jc w:val="right"/>
        <w:rPr>
          <w:rFonts w:hint="eastAsia" w:ascii="宋体" w:hAnsi="宋体" w:eastAsia="宋体" w:cs="宋体"/>
          <w:color w:val="auto"/>
          <w:sz w:val="21"/>
          <w:szCs w:val="21"/>
          <w:highlight w:val="none"/>
        </w:rPr>
      </w:pPr>
    </w:p>
    <w:p w14:paraId="75E572A2">
      <w:pPr>
        <w:pageBreakBefore w:val="0"/>
        <w:kinsoku/>
        <w:overflowPunct/>
        <w:topLinePunct w:val="0"/>
        <w:bidi w:val="0"/>
        <w:snapToGrid w:val="0"/>
        <w:spacing w:before="120" w:beforeLines="50" w:after="50" w:line="240" w:lineRule="auto"/>
        <w:ind w:left="54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1D3D3309">
      <w:pPr>
        <w:pageBreakBefore w:val="0"/>
        <w:kinsoku/>
        <w:overflowPunct/>
        <w:topLinePunct w:val="0"/>
        <w:bidi w:val="0"/>
        <w:snapToGrid w:val="0"/>
        <w:spacing w:before="120" w:beforeLines="50" w:after="50" w:line="240" w:lineRule="auto"/>
        <w:jc w:val="center"/>
        <w:rPr>
          <w:rFonts w:hint="eastAsia" w:ascii="宋体" w:hAnsi="宋体" w:eastAsia="宋体" w:cs="宋体"/>
          <w:b/>
          <w:color w:val="auto"/>
          <w:sz w:val="21"/>
          <w:szCs w:val="21"/>
          <w:highlight w:val="none"/>
        </w:rPr>
      </w:pPr>
    </w:p>
    <w:p w14:paraId="35BA6234">
      <w:pPr>
        <w:pageBreakBefore w:val="0"/>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注：自然人投标的无需提供</w:t>
      </w:r>
    </w:p>
    <w:p w14:paraId="5A334040">
      <w:pPr>
        <w:rPr>
          <w:rFonts w:hint="eastAsia"/>
          <w:lang w:val="en-US" w:eastAsia="zh-CN"/>
        </w:rPr>
      </w:pPr>
      <w:r>
        <w:rPr>
          <w:rFonts w:hint="eastAsia"/>
          <w:lang w:val="en-US" w:eastAsia="zh-CN"/>
        </w:rPr>
        <w:br w:type="page"/>
      </w:r>
    </w:p>
    <w:p w14:paraId="4EE3E6B5">
      <w:pPr>
        <w:pageBreakBefore w:val="0"/>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5.授权委托书格式</w:t>
      </w:r>
    </w:p>
    <w:p w14:paraId="370F97F9">
      <w:pPr>
        <w:pageBreakBefore w:val="0"/>
        <w:kinsoku/>
        <w:overflowPunct/>
        <w:topLinePunct w:val="0"/>
        <w:bidi w:val="0"/>
        <w:snapToGrid w:val="0"/>
        <w:spacing w:before="120" w:beforeLines="50" w:after="50" w:line="240" w:lineRule="auto"/>
        <w:jc w:val="center"/>
        <w:rPr>
          <w:rFonts w:hint="eastAsia" w:ascii="宋体" w:hAnsi="宋体" w:eastAsia="宋体" w:cs="宋体"/>
          <w:b/>
          <w:color w:val="auto"/>
          <w:sz w:val="21"/>
          <w:szCs w:val="21"/>
          <w:highlight w:val="none"/>
        </w:rPr>
      </w:pPr>
    </w:p>
    <w:p w14:paraId="78ED8922">
      <w:pPr>
        <w:pageBreakBefore w:val="0"/>
        <w:kinsoku/>
        <w:overflowPunct/>
        <w:topLinePunct w:val="0"/>
        <w:bidi w:val="0"/>
        <w:spacing w:line="240" w:lineRule="auto"/>
        <w:contextualSpacing/>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授权委托书</w:t>
      </w:r>
    </w:p>
    <w:p w14:paraId="1BDD002B">
      <w:pPr>
        <w:pageBreakBefore w:val="0"/>
        <w:kinsoku/>
        <w:overflowPunct/>
        <w:topLinePunct w:val="0"/>
        <w:bidi w:val="0"/>
        <w:spacing w:line="240" w:lineRule="auto"/>
        <w:contextualSpacing/>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（如有委托时）</w:t>
      </w:r>
    </w:p>
    <w:p w14:paraId="43B39E44">
      <w:pPr>
        <w:pageBreakBefore w:val="0"/>
        <w:kinsoku/>
        <w:overflowPunct/>
        <w:topLinePunct w:val="0"/>
        <w:bidi w:val="0"/>
        <w:spacing w:line="240" w:lineRule="auto"/>
        <w:contextualSpacing/>
        <w:jc w:val="center"/>
        <w:rPr>
          <w:rFonts w:hint="eastAsia" w:ascii="宋体" w:hAnsi="宋体" w:eastAsia="宋体" w:cs="宋体"/>
          <w:b/>
          <w:color w:val="auto"/>
          <w:sz w:val="21"/>
          <w:szCs w:val="21"/>
          <w:highlight w:val="none"/>
        </w:rPr>
      </w:pPr>
    </w:p>
    <w:p w14:paraId="316FA830">
      <w:pPr>
        <w:pageBreakBefore w:val="0"/>
        <w:kinsoku/>
        <w:overflowPunct/>
        <w:topLinePunct w:val="0"/>
        <w:bidi w:val="0"/>
        <w:spacing w:line="240" w:lineRule="auto"/>
        <w:contextualSpacing/>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致：</w:t>
      </w:r>
      <w:r>
        <w:rPr>
          <w:rFonts w:hint="eastAsia" w:ascii="宋体" w:hAnsi="宋体" w:eastAsia="宋体" w:cs="宋体"/>
          <w:color w:val="auto"/>
          <w:sz w:val="21"/>
          <w:szCs w:val="21"/>
          <w:highlight w:val="none"/>
          <w:u w:val="single"/>
        </w:rPr>
        <w:t>采购人名称</w:t>
      </w:r>
      <w:r>
        <w:rPr>
          <w:rFonts w:hint="eastAsia" w:ascii="宋体" w:hAnsi="宋体" w:eastAsia="宋体" w:cs="宋体"/>
          <w:color w:val="auto"/>
          <w:sz w:val="21"/>
          <w:szCs w:val="21"/>
          <w:highlight w:val="none"/>
        </w:rPr>
        <w:t>：</w:t>
      </w:r>
    </w:p>
    <w:p w14:paraId="665B8772">
      <w:pPr>
        <w:pageBreakBefore w:val="0"/>
        <w:kinsoku/>
        <w:overflowPunct/>
        <w:topLinePunct w:val="0"/>
        <w:bidi w:val="0"/>
        <w:spacing w:line="240" w:lineRule="auto"/>
        <w:ind w:firstLine="495" w:firstLineChars="236"/>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（投标人名称）的法定代表人，现授权委托</w:t>
      </w:r>
      <w:r>
        <w:rPr>
          <w:rFonts w:hint="eastAsia" w:ascii="宋体" w:hAnsi="宋体" w:eastAsia="宋体" w:cs="宋体"/>
          <w:color w:val="auto"/>
          <w:sz w:val="21"/>
          <w:szCs w:val="21"/>
          <w:highlight w:val="none"/>
          <w:u w:val="single"/>
        </w:rPr>
        <w:t xml:space="preserve">              （姓名）</w:t>
      </w:r>
      <w:r>
        <w:rPr>
          <w:rFonts w:hint="eastAsia" w:ascii="宋体" w:hAnsi="宋体" w:eastAsia="宋体" w:cs="宋体"/>
          <w:color w:val="auto"/>
          <w:sz w:val="21"/>
          <w:szCs w:val="21"/>
          <w:highlight w:val="none"/>
        </w:rPr>
        <w:t>以我方的名义参加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项目的投标活动，并代表我方全权办理针对上述项目的所有采购程序和环节的具体事务和签署相关文件。</w:t>
      </w:r>
    </w:p>
    <w:p w14:paraId="18D23072">
      <w:pPr>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我方对委托代理人的签字或者电子签名事项负全部责任。</w:t>
      </w:r>
    </w:p>
    <w:p w14:paraId="30CE9E30">
      <w:pPr>
        <w:pageBreakBefore w:val="0"/>
        <w:kinsoku/>
        <w:overflowPunct/>
        <w:topLinePunct w:val="0"/>
        <w:bidi w:val="0"/>
        <w:spacing w:line="240" w:lineRule="auto"/>
        <w:ind w:firstLine="48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本授权书自签署之日起生效，在撤销授权的书面通知以前，本授权书一直有效。委托代理人在授权书有效期内签署的所有文件不因授权的撤销而失效。</w:t>
      </w:r>
    </w:p>
    <w:p w14:paraId="7CB2E80E">
      <w:pPr>
        <w:pageBreakBefore w:val="0"/>
        <w:kinsoku/>
        <w:overflowPunct/>
        <w:topLinePunct w:val="0"/>
        <w:bidi w:val="0"/>
        <w:spacing w:line="240" w:lineRule="auto"/>
        <w:ind w:firstLine="48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委托代理人无转委托权，特此委托。</w:t>
      </w:r>
    </w:p>
    <w:p w14:paraId="0A5249C8">
      <w:pPr>
        <w:pageBreakBefore w:val="0"/>
        <w:kinsoku/>
        <w:overflowPunct/>
        <w:topLinePunct w:val="0"/>
        <w:bidi w:val="0"/>
        <w:spacing w:line="240" w:lineRule="auto"/>
        <w:ind w:firstLine="48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附：法定代表人身份证明及委托代理人有效身份证正反面复印件</w:t>
      </w:r>
    </w:p>
    <w:p w14:paraId="13055443">
      <w:pPr>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p>
    <w:p w14:paraId="7029F07B">
      <w:pPr>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委托代理人（签名）：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65D41F4F">
      <w:pPr>
        <w:pageBreakBefore w:val="0"/>
        <w:kinsoku/>
        <w:overflowPunct/>
        <w:topLinePunct w:val="0"/>
        <w:bidi w:val="0"/>
        <w:spacing w:line="240" w:lineRule="auto"/>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委托代理人身份证号码：</w:t>
      </w:r>
      <w:r>
        <w:rPr>
          <w:rFonts w:hint="eastAsia" w:ascii="宋体" w:hAnsi="宋体" w:eastAsia="宋体" w:cs="宋体"/>
          <w:color w:val="auto"/>
          <w:sz w:val="21"/>
          <w:szCs w:val="21"/>
          <w:highlight w:val="none"/>
          <w:u w:val="single"/>
        </w:rPr>
        <w:t xml:space="preserve">                             </w:t>
      </w:r>
    </w:p>
    <w:p w14:paraId="35B0D16A">
      <w:pPr>
        <w:pageBreakBefore w:val="0"/>
        <w:kinsoku/>
        <w:overflowPunct/>
        <w:topLinePunct w:val="0"/>
        <w:bidi w:val="0"/>
        <w:spacing w:line="240" w:lineRule="auto"/>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法定代表人（签名）：</w:t>
      </w:r>
      <w:r>
        <w:rPr>
          <w:rFonts w:hint="eastAsia" w:ascii="宋体" w:hAnsi="宋体" w:eastAsia="宋体" w:cs="宋体"/>
          <w:color w:val="auto"/>
          <w:sz w:val="21"/>
          <w:szCs w:val="21"/>
          <w:highlight w:val="none"/>
          <w:u w:val="single"/>
        </w:rPr>
        <w:t xml:space="preserve">              </w:t>
      </w:r>
    </w:p>
    <w:p w14:paraId="6A02CB09">
      <w:pPr>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48EA9E3D">
      <w:pPr>
        <w:pageBreakBefore w:val="0"/>
        <w:kinsoku/>
        <w:overflowPunct/>
        <w:topLinePunct w:val="0"/>
        <w:bidi w:val="0"/>
        <w:spacing w:line="24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投标人名称（公章）：</w:t>
      </w:r>
    </w:p>
    <w:p w14:paraId="75FB9C9A">
      <w:pPr>
        <w:pageBreakBefore w:val="0"/>
        <w:kinsoku/>
        <w:overflowPunct/>
        <w:topLinePunct w:val="0"/>
        <w:bidi w:val="0"/>
        <w:spacing w:line="24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12AB8212">
      <w:pPr>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w:t>
      </w:r>
      <w:bookmarkStart w:id="131" w:name="_Hlk65851555"/>
      <w:bookmarkStart w:id="132" w:name="_Hlk65851620"/>
      <w:r>
        <w:rPr>
          <w:rFonts w:hint="eastAsia" w:ascii="宋体" w:hAnsi="宋体" w:eastAsia="宋体" w:cs="宋体"/>
          <w:color w:val="auto"/>
          <w:sz w:val="21"/>
          <w:szCs w:val="21"/>
          <w:highlight w:val="none"/>
        </w:rPr>
        <w:t>法定代表人必须在授权委托书上签字或者盖章或者电子签名，</w:t>
      </w:r>
      <w:bookmarkEnd w:id="131"/>
      <w:r>
        <w:rPr>
          <w:rFonts w:hint="eastAsia" w:ascii="宋体" w:hAnsi="宋体" w:eastAsia="宋体" w:cs="宋体"/>
          <w:color w:val="auto"/>
          <w:sz w:val="21"/>
          <w:szCs w:val="21"/>
          <w:highlight w:val="none"/>
        </w:rPr>
        <w:t>委托代理人必须在授权委托书上签字或者电子签名，</w:t>
      </w:r>
      <w:r>
        <w:rPr>
          <w:rFonts w:hint="eastAsia" w:ascii="宋体" w:hAnsi="宋体" w:eastAsia="宋体" w:cs="宋体"/>
          <w:b/>
          <w:bCs/>
          <w:color w:val="auto"/>
          <w:sz w:val="21"/>
          <w:szCs w:val="21"/>
          <w:highlight w:val="none"/>
        </w:rPr>
        <w:t>否则按无效投标处理</w:t>
      </w:r>
      <w:r>
        <w:rPr>
          <w:rFonts w:hint="eastAsia" w:ascii="宋体" w:hAnsi="宋体" w:eastAsia="宋体" w:cs="宋体"/>
          <w:color w:val="auto"/>
          <w:sz w:val="21"/>
          <w:szCs w:val="21"/>
          <w:highlight w:val="none"/>
        </w:rPr>
        <w:t>；</w:t>
      </w:r>
      <w:bookmarkEnd w:id="132"/>
    </w:p>
    <w:p w14:paraId="127253C0">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2.法人、其他组织投标时“我方”是指“我单位”，自然人投标时“我方”是指“本人”。</w:t>
      </w:r>
    </w:p>
    <w:p w14:paraId="7982C5D3">
      <w:pPr>
        <w:rPr>
          <w:rFonts w:hint="eastAsia"/>
          <w:lang w:val="en-US" w:eastAsia="zh-CN"/>
        </w:rPr>
      </w:pPr>
      <w:r>
        <w:rPr>
          <w:rFonts w:hint="eastAsia"/>
          <w:lang w:val="en-US" w:eastAsia="zh-CN"/>
        </w:rPr>
        <w:br w:type="page"/>
      </w:r>
    </w:p>
    <w:p w14:paraId="792DB423">
      <w:pPr>
        <w:pageBreakBefore w:val="0"/>
        <w:kinsoku/>
        <w:overflowPunct/>
        <w:topLinePunct w:val="0"/>
        <w:bidi w:val="0"/>
        <w:spacing w:line="24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6.商务要求偏离表格式</w:t>
      </w:r>
    </w:p>
    <w:tbl>
      <w:tblPr>
        <w:tblStyle w:val="20"/>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0"/>
        <w:gridCol w:w="2659"/>
        <w:gridCol w:w="1732"/>
        <w:gridCol w:w="1936"/>
        <w:gridCol w:w="1078"/>
      </w:tblGrid>
      <w:tr w14:paraId="1EB2C5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90" w:type="dxa"/>
            <w:tcBorders>
              <w:top w:val="single" w:color="auto" w:sz="4" w:space="0"/>
              <w:left w:val="single" w:color="auto" w:sz="4" w:space="0"/>
              <w:bottom w:val="single" w:color="auto" w:sz="4" w:space="0"/>
              <w:right w:val="single" w:color="auto" w:sz="4" w:space="0"/>
            </w:tcBorders>
            <w:vAlign w:val="center"/>
          </w:tcPr>
          <w:p w14:paraId="7B795DF4">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项号</w:t>
            </w:r>
          </w:p>
        </w:tc>
        <w:tc>
          <w:tcPr>
            <w:tcW w:w="2659" w:type="dxa"/>
            <w:tcBorders>
              <w:top w:val="single" w:color="auto" w:sz="4" w:space="0"/>
              <w:left w:val="single" w:color="auto" w:sz="4" w:space="0"/>
              <w:bottom w:val="single" w:color="auto" w:sz="4" w:space="0"/>
              <w:right w:val="single" w:color="auto" w:sz="4" w:space="0"/>
            </w:tcBorders>
            <w:vAlign w:val="center"/>
          </w:tcPr>
          <w:p w14:paraId="553554D9">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标的的名称</w:t>
            </w:r>
          </w:p>
        </w:tc>
        <w:tc>
          <w:tcPr>
            <w:tcW w:w="1732" w:type="dxa"/>
            <w:tcBorders>
              <w:top w:val="single" w:color="auto" w:sz="4" w:space="0"/>
              <w:left w:val="single" w:color="auto" w:sz="4" w:space="0"/>
              <w:bottom w:val="single" w:color="auto" w:sz="4" w:space="0"/>
              <w:right w:val="single" w:color="auto" w:sz="4" w:space="0"/>
            </w:tcBorders>
          </w:tcPr>
          <w:p w14:paraId="52A34DB0">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文件商务要求</w:t>
            </w:r>
          </w:p>
        </w:tc>
        <w:tc>
          <w:tcPr>
            <w:tcW w:w="1936" w:type="dxa"/>
            <w:tcBorders>
              <w:top w:val="single" w:color="auto" w:sz="4" w:space="0"/>
              <w:left w:val="single" w:color="auto" w:sz="4" w:space="0"/>
              <w:bottom w:val="single" w:color="auto" w:sz="4" w:space="0"/>
              <w:right w:val="single" w:color="auto" w:sz="4" w:space="0"/>
            </w:tcBorders>
          </w:tcPr>
          <w:p w14:paraId="4B7CD185">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投标人的承诺</w:t>
            </w:r>
          </w:p>
        </w:tc>
        <w:tc>
          <w:tcPr>
            <w:tcW w:w="1078" w:type="dxa"/>
            <w:tcBorders>
              <w:top w:val="single" w:color="auto" w:sz="4" w:space="0"/>
              <w:left w:val="single" w:color="auto" w:sz="4" w:space="0"/>
              <w:bottom w:val="single" w:color="auto" w:sz="4" w:space="0"/>
              <w:right w:val="single" w:color="auto" w:sz="4" w:space="0"/>
            </w:tcBorders>
          </w:tcPr>
          <w:p w14:paraId="5DABB23F">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偏离说明</w:t>
            </w:r>
          </w:p>
        </w:tc>
      </w:tr>
      <w:tr w14:paraId="165283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090" w:type="dxa"/>
            <w:tcBorders>
              <w:top w:val="single" w:color="auto" w:sz="4" w:space="0"/>
              <w:left w:val="single" w:color="auto" w:sz="4" w:space="0"/>
              <w:bottom w:val="single" w:color="auto" w:sz="4" w:space="0"/>
              <w:right w:val="single" w:color="auto" w:sz="4" w:space="0"/>
            </w:tcBorders>
            <w:vAlign w:val="center"/>
          </w:tcPr>
          <w:p w14:paraId="3DC036A2">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p>
        </w:tc>
        <w:tc>
          <w:tcPr>
            <w:tcW w:w="2659" w:type="dxa"/>
            <w:tcBorders>
              <w:top w:val="single" w:color="auto" w:sz="4" w:space="0"/>
              <w:left w:val="single" w:color="auto" w:sz="4" w:space="0"/>
              <w:bottom w:val="single" w:color="auto" w:sz="4" w:space="0"/>
              <w:right w:val="single" w:color="auto" w:sz="4" w:space="0"/>
            </w:tcBorders>
          </w:tcPr>
          <w:p w14:paraId="64D4810C">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p>
        </w:tc>
        <w:tc>
          <w:tcPr>
            <w:tcW w:w="1732" w:type="dxa"/>
            <w:tcBorders>
              <w:top w:val="single" w:color="auto" w:sz="4" w:space="0"/>
              <w:left w:val="single" w:color="auto" w:sz="4" w:space="0"/>
              <w:bottom w:val="single" w:color="auto" w:sz="4" w:space="0"/>
              <w:right w:val="single" w:color="auto" w:sz="4" w:space="0"/>
            </w:tcBorders>
          </w:tcPr>
          <w:p w14:paraId="60EF006D">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p>
        </w:tc>
        <w:tc>
          <w:tcPr>
            <w:tcW w:w="1936" w:type="dxa"/>
            <w:tcBorders>
              <w:top w:val="single" w:color="auto" w:sz="4" w:space="0"/>
              <w:left w:val="single" w:color="auto" w:sz="4" w:space="0"/>
              <w:bottom w:val="single" w:color="auto" w:sz="4" w:space="0"/>
              <w:right w:val="single" w:color="auto" w:sz="4" w:space="0"/>
            </w:tcBorders>
          </w:tcPr>
          <w:p w14:paraId="51EA38D2">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p>
        </w:tc>
        <w:tc>
          <w:tcPr>
            <w:tcW w:w="1078" w:type="dxa"/>
            <w:tcBorders>
              <w:top w:val="single" w:color="auto" w:sz="4" w:space="0"/>
              <w:left w:val="single" w:color="auto" w:sz="4" w:space="0"/>
              <w:bottom w:val="single" w:color="auto" w:sz="4" w:space="0"/>
              <w:right w:val="single" w:color="auto" w:sz="4" w:space="0"/>
            </w:tcBorders>
          </w:tcPr>
          <w:p w14:paraId="23925990">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p>
        </w:tc>
      </w:tr>
      <w:tr w14:paraId="7B18A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090" w:type="dxa"/>
            <w:tcBorders>
              <w:top w:val="single" w:color="auto" w:sz="4" w:space="0"/>
              <w:left w:val="single" w:color="auto" w:sz="4" w:space="0"/>
              <w:bottom w:val="single" w:color="auto" w:sz="4" w:space="0"/>
              <w:right w:val="single" w:color="auto" w:sz="4" w:space="0"/>
            </w:tcBorders>
            <w:vAlign w:val="center"/>
          </w:tcPr>
          <w:p w14:paraId="00F8B2CB">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p>
        </w:tc>
        <w:tc>
          <w:tcPr>
            <w:tcW w:w="2659" w:type="dxa"/>
            <w:tcBorders>
              <w:top w:val="single" w:color="auto" w:sz="4" w:space="0"/>
              <w:left w:val="single" w:color="auto" w:sz="4" w:space="0"/>
              <w:bottom w:val="single" w:color="auto" w:sz="4" w:space="0"/>
              <w:right w:val="single" w:color="auto" w:sz="4" w:space="0"/>
            </w:tcBorders>
          </w:tcPr>
          <w:p w14:paraId="77BB68C5">
            <w:pPr>
              <w:pageBreakBefore w:val="0"/>
              <w:kinsoku/>
              <w:overflowPunct/>
              <w:topLinePunct w:val="0"/>
              <w:bidi w:val="0"/>
              <w:snapToGrid w:val="0"/>
              <w:spacing w:before="120" w:beforeLines="50" w:line="240" w:lineRule="auto"/>
              <w:rPr>
                <w:rFonts w:hint="eastAsia" w:ascii="宋体" w:hAnsi="宋体" w:eastAsia="宋体" w:cs="宋体"/>
                <w:color w:val="auto"/>
                <w:sz w:val="21"/>
                <w:szCs w:val="21"/>
                <w:highlight w:val="none"/>
                <w:u w:val="single"/>
              </w:rPr>
            </w:pPr>
          </w:p>
        </w:tc>
        <w:tc>
          <w:tcPr>
            <w:tcW w:w="1732" w:type="dxa"/>
            <w:tcBorders>
              <w:top w:val="single" w:color="auto" w:sz="4" w:space="0"/>
              <w:left w:val="single" w:color="auto" w:sz="4" w:space="0"/>
              <w:bottom w:val="single" w:color="auto" w:sz="4" w:space="0"/>
              <w:right w:val="single" w:color="auto" w:sz="4" w:space="0"/>
            </w:tcBorders>
          </w:tcPr>
          <w:p w14:paraId="7230A745">
            <w:pPr>
              <w:pageBreakBefore w:val="0"/>
              <w:kinsoku/>
              <w:overflowPunct/>
              <w:topLinePunct w:val="0"/>
              <w:bidi w:val="0"/>
              <w:snapToGrid w:val="0"/>
              <w:spacing w:before="120" w:beforeLines="50" w:line="240" w:lineRule="auto"/>
              <w:ind w:left="43"/>
              <w:jc w:val="center"/>
              <w:rPr>
                <w:rFonts w:hint="eastAsia" w:ascii="宋体" w:hAnsi="宋体" w:eastAsia="宋体" w:cs="宋体"/>
                <w:color w:val="auto"/>
                <w:sz w:val="21"/>
                <w:szCs w:val="21"/>
                <w:highlight w:val="none"/>
              </w:rPr>
            </w:pPr>
          </w:p>
        </w:tc>
        <w:tc>
          <w:tcPr>
            <w:tcW w:w="1936" w:type="dxa"/>
            <w:tcBorders>
              <w:top w:val="single" w:color="auto" w:sz="4" w:space="0"/>
              <w:left w:val="single" w:color="auto" w:sz="4" w:space="0"/>
              <w:bottom w:val="single" w:color="auto" w:sz="4" w:space="0"/>
              <w:right w:val="single" w:color="auto" w:sz="4" w:space="0"/>
            </w:tcBorders>
          </w:tcPr>
          <w:p w14:paraId="052244FB">
            <w:pPr>
              <w:pageBreakBefore w:val="0"/>
              <w:kinsoku/>
              <w:overflowPunct/>
              <w:topLinePunct w:val="0"/>
              <w:bidi w:val="0"/>
              <w:snapToGrid w:val="0"/>
              <w:spacing w:before="120" w:beforeLines="50" w:line="240" w:lineRule="auto"/>
              <w:ind w:left="43"/>
              <w:jc w:val="center"/>
              <w:rPr>
                <w:rFonts w:hint="eastAsia" w:ascii="宋体" w:hAnsi="宋体" w:eastAsia="宋体" w:cs="宋体"/>
                <w:color w:val="auto"/>
                <w:sz w:val="21"/>
                <w:szCs w:val="21"/>
                <w:highlight w:val="none"/>
              </w:rPr>
            </w:pPr>
          </w:p>
        </w:tc>
        <w:tc>
          <w:tcPr>
            <w:tcW w:w="1078" w:type="dxa"/>
            <w:tcBorders>
              <w:top w:val="single" w:color="auto" w:sz="4" w:space="0"/>
              <w:left w:val="single" w:color="auto" w:sz="4" w:space="0"/>
              <w:bottom w:val="single" w:color="auto" w:sz="4" w:space="0"/>
              <w:right w:val="single" w:color="auto" w:sz="4" w:space="0"/>
            </w:tcBorders>
          </w:tcPr>
          <w:p w14:paraId="0EB98AC1">
            <w:pPr>
              <w:pageBreakBefore w:val="0"/>
              <w:kinsoku/>
              <w:overflowPunct/>
              <w:topLinePunct w:val="0"/>
              <w:bidi w:val="0"/>
              <w:snapToGrid w:val="0"/>
              <w:spacing w:before="120" w:beforeLines="50" w:line="240" w:lineRule="auto"/>
              <w:ind w:left="43"/>
              <w:jc w:val="center"/>
              <w:rPr>
                <w:rFonts w:hint="eastAsia" w:ascii="宋体" w:hAnsi="宋体" w:eastAsia="宋体" w:cs="宋体"/>
                <w:color w:val="auto"/>
                <w:sz w:val="21"/>
                <w:szCs w:val="21"/>
                <w:highlight w:val="none"/>
              </w:rPr>
            </w:pPr>
          </w:p>
        </w:tc>
      </w:tr>
      <w:tr w14:paraId="7AB1D9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90" w:type="dxa"/>
            <w:tcBorders>
              <w:top w:val="single" w:color="auto" w:sz="4" w:space="0"/>
              <w:left w:val="single" w:color="auto" w:sz="4" w:space="0"/>
              <w:bottom w:val="single" w:color="auto" w:sz="4" w:space="0"/>
              <w:right w:val="single" w:color="auto" w:sz="4" w:space="0"/>
            </w:tcBorders>
          </w:tcPr>
          <w:p w14:paraId="14E25AAB">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p>
        </w:tc>
        <w:tc>
          <w:tcPr>
            <w:tcW w:w="2659" w:type="dxa"/>
            <w:tcBorders>
              <w:top w:val="single" w:color="auto" w:sz="4" w:space="0"/>
              <w:left w:val="single" w:color="auto" w:sz="4" w:space="0"/>
              <w:bottom w:val="single" w:color="auto" w:sz="4" w:space="0"/>
              <w:right w:val="single" w:color="auto" w:sz="4" w:space="0"/>
            </w:tcBorders>
          </w:tcPr>
          <w:p w14:paraId="55E8956D">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p>
        </w:tc>
        <w:tc>
          <w:tcPr>
            <w:tcW w:w="1732" w:type="dxa"/>
            <w:tcBorders>
              <w:top w:val="single" w:color="auto" w:sz="4" w:space="0"/>
              <w:left w:val="single" w:color="auto" w:sz="4" w:space="0"/>
              <w:bottom w:val="single" w:color="auto" w:sz="4" w:space="0"/>
              <w:right w:val="single" w:color="auto" w:sz="4" w:space="0"/>
            </w:tcBorders>
          </w:tcPr>
          <w:p w14:paraId="4F6C1FEB">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p>
        </w:tc>
        <w:tc>
          <w:tcPr>
            <w:tcW w:w="1936" w:type="dxa"/>
            <w:tcBorders>
              <w:top w:val="single" w:color="auto" w:sz="4" w:space="0"/>
              <w:left w:val="single" w:color="auto" w:sz="4" w:space="0"/>
              <w:bottom w:val="single" w:color="auto" w:sz="4" w:space="0"/>
              <w:right w:val="single" w:color="auto" w:sz="4" w:space="0"/>
            </w:tcBorders>
          </w:tcPr>
          <w:p w14:paraId="44F2735D">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p>
        </w:tc>
        <w:tc>
          <w:tcPr>
            <w:tcW w:w="1078" w:type="dxa"/>
            <w:tcBorders>
              <w:top w:val="single" w:color="auto" w:sz="4" w:space="0"/>
              <w:left w:val="single" w:color="auto" w:sz="4" w:space="0"/>
              <w:bottom w:val="single" w:color="auto" w:sz="4" w:space="0"/>
              <w:right w:val="single" w:color="auto" w:sz="4" w:space="0"/>
            </w:tcBorders>
          </w:tcPr>
          <w:p w14:paraId="15925D28">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p>
        </w:tc>
      </w:tr>
    </w:tbl>
    <w:p w14:paraId="2634E5C7">
      <w:pPr>
        <w:pStyle w:val="8"/>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58F5EB24">
      <w:pPr>
        <w:pStyle w:val="13"/>
        <w:pageBreakBefore w:val="0"/>
        <w:kinsoku/>
        <w:overflowPunct/>
        <w:topLinePunct w:val="0"/>
        <w:bidi w:val="0"/>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文件“第二章 采购需求”中的商务要求逐条作明确的投标响应，并作出偏离说明。</w:t>
      </w:r>
    </w:p>
    <w:p w14:paraId="2444251E">
      <w:pPr>
        <w:pStyle w:val="8"/>
        <w:pageBreakBefore w:val="0"/>
        <w:kinsoku/>
        <w:overflowPunct/>
        <w:topLinePunct w:val="0"/>
        <w:bidi w:val="0"/>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2.投标人应根据自身的承诺，对照</w:t>
      </w:r>
      <w:r>
        <w:rPr>
          <w:rFonts w:hint="eastAsia" w:ascii="宋体" w:hAnsi="宋体" w:cs="宋体"/>
          <w:b w:val="0"/>
          <w:bCs w:val="0"/>
          <w:color w:val="auto"/>
          <w:sz w:val="21"/>
          <w:szCs w:val="21"/>
          <w:highlight w:val="none"/>
          <w:lang w:eastAsia="zh-CN"/>
        </w:rPr>
        <w:t>采购</w:t>
      </w:r>
      <w:r>
        <w:rPr>
          <w:rFonts w:hint="eastAsia" w:ascii="宋体" w:hAnsi="宋体" w:eastAsia="宋体" w:cs="宋体"/>
          <w:b w:val="0"/>
          <w:bCs w:val="0"/>
          <w:color w:val="auto"/>
          <w:sz w:val="21"/>
          <w:szCs w:val="21"/>
          <w:highlight w:val="none"/>
        </w:rPr>
        <w:t>文件要求在“偏离说明”中注明“</w:t>
      </w:r>
      <w:r>
        <w:rPr>
          <w:rFonts w:hint="eastAsia" w:ascii="宋体" w:hAnsi="宋体" w:eastAsia="宋体" w:cs="宋体"/>
          <w:color w:val="auto"/>
          <w:sz w:val="21"/>
          <w:szCs w:val="21"/>
          <w:highlight w:val="none"/>
        </w:rPr>
        <w:t>正偏离</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sz w:val="21"/>
          <w:szCs w:val="21"/>
          <w:highlight w:val="none"/>
        </w:rPr>
        <w:t>负偏离</w:t>
      </w:r>
      <w:r>
        <w:rPr>
          <w:rFonts w:hint="eastAsia" w:ascii="宋体" w:hAnsi="宋体" w:eastAsia="宋体" w:cs="宋体"/>
          <w:b w:val="0"/>
          <w:bCs w:val="0"/>
          <w:color w:val="auto"/>
          <w:sz w:val="21"/>
          <w:szCs w:val="21"/>
          <w:highlight w:val="none"/>
        </w:rPr>
        <w:t>”或者“</w:t>
      </w:r>
      <w:r>
        <w:rPr>
          <w:rFonts w:hint="eastAsia" w:ascii="宋体" w:hAnsi="宋体" w:eastAsia="宋体" w:cs="宋体"/>
          <w:color w:val="auto"/>
          <w:sz w:val="21"/>
          <w:szCs w:val="21"/>
          <w:highlight w:val="none"/>
        </w:rPr>
        <w:t>无偏离</w:t>
      </w:r>
      <w:r>
        <w:rPr>
          <w:rFonts w:hint="eastAsia" w:ascii="宋体" w:hAnsi="宋体" w:eastAsia="宋体" w:cs="宋体"/>
          <w:b w:val="0"/>
          <w:bCs w:val="0"/>
          <w:color w:val="auto"/>
          <w:sz w:val="21"/>
          <w:szCs w:val="21"/>
          <w:highlight w:val="none"/>
        </w:rPr>
        <w:t>”。既不属于“</w:t>
      </w:r>
      <w:r>
        <w:rPr>
          <w:rFonts w:hint="eastAsia" w:ascii="宋体" w:hAnsi="宋体" w:eastAsia="宋体" w:cs="宋体"/>
          <w:color w:val="auto"/>
          <w:sz w:val="21"/>
          <w:szCs w:val="21"/>
          <w:highlight w:val="none"/>
        </w:rPr>
        <w:t>正偏离</w:t>
      </w:r>
      <w:r>
        <w:rPr>
          <w:rFonts w:hint="eastAsia" w:ascii="宋体" w:hAnsi="宋体" w:eastAsia="宋体" w:cs="宋体"/>
          <w:b w:val="0"/>
          <w:bCs w:val="0"/>
          <w:color w:val="auto"/>
          <w:sz w:val="21"/>
          <w:szCs w:val="21"/>
          <w:highlight w:val="none"/>
        </w:rPr>
        <w:t>”也不属于“</w:t>
      </w:r>
      <w:r>
        <w:rPr>
          <w:rFonts w:hint="eastAsia" w:ascii="宋体" w:hAnsi="宋体" w:eastAsia="宋体" w:cs="宋体"/>
          <w:color w:val="auto"/>
          <w:sz w:val="21"/>
          <w:szCs w:val="21"/>
          <w:highlight w:val="none"/>
        </w:rPr>
        <w:t>负偏离</w:t>
      </w:r>
      <w:r>
        <w:rPr>
          <w:rFonts w:hint="eastAsia" w:ascii="宋体" w:hAnsi="宋体" w:eastAsia="宋体" w:cs="宋体"/>
          <w:b w:val="0"/>
          <w:bCs w:val="0"/>
          <w:color w:val="auto"/>
          <w:sz w:val="21"/>
          <w:szCs w:val="21"/>
          <w:highlight w:val="none"/>
        </w:rPr>
        <w:t>”即为“</w:t>
      </w:r>
      <w:r>
        <w:rPr>
          <w:rFonts w:hint="eastAsia" w:ascii="宋体" w:hAnsi="宋体" w:eastAsia="宋体" w:cs="宋体"/>
          <w:color w:val="auto"/>
          <w:sz w:val="21"/>
          <w:szCs w:val="21"/>
          <w:highlight w:val="none"/>
        </w:rPr>
        <w:t>无偏离</w:t>
      </w:r>
      <w:r>
        <w:rPr>
          <w:rFonts w:hint="eastAsia" w:ascii="宋体" w:hAnsi="宋体" w:eastAsia="宋体" w:cs="宋体"/>
          <w:b w:val="0"/>
          <w:bCs w:val="0"/>
          <w:color w:val="auto"/>
          <w:sz w:val="21"/>
          <w:szCs w:val="21"/>
          <w:highlight w:val="none"/>
        </w:rPr>
        <w:t>”。</w:t>
      </w:r>
    </w:p>
    <w:p w14:paraId="0A1CAA61">
      <w:pPr>
        <w:pageBreakBefore w:val="0"/>
        <w:kinsoku/>
        <w:overflowPunct/>
        <w:topLinePunct w:val="0"/>
        <w:bidi w:val="0"/>
        <w:snapToGrid w:val="0"/>
        <w:spacing w:before="50" w:after="50" w:line="240" w:lineRule="auto"/>
        <w:rPr>
          <w:rFonts w:hint="eastAsia" w:ascii="宋体" w:hAnsi="宋体" w:eastAsia="宋体" w:cs="宋体"/>
          <w:color w:val="auto"/>
          <w:sz w:val="21"/>
          <w:szCs w:val="21"/>
          <w:highlight w:val="none"/>
        </w:rPr>
      </w:pPr>
    </w:p>
    <w:p w14:paraId="4C178AE4">
      <w:pPr>
        <w:pageBreakBefore w:val="0"/>
        <w:kinsoku/>
        <w:overflowPunct/>
        <w:topLinePunct w:val="0"/>
        <w:bidi w:val="0"/>
        <w:snapToGrid w:val="0"/>
        <w:spacing w:before="50" w:after="50" w:line="240" w:lineRule="auto"/>
        <w:rPr>
          <w:rFonts w:hint="eastAsia" w:ascii="宋体" w:hAnsi="宋体" w:eastAsia="宋体" w:cs="宋体"/>
          <w:color w:val="auto"/>
          <w:spacing w:val="20"/>
          <w:sz w:val="21"/>
          <w:szCs w:val="21"/>
          <w:highlight w:val="none"/>
          <w:u w:val="single"/>
        </w:rPr>
      </w:pPr>
      <w:r>
        <w:rPr>
          <w:rFonts w:hint="eastAsia" w:ascii="宋体" w:hAnsi="宋体" w:eastAsia="宋体" w:cs="宋体"/>
          <w:color w:val="auto"/>
          <w:sz w:val="21"/>
          <w:szCs w:val="21"/>
          <w:highlight w:val="none"/>
        </w:rPr>
        <w:t>法定代表人或者委托代理人</w:t>
      </w:r>
      <w:r>
        <w:rPr>
          <w:rFonts w:hint="eastAsia" w:ascii="宋体" w:hAnsi="宋体" w:eastAsia="宋体" w:cs="宋体"/>
          <w:color w:val="auto"/>
          <w:spacing w:val="20"/>
          <w:sz w:val="21"/>
          <w:szCs w:val="21"/>
          <w:highlight w:val="none"/>
        </w:rPr>
        <w:t>（签名）：</w:t>
      </w:r>
      <w:r>
        <w:rPr>
          <w:rFonts w:hint="eastAsia" w:ascii="宋体" w:hAnsi="宋体" w:eastAsia="宋体" w:cs="宋体"/>
          <w:color w:val="auto"/>
          <w:spacing w:val="20"/>
          <w:sz w:val="21"/>
          <w:szCs w:val="21"/>
          <w:highlight w:val="none"/>
          <w:u w:val="single"/>
        </w:rPr>
        <w:t xml:space="preserve">        </w:t>
      </w:r>
    </w:p>
    <w:p w14:paraId="0A7900CC">
      <w:pPr>
        <w:pageBreakBefore w:val="0"/>
        <w:kinsoku/>
        <w:overflowPunct/>
        <w:topLinePunct w:val="0"/>
        <w:bidi w:val="0"/>
        <w:snapToGrid w:val="0"/>
        <w:spacing w:before="120" w:beforeLines="50" w:line="240" w:lineRule="auto"/>
        <w:rPr>
          <w:rFonts w:hint="eastAsia"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投标人名称（</w:t>
      </w:r>
      <w:r>
        <w:rPr>
          <w:rFonts w:hint="eastAsia" w:ascii="宋体" w:hAnsi="宋体" w:eastAsia="宋体" w:cs="宋体"/>
          <w:color w:val="auto"/>
          <w:sz w:val="21"/>
          <w:szCs w:val="21"/>
          <w:highlight w:val="none"/>
        </w:rPr>
        <w:t>公章</w:t>
      </w:r>
      <w:r>
        <w:rPr>
          <w:rFonts w:hint="eastAsia" w:ascii="宋体" w:hAnsi="宋体" w:eastAsia="宋体" w:cs="宋体"/>
          <w:color w:val="auto"/>
          <w:spacing w:val="20"/>
          <w:sz w:val="21"/>
          <w:szCs w:val="21"/>
          <w:highlight w:val="none"/>
        </w:rPr>
        <w:t>）：</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rPr>
        <w:t xml:space="preserve">   </w:t>
      </w:r>
    </w:p>
    <w:p w14:paraId="710796B9">
      <w:pPr>
        <w:pageBreakBefore w:val="0"/>
        <w:kinsoku/>
        <w:overflowPunct/>
        <w:topLinePunct w:val="0"/>
        <w:bidi w:val="0"/>
        <w:snapToGrid w:val="0"/>
        <w:spacing w:before="120" w:beforeLines="50" w:line="240" w:lineRule="auto"/>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rPr>
        <w:t>日  期：</w:t>
      </w:r>
      <w:r>
        <w:rPr>
          <w:rFonts w:hint="eastAsia" w:ascii="宋体" w:hAnsi="宋体" w:eastAsia="宋体" w:cs="宋体"/>
          <w:color w:val="auto"/>
          <w:spacing w:val="20"/>
          <w:sz w:val="21"/>
          <w:szCs w:val="21"/>
          <w:highlight w:val="none"/>
          <w:u w:val="single"/>
        </w:rPr>
        <w:t xml:space="preserve">         </w:t>
      </w:r>
    </w:p>
    <w:p w14:paraId="53B3A2FC">
      <w:pPr>
        <w:rPr>
          <w:rFonts w:hint="eastAsia"/>
          <w:lang w:val="en-US" w:eastAsia="zh-CN"/>
        </w:rPr>
      </w:pPr>
      <w:r>
        <w:rPr>
          <w:rFonts w:hint="eastAsia"/>
          <w:lang w:val="en-US" w:eastAsia="zh-CN"/>
        </w:rPr>
        <w:br w:type="page"/>
      </w:r>
    </w:p>
    <w:p w14:paraId="447E938E">
      <w:pPr>
        <w:pageBreakBefore w:val="0"/>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四、技术文件格式</w:t>
      </w:r>
    </w:p>
    <w:p w14:paraId="2DDC6C6B">
      <w:pPr>
        <w:pageBreakBefore w:val="0"/>
        <w:kinsoku/>
        <w:overflowPunct/>
        <w:topLinePunct w:val="0"/>
        <w:bidi w:val="0"/>
        <w:snapToGrid w:val="0"/>
        <w:spacing w:before="120" w:beforeLines="50" w:after="50" w:line="240" w:lineRule="auto"/>
        <w:ind w:left="142"/>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1. 技术文件封面格式： </w:t>
      </w:r>
    </w:p>
    <w:p w14:paraId="1CB608A6">
      <w:pPr>
        <w:pageBreakBefore w:val="0"/>
        <w:kinsoku/>
        <w:overflowPunct/>
        <w:topLinePunct w:val="0"/>
        <w:bidi w:val="0"/>
        <w:snapToGrid w:val="0"/>
        <w:spacing w:before="120" w:beforeLines="50" w:after="50" w:line="240" w:lineRule="auto"/>
        <w:ind w:left="142"/>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电子投标文件</w:t>
      </w:r>
    </w:p>
    <w:p w14:paraId="24E48E9D">
      <w:pPr>
        <w:pageBreakBefore w:val="0"/>
        <w:kinsoku/>
        <w:overflowPunct/>
        <w:topLinePunct w:val="0"/>
        <w:bidi w:val="0"/>
        <w:snapToGrid w:val="0"/>
        <w:spacing w:before="120" w:beforeLines="50" w:after="50"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技术文件</w:t>
      </w:r>
    </w:p>
    <w:p w14:paraId="7F1C2902">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3C4A7AE4">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项目名称： </w:t>
      </w:r>
    </w:p>
    <w:p w14:paraId="102D3398">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项目编号：</w:t>
      </w:r>
    </w:p>
    <w:p w14:paraId="3859E35B">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分标：</w:t>
      </w:r>
      <w:r>
        <w:rPr>
          <w:rFonts w:hint="eastAsia" w:ascii="宋体" w:hAnsi="宋体" w:eastAsia="宋体" w:cs="宋体"/>
          <w:bCs/>
          <w:color w:val="auto"/>
          <w:sz w:val="21"/>
          <w:szCs w:val="21"/>
          <w:highlight w:val="none"/>
        </w:rPr>
        <w:t xml:space="preserve"> </w:t>
      </w:r>
    </w:p>
    <w:p w14:paraId="199F21F5">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投标人名称：</w:t>
      </w:r>
    </w:p>
    <w:p w14:paraId="0E31B08E">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投标人地址：</w:t>
      </w:r>
    </w:p>
    <w:p w14:paraId="0F1B4C17">
      <w:pPr>
        <w:pageBreakBefore w:val="0"/>
        <w:kinsoku/>
        <w:overflowPunct/>
        <w:topLinePunct w:val="0"/>
        <w:bidi w:val="0"/>
        <w:snapToGrid w:val="0"/>
        <w:spacing w:before="120" w:beforeLines="50" w:after="50" w:line="240" w:lineRule="auto"/>
        <w:ind w:firstLine="64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102F3FB6">
      <w:pPr>
        <w:rPr>
          <w:rFonts w:hint="eastAsia"/>
          <w:lang w:val="en-US" w:eastAsia="zh-CN"/>
        </w:rPr>
      </w:pPr>
      <w:r>
        <w:rPr>
          <w:rFonts w:hint="eastAsia"/>
          <w:lang w:val="en-US" w:eastAsia="zh-CN"/>
        </w:rPr>
        <w:br w:type="page"/>
      </w:r>
    </w:p>
    <w:p w14:paraId="2C04568F">
      <w:pPr>
        <w:pageBreakBefore w:val="0"/>
        <w:kinsoku/>
        <w:overflowPunct/>
        <w:topLinePunct w:val="0"/>
        <w:bidi w:val="0"/>
        <w:snapToGrid w:val="0"/>
        <w:spacing w:before="120" w:beforeLines="50" w:after="50" w:line="240" w:lineRule="auto"/>
        <w:ind w:left="142"/>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2.技术文件目录</w:t>
      </w:r>
    </w:p>
    <w:p w14:paraId="27DA1C00">
      <w:pPr>
        <w:pageBreakBefore w:val="0"/>
        <w:kinsoku/>
        <w:overflowPunct/>
        <w:topLinePunct w:val="0"/>
        <w:bidi w:val="0"/>
        <w:snapToGrid w:val="0"/>
        <w:spacing w:before="50" w:after="120" w:afterLines="50"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文件规定及投标人提供的材料自行编写目录。</w:t>
      </w:r>
    </w:p>
    <w:p w14:paraId="4DFE5214">
      <w:pPr>
        <w:rPr>
          <w:rFonts w:hint="eastAsia"/>
          <w:lang w:val="en-US" w:eastAsia="zh-CN"/>
        </w:rPr>
      </w:pPr>
      <w:r>
        <w:rPr>
          <w:rFonts w:hint="eastAsia"/>
          <w:lang w:val="en-US" w:eastAsia="zh-CN"/>
        </w:rPr>
        <w:br w:type="page"/>
      </w:r>
    </w:p>
    <w:p w14:paraId="215E2BEA">
      <w:pPr>
        <w:pageBreakBefore w:val="0"/>
        <w:kinsoku/>
        <w:overflowPunct/>
        <w:topLinePunct w:val="0"/>
        <w:bidi w:val="0"/>
        <w:snapToGrid w:val="0"/>
        <w:spacing w:before="120" w:beforeLines="50" w:after="50" w:line="240" w:lineRule="auto"/>
        <w:ind w:left="142"/>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 技术要求偏离表格式</w:t>
      </w:r>
    </w:p>
    <w:p w14:paraId="7FF77065">
      <w:pPr>
        <w:pageBreakBefore w:val="0"/>
        <w:kinsoku/>
        <w:overflowPunct/>
        <w:topLinePunct w:val="0"/>
        <w:bidi w:val="0"/>
        <w:snapToGrid w:val="0"/>
        <w:spacing w:before="120" w:beforeLines="50" w:after="50" w:line="240" w:lineRule="auto"/>
        <w:ind w:left="142"/>
        <w:jc w:val="left"/>
        <w:rPr>
          <w:rFonts w:hint="eastAsia" w:ascii="宋体" w:hAnsi="宋体" w:eastAsia="宋体" w:cs="宋体"/>
          <w:b/>
          <w:color w:val="auto"/>
          <w:sz w:val="21"/>
          <w:szCs w:val="21"/>
          <w:highlight w:val="none"/>
        </w:rPr>
      </w:pPr>
    </w:p>
    <w:p w14:paraId="79AAC45B">
      <w:pPr>
        <w:pageBreakBefore w:val="0"/>
        <w:kinsoku/>
        <w:overflowPunct/>
        <w:topLinePunct w:val="0"/>
        <w:bidi w:val="0"/>
        <w:snapToGrid w:val="0"/>
        <w:spacing w:before="120" w:beforeLines="50" w:after="50" w:line="240" w:lineRule="auto"/>
        <w:ind w:left="142"/>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技术要求偏离表</w:t>
      </w:r>
    </w:p>
    <w:p w14:paraId="4592B6A1">
      <w:pPr>
        <w:pageBreakBefore w:val="0"/>
        <w:kinsoku/>
        <w:overflowPunct/>
        <w:topLinePunct w:val="0"/>
        <w:bidi w:val="0"/>
        <w:spacing w:line="240" w:lineRule="auto"/>
        <w:rPr>
          <w:rFonts w:hint="eastAsia" w:ascii="宋体" w:hAnsi="宋体" w:eastAsia="宋体" w:cs="宋体"/>
          <w:color w:val="auto"/>
          <w:kern w:val="0"/>
          <w:sz w:val="21"/>
          <w:szCs w:val="21"/>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5EDC3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1E73FB0B">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项号</w:t>
            </w:r>
          </w:p>
        </w:tc>
        <w:tc>
          <w:tcPr>
            <w:tcW w:w="2143" w:type="dxa"/>
            <w:vAlign w:val="center"/>
          </w:tcPr>
          <w:p w14:paraId="7F29BE5A">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标的的名称</w:t>
            </w:r>
          </w:p>
        </w:tc>
        <w:tc>
          <w:tcPr>
            <w:tcW w:w="1834" w:type="dxa"/>
            <w:vAlign w:val="center"/>
          </w:tcPr>
          <w:p w14:paraId="0762EB13">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技术要求</w:t>
            </w:r>
          </w:p>
        </w:tc>
        <w:tc>
          <w:tcPr>
            <w:tcW w:w="2181" w:type="dxa"/>
            <w:vAlign w:val="center"/>
          </w:tcPr>
          <w:p w14:paraId="2E176846">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投标响应</w:t>
            </w:r>
          </w:p>
        </w:tc>
        <w:tc>
          <w:tcPr>
            <w:tcW w:w="1934" w:type="dxa"/>
            <w:vAlign w:val="center"/>
          </w:tcPr>
          <w:p w14:paraId="414F81C9">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偏离说明</w:t>
            </w:r>
          </w:p>
        </w:tc>
      </w:tr>
      <w:tr w14:paraId="0DC1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023B379">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p>
        </w:tc>
        <w:tc>
          <w:tcPr>
            <w:tcW w:w="2143" w:type="dxa"/>
            <w:vAlign w:val="center"/>
          </w:tcPr>
          <w:p w14:paraId="232FD3D4">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p>
        </w:tc>
        <w:tc>
          <w:tcPr>
            <w:tcW w:w="1834" w:type="dxa"/>
            <w:vAlign w:val="center"/>
          </w:tcPr>
          <w:p w14:paraId="3FDAA539">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p>
        </w:tc>
        <w:tc>
          <w:tcPr>
            <w:tcW w:w="2181" w:type="dxa"/>
            <w:vAlign w:val="center"/>
          </w:tcPr>
          <w:p w14:paraId="70189943">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p>
        </w:tc>
        <w:tc>
          <w:tcPr>
            <w:tcW w:w="1934" w:type="dxa"/>
            <w:vAlign w:val="center"/>
          </w:tcPr>
          <w:p w14:paraId="03A6ABFE">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p>
        </w:tc>
      </w:tr>
      <w:tr w14:paraId="6B94D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5E02A744">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2143" w:type="dxa"/>
          </w:tcPr>
          <w:p w14:paraId="7F83D5EB">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1834" w:type="dxa"/>
          </w:tcPr>
          <w:p w14:paraId="43E9A931">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2181" w:type="dxa"/>
          </w:tcPr>
          <w:p w14:paraId="52977D11">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1934" w:type="dxa"/>
          </w:tcPr>
          <w:p w14:paraId="13E2B4A2">
            <w:pPr>
              <w:pageBreakBefore w:val="0"/>
              <w:kinsoku/>
              <w:overflowPunct/>
              <w:topLinePunct w:val="0"/>
              <w:bidi w:val="0"/>
              <w:spacing w:line="240" w:lineRule="auto"/>
              <w:rPr>
                <w:rFonts w:hint="eastAsia" w:ascii="宋体" w:hAnsi="宋体" w:eastAsia="宋体" w:cs="宋体"/>
                <w:color w:val="auto"/>
                <w:sz w:val="21"/>
                <w:szCs w:val="21"/>
                <w:highlight w:val="none"/>
              </w:rPr>
            </w:pPr>
          </w:p>
        </w:tc>
      </w:tr>
      <w:tr w14:paraId="6F54E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AA9FAB1">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2143" w:type="dxa"/>
          </w:tcPr>
          <w:p w14:paraId="226B80DD">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1834" w:type="dxa"/>
          </w:tcPr>
          <w:p w14:paraId="3A060992">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2181" w:type="dxa"/>
          </w:tcPr>
          <w:p w14:paraId="5F05DAB4">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1934" w:type="dxa"/>
          </w:tcPr>
          <w:p w14:paraId="757D17AD">
            <w:pPr>
              <w:pageBreakBefore w:val="0"/>
              <w:kinsoku/>
              <w:overflowPunct/>
              <w:topLinePunct w:val="0"/>
              <w:bidi w:val="0"/>
              <w:spacing w:line="240" w:lineRule="auto"/>
              <w:rPr>
                <w:rFonts w:hint="eastAsia" w:ascii="宋体" w:hAnsi="宋体" w:eastAsia="宋体" w:cs="宋体"/>
                <w:color w:val="auto"/>
                <w:sz w:val="21"/>
                <w:szCs w:val="21"/>
                <w:highlight w:val="none"/>
              </w:rPr>
            </w:pPr>
          </w:p>
        </w:tc>
      </w:tr>
      <w:tr w14:paraId="79667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7E0EE2A">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2143" w:type="dxa"/>
          </w:tcPr>
          <w:p w14:paraId="12AB3224">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1834" w:type="dxa"/>
          </w:tcPr>
          <w:p w14:paraId="281D27B7">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2181" w:type="dxa"/>
          </w:tcPr>
          <w:p w14:paraId="6A4A592A">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1934" w:type="dxa"/>
          </w:tcPr>
          <w:p w14:paraId="267A090C">
            <w:pPr>
              <w:pageBreakBefore w:val="0"/>
              <w:kinsoku/>
              <w:overflowPunct/>
              <w:topLinePunct w:val="0"/>
              <w:bidi w:val="0"/>
              <w:spacing w:line="240" w:lineRule="auto"/>
              <w:rPr>
                <w:rFonts w:hint="eastAsia" w:ascii="宋体" w:hAnsi="宋体" w:eastAsia="宋体" w:cs="宋体"/>
                <w:color w:val="auto"/>
                <w:sz w:val="21"/>
                <w:szCs w:val="21"/>
                <w:highlight w:val="none"/>
              </w:rPr>
            </w:pPr>
          </w:p>
        </w:tc>
      </w:tr>
      <w:tr w14:paraId="4AB66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DC84221">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2143" w:type="dxa"/>
          </w:tcPr>
          <w:p w14:paraId="36ABDE2E">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1834" w:type="dxa"/>
          </w:tcPr>
          <w:p w14:paraId="051A1A9E">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2181" w:type="dxa"/>
          </w:tcPr>
          <w:p w14:paraId="09A5D4A8">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1934" w:type="dxa"/>
          </w:tcPr>
          <w:p w14:paraId="36BEA1F4">
            <w:pPr>
              <w:pageBreakBefore w:val="0"/>
              <w:kinsoku/>
              <w:overflowPunct/>
              <w:topLinePunct w:val="0"/>
              <w:bidi w:val="0"/>
              <w:spacing w:line="240" w:lineRule="auto"/>
              <w:rPr>
                <w:rFonts w:hint="eastAsia" w:ascii="宋体" w:hAnsi="宋体" w:eastAsia="宋体" w:cs="宋体"/>
                <w:color w:val="auto"/>
                <w:sz w:val="21"/>
                <w:szCs w:val="21"/>
                <w:highlight w:val="none"/>
              </w:rPr>
            </w:pPr>
          </w:p>
        </w:tc>
      </w:tr>
      <w:tr w14:paraId="5E055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AEC1093">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2143" w:type="dxa"/>
          </w:tcPr>
          <w:p w14:paraId="75CF3A11">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1834" w:type="dxa"/>
          </w:tcPr>
          <w:p w14:paraId="7AC00537">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2181" w:type="dxa"/>
          </w:tcPr>
          <w:p w14:paraId="2B730556">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1934" w:type="dxa"/>
          </w:tcPr>
          <w:p w14:paraId="39573A29">
            <w:pPr>
              <w:pageBreakBefore w:val="0"/>
              <w:kinsoku/>
              <w:overflowPunct/>
              <w:topLinePunct w:val="0"/>
              <w:bidi w:val="0"/>
              <w:spacing w:line="240" w:lineRule="auto"/>
              <w:rPr>
                <w:rFonts w:hint="eastAsia" w:ascii="宋体" w:hAnsi="宋体" w:eastAsia="宋体" w:cs="宋体"/>
                <w:color w:val="auto"/>
                <w:sz w:val="21"/>
                <w:szCs w:val="21"/>
                <w:highlight w:val="none"/>
              </w:rPr>
            </w:pPr>
          </w:p>
        </w:tc>
      </w:tr>
    </w:tbl>
    <w:p w14:paraId="6A73C693">
      <w:pPr>
        <w:pageBreakBefore w:val="0"/>
        <w:kinsoku/>
        <w:overflowPunct/>
        <w:topLinePunct w:val="0"/>
        <w:bidi w:val="0"/>
        <w:spacing w:line="240" w:lineRule="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注：</w:t>
      </w:r>
    </w:p>
    <w:p w14:paraId="76388C7B">
      <w:pPr>
        <w:pageBreakBefore w:val="0"/>
        <w:kinsoku/>
        <w:overflowPunct/>
        <w:topLinePunct w:val="0"/>
        <w:bidi w:val="0"/>
        <w:spacing w:line="24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1.说明：应对照</w:t>
      </w:r>
      <w:r>
        <w:rPr>
          <w:rFonts w:hint="eastAsia" w:ascii="宋体" w:hAnsi="宋体" w:cs="宋体"/>
          <w:color w:val="auto"/>
          <w:kern w:val="0"/>
          <w:sz w:val="21"/>
          <w:szCs w:val="21"/>
          <w:highlight w:val="none"/>
          <w:lang w:eastAsia="zh-CN"/>
        </w:rPr>
        <w:t>采购</w:t>
      </w:r>
      <w:r>
        <w:rPr>
          <w:rFonts w:hint="eastAsia" w:ascii="宋体" w:hAnsi="宋体" w:eastAsia="宋体" w:cs="宋体"/>
          <w:color w:val="auto"/>
          <w:kern w:val="0"/>
          <w:sz w:val="21"/>
          <w:szCs w:val="21"/>
          <w:highlight w:val="none"/>
        </w:rPr>
        <w:t>文件“第二章 采购需求”中的“技术要求”</w:t>
      </w:r>
      <w:r>
        <w:rPr>
          <w:rFonts w:hint="eastAsia" w:ascii="宋体" w:hAnsi="宋体" w:eastAsia="宋体" w:cs="宋体"/>
          <w:b/>
          <w:bCs/>
          <w:color w:val="auto"/>
          <w:kern w:val="0"/>
          <w:sz w:val="21"/>
          <w:szCs w:val="21"/>
          <w:highlight w:val="none"/>
        </w:rPr>
        <w:t>逐条</w:t>
      </w:r>
      <w:r>
        <w:rPr>
          <w:rFonts w:hint="eastAsia" w:ascii="宋体" w:hAnsi="宋体" w:eastAsia="宋体" w:cs="宋体"/>
          <w:color w:val="auto"/>
          <w:kern w:val="0"/>
          <w:sz w:val="21"/>
          <w:szCs w:val="21"/>
          <w:highlight w:val="none"/>
        </w:rPr>
        <w:t>作明确的投标响应，并作出偏离说明。</w:t>
      </w:r>
    </w:p>
    <w:p w14:paraId="4424B56B">
      <w:pPr>
        <w:pageBreakBefore w:val="0"/>
        <w:kinsoku/>
        <w:overflowPunct/>
        <w:topLinePunct w:val="0"/>
        <w:bidi w:val="0"/>
        <w:spacing w:line="240" w:lineRule="auto"/>
        <w:contextualSpacing/>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2.投标人应根据自身的承诺，对照</w:t>
      </w:r>
      <w:r>
        <w:rPr>
          <w:rFonts w:hint="eastAsia" w:ascii="宋体" w:hAnsi="宋体" w:cs="宋体"/>
          <w:color w:val="auto"/>
          <w:kern w:val="0"/>
          <w:sz w:val="21"/>
          <w:szCs w:val="21"/>
          <w:highlight w:val="none"/>
          <w:lang w:eastAsia="zh-CN"/>
        </w:rPr>
        <w:t>采购</w:t>
      </w:r>
      <w:r>
        <w:rPr>
          <w:rFonts w:hint="eastAsia" w:ascii="宋体" w:hAnsi="宋体" w:eastAsia="宋体" w:cs="宋体"/>
          <w:color w:val="auto"/>
          <w:kern w:val="0"/>
          <w:sz w:val="21"/>
          <w:szCs w:val="21"/>
          <w:highlight w:val="none"/>
        </w:rPr>
        <w:t>文件要求，在“偏离说明”中注明“</w:t>
      </w:r>
      <w:r>
        <w:rPr>
          <w:rFonts w:hint="eastAsia" w:ascii="宋体" w:hAnsi="宋体" w:eastAsia="宋体" w:cs="宋体"/>
          <w:b/>
          <w:bCs/>
          <w:color w:val="auto"/>
          <w:kern w:val="0"/>
          <w:sz w:val="21"/>
          <w:szCs w:val="21"/>
          <w:highlight w:val="none"/>
        </w:rPr>
        <w:t>正偏离</w:t>
      </w:r>
      <w:r>
        <w:rPr>
          <w:rFonts w:hint="eastAsia" w:ascii="宋体" w:hAnsi="宋体" w:eastAsia="宋体" w:cs="宋体"/>
          <w:color w:val="auto"/>
          <w:kern w:val="0"/>
          <w:sz w:val="21"/>
          <w:szCs w:val="21"/>
          <w:highlight w:val="none"/>
        </w:rPr>
        <w:t>”、“</w:t>
      </w:r>
      <w:r>
        <w:rPr>
          <w:rFonts w:hint="eastAsia" w:ascii="宋体" w:hAnsi="宋体" w:eastAsia="宋体" w:cs="宋体"/>
          <w:b/>
          <w:bCs/>
          <w:color w:val="auto"/>
          <w:kern w:val="0"/>
          <w:sz w:val="21"/>
          <w:szCs w:val="21"/>
          <w:highlight w:val="none"/>
        </w:rPr>
        <w:t>负偏离</w:t>
      </w:r>
      <w:r>
        <w:rPr>
          <w:rFonts w:hint="eastAsia" w:ascii="宋体" w:hAnsi="宋体" w:eastAsia="宋体" w:cs="宋体"/>
          <w:color w:val="auto"/>
          <w:kern w:val="0"/>
          <w:sz w:val="21"/>
          <w:szCs w:val="21"/>
          <w:highlight w:val="none"/>
        </w:rPr>
        <w:t>”或者“</w:t>
      </w:r>
      <w:r>
        <w:rPr>
          <w:rFonts w:hint="eastAsia" w:ascii="宋体" w:hAnsi="宋体" w:eastAsia="宋体" w:cs="宋体"/>
          <w:b/>
          <w:bCs/>
          <w:color w:val="auto"/>
          <w:kern w:val="0"/>
          <w:sz w:val="21"/>
          <w:szCs w:val="21"/>
          <w:highlight w:val="none"/>
        </w:rPr>
        <w:t>无偏离</w:t>
      </w:r>
      <w:r>
        <w:rPr>
          <w:rFonts w:hint="eastAsia" w:ascii="宋体" w:hAnsi="宋体" w:eastAsia="宋体" w:cs="宋体"/>
          <w:color w:val="auto"/>
          <w:kern w:val="0"/>
          <w:sz w:val="21"/>
          <w:szCs w:val="21"/>
          <w:highlight w:val="none"/>
        </w:rPr>
        <w:t>”。既不属于“</w:t>
      </w:r>
      <w:r>
        <w:rPr>
          <w:rFonts w:hint="eastAsia" w:ascii="宋体" w:hAnsi="宋体" w:eastAsia="宋体" w:cs="宋体"/>
          <w:b/>
          <w:bCs/>
          <w:color w:val="auto"/>
          <w:kern w:val="0"/>
          <w:sz w:val="21"/>
          <w:szCs w:val="21"/>
          <w:highlight w:val="none"/>
        </w:rPr>
        <w:t>正偏离</w:t>
      </w:r>
      <w:r>
        <w:rPr>
          <w:rFonts w:hint="eastAsia" w:ascii="宋体" w:hAnsi="宋体" w:eastAsia="宋体" w:cs="宋体"/>
          <w:color w:val="auto"/>
          <w:kern w:val="0"/>
          <w:sz w:val="21"/>
          <w:szCs w:val="21"/>
          <w:highlight w:val="none"/>
        </w:rPr>
        <w:t>”也不属于“</w:t>
      </w:r>
      <w:r>
        <w:rPr>
          <w:rFonts w:hint="eastAsia" w:ascii="宋体" w:hAnsi="宋体" w:eastAsia="宋体" w:cs="宋体"/>
          <w:b/>
          <w:bCs/>
          <w:color w:val="auto"/>
          <w:kern w:val="0"/>
          <w:sz w:val="21"/>
          <w:szCs w:val="21"/>
          <w:highlight w:val="none"/>
        </w:rPr>
        <w:t>负偏离</w:t>
      </w:r>
      <w:r>
        <w:rPr>
          <w:rFonts w:hint="eastAsia" w:ascii="宋体" w:hAnsi="宋体" w:eastAsia="宋体" w:cs="宋体"/>
          <w:color w:val="auto"/>
          <w:kern w:val="0"/>
          <w:sz w:val="21"/>
          <w:szCs w:val="21"/>
          <w:highlight w:val="none"/>
        </w:rPr>
        <w:t>”即为“</w:t>
      </w:r>
      <w:r>
        <w:rPr>
          <w:rFonts w:hint="eastAsia" w:ascii="宋体" w:hAnsi="宋体" w:eastAsia="宋体" w:cs="宋体"/>
          <w:b/>
          <w:bCs/>
          <w:color w:val="auto"/>
          <w:kern w:val="0"/>
          <w:sz w:val="21"/>
          <w:szCs w:val="21"/>
          <w:highlight w:val="none"/>
        </w:rPr>
        <w:t>无偏离</w:t>
      </w:r>
      <w:r>
        <w:rPr>
          <w:rFonts w:hint="eastAsia" w:ascii="宋体" w:hAnsi="宋体" w:eastAsia="宋体" w:cs="宋体"/>
          <w:color w:val="auto"/>
          <w:kern w:val="0"/>
          <w:sz w:val="21"/>
          <w:szCs w:val="21"/>
          <w:highlight w:val="none"/>
        </w:rPr>
        <w:t>”。</w:t>
      </w:r>
    </w:p>
    <w:p w14:paraId="722D9B78">
      <w:pPr>
        <w:pageBreakBefore w:val="0"/>
        <w:kinsoku/>
        <w:overflowPunct/>
        <w:topLinePunct w:val="0"/>
        <w:bidi w:val="0"/>
        <w:snapToGrid w:val="0"/>
        <w:spacing w:before="50" w:after="50" w:line="240" w:lineRule="auto"/>
        <w:rPr>
          <w:rFonts w:hint="eastAsia" w:ascii="宋体" w:hAnsi="宋体" w:eastAsia="宋体" w:cs="宋体"/>
          <w:color w:val="auto"/>
          <w:sz w:val="21"/>
          <w:szCs w:val="21"/>
          <w:highlight w:val="none"/>
        </w:rPr>
      </w:pPr>
    </w:p>
    <w:p w14:paraId="30EA8E55">
      <w:pPr>
        <w:pageBreakBefore w:val="0"/>
        <w:kinsoku/>
        <w:overflowPunct/>
        <w:topLinePunct w:val="0"/>
        <w:bidi w:val="0"/>
        <w:snapToGrid w:val="0"/>
        <w:spacing w:before="50" w:after="50" w:line="240" w:lineRule="auto"/>
        <w:rPr>
          <w:rFonts w:hint="eastAsia" w:ascii="宋体" w:hAnsi="宋体" w:eastAsia="宋体" w:cs="宋体"/>
          <w:color w:val="auto"/>
          <w:sz w:val="21"/>
          <w:szCs w:val="21"/>
          <w:highlight w:val="none"/>
        </w:rPr>
      </w:pPr>
    </w:p>
    <w:p w14:paraId="4039F13A">
      <w:pPr>
        <w:pageBreakBefore w:val="0"/>
        <w:kinsoku/>
        <w:overflowPunct/>
        <w:topLinePunct w:val="0"/>
        <w:bidi w:val="0"/>
        <w:snapToGrid w:val="0"/>
        <w:spacing w:before="50" w:after="50" w:line="240" w:lineRule="auto"/>
        <w:rPr>
          <w:rFonts w:hint="eastAsia" w:ascii="宋体" w:hAnsi="宋体" w:eastAsia="宋体" w:cs="宋体"/>
          <w:color w:val="auto"/>
          <w:sz w:val="21"/>
          <w:szCs w:val="21"/>
          <w:highlight w:val="none"/>
        </w:rPr>
      </w:pPr>
    </w:p>
    <w:p w14:paraId="03706490">
      <w:pPr>
        <w:pageBreakBefore w:val="0"/>
        <w:kinsoku/>
        <w:overflowPunct/>
        <w:topLinePunct w:val="0"/>
        <w:bidi w:val="0"/>
        <w:snapToGrid w:val="0"/>
        <w:spacing w:before="50" w:after="50" w:line="240" w:lineRule="auto"/>
        <w:rPr>
          <w:rFonts w:hint="eastAsia" w:ascii="宋体" w:hAnsi="宋体" w:eastAsia="宋体" w:cs="宋体"/>
          <w:color w:val="auto"/>
          <w:spacing w:val="20"/>
          <w:sz w:val="21"/>
          <w:szCs w:val="21"/>
          <w:highlight w:val="none"/>
          <w:u w:val="single"/>
        </w:rPr>
      </w:pPr>
      <w:r>
        <w:rPr>
          <w:rFonts w:hint="eastAsia" w:ascii="宋体" w:hAnsi="宋体" w:eastAsia="宋体" w:cs="宋体"/>
          <w:color w:val="auto"/>
          <w:sz w:val="21"/>
          <w:szCs w:val="21"/>
          <w:highlight w:val="none"/>
        </w:rPr>
        <w:t>法定代表人或者委托代理人</w:t>
      </w:r>
      <w:r>
        <w:rPr>
          <w:rFonts w:hint="eastAsia" w:ascii="宋体" w:hAnsi="宋体" w:eastAsia="宋体" w:cs="宋体"/>
          <w:color w:val="auto"/>
          <w:spacing w:val="20"/>
          <w:sz w:val="21"/>
          <w:szCs w:val="21"/>
          <w:highlight w:val="none"/>
        </w:rPr>
        <w:t>（签名）：</w:t>
      </w:r>
      <w:r>
        <w:rPr>
          <w:rFonts w:hint="eastAsia" w:ascii="宋体" w:hAnsi="宋体" w:eastAsia="宋体" w:cs="宋体"/>
          <w:color w:val="auto"/>
          <w:spacing w:val="20"/>
          <w:sz w:val="21"/>
          <w:szCs w:val="21"/>
          <w:highlight w:val="none"/>
          <w:u w:val="single"/>
        </w:rPr>
        <w:t xml:space="preserve">        </w:t>
      </w:r>
    </w:p>
    <w:p w14:paraId="3D05D31B">
      <w:pPr>
        <w:pageBreakBefore w:val="0"/>
        <w:kinsoku/>
        <w:overflowPunct/>
        <w:topLinePunct w:val="0"/>
        <w:bidi w:val="0"/>
        <w:snapToGrid w:val="0"/>
        <w:spacing w:before="50" w:after="50" w:line="240" w:lineRule="auto"/>
        <w:rPr>
          <w:rFonts w:hint="eastAsia" w:ascii="宋体" w:hAnsi="宋体" w:eastAsia="宋体" w:cs="宋体"/>
          <w:color w:val="auto"/>
          <w:spacing w:val="20"/>
          <w:sz w:val="21"/>
          <w:szCs w:val="21"/>
          <w:highlight w:val="none"/>
          <w:u w:val="single"/>
        </w:rPr>
      </w:pPr>
      <w:r>
        <w:rPr>
          <w:rFonts w:hint="eastAsia" w:ascii="宋体" w:hAnsi="宋体" w:eastAsia="宋体" w:cs="宋体"/>
          <w:color w:val="auto"/>
          <w:spacing w:val="20"/>
          <w:sz w:val="21"/>
          <w:szCs w:val="21"/>
          <w:highlight w:val="none"/>
        </w:rPr>
        <w:t>投标人（公章）：</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rPr>
        <w:t xml:space="preserve">              日 期：</w:t>
      </w:r>
      <w:r>
        <w:rPr>
          <w:rFonts w:hint="eastAsia" w:ascii="宋体" w:hAnsi="宋体" w:eastAsia="宋体" w:cs="宋体"/>
          <w:color w:val="auto"/>
          <w:spacing w:val="20"/>
          <w:sz w:val="21"/>
          <w:szCs w:val="21"/>
          <w:highlight w:val="none"/>
          <w:u w:val="single"/>
        </w:rPr>
        <w:t xml:space="preserve">        </w:t>
      </w:r>
    </w:p>
    <w:p w14:paraId="54B2620D">
      <w:pPr>
        <w:rPr>
          <w:rFonts w:hint="eastAsia"/>
          <w:lang w:val="en-US" w:eastAsia="zh-CN"/>
        </w:rPr>
      </w:pPr>
      <w:r>
        <w:rPr>
          <w:rFonts w:hint="eastAsia"/>
          <w:lang w:val="en-US" w:eastAsia="zh-CN"/>
        </w:rPr>
        <w:br w:type="page"/>
      </w:r>
    </w:p>
    <w:p w14:paraId="7DD74156">
      <w:pPr>
        <w:pageBreakBefore w:val="0"/>
        <w:kinsoku/>
        <w:overflowPunct/>
        <w:topLinePunct w:val="0"/>
        <w:bidi w:val="0"/>
        <w:snapToGrid w:val="0"/>
        <w:spacing w:before="120" w:beforeLines="50" w:after="50" w:line="240" w:lineRule="auto"/>
        <w:ind w:left="142"/>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 项目实施人员一览表格式</w:t>
      </w:r>
    </w:p>
    <w:p w14:paraId="2508DEEC">
      <w:pPr>
        <w:pageBreakBefore w:val="0"/>
        <w:kinsoku/>
        <w:overflowPunct/>
        <w:topLinePunct w:val="0"/>
        <w:bidi w:val="0"/>
        <w:snapToGrid w:val="0"/>
        <w:spacing w:before="120" w:beforeLines="50" w:after="50" w:line="240" w:lineRule="auto"/>
        <w:ind w:left="142"/>
        <w:jc w:val="left"/>
        <w:rPr>
          <w:rFonts w:hint="eastAsia" w:ascii="宋体" w:hAnsi="宋体" w:eastAsia="宋体" w:cs="宋体"/>
          <w:b/>
          <w:color w:val="auto"/>
          <w:sz w:val="21"/>
          <w:szCs w:val="21"/>
          <w:highlight w:val="none"/>
        </w:rPr>
      </w:pPr>
    </w:p>
    <w:p w14:paraId="627911BB">
      <w:pPr>
        <w:pageBreakBefore w:val="0"/>
        <w:kinsoku/>
        <w:overflowPunct/>
        <w:topLinePunct w:val="0"/>
        <w:bidi w:val="0"/>
        <w:snapToGrid w:val="0"/>
        <w:spacing w:before="120" w:beforeLines="50" w:after="50" w:line="240" w:lineRule="auto"/>
        <w:ind w:left="142"/>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项目实施人员一览表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5901C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7E626C9">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709" w:type="dxa"/>
            <w:vAlign w:val="center"/>
          </w:tcPr>
          <w:p w14:paraId="3B6D4A48">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701" w:type="dxa"/>
            <w:vAlign w:val="center"/>
          </w:tcPr>
          <w:p w14:paraId="30399709">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专业技术资格（职称）或者职业资格或者执业资格证或者其他证书</w:t>
            </w:r>
          </w:p>
        </w:tc>
        <w:tc>
          <w:tcPr>
            <w:tcW w:w="1420" w:type="dxa"/>
            <w:vAlign w:val="center"/>
          </w:tcPr>
          <w:p w14:paraId="1356A7C4">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证书编号</w:t>
            </w:r>
          </w:p>
        </w:tc>
        <w:tc>
          <w:tcPr>
            <w:tcW w:w="1698" w:type="dxa"/>
            <w:vAlign w:val="center"/>
          </w:tcPr>
          <w:p w14:paraId="33921056">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参加本单位</w:t>
            </w:r>
          </w:p>
          <w:p w14:paraId="74A39C85">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工作时间</w:t>
            </w:r>
          </w:p>
        </w:tc>
        <w:tc>
          <w:tcPr>
            <w:tcW w:w="1843" w:type="dxa"/>
            <w:vAlign w:val="center"/>
          </w:tcPr>
          <w:p w14:paraId="7E00D00D">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劳动合同编号</w:t>
            </w:r>
          </w:p>
        </w:tc>
      </w:tr>
      <w:tr w14:paraId="6AC2D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7C56DA2">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709" w:type="dxa"/>
            <w:vAlign w:val="center"/>
          </w:tcPr>
          <w:p w14:paraId="601E7C26">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701" w:type="dxa"/>
            <w:vAlign w:val="center"/>
          </w:tcPr>
          <w:p w14:paraId="178B676A">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420" w:type="dxa"/>
            <w:vAlign w:val="center"/>
          </w:tcPr>
          <w:p w14:paraId="3942B42D">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698" w:type="dxa"/>
            <w:vAlign w:val="center"/>
          </w:tcPr>
          <w:p w14:paraId="4EB7DAB5">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843" w:type="dxa"/>
            <w:vAlign w:val="center"/>
          </w:tcPr>
          <w:p w14:paraId="631A0FDE">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r>
      <w:tr w14:paraId="2772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645BA47">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709" w:type="dxa"/>
            <w:vAlign w:val="center"/>
          </w:tcPr>
          <w:p w14:paraId="1ED2410A">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701" w:type="dxa"/>
            <w:vAlign w:val="center"/>
          </w:tcPr>
          <w:p w14:paraId="4B9C8457">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420" w:type="dxa"/>
            <w:vAlign w:val="center"/>
          </w:tcPr>
          <w:p w14:paraId="7A9F247C">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698" w:type="dxa"/>
            <w:vAlign w:val="center"/>
          </w:tcPr>
          <w:p w14:paraId="7B98E712">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843" w:type="dxa"/>
            <w:vAlign w:val="center"/>
          </w:tcPr>
          <w:p w14:paraId="3D683D86">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r>
      <w:tr w14:paraId="7F07D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96EFBBE">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709" w:type="dxa"/>
            <w:vAlign w:val="center"/>
          </w:tcPr>
          <w:p w14:paraId="53EAD00C">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701" w:type="dxa"/>
            <w:vAlign w:val="center"/>
          </w:tcPr>
          <w:p w14:paraId="570EAEF4">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420" w:type="dxa"/>
            <w:vAlign w:val="center"/>
          </w:tcPr>
          <w:p w14:paraId="5FBFA622">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698" w:type="dxa"/>
            <w:vAlign w:val="center"/>
          </w:tcPr>
          <w:p w14:paraId="5D818A46">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843" w:type="dxa"/>
            <w:vAlign w:val="center"/>
          </w:tcPr>
          <w:p w14:paraId="08AFC0BD">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r>
    </w:tbl>
    <w:p w14:paraId="73CA4F5D">
      <w:pPr>
        <w:pageBreakBefore w:val="0"/>
        <w:kinsoku/>
        <w:overflowPunct/>
        <w:topLinePunct w:val="0"/>
        <w:bidi w:val="0"/>
        <w:snapToGrid w:val="0"/>
        <w:spacing w:before="50" w:after="120" w:afterLines="50" w:line="240" w:lineRule="auto"/>
        <w:jc w:val="left"/>
        <w:rPr>
          <w:rFonts w:hint="eastAsia" w:ascii="宋体" w:hAnsi="宋体" w:eastAsia="宋体" w:cs="宋体"/>
          <w:color w:val="auto"/>
          <w:sz w:val="21"/>
          <w:szCs w:val="21"/>
          <w:highlight w:val="none"/>
        </w:rPr>
      </w:pPr>
    </w:p>
    <w:p w14:paraId="1DA9437D">
      <w:pPr>
        <w:pageBreakBefore w:val="0"/>
        <w:kinsoku/>
        <w:overflowPunct/>
        <w:topLinePunct w:val="0"/>
        <w:bidi w:val="0"/>
        <w:spacing w:line="24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5834CB1E">
      <w:pPr>
        <w:pageBreakBefore w:val="0"/>
        <w:kinsoku/>
        <w:overflowPunct/>
        <w:topLinePunct w:val="0"/>
        <w:bidi w:val="0"/>
        <w:spacing w:line="24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1.在填写时，如本表格不适合投标单位的实际情况，可根据本表格式自行制表填写。</w:t>
      </w:r>
    </w:p>
    <w:p w14:paraId="16408912">
      <w:pPr>
        <w:pageBreakBefore w:val="0"/>
        <w:kinsoku/>
        <w:overflowPunct/>
        <w:topLinePunct w:val="0"/>
        <w:bidi w:val="0"/>
        <w:spacing w:line="24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2.投标人应当附本表所列证书的复印件并加盖投标人公章。</w:t>
      </w:r>
    </w:p>
    <w:p w14:paraId="473F7772">
      <w:pPr>
        <w:pageBreakBefore w:val="0"/>
        <w:kinsoku/>
        <w:overflowPunct/>
        <w:topLinePunct w:val="0"/>
        <w:bidi w:val="0"/>
        <w:spacing w:line="240" w:lineRule="auto"/>
        <w:contextualSpacing/>
        <w:rPr>
          <w:rFonts w:hint="eastAsia" w:ascii="宋体" w:hAnsi="宋体" w:eastAsia="宋体" w:cs="宋体"/>
          <w:color w:val="auto"/>
          <w:spacing w:val="20"/>
          <w:sz w:val="21"/>
          <w:szCs w:val="21"/>
          <w:highlight w:val="none"/>
          <w:u w:val="single"/>
        </w:rPr>
      </w:pPr>
      <w:r>
        <w:rPr>
          <w:rFonts w:hint="eastAsia" w:ascii="宋体" w:hAnsi="宋体" w:eastAsia="宋体" w:cs="宋体"/>
          <w:color w:val="auto"/>
          <w:sz w:val="21"/>
          <w:szCs w:val="21"/>
          <w:highlight w:val="none"/>
        </w:rPr>
        <w:t>法定代表人或者委托代理人</w:t>
      </w:r>
      <w:r>
        <w:rPr>
          <w:rFonts w:hint="eastAsia" w:ascii="宋体" w:hAnsi="宋体" w:eastAsia="宋体" w:cs="宋体"/>
          <w:color w:val="auto"/>
          <w:spacing w:val="20"/>
          <w:sz w:val="21"/>
          <w:szCs w:val="21"/>
          <w:highlight w:val="none"/>
        </w:rPr>
        <w:t>（签名）：</w:t>
      </w:r>
      <w:r>
        <w:rPr>
          <w:rFonts w:hint="eastAsia" w:ascii="宋体" w:hAnsi="宋体" w:eastAsia="宋体" w:cs="宋体"/>
          <w:color w:val="auto"/>
          <w:spacing w:val="20"/>
          <w:sz w:val="21"/>
          <w:szCs w:val="21"/>
          <w:highlight w:val="none"/>
          <w:u w:val="single"/>
        </w:rPr>
        <w:t xml:space="preserve">        </w:t>
      </w:r>
    </w:p>
    <w:p w14:paraId="0BCD244E">
      <w:pPr>
        <w:pageBreakBefore w:val="0"/>
        <w:kinsoku/>
        <w:overflowPunct/>
        <w:topLinePunct w:val="0"/>
        <w:bidi w:val="0"/>
        <w:spacing w:line="24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rPr>
        <w:t>投标人（公章）：</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rPr>
        <w:t xml:space="preserve">              日 期：</w:t>
      </w:r>
      <w:r>
        <w:rPr>
          <w:rFonts w:hint="eastAsia" w:ascii="宋体" w:hAnsi="宋体" w:eastAsia="宋体" w:cs="宋体"/>
          <w:color w:val="auto"/>
          <w:spacing w:val="20"/>
          <w:sz w:val="21"/>
          <w:szCs w:val="21"/>
          <w:highlight w:val="none"/>
          <w:u w:val="single"/>
        </w:rPr>
        <w:t xml:space="preserve">         </w:t>
      </w:r>
    </w:p>
    <w:p w14:paraId="510217EE">
      <w:pPr>
        <w:pageBreakBefore w:val="0"/>
        <w:kinsoku/>
        <w:overflowPunct/>
        <w:topLinePunct w:val="0"/>
        <w:bidi w:val="0"/>
        <w:snapToGrid w:val="0"/>
        <w:spacing w:before="50" w:after="50" w:line="240" w:lineRule="auto"/>
        <w:rPr>
          <w:rFonts w:hint="eastAsia" w:ascii="宋体" w:hAnsi="宋体" w:eastAsia="宋体" w:cs="宋体"/>
          <w:color w:val="auto"/>
          <w:sz w:val="21"/>
          <w:szCs w:val="21"/>
          <w:highlight w:val="none"/>
        </w:rPr>
      </w:pPr>
    </w:p>
    <w:p w14:paraId="7D5ABF0B">
      <w:pPr>
        <w:rPr>
          <w:rFonts w:hint="eastAsia"/>
          <w:lang w:val="en-US" w:eastAsia="zh-CN"/>
        </w:rPr>
      </w:pPr>
      <w:r>
        <w:rPr>
          <w:rFonts w:hint="eastAsia"/>
          <w:lang w:val="en-US" w:eastAsia="zh-CN"/>
        </w:rPr>
        <w:br w:type="page"/>
      </w:r>
    </w:p>
    <w:p w14:paraId="58D4F7AB">
      <w:pPr>
        <w:pageBreakBefore w:val="0"/>
        <w:kinsoku/>
        <w:overflowPunct/>
        <w:topLinePunct w:val="0"/>
        <w:bidi w:val="0"/>
        <w:spacing w:line="240" w:lineRule="auto"/>
        <w:contextualSpacing/>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五、其他文书、文件格式</w:t>
      </w:r>
    </w:p>
    <w:p w14:paraId="5514E874">
      <w:pPr>
        <w:pageBreakBefore w:val="0"/>
        <w:kinsoku/>
        <w:overflowPunct/>
        <w:topLinePunct w:val="0"/>
        <w:bidi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1.质疑函（格式）</w:t>
      </w:r>
    </w:p>
    <w:p w14:paraId="765911BD">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质疑函（格式）</w:t>
      </w:r>
    </w:p>
    <w:p w14:paraId="09C39FE2">
      <w:pPr>
        <w:pStyle w:val="15"/>
        <w:pageBreakBefore w:val="0"/>
        <w:kinsoku/>
        <w:overflowPunct/>
        <w:topLinePunct w:val="0"/>
        <w:bidi w:val="0"/>
        <w:snapToGrid w:val="0"/>
        <w:spacing w:line="24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一、质疑供应商基本信息：</w:t>
      </w:r>
    </w:p>
    <w:p w14:paraId="02C04F39">
      <w:pPr>
        <w:pStyle w:val="15"/>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质疑供应商：</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1511A656">
      <w:pPr>
        <w:pStyle w:val="15"/>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66FAFC4C">
      <w:pPr>
        <w:pStyle w:val="15"/>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54B6F298">
      <w:pPr>
        <w:pStyle w:val="15"/>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授权代表：</w:t>
      </w:r>
      <w:r>
        <w:rPr>
          <w:rFonts w:hint="eastAsia" w:ascii="宋体" w:hAnsi="宋体" w:eastAsia="宋体" w:cs="宋体"/>
          <w:bCs/>
          <w:color w:val="auto"/>
          <w:sz w:val="21"/>
          <w:szCs w:val="21"/>
          <w:highlight w:val="none"/>
          <w:u w:val="single"/>
        </w:rPr>
        <w:t xml:space="preserve">                      </w:t>
      </w:r>
    </w:p>
    <w:p w14:paraId="77E5C0C4">
      <w:pPr>
        <w:pStyle w:val="15"/>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31B19349">
      <w:pPr>
        <w:pStyle w:val="15"/>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4ABDB6DA">
      <w:pPr>
        <w:pStyle w:val="15"/>
        <w:pageBreakBefore w:val="0"/>
        <w:kinsoku/>
        <w:overflowPunct/>
        <w:topLinePunct w:val="0"/>
        <w:bidi w:val="0"/>
        <w:snapToGrid w:val="0"/>
        <w:spacing w:line="24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二、质疑项目基本情况：</w:t>
      </w:r>
    </w:p>
    <w:p w14:paraId="6749F188">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质疑</w:t>
      </w:r>
      <w:r>
        <w:rPr>
          <w:rFonts w:hint="eastAsia" w:ascii="宋体" w:hAnsi="宋体" w:eastAsia="宋体" w:cs="宋体"/>
          <w:color w:val="auto"/>
          <w:sz w:val="21"/>
          <w:szCs w:val="21"/>
          <w:highlight w:val="none"/>
        </w:rPr>
        <w:t>项目的名称：</w:t>
      </w:r>
      <w:r>
        <w:rPr>
          <w:rFonts w:hint="eastAsia" w:ascii="宋体" w:hAnsi="宋体" w:eastAsia="宋体" w:cs="宋体"/>
          <w:bCs/>
          <w:color w:val="auto"/>
          <w:sz w:val="21"/>
          <w:szCs w:val="21"/>
          <w:highlight w:val="none"/>
          <w:u w:val="single"/>
        </w:rPr>
        <w:t xml:space="preserve">                                     </w:t>
      </w:r>
    </w:p>
    <w:p w14:paraId="4F692F38">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质疑</w:t>
      </w:r>
      <w:r>
        <w:rPr>
          <w:rFonts w:hint="eastAsia" w:ascii="宋体" w:hAnsi="宋体" w:eastAsia="宋体" w:cs="宋体"/>
          <w:color w:val="auto"/>
          <w:sz w:val="21"/>
          <w:szCs w:val="21"/>
          <w:highlight w:val="none"/>
        </w:rPr>
        <w:t>项目的编号：</w:t>
      </w:r>
      <w:r>
        <w:rPr>
          <w:rFonts w:hint="eastAsia" w:ascii="宋体" w:hAnsi="宋体" w:eastAsia="宋体" w:cs="宋体"/>
          <w:bCs/>
          <w:color w:val="auto"/>
          <w:sz w:val="21"/>
          <w:szCs w:val="21"/>
          <w:highlight w:val="none"/>
          <w:u w:val="single"/>
        </w:rPr>
        <w:t xml:space="preserve">                                     </w:t>
      </w:r>
    </w:p>
    <w:p w14:paraId="1BC6773F">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w:t>
      </w:r>
      <w:r>
        <w:rPr>
          <w:rFonts w:hint="eastAsia" w:ascii="宋体" w:hAnsi="宋体" w:eastAsia="宋体" w:cs="宋体"/>
          <w:bCs/>
          <w:color w:val="auto"/>
          <w:sz w:val="21"/>
          <w:szCs w:val="21"/>
          <w:highlight w:val="none"/>
          <w:u w:val="single"/>
        </w:rPr>
        <w:t xml:space="preserve">                                         </w:t>
      </w:r>
    </w:p>
    <w:p w14:paraId="1AC30C13">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w:t>
      </w:r>
    </w:p>
    <w:p w14:paraId="14B8D877">
      <w:pPr>
        <w:pStyle w:val="15"/>
        <w:pageBreakBefore w:val="0"/>
        <w:kinsoku/>
        <w:overflowPunct/>
        <w:topLinePunct w:val="0"/>
        <w:bidi w:val="0"/>
        <w:spacing w:line="240" w:lineRule="auto"/>
        <w:ind w:left="25" w:leftChars="12" w:firstLine="308" w:firstLineChars="1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   采购文件获取日期：</w:t>
      </w:r>
      <w:r>
        <w:rPr>
          <w:rFonts w:hint="eastAsia" w:ascii="宋体" w:hAnsi="宋体" w:eastAsia="宋体" w:cs="宋体"/>
          <w:bCs/>
          <w:color w:val="auto"/>
          <w:sz w:val="21"/>
          <w:szCs w:val="21"/>
          <w:highlight w:val="none"/>
          <w:u w:val="single"/>
        </w:rPr>
        <w:t xml:space="preserve">                                   </w:t>
      </w:r>
    </w:p>
    <w:p w14:paraId="68AB955D">
      <w:pPr>
        <w:pStyle w:val="15"/>
        <w:pageBreakBefore w:val="0"/>
        <w:kinsoku/>
        <w:overflowPunct/>
        <w:topLinePunct w:val="0"/>
        <w:bidi w:val="0"/>
        <w:spacing w:line="240" w:lineRule="auto"/>
        <w:ind w:left="25" w:leftChars="12" w:firstLine="308" w:firstLineChars="1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□采购过程   </w:t>
      </w:r>
    </w:p>
    <w:p w14:paraId="237912C2">
      <w:pPr>
        <w:pStyle w:val="15"/>
        <w:pageBreakBefore w:val="0"/>
        <w:kinsoku/>
        <w:overflowPunct/>
        <w:topLinePunct w:val="0"/>
        <w:bidi w:val="0"/>
        <w:spacing w:line="240" w:lineRule="auto"/>
        <w:ind w:left="25" w:leftChars="12" w:firstLine="308" w:firstLineChars="14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 xml:space="preserve">□采购结果   </w:t>
      </w:r>
    </w:p>
    <w:p w14:paraId="3E7BCCFE">
      <w:pPr>
        <w:pStyle w:val="15"/>
        <w:pageBreakBefore w:val="0"/>
        <w:kinsoku/>
        <w:overflowPunct/>
        <w:topLinePunct w:val="0"/>
        <w:bidi w:val="0"/>
        <w:spacing w:line="24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三、质疑事项具体内容</w:t>
      </w:r>
    </w:p>
    <w:p w14:paraId="28CB82FD">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质疑事项1：</w:t>
      </w:r>
      <w:r>
        <w:rPr>
          <w:rFonts w:hint="eastAsia" w:ascii="宋体" w:hAnsi="宋体" w:eastAsia="宋体" w:cs="宋体"/>
          <w:bCs/>
          <w:color w:val="auto"/>
          <w:sz w:val="21"/>
          <w:szCs w:val="21"/>
          <w:highlight w:val="none"/>
          <w:u w:val="single"/>
        </w:rPr>
        <w:t xml:space="preserve">                                                                    </w:t>
      </w:r>
    </w:p>
    <w:p w14:paraId="1981B89A">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bCs/>
          <w:color w:val="auto"/>
          <w:sz w:val="21"/>
          <w:szCs w:val="21"/>
          <w:highlight w:val="none"/>
          <w:u w:val="single"/>
        </w:rPr>
        <w:t xml:space="preserve">                                                                      </w:t>
      </w:r>
    </w:p>
    <w:p w14:paraId="2F587F6F">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u w:val="single"/>
        </w:rPr>
        <w:t xml:space="preserve">               </w:t>
      </w:r>
    </w:p>
    <w:p w14:paraId="4A6EBB89">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质疑事项2</w:t>
      </w:r>
    </w:p>
    <w:p w14:paraId="52E12849">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17AAF408">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四、与质疑事项相关的质疑请求：</w:t>
      </w:r>
    </w:p>
    <w:p w14:paraId="53FA831C">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bCs/>
          <w:color w:val="auto"/>
          <w:sz w:val="21"/>
          <w:szCs w:val="21"/>
          <w:highlight w:val="none"/>
          <w:u w:val="single"/>
        </w:rPr>
        <w:t xml:space="preserve">                                                                </w:t>
      </w:r>
    </w:p>
    <w:p w14:paraId="18A63483">
      <w:pPr>
        <w:pStyle w:val="15"/>
        <w:pageBreakBefore w:val="0"/>
        <w:kinsoku/>
        <w:overflowPunct/>
        <w:topLinePunct w:val="0"/>
        <w:bidi w:val="0"/>
        <w:spacing w:line="240" w:lineRule="auto"/>
        <w:ind w:left="25" w:leftChars="12" w:firstLine="308" w:firstLineChars="147"/>
        <w:rPr>
          <w:rFonts w:hint="eastAsia" w:ascii="宋体" w:hAnsi="宋体" w:eastAsia="宋体" w:cs="宋体"/>
          <w:color w:val="auto"/>
          <w:sz w:val="21"/>
          <w:szCs w:val="21"/>
          <w:highlight w:val="none"/>
        </w:rPr>
      </w:pPr>
    </w:p>
    <w:p w14:paraId="0951EC25">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签字（签章）：                                       公章：</w:t>
      </w:r>
    </w:p>
    <w:p w14:paraId="58650465">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1607C8D5">
      <w:pPr>
        <w:pStyle w:val="15"/>
        <w:pageBreakBefore w:val="0"/>
        <w:kinsoku/>
        <w:overflowPunct/>
        <w:topLinePunct w:val="0"/>
        <w:bidi w:val="0"/>
        <w:snapToGrid w:val="0"/>
        <w:spacing w:line="240" w:lineRule="auto"/>
        <w:rPr>
          <w:rFonts w:hint="eastAsia" w:ascii="宋体" w:hAnsi="宋体" w:eastAsia="宋体" w:cs="宋体"/>
          <w:b/>
          <w:color w:val="auto"/>
          <w:sz w:val="21"/>
          <w:szCs w:val="21"/>
          <w:highlight w:val="none"/>
        </w:rPr>
      </w:pPr>
    </w:p>
    <w:p w14:paraId="10B9D957">
      <w:pPr>
        <w:pStyle w:val="15"/>
        <w:pageBreakBefore w:val="0"/>
        <w:kinsoku/>
        <w:overflowPunct/>
        <w:topLinePunct w:val="0"/>
        <w:bidi w:val="0"/>
        <w:snapToGrid w:val="0"/>
        <w:spacing w:line="24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p w14:paraId="32B035FA">
      <w:pPr>
        <w:pStyle w:val="15"/>
        <w:pageBreakBefore w:val="0"/>
        <w:kinsoku/>
        <w:overflowPunct/>
        <w:topLinePunct w:val="0"/>
        <w:bidi w:val="0"/>
        <w:spacing w:line="240" w:lineRule="auto"/>
        <w:ind w:left="25" w:leftChars="12" w:firstLine="310" w:firstLineChars="147"/>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1.供应商提出质疑时，应提交质疑函和必要的证明材料</w:t>
      </w:r>
      <w:r>
        <w:rPr>
          <w:rFonts w:hint="eastAsia" w:ascii="宋体" w:hAnsi="宋体" w:eastAsia="宋体" w:cs="宋体"/>
          <w:b/>
          <w:bCs/>
          <w:color w:val="auto"/>
          <w:sz w:val="21"/>
          <w:szCs w:val="21"/>
          <w:highlight w:val="none"/>
        </w:rPr>
        <w:t>。</w:t>
      </w:r>
    </w:p>
    <w:p w14:paraId="43DF660F">
      <w:pPr>
        <w:pStyle w:val="15"/>
        <w:pageBreakBefore w:val="0"/>
        <w:kinsoku/>
        <w:overflowPunct/>
        <w:topLinePunct w:val="0"/>
        <w:bidi w:val="0"/>
        <w:spacing w:line="24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8724475">
      <w:pPr>
        <w:pStyle w:val="15"/>
        <w:pageBreakBefore w:val="0"/>
        <w:kinsoku/>
        <w:overflowPunct/>
        <w:topLinePunct w:val="0"/>
        <w:bidi w:val="0"/>
        <w:spacing w:line="24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3.质疑函的质疑事项应具体、明确，并有必要的事实依据和法律依据。</w:t>
      </w:r>
    </w:p>
    <w:p w14:paraId="0EB11715">
      <w:pPr>
        <w:pStyle w:val="15"/>
        <w:pageBreakBefore w:val="0"/>
        <w:kinsoku/>
        <w:overflowPunct/>
        <w:topLinePunct w:val="0"/>
        <w:bidi w:val="0"/>
        <w:spacing w:line="24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4.质疑函的质疑请求应与质疑事项相关。</w:t>
      </w:r>
    </w:p>
    <w:p w14:paraId="3CA38490">
      <w:pPr>
        <w:pStyle w:val="15"/>
        <w:pageBreakBefore w:val="0"/>
        <w:kinsoku/>
        <w:overflowPunct/>
        <w:topLinePunct w:val="0"/>
        <w:bidi w:val="0"/>
        <w:spacing w:line="24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5.质疑供应商为法人或者其他组织的，质疑函应由法定代表人、主要负责人，或者其授权代表签字或者盖章，并加盖公章。</w:t>
      </w:r>
    </w:p>
    <w:p w14:paraId="130E0C7D">
      <w:pPr>
        <w:pStyle w:val="15"/>
        <w:pageBreakBefore w:val="0"/>
        <w:kinsoku/>
        <w:overflowPunct/>
        <w:topLinePunct w:val="0"/>
        <w:bidi w:val="0"/>
        <w:snapToGrid w:val="0"/>
        <w:spacing w:line="240" w:lineRule="auto"/>
        <w:rPr>
          <w:rFonts w:hint="eastAsia" w:ascii="宋体" w:hAnsi="宋体" w:eastAsia="宋体" w:cs="宋体"/>
          <w:b/>
          <w:color w:val="auto"/>
          <w:sz w:val="21"/>
          <w:szCs w:val="21"/>
          <w:highlight w:val="none"/>
        </w:rPr>
      </w:pPr>
    </w:p>
    <w:p w14:paraId="1045F535">
      <w:pPr>
        <w:rPr>
          <w:rFonts w:hint="eastAsia"/>
          <w:lang w:val="en-US" w:eastAsia="zh-CN"/>
        </w:rPr>
      </w:pPr>
      <w:r>
        <w:rPr>
          <w:rFonts w:hint="eastAsia"/>
          <w:lang w:val="en-US" w:eastAsia="zh-CN"/>
        </w:rPr>
        <w:br w:type="page"/>
      </w:r>
    </w:p>
    <w:p w14:paraId="652710E8">
      <w:pPr>
        <w:pageBreakBefore w:val="0"/>
        <w:kinsoku/>
        <w:overflowPunct/>
        <w:topLinePunct w:val="0"/>
        <w:bidi w:val="0"/>
        <w:spacing w:line="240" w:lineRule="auto"/>
        <w:jc w:val="left"/>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2.投诉书（格式）</w:t>
      </w:r>
    </w:p>
    <w:p w14:paraId="12D6E17D">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投诉书（格式）</w:t>
      </w:r>
    </w:p>
    <w:p w14:paraId="3CC8B46F">
      <w:pPr>
        <w:pStyle w:val="15"/>
        <w:pageBreakBefore w:val="0"/>
        <w:kinsoku/>
        <w:overflowPunct/>
        <w:topLinePunct w:val="0"/>
        <w:bidi w:val="0"/>
        <w:snapToGrid w:val="0"/>
        <w:spacing w:line="24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一、投诉相关主体基本情况：</w:t>
      </w:r>
    </w:p>
    <w:p w14:paraId="487265D2">
      <w:pPr>
        <w:pStyle w:val="15"/>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投标人：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327A6095">
      <w:pPr>
        <w:pStyle w:val="15"/>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05D1B903">
      <w:pPr>
        <w:pStyle w:val="15"/>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法定代表人/主要负责人：</w:t>
      </w:r>
      <w:r>
        <w:rPr>
          <w:rFonts w:hint="eastAsia" w:ascii="宋体" w:hAnsi="宋体" w:eastAsia="宋体" w:cs="宋体"/>
          <w:bCs/>
          <w:color w:val="auto"/>
          <w:sz w:val="21"/>
          <w:szCs w:val="21"/>
          <w:highlight w:val="none"/>
          <w:u w:val="single"/>
        </w:rPr>
        <w:t xml:space="preserve">                                                         </w:t>
      </w:r>
    </w:p>
    <w:p w14:paraId="5A84E3C5">
      <w:pPr>
        <w:pStyle w:val="15"/>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7F5ADE58">
      <w:pPr>
        <w:pStyle w:val="15"/>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授权代表：</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61794BB8">
      <w:pPr>
        <w:pStyle w:val="15"/>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p>
    <w:p w14:paraId="1FB279C8">
      <w:pPr>
        <w:pStyle w:val="15"/>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3598234F">
      <w:pPr>
        <w:pStyle w:val="15"/>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被投诉人1：</w:t>
      </w:r>
    </w:p>
    <w:p w14:paraId="23FDF2B0">
      <w:pPr>
        <w:pStyle w:val="15"/>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p>
    <w:p w14:paraId="338CB048">
      <w:pPr>
        <w:pStyle w:val="15"/>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7299E795">
      <w:pPr>
        <w:pStyle w:val="15"/>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704AC071">
      <w:pPr>
        <w:pStyle w:val="15"/>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被投诉人2：</w:t>
      </w:r>
    </w:p>
    <w:p w14:paraId="0E2DE8A7">
      <w:pPr>
        <w:pStyle w:val="15"/>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p w14:paraId="3DAE4450">
      <w:pPr>
        <w:pStyle w:val="15"/>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相关供应商：</w:t>
      </w:r>
      <w:r>
        <w:rPr>
          <w:rFonts w:hint="eastAsia" w:ascii="宋体" w:hAnsi="宋体" w:eastAsia="宋体" w:cs="宋体"/>
          <w:bCs/>
          <w:color w:val="auto"/>
          <w:sz w:val="21"/>
          <w:szCs w:val="21"/>
          <w:highlight w:val="none"/>
          <w:u w:val="single"/>
        </w:rPr>
        <w:t xml:space="preserve">                                                                       </w:t>
      </w:r>
    </w:p>
    <w:p w14:paraId="02A9585E">
      <w:pPr>
        <w:pStyle w:val="15"/>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p>
    <w:p w14:paraId="3D45070B">
      <w:pPr>
        <w:pStyle w:val="15"/>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3065983D">
      <w:pPr>
        <w:pStyle w:val="15"/>
        <w:pageBreakBefore w:val="0"/>
        <w:kinsoku/>
        <w:overflowPunct/>
        <w:topLinePunct w:val="0"/>
        <w:bidi w:val="0"/>
        <w:snapToGrid w:val="0"/>
        <w:spacing w:line="24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二、投诉项目基本情况：</w:t>
      </w:r>
    </w:p>
    <w:p w14:paraId="2788FD9A">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w:t>
      </w:r>
      <w:r>
        <w:rPr>
          <w:rFonts w:hint="eastAsia" w:ascii="宋体" w:hAnsi="宋体" w:eastAsia="宋体" w:cs="宋体"/>
          <w:color w:val="auto"/>
          <w:sz w:val="21"/>
          <w:szCs w:val="21"/>
          <w:highlight w:val="none"/>
        </w:rPr>
        <w:t>项目的名称：</w:t>
      </w:r>
      <w:r>
        <w:rPr>
          <w:rFonts w:hint="eastAsia" w:ascii="宋体" w:hAnsi="宋体" w:eastAsia="宋体" w:cs="宋体"/>
          <w:bCs/>
          <w:color w:val="auto"/>
          <w:sz w:val="21"/>
          <w:szCs w:val="21"/>
          <w:highlight w:val="none"/>
          <w:u w:val="single"/>
        </w:rPr>
        <w:t xml:space="preserve">                                                                   </w:t>
      </w:r>
    </w:p>
    <w:p w14:paraId="4E16C7C4">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w:t>
      </w:r>
      <w:r>
        <w:rPr>
          <w:rFonts w:hint="eastAsia" w:ascii="宋体" w:hAnsi="宋体" w:eastAsia="宋体" w:cs="宋体"/>
          <w:color w:val="auto"/>
          <w:sz w:val="21"/>
          <w:szCs w:val="21"/>
          <w:highlight w:val="none"/>
        </w:rPr>
        <w:t>项目的编号：</w:t>
      </w:r>
      <w:r>
        <w:rPr>
          <w:rFonts w:hint="eastAsia" w:ascii="宋体" w:hAnsi="宋体" w:eastAsia="宋体" w:cs="宋体"/>
          <w:bCs/>
          <w:color w:val="auto"/>
          <w:sz w:val="21"/>
          <w:szCs w:val="21"/>
          <w:highlight w:val="none"/>
          <w:u w:val="single"/>
        </w:rPr>
        <w:t xml:space="preserve">                                          </w:t>
      </w:r>
    </w:p>
    <w:p w14:paraId="5E52BA85">
      <w:pPr>
        <w:pStyle w:val="15"/>
        <w:pageBreakBefore w:val="0"/>
        <w:kinsoku/>
        <w:overflowPunct/>
        <w:topLinePunct w:val="0"/>
        <w:bidi w:val="0"/>
        <w:spacing w:line="24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采购人名称：</w:t>
      </w:r>
      <w:r>
        <w:rPr>
          <w:rFonts w:hint="eastAsia" w:ascii="宋体" w:hAnsi="宋体" w:eastAsia="宋体" w:cs="宋体"/>
          <w:bCs/>
          <w:color w:val="auto"/>
          <w:sz w:val="21"/>
          <w:szCs w:val="21"/>
          <w:highlight w:val="none"/>
          <w:u w:val="single"/>
        </w:rPr>
        <w:t xml:space="preserve">                                                                        </w:t>
      </w:r>
    </w:p>
    <w:p w14:paraId="7C9147CD">
      <w:pPr>
        <w:pStyle w:val="15"/>
        <w:pageBreakBefore w:val="0"/>
        <w:kinsoku/>
        <w:overflowPunct/>
        <w:topLinePunct w:val="0"/>
        <w:bidi w:val="0"/>
        <w:spacing w:line="24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代理机构名称：</w:t>
      </w:r>
      <w:r>
        <w:rPr>
          <w:rFonts w:hint="eastAsia" w:ascii="宋体" w:hAnsi="宋体" w:eastAsia="宋体" w:cs="宋体"/>
          <w:bCs/>
          <w:color w:val="auto"/>
          <w:sz w:val="21"/>
          <w:szCs w:val="21"/>
          <w:highlight w:val="none"/>
          <w:u w:val="single"/>
        </w:rPr>
        <w:t xml:space="preserve">                                                                      </w:t>
      </w:r>
    </w:p>
    <w:p w14:paraId="12284970">
      <w:pPr>
        <w:pStyle w:val="15"/>
        <w:pageBreakBefore w:val="0"/>
        <w:kinsoku/>
        <w:overflowPunct/>
        <w:topLinePunct w:val="0"/>
        <w:bidi w:val="0"/>
        <w:spacing w:line="24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采购文件公告：</w:t>
      </w:r>
      <w:r>
        <w:rPr>
          <w:rFonts w:hint="eastAsia" w:ascii="宋体" w:hAnsi="宋体" w:eastAsia="宋体" w:cs="宋体"/>
          <w:bCs/>
          <w:color w:val="auto"/>
          <w:sz w:val="21"/>
          <w:szCs w:val="21"/>
          <w:highlight w:val="none"/>
          <w:u w:val="single"/>
        </w:rPr>
        <w:t>是/否</w:t>
      </w:r>
      <w:r>
        <w:rPr>
          <w:rFonts w:hint="eastAsia" w:ascii="宋体" w:hAnsi="宋体" w:eastAsia="宋体" w:cs="宋体"/>
          <w:bCs/>
          <w:color w:val="auto"/>
          <w:sz w:val="21"/>
          <w:szCs w:val="21"/>
          <w:highlight w:val="none"/>
        </w:rPr>
        <w:t>公告期限：</w:t>
      </w:r>
      <w:r>
        <w:rPr>
          <w:rFonts w:hint="eastAsia" w:ascii="宋体" w:hAnsi="宋体" w:eastAsia="宋体" w:cs="宋体"/>
          <w:bCs/>
          <w:color w:val="auto"/>
          <w:sz w:val="21"/>
          <w:szCs w:val="21"/>
          <w:highlight w:val="none"/>
          <w:u w:val="single"/>
        </w:rPr>
        <w:t xml:space="preserve">                                                       </w:t>
      </w:r>
    </w:p>
    <w:p w14:paraId="7962AB92">
      <w:pPr>
        <w:pStyle w:val="15"/>
        <w:pageBreakBefore w:val="0"/>
        <w:kinsoku/>
        <w:overflowPunct/>
        <w:topLinePunct w:val="0"/>
        <w:bidi w:val="0"/>
        <w:spacing w:line="240" w:lineRule="auto"/>
        <w:ind w:left="25" w:leftChars="12" w:firstLine="413" w:firstLineChars="197"/>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采购结果公告：</w:t>
      </w:r>
      <w:r>
        <w:rPr>
          <w:rFonts w:hint="eastAsia" w:ascii="宋体" w:hAnsi="宋体" w:eastAsia="宋体" w:cs="宋体"/>
          <w:bCs/>
          <w:color w:val="auto"/>
          <w:sz w:val="21"/>
          <w:szCs w:val="21"/>
          <w:highlight w:val="none"/>
          <w:u w:val="single"/>
        </w:rPr>
        <w:t>是/否</w:t>
      </w:r>
      <w:r>
        <w:rPr>
          <w:rFonts w:hint="eastAsia" w:ascii="宋体" w:hAnsi="宋体" w:eastAsia="宋体" w:cs="宋体"/>
          <w:bCs/>
          <w:color w:val="auto"/>
          <w:sz w:val="21"/>
          <w:szCs w:val="21"/>
          <w:highlight w:val="none"/>
        </w:rPr>
        <w:t>公告期限：</w:t>
      </w:r>
      <w:r>
        <w:rPr>
          <w:rFonts w:hint="eastAsia" w:ascii="宋体" w:hAnsi="宋体" w:eastAsia="宋体" w:cs="宋体"/>
          <w:bCs/>
          <w:color w:val="auto"/>
          <w:sz w:val="21"/>
          <w:szCs w:val="21"/>
          <w:highlight w:val="none"/>
          <w:u w:val="single"/>
        </w:rPr>
        <w:t xml:space="preserve">                                                       </w:t>
      </w:r>
    </w:p>
    <w:p w14:paraId="61C05BFF">
      <w:pPr>
        <w:pStyle w:val="15"/>
        <w:pageBreakBefore w:val="0"/>
        <w:kinsoku/>
        <w:overflowPunct/>
        <w:topLinePunct w:val="0"/>
        <w:bidi w:val="0"/>
        <w:spacing w:line="24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三、质疑基本情况</w:t>
      </w:r>
    </w:p>
    <w:p w14:paraId="14C7CFBE">
      <w:pPr>
        <w:pStyle w:val="15"/>
        <w:pageBreakBefore w:val="0"/>
        <w:kinsoku/>
        <w:overflowPunct/>
        <w:topLinePunct w:val="0"/>
        <w:bidi w:val="0"/>
        <w:spacing w:line="240" w:lineRule="auto"/>
        <w:ind w:left="25" w:leftChars="1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提出质疑，质疑事项为：</w:t>
      </w:r>
    </w:p>
    <w:p w14:paraId="6A9D9FD3">
      <w:pPr>
        <w:pStyle w:val="15"/>
        <w:pageBreakBefore w:val="0"/>
        <w:kinsoku/>
        <w:overflowPunct/>
        <w:topLinePunct w:val="0"/>
        <w:bidi w:val="0"/>
        <w:spacing w:line="240" w:lineRule="auto"/>
        <w:ind w:firstLine="241"/>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20498F3C">
      <w:pPr>
        <w:pStyle w:val="15"/>
        <w:pageBreakBefore w:val="0"/>
        <w:kinsoku/>
        <w:overflowPunct/>
        <w:topLinePunct w:val="0"/>
        <w:bidi w:val="0"/>
        <w:spacing w:line="240" w:lineRule="auto"/>
        <w:ind w:firstLine="241"/>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66AFCAC9">
      <w:pPr>
        <w:pStyle w:val="15"/>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u w:val="single"/>
        </w:rPr>
        <w:t>采购人/代理机构</w:t>
      </w:r>
      <w:r>
        <w:rPr>
          <w:rFonts w:hint="eastAsia" w:ascii="宋体" w:hAnsi="宋体" w:eastAsia="宋体" w:cs="宋体"/>
          <w:bCs/>
          <w:color w:val="auto"/>
          <w:sz w:val="21"/>
          <w:szCs w:val="21"/>
          <w:highlight w:val="none"/>
        </w:rPr>
        <w:t>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bCs/>
          <w:color w:val="auto"/>
          <w:sz w:val="21"/>
          <w:szCs w:val="21"/>
          <w:highlight w:val="none"/>
        </w:rPr>
        <w:t xml:space="preserve">就质疑事项作出了答复/没有在法定期限内作出答复。                                                                                             </w:t>
      </w:r>
    </w:p>
    <w:p w14:paraId="0E7DA0D7">
      <w:pPr>
        <w:pStyle w:val="15"/>
        <w:pageBreakBefore w:val="0"/>
        <w:kinsoku/>
        <w:overflowPunct/>
        <w:topLinePunct w:val="0"/>
        <w:bidi w:val="0"/>
        <w:spacing w:line="24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四、投诉事项具体内容</w:t>
      </w:r>
    </w:p>
    <w:p w14:paraId="4BB000F9">
      <w:pPr>
        <w:pStyle w:val="15"/>
        <w:pageBreakBefore w:val="0"/>
        <w:kinsoku/>
        <w:overflowPunct/>
        <w:topLinePunct w:val="0"/>
        <w:bidi w:val="0"/>
        <w:spacing w:line="24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投诉事项1：</w:t>
      </w:r>
      <w:r>
        <w:rPr>
          <w:rFonts w:hint="eastAsia" w:ascii="宋体" w:hAnsi="宋体" w:eastAsia="宋体" w:cs="宋体"/>
          <w:bCs/>
          <w:color w:val="auto"/>
          <w:sz w:val="21"/>
          <w:szCs w:val="21"/>
          <w:highlight w:val="none"/>
          <w:u w:val="single"/>
        </w:rPr>
        <w:t xml:space="preserve">                                                                           </w:t>
      </w:r>
    </w:p>
    <w:p w14:paraId="03D41AAB">
      <w:pPr>
        <w:pStyle w:val="15"/>
        <w:pageBreakBefore w:val="0"/>
        <w:kinsoku/>
        <w:overflowPunct/>
        <w:topLinePunct w:val="0"/>
        <w:bidi w:val="0"/>
        <w:spacing w:line="24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事实依据：</w:t>
      </w: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60487C94">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u w:val="single"/>
        </w:rPr>
        <w:t xml:space="preserve">                                                                                        </w:t>
      </w:r>
    </w:p>
    <w:p w14:paraId="193C6A98">
      <w:pPr>
        <w:pStyle w:val="15"/>
        <w:pageBreakBefore w:val="0"/>
        <w:kinsoku/>
        <w:overflowPunct/>
        <w:topLinePunct w:val="0"/>
        <w:bidi w:val="0"/>
        <w:spacing w:line="24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法律依据：</w:t>
      </w: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21B1CAF6">
      <w:pPr>
        <w:pStyle w:val="15"/>
        <w:pageBreakBefore w:val="0"/>
        <w:kinsoku/>
        <w:overflowPunct/>
        <w:topLinePunct w:val="0"/>
        <w:bidi w:val="0"/>
        <w:spacing w:line="240" w:lineRule="auto"/>
        <w:ind w:left="25" w:leftChars="12" w:firstLine="308" w:firstLineChars="147"/>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24BC4F8F">
      <w:pPr>
        <w:pStyle w:val="15"/>
        <w:pageBreakBefore w:val="0"/>
        <w:kinsoku/>
        <w:overflowPunct/>
        <w:topLinePunct w:val="0"/>
        <w:bidi w:val="0"/>
        <w:spacing w:line="240" w:lineRule="auto"/>
        <w:ind w:left="25" w:leftChars="12" w:firstLine="413" w:firstLineChars="197"/>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xml:space="preserve">投诉事项2  </w:t>
      </w:r>
      <w:r>
        <w:rPr>
          <w:rFonts w:hint="eastAsia" w:ascii="宋体" w:hAnsi="宋体" w:eastAsia="宋体" w:cs="宋体"/>
          <w:bCs/>
          <w:color w:val="auto"/>
          <w:sz w:val="21"/>
          <w:szCs w:val="21"/>
          <w:highlight w:val="none"/>
        </w:rPr>
        <w:t xml:space="preserve">   </w:t>
      </w:r>
    </w:p>
    <w:p w14:paraId="377F264E">
      <w:pPr>
        <w:pStyle w:val="15"/>
        <w:pageBreakBefore w:val="0"/>
        <w:kinsoku/>
        <w:overflowPunct/>
        <w:topLinePunct w:val="0"/>
        <w:bidi w:val="0"/>
        <w:spacing w:line="240" w:lineRule="auto"/>
        <w:ind w:left="25" w:leftChars="12" w:firstLine="413" w:firstLineChars="19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p w14:paraId="784D7E03">
      <w:pPr>
        <w:pStyle w:val="15"/>
        <w:pageBreakBefore w:val="0"/>
        <w:kinsoku/>
        <w:overflowPunct/>
        <w:topLinePunct w:val="0"/>
        <w:bidi w:val="0"/>
        <w:spacing w:line="24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五、与投诉事项相关的投诉请求：</w:t>
      </w:r>
    </w:p>
    <w:p w14:paraId="37216154">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bCs/>
          <w:color w:val="auto"/>
          <w:sz w:val="21"/>
          <w:szCs w:val="21"/>
          <w:highlight w:val="none"/>
          <w:u w:val="single"/>
        </w:rPr>
        <w:t xml:space="preserve">                                                          </w:t>
      </w:r>
    </w:p>
    <w:p w14:paraId="5BF0D8DC">
      <w:pPr>
        <w:pStyle w:val="15"/>
        <w:pageBreakBefore w:val="0"/>
        <w:kinsoku/>
        <w:overflowPunct/>
        <w:topLinePunct w:val="0"/>
        <w:bidi w:val="0"/>
        <w:spacing w:line="240" w:lineRule="auto"/>
        <w:ind w:left="25" w:leftChars="12" w:firstLine="308" w:firstLineChars="147"/>
        <w:rPr>
          <w:rFonts w:hint="eastAsia" w:ascii="宋体" w:hAnsi="宋体" w:eastAsia="宋体" w:cs="宋体"/>
          <w:color w:val="auto"/>
          <w:sz w:val="21"/>
          <w:szCs w:val="21"/>
          <w:highlight w:val="none"/>
        </w:rPr>
      </w:pPr>
    </w:p>
    <w:p w14:paraId="36554663">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签字（签章）：                            公章：</w:t>
      </w:r>
    </w:p>
    <w:p w14:paraId="3FDDA4CD">
      <w:pPr>
        <w:pStyle w:val="15"/>
        <w:pageBreakBefore w:val="0"/>
        <w:kinsoku/>
        <w:overflowPunct/>
        <w:topLinePunct w:val="0"/>
        <w:bidi w:val="0"/>
        <w:spacing w:line="240" w:lineRule="auto"/>
        <w:ind w:left="25" w:leftChars="12" w:firstLine="308" w:firstLineChars="147"/>
        <w:rPr>
          <w:rFonts w:hint="eastAsia" w:ascii="宋体" w:hAnsi="宋体" w:eastAsia="宋体" w:cs="宋体"/>
          <w:color w:val="auto"/>
          <w:sz w:val="21"/>
          <w:szCs w:val="21"/>
          <w:highlight w:val="none"/>
        </w:rPr>
      </w:pPr>
    </w:p>
    <w:p w14:paraId="31154401">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3BC38DBF">
      <w:pPr>
        <w:pStyle w:val="15"/>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                                                                              </w:t>
      </w:r>
    </w:p>
    <w:p w14:paraId="3553808E">
      <w:pPr>
        <w:pStyle w:val="15"/>
        <w:pageBreakBefore w:val="0"/>
        <w:kinsoku/>
        <w:overflowPunct/>
        <w:topLinePunct w:val="0"/>
        <w:bidi w:val="0"/>
        <w:snapToGrid w:val="0"/>
        <w:spacing w:line="24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p w14:paraId="44C9A252">
      <w:pPr>
        <w:pStyle w:val="15"/>
        <w:pageBreakBefore w:val="0"/>
        <w:kinsoku/>
        <w:overflowPunct/>
        <w:topLinePunct w:val="0"/>
        <w:bidi w:val="0"/>
        <w:spacing w:line="240" w:lineRule="auto"/>
        <w:ind w:left="25" w:leftChars="12" w:firstLine="310" w:firstLineChars="147"/>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1"/>
          <w:szCs w:val="21"/>
          <w:highlight w:val="none"/>
        </w:rPr>
        <w:t>。</w:t>
      </w:r>
    </w:p>
    <w:p w14:paraId="0334AC93">
      <w:pPr>
        <w:pStyle w:val="15"/>
        <w:pageBreakBefore w:val="0"/>
        <w:kinsoku/>
        <w:overflowPunct/>
        <w:topLinePunct w:val="0"/>
        <w:bidi w:val="0"/>
        <w:spacing w:line="24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37E3EDF">
      <w:pPr>
        <w:pStyle w:val="15"/>
        <w:pageBreakBefore w:val="0"/>
        <w:kinsoku/>
        <w:overflowPunct/>
        <w:topLinePunct w:val="0"/>
        <w:bidi w:val="0"/>
        <w:spacing w:line="24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3.投诉书应简要列明质疑事项，质疑函、质疑答复等作为附件材料提供。</w:t>
      </w:r>
    </w:p>
    <w:p w14:paraId="5C1A8E1F">
      <w:pPr>
        <w:pStyle w:val="15"/>
        <w:pageBreakBefore w:val="0"/>
        <w:kinsoku/>
        <w:overflowPunct/>
        <w:topLinePunct w:val="0"/>
        <w:bidi w:val="0"/>
        <w:spacing w:line="24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4.投诉书的投诉事项应具体、明确，并有必要的事实依据和法律依据。</w:t>
      </w:r>
    </w:p>
    <w:p w14:paraId="0578836F">
      <w:pPr>
        <w:pStyle w:val="15"/>
        <w:pageBreakBefore w:val="0"/>
        <w:kinsoku/>
        <w:overflowPunct/>
        <w:topLinePunct w:val="0"/>
        <w:bidi w:val="0"/>
        <w:spacing w:line="24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5.投诉书的投诉请求应与投诉事项相关。</w:t>
      </w:r>
    </w:p>
    <w:p w14:paraId="5FE77724">
      <w:pPr>
        <w:pStyle w:val="15"/>
        <w:pageBreakBefore w:val="0"/>
        <w:kinsoku/>
        <w:overflowPunct/>
        <w:topLinePunct w:val="0"/>
        <w:bidi w:val="0"/>
        <w:spacing w:line="24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6.投诉人为法人或者其他组织的，投诉书应由法定代表人、主要负责人，或者其授权代表签字或者盖章，并加盖公章。</w:t>
      </w:r>
    </w:p>
    <w:p w14:paraId="61D67A6F">
      <w:pPr>
        <w:pStyle w:val="2"/>
        <w:ind w:left="0" w:leftChars="0" w:firstLine="0" w:firstLineChars="0"/>
        <w:rPr>
          <w:rFonts w:hint="eastAsia"/>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ntury">
    <w:altName w:val="Times New Roman"/>
    <w:panose1 w:val="02040604050505020304"/>
    <w:charset w:val="00"/>
    <w:family w:val="roman"/>
    <w:pitch w:val="default"/>
    <w:sig w:usb0="00000000"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79374">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ADEFAF">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4ADEFAF">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7320F"/>
    <w:multiLevelType w:val="singleLevel"/>
    <w:tmpl w:val="9407320F"/>
    <w:lvl w:ilvl="0" w:tentative="0">
      <w:start w:val="1"/>
      <w:numFmt w:val="chineseCounting"/>
      <w:suff w:val="space"/>
      <w:lvlText w:val="第%1章"/>
      <w:lvlJc w:val="left"/>
      <w:pPr>
        <w:ind w:left="0" w:firstLine="420"/>
      </w:pPr>
      <w:rPr>
        <w:rFonts w:hint="eastAsia"/>
        <w:sz w:val="40"/>
      </w:rPr>
    </w:lvl>
  </w:abstractNum>
  <w:abstractNum w:abstractNumId="1">
    <w:nsid w:val="C027AB67"/>
    <w:multiLevelType w:val="singleLevel"/>
    <w:tmpl w:val="C027AB67"/>
    <w:lvl w:ilvl="0" w:tentative="0">
      <w:start w:val="2"/>
      <w:numFmt w:val="chineseCounting"/>
      <w:suff w:val="space"/>
      <w:lvlText w:val="第%1章"/>
      <w:lvlJc w:val="left"/>
      <w:rPr>
        <w:rFonts w:hint="eastAsia"/>
      </w:rPr>
    </w:lvl>
  </w:abstractNum>
  <w:abstractNum w:abstractNumId="2">
    <w:nsid w:val="FDB17BBD"/>
    <w:multiLevelType w:val="singleLevel"/>
    <w:tmpl w:val="FDB17BBD"/>
    <w:lvl w:ilvl="0" w:tentative="0">
      <w:start w:val="2"/>
      <w:numFmt w:val="decimal"/>
      <w:suff w:val="space"/>
      <w:lvlText w:val="%1、"/>
      <w:lvlJc w:val="left"/>
    </w:lvl>
  </w:abstractNum>
  <w:abstractNum w:abstractNumId="3">
    <w:nsid w:val="FFBF38EA"/>
    <w:multiLevelType w:val="singleLevel"/>
    <w:tmpl w:val="FFBF38EA"/>
    <w:lvl w:ilvl="0" w:tentative="0">
      <w:start w:val="1"/>
      <w:numFmt w:val="decimal"/>
      <w:suff w:val="nothing"/>
      <w:lvlText w:val="%1、"/>
      <w:lvlJc w:val="left"/>
    </w:lvl>
  </w:abstractNum>
  <w:abstractNum w:abstractNumId="4">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5"/>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4C601917"/>
    <w:multiLevelType w:val="singleLevel"/>
    <w:tmpl w:val="4C601917"/>
    <w:lvl w:ilvl="0" w:tentative="0">
      <w:start w:val="1"/>
      <w:numFmt w:val="decimal"/>
      <w:suff w:val="nothing"/>
      <w:lvlText w:val="（%1）"/>
      <w:lvlJc w:val="left"/>
      <w:pPr>
        <w:ind w:left="-2"/>
      </w:pPr>
    </w:lvl>
  </w:abstractNum>
  <w:abstractNum w:abstractNumId="6">
    <w:nsid w:val="5BC30561"/>
    <w:multiLevelType w:val="singleLevel"/>
    <w:tmpl w:val="5BC30561"/>
    <w:lvl w:ilvl="0" w:tentative="0">
      <w:start w:val="3"/>
      <w:numFmt w:val="chineseCounting"/>
      <w:suff w:val="nothing"/>
      <w:lvlText w:val="（%1）"/>
      <w:lvlJc w:val="left"/>
      <w:rPr>
        <w:rFonts w:hint="eastAsia"/>
      </w:rPr>
    </w:lvl>
  </w:abstractNum>
  <w:abstractNum w:abstractNumId="7">
    <w:nsid w:val="5FABD14B"/>
    <w:multiLevelType w:val="singleLevel"/>
    <w:tmpl w:val="5FABD14B"/>
    <w:lvl w:ilvl="0" w:tentative="0">
      <w:start w:val="1"/>
      <w:numFmt w:val="decimal"/>
      <w:suff w:val="nothing"/>
      <w:lvlText w:val="（%1）"/>
      <w:lvlJc w:val="left"/>
    </w:lvl>
  </w:abstractNum>
  <w:abstractNum w:abstractNumId="8">
    <w:nsid w:val="79E925D2"/>
    <w:multiLevelType w:val="multilevel"/>
    <w:tmpl w:val="79E925D2"/>
    <w:lvl w:ilvl="0" w:tentative="0">
      <w:start w:val="10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4"/>
  </w:num>
  <w:num w:numId="2">
    <w:abstractNumId w:val="0"/>
  </w:num>
  <w:num w:numId="3">
    <w:abstractNumId w:val="1"/>
  </w:num>
  <w:num w:numId="4">
    <w:abstractNumId w:val="5"/>
  </w:num>
  <w:num w:numId="5">
    <w:abstractNumId w:val="7"/>
  </w:num>
  <w:num w:numId="6">
    <w:abstractNumId w:val="6"/>
  </w:num>
  <w:num w:numId="7">
    <w:abstractNumId w:val="2"/>
  </w:num>
  <w:num w:numId="8">
    <w:abstractNumId w:val="3"/>
  </w:num>
  <w:num w:numId="9">
    <w:abstractNumId w:val="8"/>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657F5"/>
    <w:rsid w:val="08267925"/>
    <w:rsid w:val="090B1DF6"/>
    <w:rsid w:val="0AC52F1B"/>
    <w:rsid w:val="0C891B36"/>
    <w:rsid w:val="0FAE5995"/>
    <w:rsid w:val="157C16E7"/>
    <w:rsid w:val="16C32427"/>
    <w:rsid w:val="17BA0202"/>
    <w:rsid w:val="1DFA5608"/>
    <w:rsid w:val="1F0302E4"/>
    <w:rsid w:val="1F5B00AA"/>
    <w:rsid w:val="1F810544"/>
    <w:rsid w:val="294C5B5F"/>
    <w:rsid w:val="2A777A7A"/>
    <w:rsid w:val="2A806718"/>
    <w:rsid w:val="2FAC28ED"/>
    <w:rsid w:val="30651966"/>
    <w:rsid w:val="31291130"/>
    <w:rsid w:val="35D762C5"/>
    <w:rsid w:val="3C202AE3"/>
    <w:rsid w:val="40316936"/>
    <w:rsid w:val="41C414E4"/>
    <w:rsid w:val="43722C1A"/>
    <w:rsid w:val="438F15EB"/>
    <w:rsid w:val="450B55F3"/>
    <w:rsid w:val="479C0FBD"/>
    <w:rsid w:val="4A7E2A0C"/>
    <w:rsid w:val="4E472D3D"/>
    <w:rsid w:val="4EDF3C95"/>
    <w:rsid w:val="5820494E"/>
    <w:rsid w:val="59B8100D"/>
    <w:rsid w:val="5FBA279B"/>
    <w:rsid w:val="60006231"/>
    <w:rsid w:val="62130A76"/>
    <w:rsid w:val="653657F5"/>
    <w:rsid w:val="6731299C"/>
    <w:rsid w:val="6B936E0D"/>
    <w:rsid w:val="6DE5046A"/>
    <w:rsid w:val="740F6723"/>
    <w:rsid w:val="776C0CA0"/>
    <w:rsid w:val="78803211"/>
    <w:rsid w:val="7BFFB2FB"/>
    <w:rsid w:val="7CA606BD"/>
    <w:rsid w:val="7DF24184"/>
    <w:rsid w:val="7EFBAC89"/>
    <w:rsid w:val="7F9F8870"/>
    <w:rsid w:val="7FAB6754"/>
    <w:rsid w:val="7FEFEBD6"/>
    <w:rsid w:val="7FFDB1D7"/>
    <w:rsid w:val="B9FF9FF3"/>
    <w:rsid w:val="E2EE4C39"/>
    <w:rsid w:val="F9BFB4A5"/>
    <w:rsid w:val="FFD53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5"/>
    <w:basedOn w:val="1"/>
    <w:next w:val="6"/>
    <w:qFormat/>
    <w:uiPriority w:val="0"/>
    <w:pPr>
      <w:keepNext/>
      <w:keepLines/>
      <w:numPr>
        <w:ilvl w:val="4"/>
        <w:numId w:val="1"/>
      </w:numPr>
      <w:spacing w:before="280" w:after="290" w:line="376" w:lineRule="auto"/>
      <w:outlineLvl w:val="4"/>
    </w:pPr>
    <w:rPr>
      <w:b/>
      <w:sz w:val="28"/>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customStyle="1" w:styleId="2">
    <w:name w:val="样式 0正文 + 首行缩进:  2 字符1"/>
    <w:basedOn w:val="1"/>
    <w:qFormat/>
    <w:uiPriority w:val="99"/>
    <w:pPr>
      <w:spacing w:line="360" w:lineRule="auto"/>
      <w:ind w:firstLine="200" w:firstLineChars="200"/>
    </w:pPr>
    <w:rPr>
      <w:szCs w:val="20"/>
    </w:rPr>
  </w:style>
  <w:style w:type="paragraph" w:styleId="6">
    <w:name w:val="Normal Indent"/>
    <w:basedOn w:val="1"/>
    <w:unhideWhenUsed/>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styleId="7">
    <w:name w:val="annotation text"/>
    <w:basedOn w:val="1"/>
    <w:unhideWhenUsed/>
    <w:qFormat/>
    <w:uiPriority w:val="0"/>
    <w:pPr>
      <w:jc w:val="left"/>
    </w:pPr>
  </w:style>
  <w:style w:type="paragraph" w:styleId="8">
    <w:name w:val="Body Text 3"/>
    <w:basedOn w:val="1"/>
    <w:qFormat/>
    <w:uiPriority w:val="0"/>
    <w:pPr>
      <w:spacing w:line="500" w:lineRule="exact"/>
    </w:pPr>
    <w:rPr>
      <w:b/>
      <w:bCs/>
      <w:kern w:val="0"/>
      <w:sz w:val="24"/>
    </w:rPr>
  </w:style>
  <w:style w:type="paragraph" w:styleId="9">
    <w:name w:val="Body Text"/>
    <w:basedOn w:val="1"/>
    <w:next w:val="10"/>
    <w:qFormat/>
    <w:uiPriority w:val="99"/>
    <w:pPr>
      <w:spacing w:line="380" w:lineRule="exact"/>
    </w:pPr>
    <w:rPr>
      <w:kern w:val="0"/>
      <w:sz w:val="24"/>
    </w:rPr>
  </w:style>
  <w:style w:type="paragraph" w:customStyle="1" w:styleId="10">
    <w:name w:val="一级条标题"/>
    <w:basedOn w:val="11"/>
    <w:next w:val="12"/>
    <w:qFormat/>
    <w:uiPriority w:val="0"/>
    <w:pPr>
      <w:spacing w:line="240" w:lineRule="auto"/>
      <w:ind w:left="420"/>
      <w:outlineLvl w:val="2"/>
    </w:pPr>
  </w:style>
  <w:style w:type="paragraph" w:customStyle="1" w:styleId="11">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3">
    <w:name w:val="Body Text Indent"/>
    <w:basedOn w:val="1"/>
    <w:qFormat/>
    <w:uiPriority w:val="0"/>
    <w:pPr>
      <w:ind w:firstLine="830" w:firstLineChars="352"/>
    </w:pPr>
    <w:rPr>
      <w:rFonts w:ascii="仿宋_GB2312" w:eastAsia="仿宋_GB2312"/>
      <w:kern w:val="0"/>
      <w:sz w:val="32"/>
      <w:szCs w:val="20"/>
    </w:rPr>
  </w:style>
  <w:style w:type="paragraph" w:styleId="14">
    <w:name w:val="Block Text"/>
    <w:basedOn w:val="1"/>
    <w:qFormat/>
    <w:uiPriority w:val="0"/>
    <w:pPr>
      <w:adjustRightInd w:val="0"/>
      <w:ind w:left="420" w:right="33"/>
      <w:jc w:val="left"/>
      <w:textAlignment w:val="baseline"/>
    </w:pPr>
    <w:rPr>
      <w:kern w:val="0"/>
      <w:sz w:val="24"/>
      <w:szCs w:val="20"/>
    </w:rPr>
  </w:style>
  <w:style w:type="paragraph" w:styleId="15">
    <w:name w:val="Plain Text"/>
    <w:basedOn w:val="1"/>
    <w:next w:val="16"/>
    <w:qFormat/>
    <w:uiPriority w:val="0"/>
    <w:rPr>
      <w:rFonts w:ascii="宋体" w:hAnsi="Courier New"/>
      <w:kern w:val="0"/>
      <w:sz w:val="20"/>
      <w:szCs w:val="21"/>
    </w:rPr>
  </w:style>
  <w:style w:type="paragraph" w:customStyle="1" w:styleId="16">
    <w:name w:val="TOC 标题2"/>
    <w:next w:val="1"/>
    <w:qFormat/>
    <w:uiPriority w:val="0"/>
    <w:pPr>
      <w:wordWrap w:val="0"/>
    </w:pPr>
    <w:rPr>
      <w:rFonts w:ascii="Times New Roman" w:hAnsi="Times New Roman" w:eastAsia="宋体" w:cs="Times New Roman"/>
      <w:sz w:val="32"/>
      <w:lang w:val="en-US" w:eastAsia="zh-CN" w:bidi="ar-SA"/>
    </w:rPr>
  </w:style>
  <w:style w:type="paragraph" w:styleId="17">
    <w:name w:val="footer"/>
    <w:basedOn w:val="1"/>
    <w:next w:val="1"/>
    <w:qFormat/>
    <w:uiPriority w:val="99"/>
    <w:pPr>
      <w:tabs>
        <w:tab w:val="center" w:pos="4153"/>
        <w:tab w:val="right" w:pos="8306"/>
      </w:tabs>
      <w:snapToGrid w:val="0"/>
      <w:jc w:val="left"/>
    </w:pPr>
    <w:rPr>
      <w:sz w:val="18"/>
      <w:szCs w:val="18"/>
    </w:rPr>
  </w:style>
  <w:style w:type="paragraph" w:styleId="18">
    <w:name w:val="header"/>
    <w:basedOn w:val="1"/>
    <w:unhideWhenUsed/>
    <w:qFormat/>
    <w:uiPriority w:val="99"/>
    <w:pPr>
      <w:pBdr>
        <w:bottom w:val="single" w:color="auto" w:sz="6" w:space="1"/>
      </w:pBdr>
      <w:tabs>
        <w:tab w:val="center" w:pos="0"/>
        <w:tab w:val="left" w:pos="8306"/>
      </w:tabs>
      <w:snapToGrid w:val="0"/>
      <w:jc w:val="center"/>
    </w:pPr>
    <w:rPr>
      <w:sz w:val="18"/>
      <w:szCs w:val="18"/>
    </w:rPr>
  </w:style>
  <w:style w:type="paragraph" w:styleId="19">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character" w:styleId="22">
    <w:name w:val="page number"/>
    <w:basedOn w:val="21"/>
    <w:qFormat/>
    <w:uiPriority w:val="0"/>
  </w:style>
  <w:style w:type="character" w:styleId="23">
    <w:name w:val="Hyperlink"/>
    <w:qFormat/>
    <w:uiPriority w:val="99"/>
    <w:rPr>
      <w:color w:val="0000FF"/>
      <w:u w:val="single"/>
    </w:rPr>
  </w:style>
  <w:style w:type="paragraph" w:customStyle="1" w:styleId="24">
    <w:name w:val="&gt;公告 正文"/>
    <w:qFormat/>
    <w:uiPriority w:val="0"/>
    <w:pPr>
      <w:spacing w:line="360" w:lineRule="auto"/>
      <w:ind w:firstLine="480" w:firstLineChars="200"/>
    </w:pPr>
    <w:rPr>
      <w:rFonts w:ascii="宋体" w:hAnsi="宋体" w:eastAsia="宋体" w:cs="Times New Roman"/>
      <w:kern w:val="2"/>
      <w:sz w:val="21"/>
      <w:szCs w:val="21"/>
      <w:lang w:val="en-US" w:eastAsia="zh-CN" w:bidi="ar-SA"/>
    </w:rPr>
  </w:style>
  <w:style w:type="table" w:customStyle="1" w:styleId="25">
    <w:name w:val="Table Normal"/>
    <w:basedOn w:val="20"/>
    <w:unhideWhenUsed/>
    <w:qFormat/>
    <w:uiPriority w:val="0"/>
    <w:tblPr>
      <w:tblCellMar>
        <w:top w:w="0" w:type="dxa"/>
        <w:left w:w="0" w:type="dxa"/>
        <w:bottom w:w="0" w:type="dxa"/>
        <w:right w:w="0" w:type="dxa"/>
      </w:tblCellMar>
    </w:tblPr>
  </w:style>
  <w:style w:type="paragraph" w:customStyle="1" w:styleId="26">
    <w:name w:val="1"/>
    <w:basedOn w:val="1"/>
    <w:next w:val="27"/>
    <w:qFormat/>
    <w:uiPriority w:val="0"/>
    <w:rPr>
      <w:rFonts w:ascii="宋体" w:hAnsi="Courier New"/>
      <w:szCs w:val="20"/>
    </w:rPr>
  </w:style>
  <w:style w:type="paragraph" w:customStyle="1" w:styleId="27">
    <w:name w:val="纯文本1"/>
    <w:basedOn w:val="1"/>
    <w:qFormat/>
    <w:uiPriority w:val="0"/>
    <w:rPr>
      <w:rFonts w:ascii="宋体" w:hAnsi="Courier New" w:cs="Century"/>
      <w:szCs w:val="21"/>
    </w:rPr>
  </w:style>
  <w:style w:type="paragraph" w:customStyle="1" w:styleId="28">
    <w:name w:val="正文2"/>
    <w:basedOn w:val="1"/>
    <w:qFormat/>
    <w:uiPriority w:val="0"/>
    <w:pPr>
      <w:adjustRightInd w:val="0"/>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12026</Words>
  <Characters>12397</Characters>
  <Lines>0</Lines>
  <Paragraphs>0</Paragraphs>
  <TotalTime>0</TotalTime>
  <ScaleCrop>false</ScaleCrop>
  <LinksUpToDate>false</LinksUpToDate>
  <CharactersWithSpaces>12446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2025-06-13T09:29:00Z</dcterms:created>
  <dc:creator>admin</dc:creator>
  <cp:lastModifiedBy>admin</cp:lastModifiedBy>
  <cp:lastPrinted>2025-07-18T06:28:00Z</cp:lastPrinted>
  <dcterms:modified xsi:type="dcterms:W3CDTF">2025-07-25T08:46:48Z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FC76ABA5963E4931B378DB45F8193FD0_13</vt:lpwstr>
  </property>
  <property fmtid="{D5CDD505-2E9C-101B-9397-08002B2CF9AE}" pid="4" name="KSOTemplateDocerSaveRecord">
    <vt:lpwstr>eyJoZGlkIjoiMDVmYmQyNGQ0MjFlMTU1ZjczZjdkY2EyMmVhNTVmNWQifQ==</vt:lpwstr>
  </property>
</Properties>
</file>