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540BF">
      <w:pPr>
        <w:jc w:val="center"/>
        <w:rPr>
          <w:rFonts w:hint="eastAsia" w:ascii="黑体" w:hAnsi="宋体" w:eastAsia="黑体" w:cs="宋体"/>
          <w:b/>
          <w:bCs/>
          <w:color w:val="auto"/>
          <w:kern w:val="0"/>
          <w:sz w:val="44"/>
          <w:szCs w:val="44"/>
          <w:highlight w:val="none"/>
          <w:lang w:eastAsia="zh-CN"/>
        </w:rPr>
        <w:sectPr>
          <w:footerReference r:id="rId3" w:type="default"/>
          <w:pgSz w:w="11911" w:h="16838"/>
          <w:pgMar w:top="1134" w:right="1134" w:bottom="1134" w:left="1134" w:header="720" w:footer="720" w:gutter="0"/>
          <w:pgNumType w:start="1"/>
          <w:cols w:space="720" w:num="1"/>
          <w:docGrid w:linePitch="312" w:charSpace="0"/>
        </w:sectPr>
      </w:pPr>
      <w:r>
        <w:rPr>
          <w:rFonts w:hint="eastAsia" w:ascii="黑体" w:hAnsi="宋体" w:eastAsia="黑体" w:cs="宋体"/>
          <w:b/>
          <w:bCs/>
          <w:color w:val="auto"/>
          <w:kern w:val="0"/>
          <w:sz w:val="44"/>
          <w:szCs w:val="44"/>
          <w:highlight w:val="none"/>
          <w:lang w:eastAsia="zh-CN"/>
        </w:rPr>
        <w:drawing>
          <wp:inline distT="0" distB="0" distL="114300" distR="114300">
            <wp:extent cx="6119495" cy="8550910"/>
            <wp:effectExtent l="0" t="0" r="14605" b="2540"/>
            <wp:docPr id="1" name="图片 1" descr="竞争性磋商文件（服务类）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竞争性磋商文件（服务类）_01"/>
                    <pic:cNvPicPr>
                      <a:picLocks noChangeAspect="1"/>
                    </pic:cNvPicPr>
                  </pic:nvPicPr>
                  <pic:blipFill>
                    <a:blip r:embed="rId10"/>
                    <a:stretch>
                      <a:fillRect/>
                    </a:stretch>
                  </pic:blipFill>
                  <pic:spPr>
                    <a:xfrm>
                      <a:off x="0" y="0"/>
                      <a:ext cx="6119495" cy="8550910"/>
                    </a:xfrm>
                    <a:prstGeom prst="rect">
                      <a:avLst/>
                    </a:prstGeom>
                  </pic:spPr>
                </pic:pic>
              </a:graphicData>
            </a:graphic>
          </wp:inline>
        </w:drawing>
      </w:r>
    </w:p>
    <w:p w14:paraId="0D66FB5E">
      <w:pPr>
        <w:spacing w:line="360" w:lineRule="auto"/>
        <w:jc w:val="center"/>
        <w:rPr>
          <w:rFonts w:ascii="宋体" w:hAnsi="宋体" w:cs="宋体"/>
          <w:b/>
          <w:color w:val="auto"/>
          <w:sz w:val="48"/>
          <w:szCs w:val="48"/>
          <w:highlight w:val="none"/>
        </w:rPr>
      </w:pPr>
      <w:bookmarkStart w:id="240" w:name="_GoBack"/>
      <w:bookmarkEnd w:id="240"/>
    </w:p>
    <w:p w14:paraId="0811C69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F81BB46">
      <w:pPr>
        <w:pStyle w:val="20"/>
        <w:tabs>
          <w:tab w:val="right" w:leader="dot" w:pos="9643"/>
        </w:tabs>
        <w:rPr>
          <w:color w:val="auto"/>
          <w:highlight w:val="none"/>
        </w:rPr>
      </w:pPr>
      <w:r>
        <w:rPr>
          <w:rFonts w:hint="eastAsia" w:ascii="宋体" w:hAnsi="宋体" w:cs="宋体"/>
          <w:b/>
          <w:color w:val="auto"/>
          <w:sz w:val="28"/>
          <w:szCs w:val="28"/>
          <w:highlight w:val="none"/>
        </w:rPr>
        <w:fldChar w:fldCharType="begin"/>
      </w:r>
      <w:r>
        <w:rPr>
          <w:rFonts w:hint="eastAsia" w:ascii="宋体" w:hAnsi="宋体" w:cs="宋体"/>
          <w:b/>
          <w:color w:val="auto"/>
          <w:sz w:val="28"/>
          <w:szCs w:val="28"/>
          <w:highlight w:val="none"/>
        </w:rPr>
        <w:instrText xml:space="preserve"> TOC \o "1-3" \h \z \u </w:instrText>
      </w:r>
      <w:r>
        <w:rPr>
          <w:rFonts w:hint="eastAsia" w:ascii="宋体" w:hAnsi="宋体" w:cs="宋体"/>
          <w:b/>
          <w:color w:val="auto"/>
          <w:sz w:val="28"/>
          <w:szCs w:val="28"/>
          <w:highlight w:val="none"/>
        </w:rPr>
        <w:fldChar w:fldCharType="separate"/>
      </w:r>
    </w:p>
    <w:p w14:paraId="44F6636E">
      <w:pPr>
        <w:pStyle w:val="20"/>
        <w:tabs>
          <w:tab w:val="right" w:leader="dot" w:pos="9643"/>
        </w:tabs>
        <w:spacing w:line="480" w:lineRule="auto"/>
        <w:rPr>
          <w:b/>
          <w:bCs/>
          <w:color w:val="auto"/>
          <w:sz w:val="32"/>
          <w:szCs w:val="40"/>
          <w:highlight w:val="none"/>
        </w:rPr>
      </w:pPr>
      <w:r>
        <w:rPr>
          <w:color w:val="auto"/>
          <w:highlight w:val="none"/>
        </w:rPr>
        <w:fldChar w:fldCharType="begin"/>
      </w:r>
      <w:r>
        <w:rPr>
          <w:color w:val="auto"/>
          <w:highlight w:val="none"/>
        </w:rPr>
        <w:instrText xml:space="preserve"> HYPERLINK \l "_Toc17527" </w:instrText>
      </w:r>
      <w:r>
        <w:rPr>
          <w:color w:val="auto"/>
          <w:highlight w:val="none"/>
        </w:rPr>
        <w:fldChar w:fldCharType="separate"/>
      </w:r>
      <w:r>
        <w:rPr>
          <w:rFonts w:hint="eastAsia" w:ascii="宋体" w:hAnsi="宋体" w:cs="宋体"/>
          <w:b/>
          <w:bCs/>
          <w:color w:val="auto"/>
          <w:sz w:val="32"/>
          <w:szCs w:val="40"/>
          <w:highlight w:val="none"/>
        </w:rPr>
        <w:t>第一章 竞争性磋商公告</w:t>
      </w:r>
      <w:r>
        <w:rPr>
          <w:b/>
          <w:bCs/>
          <w:color w:val="auto"/>
          <w:sz w:val="32"/>
          <w:szCs w:val="40"/>
          <w:highlight w:val="none"/>
        </w:rPr>
        <w:tab/>
      </w:r>
      <w:r>
        <w:rPr>
          <w:b/>
          <w:bCs/>
          <w:color w:val="auto"/>
          <w:sz w:val="32"/>
          <w:szCs w:val="40"/>
          <w:highlight w:val="none"/>
        </w:rPr>
        <w:fldChar w:fldCharType="begin"/>
      </w:r>
      <w:r>
        <w:rPr>
          <w:b/>
          <w:bCs/>
          <w:color w:val="auto"/>
          <w:sz w:val="32"/>
          <w:szCs w:val="40"/>
          <w:highlight w:val="none"/>
        </w:rPr>
        <w:instrText xml:space="preserve"> PAGEREF _Toc17527 \h </w:instrText>
      </w:r>
      <w:r>
        <w:rPr>
          <w:b/>
          <w:bCs/>
          <w:color w:val="auto"/>
          <w:sz w:val="32"/>
          <w:szCs w:val="40"/>
          <w:highlight w:val="none"/>
        </w:rPr>
        <w:fldChar w:fldCharType="separate"/>
      </w:r>
      <w:r>
        <w:rPr>
          <w:b/>
          <w:bCs/>
          <w:color w:val="auto"/>
          <w:sz w:val="32"/>
          <w:szCs w:val="40"/>
          <w:highlight w:val="none"/>
        </w:rPr>
        <w:t>1</w:t>
      </w:r>
      <w:r>
        <w:rPr>
          <w:b/>
          <w:bCs/>
          <w:color w:val="auto"/>
          <w:sz w:val="32"/>
          <w:szCs w:val="40"/>
          <w:highlight w:val="none"/>
        </w:rPr>
        <w:fldChar w:fldCharType="end"/>
      </w:r>
      <w:r>
        <w:rPr>
          <w:b/>
          <w:bCs/>
          <w:color w:val="auto"/>
          <w:sz w:val="32"/>
          <w:szCs w:val="40"/>
          <w:highlight w:val="none"/>
        </w:rPr>
        <w:fldChar w:fldCharType="end"/>
      </w:r>
    </w:p>
    <w:p w14:paraId="7AD0BFB4">
      <w:pPr>
        <w:pStyle w:val="20"/>
        <w:tabs>
          <w:tab w:val="right" w:leader="dot" w:pos="9643"/>
        </w:tabs>
        <w:spacing w:line="480" w:lineRule="auto"/>
        <w:rPr>
          <w:b/>
          <w:bCs/>
          <w:color w:val="auto"/>
          <w:sz w:val="32"/>
          <w:szCs w:val="40"/>
          <w:highlight w:val="none"/>
        </w:rPr>
      </w:pPr>
      <w:r>
        <w:rPr>
          <w:color w:val="auto"/>
          <w:highlight w:val="none"/>
        </w:rPr>
        <w:fldChar w:fldCharType="begin"/>
      </w:r>
      <w:r>
        <w:rPr>
          <w:color w:val="auto"/>
          <w:highlight w:val="none"/>
        </w:rPr>
        <w:instrText xml:space="preserve"> HYPERLINK \l "_Toc32283" </w:instrText>
      </w:r>
      <w:r>
        <w:rPr>
          <w:color w:val="auto"/>
          <w:highlight w:val="none"/>
        </w:rPr>
        <w:fldChar w:fldCharType="separate"/>
      </w:r>
      <w:r>
        <w:rPr>
          <w:rFonts w:hint="eastAsia" w:ascii="宋体" w:hAnsi="宋体" w:cs="宋体"/>
          <w:b/>
          <w:bCs/>
          <w:color w:val="auto"/>
          <w:sz w:val="32"/>
          <w:szCs w:val="48"/>
          <w:highlight w:val="none"/>
        </w:rPr>
        <w:t>第二章 采购需求</w:t>
      </w:r>
      <w:r>
        <w:rPr>
          <w:b/>
          <w:bCs/>
          <w:color w:val="auto"/>
          <w:sz w:val="32"/>
          <w:szCs w:val="40"/>
          <w:highlight w:val="none"/>
        </w:rPr>
        <w:tab/>
      </w:r>
      <w:r>
        <w:rPr>
          <w:b/>
          <w:bCs/>
          <w:color w:val="auto"/>
          <w:sz w:val="32"/>
          <w:szCs w:val="40"/>
          <w:highlight w:val="none"/>
        </w:rPr>
        <w:fldChar w:fldCharType="begin"/>
      </w:r>
      <w:r>
        <w:rPr>
          <w:b/>
          <w:bCs/>
          <w:color w:val="auto"/>
          <w:sz w:val="32"/>
          <w:szCs w:val="40"/>
          <w:highlight w:val="none"/>
        </w:rPr>
        <w:instrText xml:space="preserve"> PAGEREF _Toc32283 \h </w:instrText>
      </w:r>
      <w:r>
        <w:rPr>
          <w:b/>
          <w:bCs/>
          <w:color w:val="auto"/>
          <w:sz w:val="32"/>
          <w:szCs w:val="40"/>
          <w:highlight w:val="none"/>
        </w:rPr>
        <w:fldChar w:fldCharType="separate"/>
      </w:r>
      <w:r>
        <w:rPr>
          <w:b/>
          <w:bCs/>
          <w:color w:val="auto"/>
          <w:sz w:val="32"/>
          <w:szCs w:val="40"/>
          <w:highlight w:val="none"/>
        </w:rPr>
        <w:t>4</w:t>
      </w:r>
      <w:r>
        <w:rPr>
          <w:b/>
          <w:bCs/>
          <w:color w:val="auto"/>
          <w:sz w:val="32"/>
          <w:szCs w:val="40"/>
          <w:highlight w:val="none"/>
        </w:rPr>
        <w:fldChar w:fldCharType="end"/>
      </w:r>
      <w:r>
        <w:rPr>
          <w:b/>
          <w:bCs/>
          <w:color w:val="auto"/>
          <w:sz w:val="32"/>
          <w:szCs w:val="40"/>
          <w:highlight w:val="none"/>
        </w:rPr>
        <w:fldChar w:fldCharType="end"/>
      </w:r>
    </w:p>
    <w:p w14:paraId="656601C5">
      <w:pPr>
        <w:pStyle w:val="20"/>
        <w:tabs>
          <w:tab w:val="right" w:leader="dot" w:pos="9643"/>
        </w:tabs>
        <w:spacing w:line="480" w:lineRule="auto"/>
        <w:rPr>
          <w:b/>
          <w:bCs/>
          <w:color w:val="auto"/>
          <w:sz w:val="32"/>
          <w:szCs w:val="40"/>
          <w:highlight w:val="none"/>
        </w:rPr>
      </w:pPr>
      <w:r>
        <w:rPr>
          <w:color w:val="auto"/>
          <w:highlight w:val="none"/>
        </w:rPr>
        <w:fldChar w:fldCharType="begin"/>
      </w:r>
      <w:r>
        <w:rPr>
          <w:color w:val="auto"/>
          <w:highlight w:val="none"/>
        </w:rPr>
        <w:instrText xml:space="preserve"> HYPERLINK \l "_Toc31789" </w:instrText>
      </w:r>
      <w:r>
        <w:rPr>
          <w:color w:val="auto"/>
          <w:highlight w:val="none"/>
        </w:rPr>
        <w:fldChar w:fldCharType="separate"/>
      </w:r>
      <w:r>
        <w:rPr>
          <w:rFonts w:hint="eastAsia" w:ascii="宋体" w:hAnsi="宋体" w:cs="宋体"/>
          <w:b/>
          <w:bCs/>
          <w:color w:val="auto"/>
          <w:sz w:val="32"/>
          <w:szCs w:val="48"/>
          <w:highlight w:val="none"/>
        </w:rPr>
        <w:t>第三章 供应商须知</w:t>
      </w:r>
      <w:r>
        <w:rPr>
          <w:b/>
          <w:bCs/>
          <w:color w:val="auto"/>
          <w:sz w:val="32"/>
          <w:szCs w:val="40"/>
          <w:highlight w:val="none"/>
        </w:rPr>
        <w:tab/>
      </w:r>
      <w:r>
        <w:rPr>
          <w:b/>
          <w:bCs/>
          <w:color w:val="auto"/>
          <w:sz w:val="32"/>
          <w:szCs w:val="40"/>
          <w:highlight w:val="none"/>
        </w:rPr>
        <w:fldChar w:fldCharType="begin"/>
      </w:r>
      <w:r>
        <w:rPr>
          <w:b/>
          <w:bCs/>
          <w:color w:val="auto"/>
          <w:sz w:val="32"/>
          <w:szCs w:val="40"/>
          <w:highlight w:val="none"/>
        </w:rPr>
        <w:instrText xml:space="preserve"> PAGEREF _Toc31789 \h </w:instrText>
      </w:r>
      <w:r>
        <w:rPr>
          <w:b/>
          <w:bCs/>
          <w:color w:val="auto"/>
          <w:sz w:val="32"/>
          <w:szCs w:val="40"/>
          <w:highlight w:val="none"/>
        </w:rPr>
        <w:fldChar w:fldCharType="separate"/>
      </w:r>
      <w:r>
        <w:rPr>
          <w:b/>
          <w:bCs/>
          <w:color w:val="auto"/>
          <w:sz w:val="32"/>
          <w:szCs w:val="40"/>
          <w:highlight w:val="none"/>
        </w:rPr>
        <w:t>11</w:t>
      </w:r>
      <w:r>
        <w:rPr>
          <w:b/>
          <w:bCs/>
          <w:color w:val="auto"/>
          <w:sz w:val="32"/>
          <w:szCs w:val="40"/>
          <w:highlight w:val="none"/>
        </w:rPr>
        <w:fldChar w:fldCharType="end"/>
      </w:r>
      <w:r>
        <w:rPr>
          <w:b/>
          <w:bCs/>
          <w:color w:val="auto"/>
          <w:sz w:val="32"/>
          <w:szCs w:val="40"/>
          <w:highlight w:val="none"/>
        </w:rPr>
        <w:fldChar w:fldCharType="end"/>
      </w:r>
    </w:p>
    <w:p w14:paraId="0B2B8686">
      <w:pPr>
        <w:pStyle w:val="20"/>
        <w:tabs>
          <w:tab w:val="right" w:leader="dot" w:pos="9643"/>
        </w:tabs>
        <w:spacing w:line="480" w:lineRule="auto"/>
        <w:rPr>
          <w:b/>
          <w:bCs/>
          <w:color w:val="auto"/>
          <w:sz w:val="32"/>
          <w:szCs w:val="40"/>
          <w:highlight w:val="none"/>
        </w:rPr>
      </w:pPr>
      <w:r>
        <w:rPr>
          <w:color w:val="auto"/>
          <w:highlight w:val="none"/>
        </w:rPr>
        <w:fldChar w:fldCharType="begin"/>
      </w:r>
      <w:r>
        <w:rPr>
          <w:color w:val="auto"/>
          <w:highlight w:val="none"/>
        </w:rPr>
        <w:instrText xml:space="preserve"> HYPERLINK \l "_Toc5544" </w:instrText>
      </w:r>
      <w:r>
        <w:rPr>
          <w:color w:val="auto"/>
          <w:highlight w:val="none"/>
        </w:rPr>
        <w:fldChar w:fldCharType="separate"/>
      </w:r>
      <w:r>
        <w:rPr>
          <w:rFonts w:hint="eastAsia" w:ascii="宋体" w:hAnsi="宋体" w:cs="宋体"/>
          <w:b/>
          <w:bCs/>
          <w:color w:val="auto"/>
          <w:sz w:val="32"/>
          <w:szCs w:val="40"/>
          <w:highlight w:val="none"/>
        </w:rPr>
        <w:t>第四章 评审程序、评审方法和评审标准</w:t>
      </w:r>
      <w:r>
        <w:rPr>
          <w:b/>
          <w:bCs/>
          <w:color w:val="auto"/>
          <w:sz w:val="32"/>
          <w:szCs w:val="40"/>
          <w:highlight w:val="none"/>
        </w:rPr>
        <w:tab/>
      </w:r>
      <w:r>
        <w:rPr>
          <w:b/>
          <w:bCs/>
          <w:color w:val="auto"/>
          <w:sz w:val="32"/>
          <w:szCs w:val="40"/>
          <w:highlight w:val="none"/>
        </w:rPr>
        <w:fldChar w:fldCharType="begin"/>
      </w:r>
      <w:r>
        <w:rPr>
          <w:b/>
          <w:bCs/>
          <w:color w:val="auto"/>
          <w:sz w:val="32"/>
          <w:szCs w:val="40"/>
          <w:highlight w:val="none"/>
        </w:rPr>
        <w:instrText xml:space="preserve"> PAGEREF _Toc5544 \h </w:instrText>
      </w:r>
      <w:r>
        <w:rPr>
          <w:b/>
          <w:bCs/>
          <w:color w:val="auto"/>
          <w:sz w:val="32"/>
          <w:szCs w:val="40"/>
          <w:highlight w:val="none"/>
        </w:rPr>
        <w:fldChar w:fldCharType="separate"/>
      </w:r>
      <w:r>
        <w:rPr>
          <w:b/>
          <w:bCs/>
          <w:color w:val="auto"/>
          <w:sz w:val="32"/>
          <w:szCs w:val="40"/>
          <w:highlight w:val="none"/>
        </w:rPr>
        <w:t>28</w:t>
      </w:r>
      <w:r>
        <w:rPr>
          <w:b/>
          <w:bCs/>
          <w:color w:val="auto"/>
          <w:sz w:val="32"/>
          <w:szCs w:val="40"/>
          <w:highlight w:val="none"/>
        </w:rPr>
        <w:fldChar w:fldCharType="end"/>
      </w:r>
      <w:r>
        <w:rPr>
          <w:b/>
          <w:bCs/>
          <w:color w:val="auto"/>
          <w:sz w:val="32"/>
          <w:szCs w:val="40"/>
          <w:highlight w:val="none"/>
        </w:rPr>
        <w:fldChar w:fldCharType="end"/>
      </w:r>
    </w:p>
    <w:p w14:paraId="6ABF828A">
      <w:pPr>
        <w:pStyle w:val="20"/>
        <w:tabs>
          <w:tab w:val="right" w:leader="dot" w:pos="9643"/>
        </w:tabs>
        <w:spacing w:line="480" w:lineRule="auto"/>
        <w:rPr>
          <w:b/>
          <w:bCs/>
          <w:color w:val="auto"/>
          <w:sz w:val="32"/>
          <w:szCs w:val="40"/>
          <w:highlight w:val="none"/>
        </w:rPr>
      </w:pPr>
      <w:r>
        <w:rPr>
          <w:color w:val="auto"/>
          <w:highlight w:val="none"/>
        </w:rPr>
        <w:fldChar w:fldCharType="begin"/>
      </w:r>
      <w:r>
        <w:rPr>
          <w:color w:val="auto"/>
          <w:highlight w:val="none"/>
        </w:rPr>
        <w:instrText xml:space="preserve"> HYPERLINK \l "_Toc2137" </w:instrText>
      </w:r>
      <w:r>
        <w:rPr>
          <w:color w:val="auto"/>
          <w:highlight w:val="none"/>
        </w:rPr>
        <w:fldChar w:fldCharType="separate"/>
      </w:r>
      <w:r>
        <w:rPr>
          <w:rFonts w:hint="eastAsia" w:ascii="宋体" w:hAnsi="宋体" w:cs="宋体"/>
          <w:b/>
          <w:bCs/>
          <w:color w:val="auto"/>
          <w:sz w:val="32"/>
          <w:szCs w:val="40"/>
          <w:highlight w:val="none"/>
        </w:rPr>
        <w:t>第五章 响应文件格式</w:t>
      </w:r>
      <w:r>
        <w:rPr>
          <w:b/>
          <w:bCs/>
          <w:color w:val="auto"/>
          <w:sz w:val="32"/>
          <w:szCs w:val="40"/>
          <w:highlight w:val="none"/>
        </w:rPr>
        <w:tab/>
      </w:r>
      <w:r>
        <w:rPr>
          <w:b/>
          <w:bCs/>
          <w:color w:val="auto"/>
          <w:sz w:val="32"/>
          <w:szCs w:val="40"/>
          <w:highlight w:val="none"/>
        </w:rPr>
        <w:fldChar w:fldCharType="begin"/>
      </w:r>
      <w:r>
        <w:rPr>
          <w:b/>
          <w:bCs/>
          <w:color w:val="auto"/>
          <w:sz w:val="32"/>
          <w:szCs w:val="40"/>
          <w:highlight w:val="none"/>
        </w:rPr>
        <w:instrText xml:space="preserve"> PAGEREF _Toc2137 \h </w:instrText>
      </w:r>
      <w:r>
        <w:rPr>
          <w:b/>
          <w:bCs/>
          <w:color w:val="auto"/>
          <w:sz w:val="32"/>
          <w:szCs w:val="40"/>
          <w:highlight w:val="none"/>
        </w:rPr>
        <w:fldChar w:fldCharType="separate"/>
      </w:r>
      <w:r>
        <w:rPr>
          <w:b/>
          <w:bCs/>
          <w:color w:val="auto"/>
          <w:sz w:val="32"/>
          <w:szCs w:val="40"/>
          <w:highlight w:val="none"/>
        </w:rPr>
        <w:t>37</w:t>
      </w:r>
      <w:r>
        <w:rPr>
          <w:b/>
          <w:bCs/>
          <w:color w:val="auto"/>
          <w:sz w:val="32"/>
          <w:szCs w:val="40"/>
          <w:highlight w:val="none"/>
        </w:rPr>
        <w:fldChar w:fldCharType="end"/>
      </w:r>
      <w:r>
        <w:rPr>
          <w:b/>
          <w:bCs/>
          <w:color w:val="auto"/>
          <w:sz w:val="32"/>
          <w:szCs w:val="40"/>
          <w:highlight w:val="none"/>
        </w:rPr>
        <w:fldChar w:fldCharType="end"/>
      </w:r>
    </w:p>
    <w:p w14:paraId="58E69CE0">
      <w:pPr>
        <w:pStyle w:val="20"/>
        <w:tabs>
          <w:tab w:val="right" w:leader="dot" w:pos="9643"/>
        </w:tabs>
        <w:spacing w:line="480" w:lineRule="auto"/>
        <w:rPr>
          <w:b/>
          <w:bCs/>
          <w:color w:val="auto"/>
          <w:sz w:val="32"/>
          <w:szCs w:val="40"/>
          <w:highlight w:val="none"/>
        </w:rPr>
      </w:pPr>
      <w:r>
        <w:rPr>
          <w:color w:val="auto"/>
          <w:highlight w:val="none"/>
        </w:rPr>
        <w:fldChar w:fldCharType="begin"/>
      </w:r>
      <w:r>
        <w:rPr>
          <w:color w:val="auto"/>
          <w:highlight w:val="none"/>
        </w:rPr>
        <w:instrText xml:space="preserve"> HYPERLINK \l "_Toc20818" </w:instrText>
      </w:r>
      <w:r>
        <w:rPr>
          <w:color w:val="auto"/>
          <w:highlight w:val="none"/>
        </w:rPr>
        <w:fldChar w:fldCharType="separate"/>
      </w:r>
      <w:r>
        <w:rPr>
          <w:rFonts w:hint="eastAsia" w:ascii="宋体" w:hAnsi="宋体" w:cs="宋体"/>
          <w:b/>
          <w:bCs/>
          <w:color w:val="auto"/>
          <w:sz w:val="32"/>
          <w:szCs w:val="40"/>
          <w:highlight w:val="none"/>
        </w:rPr>
        <w:t>第六章 合同文本</w:t>
      </w:r>
      <w:r>
        <w:rPr>
          <w:b/>
          <w:bCs/>
          <w:color w:val="auto"/>
          <w:sz w:val="32"/>
          <w:szCs w:val="40"/>
          <w:highlight w:val="none"/>
        </w:rPr>
        <w:tab/>
      </w:r>
      <w:r>
        <w:rPr>
          <w:b/>
          <w:bCs/>
          <w:color w:val="auto"/>
          <w:sz w:val="32"/>
          <w:szCs w:val="40"/>
          <w:highlight w:val="none"/>
        </w:rPr>
        <w:fldChar w:fldCharType="begin"/>
      </w:r>
      <w:r>
        <w:rPr>
          <w:b/>
          <w:bCs/>
          <w:color w:val="auto"/>
          <w:sz w:val="32"/>
          <w:szCs w:val="40"/>
          <w:highlight w:val="none"/>
        </w:rPr>
        <w:instrText xml:space="preserve"> PAGEREF _Toc20818 \h </w:instrText>
      </w:r>
      <w:r>
        <w:rPr>
          <w:b/>
          <w:bCs/>
          <w:color w:val="auto"/>
          <w:sz w:val="32"/>
          <w:szCs w:val="40"/>
          <w:highlight w:val="none"/>
        </w:rPr>
        <w:fldChar w:fldCharType="separate"/>
      </w:r>
      <w:r>
        <w:rPr>
          <w:b/>
          <w:bCs/>
          <w:color w:val="auto"/>
          <w:sz w:val="32"/>
          <w:szCs w:val="40"/>
          <w:highlight w:val="none"/>
        </w:rPr>
        <w:t>65</w:t>
      </w:r>
      <w:r>
        <w:rPr>
          <w:b/>
          <w:bCs/>
          <w:color w:val="auto"/>
          <w:sz w:val="32"/>
          <w:szCs w:val="40"/>
          <w:highlight w:val="none"/>
        </w:rPr>
        <w:fldChar w:fldCharType="end"/>
      </w:r>
      <w:r>
        <w:rPr>
          <w:b/>
          <w:bCs/>
          <w:color w:val="auto"/>
          <w:sz w:val="32"/>
          <w:szCs w:val="40"/>
          <w:highlight w:val="none"/>
        </w:rPr>
        <w:fldChar w:fldCharType="end"/>
      </w:r>
    </w:p>
    <w:p w14:paraId="325DC465">
      <w:pPr>
        <w:pStyle w:val="15"/>
        <w:tabs>
          <w:tab w:val="right" w:leader="dot" w:pos="9643"/>
        </w:tabs>
        <w:spacing w:line="480" w:lineRule="auto"/>
        <w:rPr>
          <w:b/>
          <w:bCs/>
          <w:color w:val="auto"/>
          <w:sz w:val="32"/>
          <w:szCs w:val="40"/>
          <w:highlight w:val="none"/>
        </w:rPr>
      </w:pPr>
    </w:p>
    <w:p w14:paraId="51B3C61A">
      <w:pPr>
        <w:pStyle w:val="20"/>
        <w:tabs>
          <w:tab w:val="right" w:leader="dot" w:pos="9643"/>
        </w:tabs>
        <w:spacing w:line="480" w:lineRule="auto"/>
        <w:rPr>
          <w:rFonts w:ascii="宋体" w:hAnsi="宋体" w:cs="宋体"/>
          <w:b/>
          <w:color w:val="auto"/>
          <w:sz w:val="28"/>
          <w:szCs w:val="28"/>
          <w:highlight w:val="none"/>
        </w:rPr>
      </w:pPr>
      <w:r>
        <w:rPr>
          <w:rFonts w:hint="eastAsia" w:ascii="宋体" w:hAnsi="宋体" w:cs="宋体"/>
          <w:color w:val="auto"/>
          <w:szCs w:val="28"/>
          <w:highlight w:val="none"/>
        </w:rPr>
        <w:fldChar w:fldCharType="end"/>
      </w:r>
    </w:p>
    <w:p w14:paraId="3AFAE436">
      <w:pPr>
        <w:spacing w:line="360" w:lineRule="auto"/>
        <w:jc w:val="center"/>
        <w:rPr>
          <w:rFonts w:ascii="宋体" w:hAnsi="宋体" w:cs="宋体"/>
          <w:b/>
          <w:color w:val="auto"/>
          <w:sz w:val="96"/>
          <w:szCs w:val="96"/>
          <w:highlight w:val="none"/>
        </w:rPr>
      </w:pPr>
    </w:p>
    <w:p w14:paraId="317B730C">
      <w:pPr>
        <w:spacing w:line="360" w:lineRule="auto"/>
        <w:jc w:val="center"/>
        <w:rPr>
          <w:rFonts w:ascii="宋体" w:hAnsi="宋体" w:cs="宋体"/>
          <w:b/>
          <w:color w:val="auto"/>
          <w:sz w:val="48"/>
          <w:szCs w:val="48"/>
          <w:highlight w:val="none"/>
        </w:rPr>
      </w:pPr>
    </w:p>
    <w:p w14:paraId="4A4C75F3">
      <w:pPr>
        <w:spacing w:line="400" w:lineRule="exact"/>
        <w:jc w:val="center"/>
        <w:rPr>
          <w:rFonts w:ascii="宋体" w:hAnsi="宋体" w:cs="宋体"/>
          <w:b/>
          <w:color w:val="auto"/>
          <w:sz w:val="32"/>
          <w:szCs w:val="32"/>
          <w:highlight w:val="none"/>
        </w:rPr>
      </w:pPr>
    </w:p>
    <w:p w14:paraId="1664DC3D">
      <w:pPr>
        <w:spacing w:line="400" w:lineRule="exact"/>
        <w:jc w:val="center"/>
        <w:rPr>
          <w:rFonts w:ascii="宋体" w:hAnsi="宋体" w:cs="宋体"/>
          <w:b/>
          <w:color w:val="auto"/>
          <w:sz w:val="32"/>
          <w:szCs w:val="32"/>
          <w:highlight w:val="none"/>
        </w:rPr>
      </w:pPr>
    </w:p>
    <w:p w14:paraId="07355602">
      <w:pPr>
        <w:spacing w:line="400" w:lineRule="exact"/>
        <w:rPr>
          <w:rFonts w:ascii="宋体" w:hAnsi="宋体" w:cs="宋体"/>
          <w:b/>
          <w:color w:val="auto"/>
          <w:sz w:val="32"/>
          <w:szCs w:val="32"/>
          <w:highlight w:val="none"/>
        </w:rPr>
        <w:sectPr>
          <w:pgSz w:w="11911" w:h="16838"/>
          <w:pgMar w:top="1134" w:right="1134" w:bottom="1134" w:left="1134" w:header="720" w:footer="720" w:gutter="0"/>
          <w:pgNumType w:start="1"/>
          <w:cols w:space="720" w:num="1"/>
          <w:docGrid w:linePitch="312" w:charSpace="0"/>
        </w:sectPr>
      </w:pPr>
    </w:p>
    <w:p w14:paraId="464CC75E">
      <w:pPr>
        <w:pStyle w:val="4"/>
        <w:numPr>
          <w:ilvl w:val="0"/>
          <w:numId w:val="2"/>
        </w:numPr>
        <w:spacing w:line="360" w:lineRule="auto"/>
        <w:jc w:val="center"/>
        <w:rPr>
          <w:rFonts w:hint="eastAsia" w:ascii="宋体" w:hAnsi="宋体" w:cs="宋体"/>
          <w:color w:val="auto"/>
          <w:highlight w:val="none"/>
        </w:rPr>
      </w:pPr>
      <w:bookmarkStart w:id="0" w:name="_Toc18838"/>
      <w:bookmarkStart w:id="1" w:name="_Toc17527"/>
      <w:bookmarkStart w:id="2" w:name="_Toc15624"/>
      <w:bookmarkStart w:id="3" w:name="_Toc80886925"/>
      <w:bookmarkStart w:id="4" w:name="_Toc11989"/>
      <w:bookmarkStart w:id="5" w:name="_Toc12242"/>
      <w:bookmarkStart w:id="6" w:name="_Toc27000"/>
      <w:bookmarkStart w:id="7" w:name="_Toc11382"/>
      <w:bookmarkStart w:id="8" w:name="_Toc32264"/>
      <w:r>
        <w:rPr>
          <w:rFonts w:hint="eastAsia" w:ascii="宋体" w:hAnsi="宋体" w:cs="宋体"/>
          <w:color w:val="auto"/>
          <w:highlight w:val="none"/>
        </w:rPr>
        <w:t>竞争性磋商公告</w:t>
      </w:r>
      <w:bookmarkEnd w:id="0"/>
      <w:bookmarkEnd w:id="1"/>
      <w:bookmarkEnd w:id="2"/>
      <w:bookmarkEnd w:id="3"/>
      <w:bookmarkEnd w:id="4"/>
      <w:bookmarkEnd w:id="5"/>
      <w:bookmarkEnd w:id="6"/>
      <w:bookmarkEnd w:id="7"/>
      <w:bookmarkEnd w:id="8"/>
      <w:bookmarkStart w:id="9" w:name="_Toc28359012"/>
      <w:bookmarkStart w:id="10" w:name="_Toc35393798"/>
      <w:bookmarkStart w:id="11" w:name="_Toc44229878"/>
      <w:bookmarkStart w:id="12" w:name="_Toc28359089"/>
      <w:bookmarkStart w:id="13" w:name="_Toc35393629"/>
      <w:bookmarkStart w:id="14" w:name="_Toc35393792"/>
      <w:bookmarkStart w:id="15" w:name="_Toc35393623"/>
      <w:bookmarkStart w:id="16" w:name="_Toc28359081"/>
      <w:bookmarkStart w:id="17" w:name="_Toc28359004"/>
    </w:p>
    <w:p w14:paraId="4ACD3C2A">
      <w:pPr>
        <w:spacing w:line="360" w:lineRule="auto"/>
        <w:jc w:val="center"/>
        <w:rPr>
          <w:rFonts w:hint="eastAsia" w:ascii="宋体" w:hAnsi="宋体" w:eastAsia="宋体" w:cs="宋体"/>
          <w:b/>
          <w:bCs/>
          <w:color w:val="auto"/>
          <w:sz w:val="36"/>
          <w:szCs w:val="36"/>
          <w:highlight w:val="none"/>
          <w:lang w:eastAsia="zh-CN"/>
        </w:rPr>
      </w:pPr>
      <w:r>
        <w:rPr>
          <w:rFonts w:hint="eastAsia" w:ascii="宋体" w:hAnsi="宋体" w:cs="宋体"/>
          <w:b/>
          <w:bCs/>
          <w:color w:val="auto"/>
          <w:sz w:val="36"/>
          <w:szCs w:val="36"/>
          <w:highlight w:val="none"/>
          <w:lang w:eastAsia="zh-CN"/>
        </w:rPr>
        <w:t>上思县人民法院移动办公办案服务采购项目</w:t>
      </w:r>
    </w:p>
    <w:p w14:paraId="4597E0CE">
      <w:pPr>
        <w:spacing w:line="360" w:lineRule="auto"/>
        <w:jc w:val="center"/>
        <w:rPr>
          <w:color w:val="auto"/>
          <w:highlight w:val="none"/>
        </w:rPr>
      </w:pPr>
      <w:r>
        <w:rPr>
          <w:rFonts w:hint="eastAsia" w:ascii="宋体" w:hAnsi="宋体" w:cs="宋体"/>
          <w:b/>
          <w:bCs/>
          <w:color w:val="auto"/>
          <w:sz w:val="36"/>
          <w:szCs w:val="36"/>
          <w:highlight w:val="none"/>
        </w:rPr>
        <w:t>竞争性磋商公告</w:t>
      </w:r>
    </w:p>
    <w:tbl>
      <w:tblPr>
        <w:tblStyle w:val="26"/>
        <w:tblW w:w="9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7"/>
      </w:tblGrid>
      <w:tr w14:paraId="7B958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7" w:type="dxa"/>
            <w:noWrap/>
            <w:vAlign w:val="top"/>
          </w:tcPr>
          <w:p w14:paraId="2406A056">
            <w:pPr>
              <w:spacing w:line="360" w:lineRule="auto"/>
              <w:rPr>
                <w:rFonts w:ascii="宋体" w:hAnsi="宋体" w:cs="宋体"/>
                <w:color w:val="auto"/>
                <w:szCs w:val="21"/>
                <w:highlight w:val="none"/>
              </w:rPr>
            </w:pPr>
            <w:r>
              <w:rPr>
                <w:rFonts w:hint="eastAsia" w:ascii="宋体" w:hAnsi="宋体" w:cs="宋体"/>
                <w:color w:val="auto"/>
                <w:szCs w:val="21"/>
                <w:highlight w:val="none"/>
              </w:rPr>
              <w:t>项目概况</w:t>
            </w:r>
          </w:p>
          <w:p w14:paraId="0DDE433A">
            <w:pPr>
              <w:pStyle w:val="11"/>
              <w:spacing w:line="360" w:lineRule="auto"/>
              <w:ind w:firstLine="210" w:firstLineChars="100"/>
              <w:rPr>
                <w:rFonts w:ascii="宋体" w:hAnsi="宋体" w:cs="宋体"/>
                <w:bCs/>
                <w:color w:val="auto"/>
                <w:sz w:val="24"/>
                <w:highlight w:val="none"/>
              </w:rPr>
            </w:pPr>
            <w:r>
              <w:rPr>
                <w:rFonts w:hint="eastAsia" w:ascii="宋体" w:hAnsi="宋体" w:cs="宋体"/>
                <w:color w:val="auto"/>
                <w:szCs w:val="21"/>
                <w:highlight w:val="none"/>
                <w:lang w:eastAsia="zh-CN"/>
              </w:rPr>
              <w:t>上思县人民法院移动办公办案服务采购项目</w:t>
            </w:r>
            <w:r>
              <w:rPr>
                <w:rFonts w:hint="eastAsia" w:ascii="宋体" w:hAnsi="宋体" w:cs="宋体"/>
                <w:color w:val="auto"/>
                <w:szCs w:val="21"/>
                <w:highlight w:val="none"/>
              </w:rPr>
              <w:t>的潜在供应商应在广西政府采购云平台获取采购文件，并于2025年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点30分（北京时间）前提交响应文件。</w:t>
            </w:r>
          </w:p>
        </w:tc>
      </w:tr>
    </w:tbl>
    <w:p w14:paraId="3EC05349">
      <w:pPr>
        <w:spacing w:line="360" w:lineRule="auto"/>
        <w:ind w:firstLine="480" w:firstLineChars="200"/>
        <w:rPr>
          <w:rFonts w:ascii="宋体" w:hAnsi="宋体" w:cs="宋体"/>
          <w:bCs/>
          <w:color w:val="auto"/>
          <w:sz w:val="24"/>
          <w:highlight w:val="none"/>
        </w:rPr>
      </w:pPr>
    </w:p>
    <w:p w14:paraId="103BA8F6">
      <w:pPr>
        <w:spacing w:line="360" w:lineRule="auto"/>
        <w:ind w:firstLine="480" w:firstLineChars="200"/>
        <w:outlineLvl w:val="1"/>
        <w:rPr>
          <w:rFonts w:ascii="宋体" w:hAnsi="宋体" w:cs="宋体"/>
          <w:color w:val="auto"/>
          <w:highlight w:val="none"/>
        </w:rPr>
      </w:pPr>
      <w:bookmarkStart w:id="18" w:name="_Toc25880"/>
      <w:r>
        <w:rPr>
          <w:rFonts w:hint="eastAsia" w:ascii="宋体" w:hAnsi="宋体" w:cs="宋体"/>
          <w:bCs/>
          <w:color w:val="auto"/>
          <w:sz w:val="24"/>
          <w:highlight w:val="none"/>
        </w:rPr>
        <w:t>一、项目基本情况</w:t>
      </w:r>
      <w:bookmarkEnd w:id="9"/>
      <w:bookmarkEnd w:id="10"/>
      <w:bookmarkEnd w:id="11"/>
      <w:bookmarkEnd w:id="12"/>
      <w:bookmarkEnd w:id="13"/>
      <w:bookmarkEnd w:id="18"/>
    </w:p>
    <w:p w14:paraId="75305A5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 xml:space="preserve">FCZC2025-C3-990095-KJZB </w:t>
      </w:r>
    </w:p>
    <w:p w14:paraId="78046E96">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上思县人民法院移动办公办案服务采购项目</w:t>
      </w:r>
    </w:p>
    <w:p w14:paraId="6DECAF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采购方式：□ 竞争性谈判 ☑竞争性磋商 □询价</w:t>
      </w:r>
    </w:p>
    <w:p w14:paraId="4D6AC0E9">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预算金额：</w:t>
      </w:r>
      <w:r>
        <w:rPr>
          <w:rFonts w:hint="eastAsia" w:ascii="宋体" w:hAnsi="宋体" w:cs="宋体"/>
          <w:color w:val="auto"/>
          <w:szCs w:val="21"/>
          <w:highlight w:val="none"/>
          <w:lang w:eastAsia="zh-CN"/>
        </w:rPr>
        <w:t>人民币柒拾伍万伍仟柒佰陆拾元整（¥755760.00）</w:t>
      </w:r>
    </w:p>
    <w:p w14:paraId="11E86A0E">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最高限价：</w:t>
      </w:r>
      <w:r>
        <w:rPr>
          <w:rFonts w:hint="eastAsia" w:ascii="宋体" w:hAnsi="宋体" w:cs="宋体"/>
          <w:color w:val="auto"/>
          <w:szCs w:val="21"/>
          <w:highlight w:val="none"/>
          <w:lang w:eastAsia="zh-CN"/>
        </w:rPr>
        <w:t>人民币柒拾伍万伍仟柒佰陆拾元整（¥755760.00）</w:t>
      </w:r>
    </w:p>
    <w:p w14:paraId="7788A18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采购需求：</w:t>
      </w:r>
      <w:r>
        <w:rPr>
          <w:rFonts w:hint="eastAsia" w:ascii="宋体" w:hAnsi="宋体" w:cs="宋体"/>
          <w:color w:val="auto"/>
          <w:szCs w:val="21"/>
          <w:highlight w:val="none"/>
          <w:lang w:eastAsia="zh-CN"/>
        </w:rPr>
        <w:t>上思县人民法院移动办公办案服务采购项目</w:t>
      </w:r>
      <w:r>
        <w:rPr>
          <w:rFonts w:hint="eastAsia" w:ascii="宋体" w:hAnsi="宋体" w:cs="宋体"/>
          <w:color w:val="auto"/>
          <w:szCs w:val="21"/>
          <w:highlight w:val="none"/>
        </w:rPr>
        <w:t>1项，具体详见采购需求一览表。</w:t>
      </w:r>
    </w:p>
    <w:p w14:paraId="5E584D29">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合同履行期限：</w:t>
      </w:r>
      <w:r>
        <w:rPr>
          <w:rFonts w:hint="eastAsia" w:ascii="宋体" w:hAnsi="宋体" w:cs="宋体"/>
          <w:color w:val="auto"/>
          <w:kern w:val="0"/>
          <w:szCs w:val="21"/>
          <w:highlight w:val="none"/>
          <w:lang w:bidi="ar"/>
        </w:rPr>
        <w:t>自签订合同之日起2年。提交服务成果时间：自签订合同之日起30个日历日内提供服务所涉及的全部内容交货、安装调试完毕，所有服务内容必须提交使用。</w:t>
      </w:r>
    </w:p>
    <w:p w14:paraId="3216CE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i/>
          <w:iCs/>
          <w:color w:val="auto"/>
          <w:szCs w:val="21"/>
          <w:highlight w:val="none"/>
        </w:rPr>
        <w:t>是/否</w:t>
      </w:r>
      <w:r>
        <w:rPr>
          <w:rFonts w:hint="eastAsia" w:ascii="宋体" w:hAnsi="宋体" w:cs="宋体"/>
          <w:color w:val="auto"/>
          <w:szCs w:val="21"/>
          <w:highlight w:val="none"/>
        </w:rPr>
        <w:t>）接受联合体：□是/☑否。</w:t>
      </w:r>
    </w:p>
    <w:p w14:paraId="1423F57E">
      <w:pPr>
        <w:spacing w:line="360" w:lineRule="auto"/>
        <w:ind w:firstLine="482" w:firstLineChars="200"/>
        <w:outlineLvl w:val="1"/>
        <w:rPr>
          <w:rFonts w:ascii="宋体" w:hAnsi="宋体" w:cs="宋体"/>
          <w:bCs/>
          <w:color w:val="auto"/>
          <w:sz w:val="24"/>
          <w:highlight w:val="none"/>
        </w:rPr>
      </w:pPr>
      <w:bookmarkStart w:id="19" w:name="_Toc35393630"/>
      <w:bookmarkStart w:id="20" w:name="_Toc28359013"/>
      <w:bookmarkStart w:id="21" w:name="_Toc44229879"/>
      <w:bookmarkStart w:id="22" w:name="_Toc35393799"/>
      <w:bookmarkStart w:id="23" w:name="_Toc28359090"/>
      <w:bookmarkStart w:id="24" w:name="_Toc1033"/>
      <w:r>
        <w:rPr>
          <w:rFonts w:hint="eastAsia" w:ascii="宋体" w:hAnsi="宋体" w:cs="宋体"/>
          <w:b/>
          <w:color w:val="auto"/>
          <w:kern w:val="44"/>
          <w:sz w:val="24"/>
          <w:highlight w:val="none"/>
        </w:rPr>
        <w:t>二、申请人的资格</w:t>
      </w:r>
      <w:bookmarkEnd w:id="19"/>
      <w:bookmarkEnd w:id="20"/>
      <w:bookmarkEnd w:id="21"/>
      <w:bookmarkEnd w:id="22"/>
      <w:bookmarkEnd w:id="23"/>
      <w:r>
        <w:rPr>
          <w:rFonts w:hint="eastAsia" w:ascii="宋体" w:hAnsi="宋体" w:cs="宋体"/>
          <w:b/>
          <w:color w:val="auto"/>
          <w:kern w:val="44"/>
          <w:sz w:val="24"/>
          <w:highlight w:val="none"/>
        </w:rPr>
        <w:t>要求</w:t>
      </w:r>
      <w:bookmarkEnd w:id="24"/>
    </w:p>
    <w:p w14:paraId="46FAF0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0F7510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w:t>
      </w:r>
    </w:p>
    <w:p w14:paraId="48F9823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专门面向中小企业采购的项目（供应商应为中小企业、监狱企业、残疾人福利性单位)</w:t>
      </w:r>
    </w:p>
    <w:p w14:paraId="121D802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非专门面向中小企业采购的项目</w:t>
      </w:r>
    </w:p>
    <w:p w14:paraId="2907E749">
      <w:pPr>
        <w:pStyle w:val="20"/>
        <w:rPr>
          <w:rFonts w:hint="eastAsia"/>
          <w:lang w:eastAsia="zh-CN"/>
        </w:rPr>
      </w:pPr>
    </w:p>
    <w:p w14:paraId="2271FE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国内注册（指按国家有关规定要求注册的），生产或经营本次采购项目的供应商，根据《中华人民政府采购法实施条例》释义，银行、保险、石油石化、电力、电信等行业可以由分公司投标</w:t>
      </w:r>
      <w:r>
        <w:rPr>
          <w:rFonts w:hint="eastAsia" w:ascii="宋体" w:hAnsi="宋体" w:cs="宋体"/>
          <w:i/>
          <w:iCs/>
          <w:color w:val="auto"/>
          <w:szCs w:val="21"/>
          <w:highlight w:val="none"/>
        </w:rPr>
        <w:t>。</w:t>
      </w:r>
    </w:p>
    <w:p w14:paraId="607DC26B">
      <w:pPr>
        <w:spacing w:line="360" w:lineRule="auto"/>
        <w:ind w:firstLine="482" w:firstLineChars="200"/>
        <w:outlineLvl w:val="1"/>
        <w:rPr>
          <w:rFonts w:ascii="宋体" w:hAnsi="宋体" w:cs="宋体"/>
          <w:b/>
          <w:bCs/>
          <w:color w:val="auto"/>
          <w:sz w:val="24"/>
          <w:highlight w:val="none"/>
        </w:rPr>
      </w:pPr>
      <w:bookmarkStart w:id="25" w:name="_Toc24550"/>
      <w:r>
        <w:rPr>
          <w:rFonts w:hint="eastAsia" w:ascii="宋体" w:hAnsi="宋体" w:cs="宋体"/>
          <w:b/>
          <w:bCs/>
          <w:color w:val="auto"/>
          <w:sz w:val="24"/>
          <w:highlight w:val="none"/>
        </w:rPr>
        <w:t>三、获取采购文件</w:t>
      </w:r>
      <w:bookmarkEnd w:id="14"/>
      <w:bookmarkEnd w:id="15"/>
      <w:bookmarkEnd w:id="16"/>
      <w:bookmarkEnd w:id="17"/>
      <w:bookmarkEnd w:id="25"/>
    </w:p>
    <w:p w14:paraId="4F9CB584">
      <w:pPr>
        <w:spacing w:line="360" w:lineRule="auto"/>
        <w:ind w:firstLine="420" w:firstLineChars="200"/>
        <w:rPr>
          <w:rFonts w:ascii="宋体" w:hAnsi="宋体" w:cs="宋体"/>
          <w:color w:val="auto"/>
          <w:szCs w:val="21"/>
          <w:highlight w:val="none"/>
        </w:rPr>
      </w:pPr>
      <w:bookmarkStart w:id="26" w:name="_Toc28359082"/>
      <w:bookmarkStart w:id="27" w:name="_Toc28359005"/>
      <w:bookmarkStart w:id="28" w:name="_Toc35393624"/>
      <w:bookmarkStart w:id="29" w:name="_Toc35393793"/>
      <w:r>
        <w:rPr>
          <w:rFonts w:hint="eastAsia" w:ascii="宋体" w:hAnsi="宋体" w:cs="宋体"/>
          <w:color w:val="auto"/>
          <w:szCs w:val="21"/>
          <w:highlight w:val="none"/>
        </w:rPr>
        <w:t>时间：</w:t>
      </w:r>
      <w:r>
        <w:rPr>
          <w:rFonts w:hint="eastAsia" w:ascii="宋体" w:hAnsi="宋体" w:cs="宋体"/>
          <w:bCs/>
          <w:color w:val="auto"/>
          <w:kern w:val="0"/>
          <w:szCs w:val="21"/>
          <w:highlight w:val="none"/>
          <w:u w:val="single"/>
        </w:rPr>
        <w:t>2025年</w:t>
      </w:r>
      <w:r>
        <w:rPr>
          <w:rFonts w:hint="eastAsia" w:ascii="宋体" w:hAnsi="宋体" w:cs="宋体"/>
          <w:bCs/>
          <w:color w:val="auto"/>
          <w:kern w:val="0"/>
          <w:szCs w:val="21"/>
          <w:highlight w:val="none"/>
          <w:u w:val="single"/>
          <w:lang w:val="en-US" w:eastAsia="zh-CN"/>
        </w:rPr>
        <w:t>8</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21</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2025年</w:t>
      </w:r>
      <w:r>
        <w:rPr>
          <w:rFonts w:hint="eastAsia" w:ascii="宋体" w:hAnsi="宋体" w:cs="宋体"/>
          <w:bCs/>
          <w:color w:val="auto"/>
          <w:kern w:val="0"/>
          <w:szCs w:val="21"/>
          <w:highlight w:val="none"/>
          <w:u w:val="single"/>
          <w:lang w:val="en-US" w:eastAsia="zh-CN"/>
        </w:rPr>
        <w:t>8</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28</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，每天上午</w:t>
      </w:r>
      <w:r>
        <w:rPr>
          <w:rFonts w:hint="eastAsia" w:ascii="宋体" w:hAnsi="宋体" w:cs="宋体"/>
          <w:bCs/>
          <w:color w:val="auto"/>
          <w:kern w:val="0"/>
          <w:szCs w:val="21"/>
          <w:highlight w:val="none"/>
          <w:u w:val="single"/>
        </w:rPr>
        <w:t>9:00</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12:00</w:t>
      </w:r>
      <w:r>
        <w:rPr>
          <w:rFonts w:hint="eastAsia" w:ascii="宋体" w:hAnsi="宋体" w:cs="宋体"/>
          <w:bCs/>
          <w:color w:val="auto"/>
          <w:kern w:val="0"/>
          <w:szCs w:val="21"/>
          <w:highlight w:val="none"/>
        </w:rPr>
        <w:t>，下午</w:t>
      </w:r>
      <w:r>
        <w:rPr>
          <w:rFonts w:hint="eastAsia" w:ascii="宋体" w:hAnsi="宋体" w:cs="宋体"/>
          <w:bCs/>
          <w:color w:val="auto"/>
          <w:kern w:val="0"/>
          <w:szCs w:val="21"/>
          <w:highlight w:val="none"/>
          <w:u w:val="single"/>
        </w:rPr>
        <w:t>15:00</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18:00</w:t>
      </w:r>
      <w:r>
        <w:rPr>
          <w:rFonts w:hint="eastAsia" w:ascii="宋体" w:hAnsi="宋体" w:cs="宋体"/>
          <w:bCs/>
          <w:color w:val="auto"/>
          <w:kern w:val="0"/>
          <w:szCs w:val="21"/>
          <w:highlight w:val="none"/>
        </w:rPr>
        <w:t>（北京时间，法定节假日除外）</w:t>
      </w:r>
      <w:r>
        <w:rPr>
          <w:rFonts w:hint="eastAsia" w:ascii="宋体" w:hAnsi="宋体" w:cs="宋体"/>
          <w:color w:val="auto"/>
          <w:szCs w:val="21"/>
          <w:highlight w:val="none"/>
        </w:rPr>
        <w:t>。</w:t>
      </w:r>
    </w:p>
    <w:p w14:paraId="4721942B">
      <w:pPr>
        <w:pStyle w:val="11"/>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地点（网址）：</w:t>
      </w:r>
      <w:r>
        <w:rPr>
          <w:rFonts w:hint="eastAsia" w:ascii="宋体" w:hAnsi="宋体" w:cs="宋体"/>
          <w:color w:val="auto"/>
          <w:szCs w:val="21"/>
          <w:highlight w:val="none"/>
        </w:rPr>
        <w:t>广西政府采购云平台</w:t>
      </w:r>
    </w:p>
    <w:p w14:paraId="27F47B17">
      <w:pPr>
        <w:pStyle w:val="11"/>
        <w:spacing w:line="360" w:lineRule="auto"/>
        <w:rPr>
          <w:rFonts w:ascii="宋体" w:hAnsi="宋体" w:cs="宋体"/>
          <w:b/>
          <w:bCs/>
          <w:color w:val="auto"/>
          <w:sz w:val="24"/>
          <w:highlight w:val="none"/>
        </w:rPr>
      </w:pPr>
      <w:r>
        <w:rPr>
          <w:rFonts w:hint="eastAsia" w:ascii="宋体" w:hAnsi="宋体" w:cs="宋体"/>
          <w:color w:val="auto"/>
          <w:szCs w:val="21"/>
          <w:highlight w:val="none"/>
        </w:rPr>
        <w:t>　　方式：网上下载。本项目不发放纸质采购文件，潜在供应商可自行在广西政府采购云平台下载采购文件（操作路径：登录广西政府采购云平台-项目采购-获取采购文件-找到本项目-点击“申请获取采购文件”），电子响应文件制作需要基于广西政府采购云平台获取的采购文件编制。</w:t>
      </w:r>
    </w:p>
    <w:p w14:paraId="346313E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售价：人民币0元。</w:t>
      </w:r>
    </w:p>
    <w:p w14:paraId="3959DFFC">
      <w:pPr>
        <w:spacing w:line="360" w:lineRule="auto"/>
        <w:ind w:firstLine="482" w:firstLineChars="200"/>
        <w:outlineLvl w:val="1"/>
        <w:rPr>
          <w:rFonts w:ascii="宋体" w:hAnsi="宋体" w:cs="宋体"/>
          <w:b/>
          <w:bCs/>
          <w:color w:val="auto"/>
          <w:sz w:val="24"/>
          <w:highlight w:val="none"/>
        </w:rPr>
      </w:pPr>
      <w:bookmarkStart w:id="30" w:name="_Toc12461"/>
      <w:r>
        <w:rPr>
          <w:rFonts w:hint="eastAsia" w:ascii="宋体" w:hAnsi="宋体" w:cs="宋体"/>
          <w:b/>
          <w:bCs/>
          <w:color w:val="auto"/>
          <w:sz w:val="24"/>
          <w:highlight w:val="none"/>
        </w:rPr>
        <w:t>四、</w:t>
      </w:r>
      <w:bookmarkEnd w:id="26"/>
      <w:bookmarkEnd w:id="27"/>
      <w:bookmarkEnd w:id="28"/>
      <w:bookmarkEnd w:id="29"/>
      <w:r>
        <w:rPr>
          <w:rFonts w:hint="eastAsia" w:ascii="宋体" w:hAnsi="宋体" w:cs="宋体"/>
          <w:b/>
          <w:bCs/>
          <w:color w:val="auto"/>
          <w:sz w:val="24"/>
          <w:highlight w:val="none"/>
        </w:rPr>
        <w:t>响应文件提交</w:t>
      </w:r>
      <w:bookmarkEnd w:id="30"/>
    </w:p>
    <w:p w14:paraId="1B775F9F">
      <w:pPr>
        <w:spacing w:line="360" w:lineRule="auto"/>
        <w:ind w:firstLine="420" w:firstLineChars="200"/>
        <w:rPr>
          <w:rFonts w:ascii="宋体" w:hAnsi="宋体" w:cs="宋体"/>
          <w:i/>
          <w:iCs/>
          <w:color w:val="auto"/>
          <w:szCs w:val="21"/>
          <w:highlight w:val="none"/>
          <w:u w:val="single"/>
        </w:rPr>
      </w:pPr>
      <w:r>
        <w:rPr>
          <w:rFonts w:hint="eastAsia" w:ascii="宋体" w:hAnsi="宋体" w:cs="宋体"/>
          <w:color w:val="auto"/>
          <w:szCs w:val="21"/>
          <w:highlight w:val="none"/>
        </w:rPr>
        <w:t>截止时间</w:t>
      </w:r>
      <w:r>
        <w:rPr>
          <w:rFonts w:hint="eastAsia" w:ascii="宋体" w:hAnsi="宋体" w:cs="宋体"/>
          <w:bCs/>
          <w:color w:val="auto"/>
          <w:szCs w:val="21"/>
          <w:highlight w:val="none"/>
        </w:rPr>
        <w:t>：</w:t>
      </w: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点30分</w:t>
      </w:r>
      <w:r>
        <w:rPr>
          <w:rFonts w:hint="eastAsia" w:ascii="宋体" w:hAnsi="宋体" w:cs="宋体"/>
          <w:bCs/>
          <w:color w:val="auto"/>
          <w:szCs w:val="21"/>
          <w:highlight w:val="none"/>
        </w:rPr>
        <w:t>（北京时间）</w:t>
      </w:r>
    </w:p>
    <w:p w14:paraId="08D41B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提交地点（网址）：请登录广西政府采购云平台投标客户端投标</w:t>
      </w:r>
    </w:p>
    <w:p w14:paraId="72F12FCD">
      <w:pPr>
        <w:spacing w:line="360" w:lineRule="auto"/>
        <w:ind w:firstLine="482" w:firstLineChars="200"/>
        <w:outlineLvl w:val="1"/>
        <w:rPr>
          <w:rFonts w:ascii="宋体" w:hAnsi="宋体" w:cs="宋体"/>
          <w:b/>
          <w:bCs/>
          <w:color w:val="auto"/>
          <w:sz w:val="24"/>
          <w:highlight w:val="none"/>
        </w:rPr>
      </w:pPr>
      <w:bookmarkStart w:id="31" w:name="_Toc9712"/>
      <w:r>
        <w:rPr>
          <w:rFonts w:hint="eastAsia" w:ascii="宋体" w:hAnsi="宋体" w:cs="宋体"/>
          <w:b/>
          <w:bCs/>
          <w:color w:val="auto"/>
          <w:sz w:val="24"/>
          <w:highlight w:val="none"/>
        </w:rPr>
        <w:t>五、开启（首次响应文件开启时间）</w:t>
      </w:r>
      <w:bookmarkEnd w:id="31"/>
    </w:p>
    <w:p w14:paraId="20EFDF66">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时间：2025年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点30分</w:t>
      </w:r>
      <w:r>
        <w:rPr>
          <w:rFonts w:hint="eastAsia" w:ascii="宋体" w:hAnsi="宋体" w:cs="宋体"/>
          <w:bCs/>
          <w:color w:val="auto"/>
          <w:szCs w:val="21"/>
          <w:highlight w:val="none"/>
        </w:rPr>
        <w:t>（北京时间）</w:t>
      </w:r>
    </w:p>
    <w:p w14:paraId="03F8654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地点（网址）：广西壮族自治区防城港市开标室</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政府采购开标室</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 </w:t>
      </w:r>
    </w:p>
    <w:p w14:paraId="60830164">
      <w:pPr>
        <w:spacing w:line="360" w:lineRule="auto"/>
        <w:ind w:firstLine="482" w:firstLineChars="200"/>
        <w:outlineLvl w:val="1"/>
        <w:rPr>
          <w:rFonts w:ascii="宋体" w:hAnsi="宋体" w:cs="宋体"/>
          <w:b/>
          <w:bCs/>
          <w:color w:val="auto"/>
          <w:sz w:val="24"/>
          <w:highlight w:val="none"/>
        </w:rPr>
      </w:pPr>
      <w:bookmarkStart w:id="32" w:name="_Toc28359084"/>
      <w:bookmarkStart w:id="33" w:name="_Toc35393625"/>
      <w:bookmarkStart w:id="34" w:name="_Toc28359007"/>
      <w:bookmarkStart w:id="35" w:name="_Toc4434"/>
      <w:bookmarkStart w:id="36" w:name="_Toc35393794"/>
      <w:r>
        <w:rPr>
          <w:rFonts w:hint="eastAsia" w:ascii="宋体" w:hAnsi="宋体" w:cs="宋体"/>
          <w:b/>
          <w:bCs/>
          <w:color w:val="auto"/>
          <w:sz w:val="24"/>
          <w:highlight w:val="none"/>
        </w:rPr>
        <w:t>六、公告期限</w:t>
      </w:r>
      <w:bookmarkEnd w:id="32"/>
      <w:bookmarkEnd w:id="33"/>
      <w:bookmarkEnd w:id="34"/>
      <w:bookmarkEnd w:id="35"/>
      <w:bookmarkEnd w:id="36"/>
    </w:p>
    <w:p w14:paraId="34236BC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个工作日。</w:t>
      </w:r>
    </w:p>
    <w:p w14:paraId="6A63E4AA">
      <w:pPr>
        <w:spacing w:line="360" w:lineRule="auto"/>
        <w:ind w:firstLine="482" w:firstLineChars="200"/>
        <w:outlineLvl w:val="1"/>
        <w:rPr>
          <w:rFonts w:ascii="宋体" w:hAnsi="宋体" w:cs="宋体"/>
          <w:b/>
          <w:bCs/>
          <w:color w:val="auto"/>
          <w:sz w:val="24"/>
          <w:highlight w:val="none"/>
        </w:rPr>
      </w:pPr>
      <w:bookmarkStart w:id="37" w:name="_Toc35393626"/>
      <w:bookmarkStart w:id="38" w:name="_Toc10209"/>
      <w:bookmarkStart w:id="39" w:name="_Toc35393795"/>
      <w:r>
        <w:rPr>
          <w:rFonts w:hint="eastAsia" w:ascii="宋体" w:hAnsi="宋体" w:cs="宋体"/>
          <w:b/>
          <w:bCs/>
          <w:color w:val="auto"/>
          <w:sz w:val="24"/>
          <w:highlight w:val="none"/>
        </w:rPr>
        <w:t>七、其他补充事宜</w:t>
      </w:r>
      <w:bookmarkEnd w:id="37"/>
      <w:bookmarkEnd w:id="38"/>
      <w:bookmarkEnd w:id="39"/>
    </w:p>
    <w:p w14:paraId="10A91AEF">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rPr>
        <w:t>本项目不需要缴</w:t>
      </w:r>
      <w:r>
        <w:rPr>
          <w:rFonts w:hint="eastAsia" w:ascii="宋体" w:hAnsi="宋体" w:cs="宋体"/>
          <w:color w:val="auto"/>
          <w:kern w:val="0"/>
          <w:szCs w:val="21"/>
          <w:highlight w:val="none"/>
        </w:rPr>
        <w:t>纳</w:t>
      </w:r>
      <w:r>
        <w:rPr>
          <w:rFonts w:hint="eastAsia" w:ascii="宋体" w:hAnsi="宋体" w:cs="宋体"/>
          <w:color w:val="auto"/>
          <w:szCs w:val="21"/>
          <w:highlight w:val="none"/>
        </w:rPr>
        <w:t>磋商保证金。</w:t>
      </w:r>
    </w:p>
    <w:p w14:paraId="3732DE61">
      <w:pPr>
        <w:spacing w:line="360" w:lineRule="auto"/>
        <w:ind w:firstLine="420" w:firstLineChars="200"/>
        <w:outlineLvl w:val="2"/>
        <w:rPr>
          <w:rFonts w:ascii="宋体" w:hAnsi="宋体" w:cs="宋体"/>
          <w:color w:val="auto"/>
          <w:kern w:val="0"/>
          <w:szCs w:val="21"/>
          <w:highlight w:val="none"/>
        </w:rPr>
      </w:pPr>
      <w:bookmarkStart w:id="40" w:name="_Hlk37429585"/>
      <w:r>
        <w:rPr>
          <w:rFonts w:hint="eastAsia" w:ascii="宋体" w:hAnsi="宋体" w:cs="宋体"/>
          <w:color w:val="auto"/>
          <w:kern w:val="0"/>
          <w:szCs w:val="21"/>
          <w:highlight w:val="none"/>
        </w:rPr>
        <w:t>2.</w:t>
      </w:r>
      <w:bookmarkStart w:id="41" w:name="_Hlk37429595"/>
      <w:r>
        <w:rPr>
          <w:rFonts w:hint="eastAsia" w:ascii="宋体" w:hAnsi="宋体" w:cs="宋体"/>
          <w:color w:val="auto"/>
          <w:kern w:val="0"/>
          <w:szCs w:val="21"/>
          <w:highlight w:val="none"/>
        </w:rPr>
        <w:t>网上查询地址：</w:t>
      </w:r>
      <w:bookmarkEnd w:id="40"/>
      <w:bookmarkEnd w:id="41"/>
      <w:bookmarkStart w:id="42" w:name="_Toc27522"/>
      <w:bookmarkStart w:id="43" w:name="_Hlk37429674"/>
      <w:r>
        <w:rPr>
          <w:rFonts w:hint="eastAsia" w:ascii="宋体" w:hAnsi="宋体" w:cs="宋体"/>
          <w:color w:val="auto"/>
          <w:kern w:val="0"/>
          <w:szCs w:val="21"/>
          <w:highlight w:val="none"/>
        </w:rPr>
        <w:t>中国政府采购网、广西壮族自治区政府采购网、全国公共资源交易平台（广西·防城港）。</w:t>
      </w:r>
    </w:p>
    <w:p w14:paraId="5CB34253">
      <w:pPr>
        <w:spacing w:line="360" w:lineRule="auto"/>
        <w:ind w:firstLine="420" w:firstLineChars="200"/>
        <w:outlineLvl w:val="2"/>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本项目需要落实的政府采购政策</w:t>
      </w:r>
      <w:bookmarkEnd w:id="42"/>
    </w:p>
    <w:p w14:paraId="148DF36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130E984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4DFBEB2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0932EC1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2F9EDC3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bookmarkEnd w:id="43"/>
    </w:p>
    <w:p w14:paraId="2BA792B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4.</w:t>
      </w:r>
      <w:r>
        <w:rPr>
          <w:rFonts w:hint="eastAsia" w:ascii="宋体" w:hAnsi="宋体" w:cs="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B22213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5.对在“信用中国”网站 、中国政府采购网被列入失信被执行人、重大税收违法失信主体、政府采购严重违法失信行为记录名单及其他不符合《中华人民共和国政府采购法》第二十二条规定条件的供应商，不得参与政府采购活动。</w:t>
      </w:r>
    </w:p>
    <w:p w14:paraId="68508C4B">
      <w:pPr>
        <w:spacing w:line="360" w:lineRule="auto"/>
        <w:ind w:firstLine="422" w:firstLineChars="200"/>
        <w:outlineLvl w:val="2"/>
        <w:rPr>
          <w:rFonts w:ascii="宋体" w:hAnsi="宋体" w:cs="宋体"/>
          <w:color w:val="auto"/>
          <w:kern w:val="0"/>
          <w:szCs w:val="21"/>
          <w:highlight w:val="none"/>
        </w:rPr>
      </w:pPr>
      <w:bookmarkStart w:id="44" w:name="_Toc5729"/>
      <w:r>
        <w:rPr>
          <w:rFonts w:hint="eastAsia" w:ascii="宋体" w:hAnsi="宋体" w:cs="宋体"/>
          <w:b/>
          <w:bCs/>
          <w:color w:val="auto"/>
          <w:kern w:val="0"/>
          <w:szCs w:val="21"/>
          <w:highlight w:val="none"/>
        </w:rPr>
        <w:t>6.</w:t>
      </w:r>
      <w:r>
        <w:rPr>
          <w:rFonts w:hint="eastAsia" w:ascii="宋体" w:hAnsi="宋体" w:cs="宋体"/>
          <w:b/>
          <w:bCs/>
          <w:color w:val="auto"/>
          <w:szCs w:val="21"/>
          <w:highlight w:val="none"/>
        </w:rPr>
        <w:t>在线竞标的有关说明</w:t>
      </w:r>
      <w:r>
        <w:rPr>
          <w:rFonts w:hint="eastAsia" w:ascii="宋体" w:hAnsi="宋体" w:cs="宋体"/>
          <w:b/>
          <w:bCs/>
          <w:color w:val="auto"/>
          <w:kern w:val="0"/>
          <w:szCs w:val="21"/>
          <w:highlight w:val="none"/>
        </w:rPr>
        <w:t>：</w:t>
      </w:r>
      <w:bookmarkEnd w:id="44"/>
    </w:p>
    <w:p w14:paraId="2AD98FEF">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响应文件提交方式：本项目为全流程电子化项目，通过广西政府采购云平台实行在线电子响应，供应商应先安装广西政府采购云平台新版客户端（新版客户端下载路径：广西政府采购网（访问地址—办事服务—下载专区），并按照本项目采购文件和广西政府采购云平台的要求编制、加密后在响应文件提交截止时间前通过网络上传至广西政府采购云平台，</w:t>
      </w:r>
      <w:r>
        <w:rPr>
          <w:rFonts w:hint="eastAsia" w:ascii="宋体" w:hAnsi="宋体" w:cs="宋体"/>
          <w:b/>
          <w:color w:val="auto"/>
          <w:szCs w:val="21"/>
          <w:highlight w:val="none"/>
        </w:rPr>
        <w:t>供应商在广西政府采购云平台提交电子版响应文件时，请填写参加远程开标活动经办人联系方式</w:t>
      </w:r>
      <w:r>
        <w:rPr>
          <w:rFonts w:hint="eastAsia" w:ascii="宋体" w:hAnsi="宋体" w:cs="宋体"/>
          <w:color w:val="auto"/>
          <w:szCs w:val="21"/>
          <w:highlight w:val="none"/>
        </w:rPr>
        <w:t>。</w:t>
      </w:r>
    </w:p>
    <w:p w14:paraId="75068580">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未进行网上注册并办理数字证书（CA认证）的供应商将无法参与本项目政府采购活动，潜在供应商应当在首次响应文件提交截止时间前，完成电子交易平台上的CA数字证书办理及响应文件的提交。（3）为确保网上操作合法、有效和安全，请供应商确保在电子响应过程中能够对相关数据电文进行加密和使用电子签章，妥善保管CA数字证书并使用有效的CA数字证书参与整个采购活动。</w:t>
      </w:r>
    </w:p>
    <w:p w14:paraId="785504CE">
      <w:pPr>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w:t>
      </w:r>
      <w:r>
        <w:rPr>
          <w:rFonts w:hint="eastAsia" w:ascii="宋体" w:hAnsi="宋体" w:cs="宋体"/>
          <w:b/>
          <w:color w:val="auto"/>
          <w:szCs w:val="21"/>
          <w:highlight w:val="none"/>
        </w:rPr>
        <w:t>响应文件提交</w:t>
      </w:r>
      <w:r>
        <w:rPr>
          <w:rFonts w:hint="eastAsia" w:ascii="宋体" w:hAnsi="宋体" w:cs="宋体"/>
          <w:b/>
          <w:color w:val="auto"/>
          <w:szCs w:val="21"/>
          <w:highlight w:val="none"/>
          <w:u w:val="single"/>
        </w:rPr>
        <w:t>截止时间前未完成上传、递交的，视为撤回响应文件。响应文件提交截止时间以后上传递交的响应文件的，广西政府采购云平台将予以拒收。</w:t>
      </w:r>
    </w:p>
    <w:p w14:paraId="1F7BD8AA">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（4）CA证书在线解密：首次响应文件开启时，需要供应商携带制作响应文件时用来加密的有效数字证书（CA认证）登录</w:t>
      </w:r>
      <w:r>
        <w:rPr>
          <w:rFonts w:hint="eastAsia" w:ascii="宋体" w:hAnsi="宋体" w:cs="宋体"/>
          <w:color w:val="auto"/>
          <w:szCs w:val="21"/>
          <w:highlight w:val="none"/>
        </w:rPr>
        <w:t>广西政府采购云平台</w:t>
      </w:r>
      <w:r>
        <w:rPr>
          <w:rFonts w:hint="eastAsia" w:ascii="宋体" w:hAnsi="宋体" w:cs="宋体"/>
          <w:color w:val="auto"/>
          <w:kern w:val="0"/>
          <w:szCs w:val="21"/>
          <w:highlight w:val="none"/>
        </w:rPr>
        <w:t>电子开标大厅现场按规定时间对加密的响应文件进行解密。</w:t>
      </w:r>
    </w:p>
    <w:p w14:paraId="3735B20C">
      <w:pPr>
        <w:spacing w:line="360" w:lineRule="auto"/>
        <w:ind w:firstLine="420" w:firstLineChars="200"/>
        <w:rPr>
          <w:rFonts w:ascii="宋体" w:hAnsi="宋体" w:cs="宋体"/>
          <w:color w:val="auto"/>
          <w:highlight w:val="none"/>
        </w:rPr>
      </w:pPr>
      <w:r>
        <w:rPr>
          <w:rFonts w:hint="eastAsia" w:ascii="宋体" w:hAnsi="宋体" w:cs="宋体"/>
          <w:color w:val="auto"/>
          <w:kern w:val="0"/>
          <w:szCs w:val="21"/>
          <w:highlight w:val="none"/>
        </w:rPr>
        <w:t>（5）供应商需要在具备有摄像头及语音功能且互联网网络状况良好的电脑登录</w:t>
      </w:r>
      <w:r>
        <w:rPr>
          <w:rFonts w:hint="eastAsia" w:ascii="宋体" w:hAnsi="宋体" w:cs="宋体"/>
          <w:color w:val="auto"/>
          <w:szCs w:val="21"/>
          <w:highlight w:val="none"/>
        </w:rPr>
        <w:t>广西政府采购云平台</w:t>
      </w:r>
      <w:r>
        <w:rPr>
          <w:rFonts w:hint="eastAsia" w:ascii="宋体" w:hAnsi="宋体" w:cs="宋体"/>
          <w:color w:val="auto"/>
          <w:kern w:val="0"/>
          <w:szCs w:val="21"/>
          <w:highlight w:val="none"/>
        </w:rPr>
        <w:t>远程开标大厅参与本次磋商，否则后果自负。</w:t>
      </w:r>
    </w:p>
    <w:p w14:paraId="535F681E">
      <w:pPr>
        <w:pStyle w:val="11"/>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 若对项目采购电子交易系统操作有疑问，可登录</w:t>
      </w:r>
      <w:r>
        <w:rPr>
          <w:rFonts w:hint="eastAsia" w:ascii="宋体" w:hAnsi="宋体" w:cs="宋体"/>
          <w:color w:val="auto"/>
          <w:szCs w:val="21"/>
          <w:highlight w:val="none"/>
        </w:rPr>
        <w:t>广西政府采购云平台</w:t>
      </w:r>
      <w:r>
        <w:rPr>
          <w:rFonts w:hint="eastAsia" w:ascii="宋体" w:hAnsi="宋体" w:cs="宋体"/>
          <w:color w:val="auto"/>
          <w:kern w:val="0"/>
          <w:szCs w:val="21"/>
          <w:highlight w:val="none"/>
        </w:rPr>
        <w:t>，点击右侧咨询小采，获取采小蜜智能服务管家帮助，或拨打</w:t>
      </w:r>
      <w:r>
        <w:rPr>
          <w:rFonts w:hint="eastAsia" w:ascii="宋体" w:hAnsi="宋体" w:cs="宋体"/>
          <w:color w:val="auto"/>
          <w:szCs w:val="21"/>
          <w:highlight w:val="none"/>
        </w:rPr>
        <w:t>广西政府采购云平台</w:t>
      </w:r>
      <w:r>
        <w:rPr>
          <w:rFonts w:hint="eastAsia" w:ascii="宋体" w:hAnsi="宋体" w:cs="宋体"/>
          <w:color w:val="auto"/>
          <w:kern w:val="0"/>
          <w:szCs w:val="21"/>
          <w:highlight w:val="none"/>
        </w:rPr>
        <w:t xml:space="preserve">服务热线95763获取热线服务帮助。 </w:t>
      </w:r>
    </w:p>
    <w:p w14:paraId="0450FCAA">
      <w:pPr>
        <w:pStyle w:val="11"/>
        <w:spacing w:line="360" w:lineRule="auto"/>
        <w:ind w:left="420" w:leftChars="200"/>
        <w:rPr>
          <w:rFonts w:ascii="宋体" w:hAnsi="宋体" w:cs="宋体"/>
          <w:color w:val="auto"/>
          <w:kern w:val="0"/>
          <w:szCs w:val="21"/>
          <w:highlight w:val="none"/>
        </w:rPr>
      </w:pPr>
      <w:r>
        <w:rPr>
          <w:rFonts w:hint="eastAsia" w:ascii="宋体" w:hAnsi="宋体" w:cs="宋体"/>
          <w:color w:val="auto"/>
          <w:kern w:val="0"/>
          <w:szCs w:val="21"/>
          <w:highlight w:val="none"/>
        </w:rPr>
        <w:t>8.监督部门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名称：</w:t>
      </w:r>
      <w:r>
        <w:rPr>
          <w:rFonts w:hint="eastAsia" w:ascii="宋体" w:hAnsi="宋体" w:cs="宋体"/>
          <w:color w:val="auto"/>
          <w:kern w:val="0"/>
          <w:szCs w:val="21"/>
          <w:highlight w:val="none"/>
          <w:lang w:eastAsia="zh-CN"/>
        </w:rPr>
        <w:t>上思县政府采购中心</w:t>
      </w:r>
      <w:r>
        <w:rPr>
          <w:rFonts w:hint="eastAsia" w:ascii="宋体" w:hAnsi="宋体" w:cs="宋体"/>
          <w:color w:val="auto"/>
          <w:kern w:val="0"/>
          <w:szCs w:val="21"/>
          <w:highlight w:val="none"/>
        </w:rPr>
        <w:t>，电话：</w:t>
      </w:r>
      <w:r>
        <w:rPr>
          <w:rFonts w:hint="eastAsia" w:ascii="宋体" w:hAnsi="宋体" w:cs="宋体"/>
          <w:color w:val="auto"/>
          <w:kern w:val="0"/>
          <w:szCs w:val="21"/>
          <w:highlight w:val="none"/>
          <w:lang w:eastAsia="zh-CN"/>
        </w:rPr>
        <w:t>0770-8521708</w:t>
      </w:r>
      <w:r>
        <w:rPr>
          <w:rFonts w:hint="eastAsia" w:ascii="宋体" w:hAnsi="宋体" w:cs="宋体"/>
          <w:color w:val="auto"/>
          <w:kern w:val="0"/>
          <w:szCs w:val="21"/>
          <w:highlight w:val="none"/>
        </w:rPr>
        <w:t>           </w:t>
      </w:r>
    </w:p>
    <w:p w14:paraId="52E5C61D">
      <w:pPr>
        <w:spacing w:line="360" w:lineRule="auto"/>
        <w:ind w:firstLine="482" w:firstLineChars="200"/>
        <w:outlineLvl w:val="1"/>
        <w:rPr>
          <w:rFonts w:ascii="宋体" w:hAnsi="宋体" w:cs="宋体"/>
          <w:bCs/>
          <w:color w:val="auto"/>
          <w:sz w:val="24"/>
          <w:highlight w:val="none"/>
        </w:rPr>
      </w:pPr>
      <w:bookmarkStart w:id="45" w:name="_Toc20845"/>
      <w:r>
        <w:rPr>
          <w:rFonts w:hint="eastAsia" w:ascii="宋体" w:hAnsi="宋体" w:cs="宋体"/>
          <w:b/>
          <w:color w:val="auto"/>
          <w:kern w:val="44"/>
          <w:sz w:val="24"/>
          <w:highlight w:val="none"/>
        </w:rPr>
        <w:t>八、凡对本次采购提出询问，请按以下方式联系。</w:t>
      </w:r>
      <w:bookmarkEnd w:id="45"/>
    </w:p>
    <w:p w14:paraId="1BF13C57">
      <w:pPr>
        <w:spacing w:line="360" w:lineRule="auto"/>
        <w:ind w:firstLine="735" w:firstLineChars="350"/>
        <w:jc w:val="left"/>
        <w:outlineLvl w:val="2"/>
        <w:rPr>
          <w:rFonts w:ascii="宋体" w:hAnsi="宋体" w:cs="宋体"/>
          <w:color w:val="auto"/>
          <w:szCs w:val="21"/>
          <w:highlight w:val="none"/>
        </w:rPr>
      </w:pPr>
      <w:bookmarkStart w:id="46" w:name="_Toc22143"/>
      <w:r>
        <w:rPr>
          <w:rFonts w:hint="eastAsia" w:ascii="宋体" w:hAnsi="宋体" w:cs="宋体"/>
          <w:color w:val="auto"/>
          <w:szCs w:val="21"/>
          <w:highlight w:val="none"/>
        </w:rPr>
        <w:t>1.采购人信息</w:t>
      </w:r>
      <w:bookmarkEnd w:id="46"/>
    </w:p>
    <w:p w14:paraId="4383A624">
      <w:pPr>
        <w:spacing w:line="360" w:lineRule="auto"/>
        <w:ind w:left="1041" w:leftChars="371" w:hanging="262" w:hangingChars="125"/>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上思县人民法院</w:t>
      </w:r>
    </w:p>
    <w:p w14:paraId="042A4B3B">
      <w:pPr>
        <w:spacing w:line="360" w:lineRule="auto"/>
        <w:ind w:left="1041" w:leftChars="371" w:hanging="262" w:hangingChars="125"/>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上思县团结东路156号</w:t>
      </w:r>
    </w:p>
    <w:p w14:paraId="119B21A9">
      <w:pPr>
        <w:spacing w:line="360" w:lineRule="auto"/>
        <w:ind w:left="1041" w:leftChars="371" w:hanging="262" w:hangingChars="125"/>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联系方式：</w:t>
      </w:r>
      <w:r>
        <w:rPr>
          <w:rFonts w:hint="eastAsia" w:ascii="宋体" w:hAnsi="宋体" w:cs="宋体"/>
          <w:color w:val="auto"/>
          <w:szCs w:val="21"/>
          <w:highlight w:val="none"/>
          <w:lang w:eastAsia="zh-CN"/>
        </w:rPr>
        <w:t>冯淑艳</w:t>
      </w:r>
      <w:r>
        <w:rPr>
          <w:rFonts w:hint="eastAsia" w:ascii="宋体" w:hAnsi="宋体" w:cs="宋体"/>
          <w:color w:val="auto"/>
          <w:szCs w:val="21"/>
          <w:highlight w:val="none"/>
        </w:rPr>
        <w:t>，</w:t>
      </w:r>
      <w:r>
        <w:rPr>
          <w:rFonts w:hint="eastAsia" w:ascii="宋体" w:hAnsi="宋体" w:cs="宋体"/>
          <w:color w:val="auto"/>
          <w:szCs w:val="21"/>
          <w:highlight w:val="none"/>
          <w:lang w:eastAsia="zh-CN"/>
        </w:rPr>
        <w:t>0770-8525058</w:t>
      </w:r>
    </w:p>
    <w:p w14:paraId="14A613B2">
      <w:pPr>
        <w:spacing w:line="360" w:lineRule="auto"/>
        <w:ind w:left="1041" w:leftChars="371" w:hanging="262" w:hangingChars="125"/>
        <w:jc w:val="left"/>
        <w:rPr>
          <w:rFonts w:ascii="宋体" w:hAnsi="宋体" w:cs="宋体"/>
          <w:color w:val="auto"/>
          <w:szCs w:val="21"/>
          <w:highlight w:val="none"/>
        </w:rPr>
      </w:pPr>
      <w:bookmarkStart w:id="47" w:name="_Toc10517"/>
      <w:r>
        <w:rPr>
          <w:rFonts w:hint="eastAsia" w:ascii="宋体" w:hAnsi="宋体" w:cs="宋体"/>
          <w:color w:val="auto"/>
          <w:szCs w:val="21"/>
          <w:highlight w:val="none"/>
        </w:rPr>
        <w:t>2.采购代理机构信息</w:t>
      </w:r>
      <w:bookmarkEnd w:id="47"/>
    </w:p>
    <w:p w14:paraId="76FDA00A">
      <w:pPr>
        <w:spacing w:line="360" w:lineRule="auto"/>
        <w:ind w:firstLine="735" w:firstLineChars="35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广西科举招标代理有限公司</w:t>
      </w:r>
    </w:p>
    <w:p w14:paraId="1788CD09">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防城港市港口区西湾广场财苑小区8号2楼</w:t>
      </w:r>
      <w:r>
        <w:rPr>
          <w:rFonts w:hint="eastAsia" w:ascii="宋体" w:hAnsi="宋体" w:cs="宋体"/>
          <w:color w:val="auto"/>
          <w:szCs w:val="21"/>
          <w:highlight w:val="none"/>
        </w:rPr>
        <w:t xml:space="preserve"> </w:t>
      </w:r>
    </w:p>
    <w:p w14:paraId="45588212">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eastAsia="zh-CN"/>
        </w:rPr>
        <w:t>黄华鸿</w:t>
      </w:r>
    </w:p>
    <w:p w14:paraId="4AB8B1BC">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联系方式：</w:t>
      </w:r>
      <w:r>
        <w:rPr>
          <w:rFonts w:hint="eastAsia" w:ascii="宋体" w:hAnsi="宋体" w:cs="宋体"/>
          <w:color w:val="auto"/>
          <w:szCs w:val="21"/>
          <w:highlight w:val="none"/>
          <w:lang w:eastAsia="zh-CN"/>
        </w:rPr>
        <w:t>13507701010</w:t>
      </w:r>
    </w:p>
    <w:p w14:paraId="0A23EB84">
      <w:pPr>
        <w:pStyle w:val="11"/>
        <w:spacing w:line="360" w:lineRule="auto"/>
        <w:ind w:firstLine="420" w:firstLineChars="200"/>
        <w:jc w:val="right"/>
        <w:rPr>
          <w:rFonts w:ascii="宋体" w:hAnsi="宋体" w:cs="宋体"/>
          <w:color w:val="auto"/>
          <w:szCs w:val="21"/>
          <w:highlight w:val="none"/>
        </w:rPr>
      </w:pPr>
    </w:p>
    <w:p w14:paraId="2B00226E">
      <w:pPr>
        <w:spacing w:line="360" w:lineRule="auto"/>
        <w:jc w:val="right"/>
        <w:rPr>
          <w:color w:val="auto"/>
          <w:highlight w:val="none"/>
        </w:rPr>
      </w:pPr>
      <w:r>
        <w:rPr>
          <w:rFonts w:hint="eastAsia" w:ascii="宋体" w:hAnsi="宋体" w:cs="宋体"/>
          <w:color w:val="auto"/>
          <w:kern w:val="0"/>
          <w:szCs w:val="21"/>
          <w:highlight w:val="none"/>
          <w:shd w:val="clear" w:color="auto" w:fill="FFFFFF"/>
        </w:rPr>
        <w:t>采购人：</w:t>
      </w:r>
      <w:r>
        <w:rPr>
          <w:rFonts w:hint="eastAsia" w:ascii="宋体" w:hAnsi="宋体" w:cs="宋体"/>
          <w:color w:val="auto"/>
          <w:szCs w:val="21"/>
          <w:highlight w:val="none"/>
          <w:lang w:eastAsia="zh-CN"/>
        </w:rPr>
        <w:t>上思县人民法院</w:t>
      </w:r>
      <w:r>
        <w:rPr>
          <w:rFonts w:hint="eastAsia" w:ascii="宋体" w:hAnsi="宋体" w:cs="宋体"/>
          <w:color w:val="auto"/>
          <w:szCs w:val="21"/>
          <w:highlight w:val="none"/>
        </w:rPr>
        <w:t>　　　　　</w:t>
      </w:r>
      <w:r>
        <w:rPr>
          <w:rFonts w:hint="eastAsia" w:ascii="宋体" w:hAnsi="宋体" w:cs="宋体"/>
          <w:color w:val="auto"/>
          <w:sz w:val="24"/>
          <w:highlight w:val="none"/>
        </w:rPr>
        <w:t>　　　</w:t>
      </w:r>
    </w:p>
    <w:p w14:paraId="70BFBD20">
      <w:pPr>
        <w:spacing w:line="360" w:lineRule="auto"/>
        <w:jc w:val="right"/>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rPr>
        <w:t>采购代理机构：</w:t>
      </w:r>
      <w:r>
        <w:rPr>
          <w:rFonts w:hint="eastAsia" w:ascii="宋体" w:hAnsi="宋体" w:cs="宋体"/>
          <w:color w:val="auto"/>
          <w:kern w:val="0"/>
          <w:szCs w:val="21"/>
          <w:highlight w:val="none"/>
          <w:shd w:val="clear" w:color="auto" w:fill="FFFFFF"/>
          <w:lang w:eastAsia="zh-CN"/>
        </w:rPr>
        <w:t>广西科举招标代理有限公司</w:t>
      </w:r>
    </w:p>
    <w:p w14:paraId="34EB42BF">
      <w:pPr>
        <w:spacing w:line="360" w:lineRule="auto"/>
        <w:jc w:val="right"/>
        <w:rPr>
          <w:rFonts w:ascii="宋体" w:hAnsi="宋体" w:cs="宋体"/>
          <w:color w:val="auto"/>
          <w:sz w:val="32"/>
          <w:szCs w:val="32"/>
          <w:highlight w:val="none"/>
        </w:rPr>
      </w:pPr>
      <w:r>
        <w:rPr>
          <w:rFonts w:hint="eastAsia"/>
          <w:color w:val="auto"/>
          <w:highlight w:val="none"/>
        </w:rPr>
        <w:t>2025年</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21</w:t>
      </w:r>
      <w:r>
        <w:rPr>
          <w:rFonts w:hint="eastAsia"/>
          <w:color w:val="auto"/>
          <w:highlight w:val="none"/>
        </w:rPr>
        <w:t>日</w:t>
      </w:r>
      <w:bookmarkStart w:id="48" w:name="_Toc32283"/>
      <w:bookmarkStart w:id="49" w:name="_Toc80886926"/>
      <w:bookmarkStart w:id="50" w:name="_Toc9127"/>
      <w:bookmarkStart w:id="51" w:name="_Toc22325"/>
      <w:bookmarkStart w:id="52" w:name="_Toc11093"/>
      <w:bookmarkStart w:id="53" w:name="_Toc7184"/>
      <w:bookmarkStart w:id="54" w:name="_Toc25520"/>
      <w:bookmarkStart w:id="55" w:name="_Toc26836"/>
      <w:bookmarkStart w:id="56" w:name="_Toc22760"/>
    </w:p>
    <w:p w14:paraId="2D3C30CB">
      <w:pPr>
        <w:pStyle w:val="4"/>
        <w:spacing w:line="360" w:lineRule="auto"/>
        <w:rPr>
          <w:rFonts w:ascii="宋体" w:hAnsi="宋体" w:cs="宋体"/>
          <w:bCs w:val="0"/>
          <w:color w:val="auto"/>
          <w:sz w:val="32"/>
          <w:szCs w:val="32"/>
          <w:highlight w:val="none"/>
        </w:rPr>
      </w:pPr>
    </w:p>
    <w:p w14:paraId="0486B5B3">
      <w:pPr>
        <w:pStyle w:val="4"/>
        <w:spacing w:line="360" w:lineRule="auto"/>
        <w:jc w:val="center"/>
        <w:rPr>
          <w:rFonts w:ascii="宋体" w:hAnsi="宋体" w:cs="宋体"/>
          <w:bCs w:val="0"/>
          <w:color w:val="auto"/>
          <w:sz w:val="32"/>
          <w:szCs w:val="32"/>
          <w:highlight w:val="none"/>
        </w:rPr>
      </w:pPr>
    </w:p>
    <w:p w14:paraId="2F8B37FD">
      <w:pPr>
        <w:rPr>
          <w:color w:val="auto"/>
          <w:highlight w:val="none"/>
        </w:rPr>
      </w:pPr>
    </w:p>
    <w:p w14:paraId="3D6E260C">
      <w:pPr>
        <w:rPr>
          <w:color w:val="auto"/>
          <w:highlight w:val="none"/>
        </w:rPr>
      </w:pPr>
    </w:p>
    <w:p w14:paraId="51BFA866">
      <w:pPr>
        <w:rPr>
          <w:color w:val="auto"/>
          <w:highlight w:val="none"/>
        </w:rPr>
      </w:pPr>
    </w:p>
    <w:p w14:paraId="21A5A513">
      <w:pPr>
        <w:rPr>
          <w:color w:val="auto"/>
          <w:highlight w:val="none"/>
        </w:rPr>
      </w:pPr>
    </w:p>
    <w:p w14:paraId="11BFD033">
      <w:pPr>
        <w:pStyle w:val="4"/>
        <w:kinsoku w:val="0"/>
        <w:overflowPunct w:val="0"/>
        <w:spacing w:line="360" w:lineRule="auto"/>
        <w:jc w:val="center"/>
        <w:rPr>
          <w:rFonts w:ascii="宋体" w:hAnsi="宋体" w:cs="宋体"/>
          <w:bCs w:val="0"/>
          <w:color w:val="auto"/>
          <w:sz w:val="32"/>
          <w:szCs w:val="32"/>
          <w:highlight w:val="none"/>
        </w:rPr>
      </w:pPr>
      <w:r>
        <w:rPr>
          <w:rFonts w:hint="eastAsia" w:ascii="宋体" w:hAnsi="宋体" w:cs="宋体"/>
          <w:bCs w:val="0"/>
          <w:color w:val="auto"/>
          <w:sz w:val="32"/>
          <w:szCs w:val="32"/>
          <w:highlight w:val="none"/>
        </w:rPr>
        <w:t>第二章 采购需求</w:t>
      </w:r>
      <w:bookmarkEnd w:id="48"/>
      <w:bookmarkEnd w:id="49"/>
      <w:bookmarkEnd w:id="50"/>
      <w:bookmarkEnd w:id="51"/>
      <w:bookmarkEnd w:id="52"/>
      <w:bookmarkEnd w:id="53"/>
      <w:bookmarkEnd w:id="54"/>
      <w:bookmarkEnd w:id="55"/>
    </w:p>
    <w:bookmarkEnd w:id="56"/>
    <w:p w14:paraId="6D20C908">
      <w:pPr>
        <w:spacing w:line="360" w:lineRule="exact"/>
        <w:rPr>
          <w:rFonts w:ascii="宋体" w:hAnsi="宋体" w:cs="宋体"/>
          <w:b/>
          <w:bCs/>
          <w:color w:val="auto"/>
          <w:highlight w:val="none"/>
        </w:rPr>
      </w:pPr>
      <w:r>
        <w:rPr>
          <w:rFonts w:hint="eastAsia" w:ascii="宋体" w:hAnsi="宋体" w:cs="宋体"/>
          <w:b/>
          <w:bCs/>
          <w:color w:val="auto"/>
          <w:highlight w:val="none"/>
        </w:rPr>
        <w:t>说明：</w:t>
      </w:r>
    </w:p>
    <w:p w14:paraId="781218ED">
      <w:pPr>
        <w:spacing w:line="360" w:lineRule="exact"/>
        <w:ind w:firstLine="411" w:firstLineChars="195"/>
        <w:rPr>
          <w:rFonts w:ascii="宋体" w:hAnsi="宋体" w:cs="宋体"/>
          <w:b/>
          <w:bCs/>
          <w:color w:val="auto"/>
          <w:highlight w:val="none"/>
        </w:rPr>
      </w:pPr>
      <w:r>
        <w:rPr>
          <w:rFonts w:hint="eastAsia" w:ascii="宋体" w:hAnsi="宋体" w:cs="宋体"/>
          <w:b/>
          <w:color w:val="auto"/>
          <w:szCs w:val="21"/>
          <w:highlight w:val="none"/>
        </w:rPr>
        <w:t>1、供应商应对磋商内容所涉及的专利承担法律责任，并负责保护业主的利益不受任何损害。一切由于文字、商标、技术和软件专利授权引起的法律裁决、诉讼和赔偿费用均由成交供应商负责。</w:t>
      </w:r>
      <w:r>
        <w:rPr>
          <w:rFonts w:hint="eastAsia" w:ascii="宋体" w:hAnsi="宋体" w:cs="宋体"/>
          <w:b/>
          <w:color w:val="auto"/>
          <w:highlight w:val="none"/>
        </w:rPr>
        <w:t>同时，具有产品专利的供应商应在其响应文件中提供与其自有产品专利相关的有效证明材料，否则，</w:t>
      </w:r>
      <w:r>
        <w:rPr>
          <w:rFonts w:hint="eastAsia" w:ascii="宋体" w:hAnsi="宋体" w:cs="宋体"/>
          <w:b/>
          <w:bCs/>
          <w:color w:val="auto"/>
          <w:highlight w:val="none"/>
        </w:rPr>
        <w:t>不能就其产品的专利在本项目磋商过程中被侵权问题而提出异议。</w:t>
      </w:r>
    </w:p>
    <w:p w14:paraId="746D5E08">
      <w:pPr>
        <w:spacing w:line="380" w:lineRule="exact"/>
        <w:ind w:firstLine="426" w:firstLineChars="202"/>
        <w:jc w:val="left"/>
        <w:rPr>
          <w:rFonts w:ascii="宋体" w:hAnsi="宋体" w:cs="宋体"/>
          <w:b/>
          <w:bCs/>
          <w:color w:val="auto"/>
          <w:szCs w:val="21"/>
          <w:highlight w:val="none"/>
        </w:rPr>
      </w:pPr>
      <w:r>
        <w:rPr>
          <w:rFonts w:hint="eastAsia" w:ascii="宋体" w:hAnsi="宋体" w:cs="宋体"/>
          <w:b/>
          <w:bCs/>
          <w:color w:val="auto"/>
          <w:szCs w:val="21"/>
          <w:highlight w:val="none"/>
        </w:rPr>
        <w:t>2、</w:t>
      </w:r>
      <w:bookmarkStart w:id="57" w:name="工期要求"/>
      <w:bookmarkEnd w:id="57"/>
      <w:r>
        <w:rPr>
          <w:rFonts w:hint="eastAsia" w:ascii="宋体" w:hAnsi="宋体" w:cs="宋体"/>
          <w:b/>
          <w:bCs/>
          <w:color w:val="auto"/>
          <w:szCs w:val="21"/>
          <w:highlight w:val="none"/>
        </w:rPr>
        <w:t>供应商应承诺响应文件中提供的证明材料和资质文件真实，如出现虚假应标情况，供应商除了应接受有关部门的处罚外，还应</w:t>
      </w:r>
      <w:r>
        <w:rPr>
          <w:rFonts w:hint="eastAsia" w:ascii="宋体" w:hAnsi="宋体" w:cs="宋体"/>
          <w:b/>
          <w:bCs/>
          <w:color w:val="auto"/>
          <w:highlight w:val="none"/>
        </w:rPr>
        <w:t>依据《中华人民共和国民法典》的相关条款来确定赔偿金额</w:t>
      </w:r>
      <w:r>
        <w:rPr>
          <w:rFonts w:hint="eastAsia" w:ascii="宋体" w:hAnsi="宋体" w:cs="宋体"/>
          <w:b/>
          <w:bCs/>
          <w:color w:val="auto"/>
          <w:szCs w:val="21"/>
          <w:highlight w:val="none"/>
        </w:rPr>
        <w:t>。</w:t>
      </w:r>
    </w:p>
    <w:p w14:paraId="7927D074">
      <w:pPr>
        <w:spacing w:line="360" w:lineRule="atLeast"/>
        <w:ind w:firstLine="426" w:firstLineChars="202"/>
        <w:jc w:val="left"/>
        <w:rPr>
          <w:rFonts w:hint="eastAsia" w:ascii="宋体" w:hAnsi="宋体"/>
          <w:b/>
          <w:color w:val="auto"/>
          <w:szCs w:val="21"/>
          <w:highlight w:val="none"/>
        </w:rPr>
      </w:pPr>
      <w:r>
        <w:rPr>
          <w:rFonts w:hint="eastAsia" w:ascii="宋体" w:hAnsi="宋体"/>
          <w:b/>
          <w:color w:val="auto"/>
          <w:szCs w:val="21"/>
          <w:highlight w:val="none"/>
        </w:rPr>
        <w:t>3、“实质性要求”是指竞争性磋商文件中已经指明不满足则磋商无效的条款，或者不响应（或负偏离）的条款，或者采购项目需求中带“▲”的条款。本项目凡标注“▲”的条款或要求不响应或不满足的，供应商投标响应文件即作无效处理。</w:t>
      </w:r>
    </w:p>
    <w:p w14:paraId="1E84448A">
      <w:pPr>
        <w:spacing w:line="360" w:lineRule="atLeast"/>
        <w:ind w:firstLine="424" w:firstLineChars="202"/>
        <w:jc w:val="left"/>
        <w:rPr>
          <w:color w:val="auto"/>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、项目所属行业：</w:t>
      </w:r>
      <w:r>
        <w:rPr>
          <w:rFonts w:hint="eastAsia" w:ascii="宋体" w:hAnsi="宋体" w:cs="宋体"/>
          <w:b/>
          <w:bCs/>
          <w:color w:val="auto"/>
          <w:kern w:val="0"/>
          <w:szCs w:val="21"/>
          <w:highlight w:val="none"/>
        </w:rPr>
        <w:t>软件和信息技术服务业</w:t>
      </w:r>
      <w:r>
        <w:rPr>
          <w:rFonts w:hint="eastAsia" w:ascii="宋体" w:hAnsi="宋体" w:cs="宋体"/>
          <w:color w:val="auto"/>
          <w:szCs w:val="21"/>
          <w:highlight w:val="none"/>
        </w:rPr>
        <w:t>。</w:t>
      </w:r>
    </w:p>
    <w:p w14:paraId="018114B2">
      <w:pPr>
        <w:rPr>
          <w:color w:val="auto"/>
          <w:highlight w:val="none"/>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
        <w:gridCol w:w="742"/>
        <w:gridCol w:w="723"/>
        <w:gridCol w:w="528"/>
        <w:gridCol w:w="7357"/>
      </w:tblGrid>
      <w:tr w14:paraId="411C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noWrap w:val="0"/>
            <w:vAlign w:val="center"/>
          </w:tcPr>
          <w:p w14:paraId="1E7074AE">
            <w:pPr>
              <w:widowControl/>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0" w:type="auto"/>
            <w:gridSpan w:val="2"/>
            <w:noWrap w:val="0"/>
            <w:vAlign w:val="center"/>
          </w:tcPr>
          <w:p w14:paraId="0B1786D7">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服务项目</w:t>
            </w:r>
          </w:p>
        </w:tc>
        <w:tc>
          <w:tcPr>
            <w:tcW w:w="0" w:type="auto"/>
            <w:noWrap w:val="0"/>
            <w:vAlign w:val="center"/>
          </w:tcPr>
          <w:p w14:paraId="75EFC8B1">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数量</w:t>
            </w:r>
          </w:p>
        </w:tc>
        <w:tc>
          <w:tcPr>
            <w:tcW w:w="0" w:type="auto"/>
            <w:noWrap w:val="0"/>
            <w:vAlign w:val="center"/>
          </w:tcPr>
          <w:p w14:paraId="229B52AD">
            <w:pPr>
              <w:widowControl/>
              <w:jc w:val="center"/>
              <w:textAlignment w:val="top"/>
              <w:rPr>
                <w:rFonts w:ascii="宋体" w:hAnsi="宋体" w:cs="宋体"/>
                <w:b/>
                <w:bCs/>
                <w:color w:val="auto"/>
                <w:szCs w:val="21"/>
                <w:highlight w:val="none"/>
              </w:rPr>
            </w:pPr>
            <w:r>
              <w:rPr>
                <w:rFonts w:hint="eastAsia" w:ascii="宋体" w:hAnsi="宋体" w:cs="宋体"/>
                <w:b/>
                <w:bCs/>
                <w:color w:val="auto"/>
                <w:kern w:val="0"/>
                <w:szCs w:val="21"/>
                <w:highlight w:val="none"/>
                <w:lang w:bidi="ar"/>
              </w:rPr>
              <w:t>项目技术参数及要求</w:t>
            </w:r>
          </w:p>
        </w:tc>
      </w:tr>
      <w:tr w14:paraId="67E51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noWrap w:val="0"/>
            <w:vAlign w:val="center"/>
          </w:tcPr>
          <w:p w14:paraId="012984E7">
            <w:pPr>
              <w:widowControl/>
              <w:textAlignment w:val="center"/>
              <w:rPr>
                <w:rFonts w:hint="eastAsia" w:ascii="宋体" w:hAnsi="宋体" w:eastAsia="宋体" w:cs="宋体"/>
                <w:b/>
                <w:bCs/>
                <w:color w:val="auto"/>
                <w:kern w:val="0"/>
                <w:szCs w:val="21"/>
                <w:highlight w:val="none"/>
                <w:lang w:val="en-US" w:eastAsia="zh-CN" w:bidi="ar"/>
              </w:rPr>
            </w:pPr>
            <w:r>
              <w:rPr>
                <w:rFonts w:hint="eastAsia" w:ascii="宋体" w:hAnsi="宋体" w:cs="宋体"/>
                <w:b/>
                <w:bCs/>
                <w:color w:val="auto"/>
                <w:kern w:val="0"/>
                <w:szCs w:val="21"/>
                <w:highlight w:val="none"/>
                <w:lang w:val="en-US" w:eastAsia="zh-CN" w:bidi="ar"/>
              </w:rPr>
              <w:t>1</w:t>
            </w:r>
          </w:p>
        </w:tc>
        <w:tc>
          <w:tcPr>
            <w:tcW w:w="0" w:type="auto"/>
            <w:gridSpan w:val="2"/>
            <w:noWrap w:val="0"/>
            <w:vAlign w:val="center"/>
          </w:tcPr>
          <w:p w14:paraId="3198E1B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SIM卡租赁服务</w:t>
            </w:r>
          </w:p>
        </w:tc>
        <w:tc>
          <w:tcPr>
            <w:tcW w:w="0" w:type="auto"/>
            <w:noWrap w:val="0"/>
            <w:vAlign w:val="center"/>
          </w:tcPr>
          <w:p w14:paraId="6F95E13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yellow"/>
                <w:lang w:val="en-US" w:eastAsia="zh-CN"/>
              </w:rPr>
              <w:t>94</w:t>
            </w:r>
            <w:r>
              <w:rPr>
                <w:rFonts w:hint="eastAsia" w:ascii="宋体" w:hAnsi="宋体" w:cs="宋体"/>
                <w:color w:val="auto"/>
                <w:szCs w:val="21"/>
                <w:highlight w:val="none"/>
              </w:rPr>
              <w:t>项</w:t>
            </w:r>
          </w:p>
        </w:tc>
        <w:tc>
          <w:tcPr>
            <w:tcW w:w="0" w:type="auto"/>
            <w:noWrap w:val="0"/>
            <w:vAlign w:val="center"/>
          </w:tcPr>
          <w:p w14:paraId="2D40B043">
            <w:pPr>
              <w:widowControl/>
              <w:spacing w:line="360" w:lineRule="auto"/>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提供5G上网套餐的SIM卡服务，租期24月，每张卡每月包含≥</w:t>
            </w:r>
            <w:r>
              <w:rPr>
                <w:rFonts w:ascii="宋体" w:hAnsi="宋体" w:cs="宋体"/>
                <w:color w:val="auto"/>
                <w:kern w:val="0"/>
                <w:szCs w:val="21"/>
                <w:highlight w:val="none"/>
              </w:rPr>
              <w:t>15</w:t>
            </w:r>
            <w:r>
              <w:rPr>
                <w:rFonts w:hint="eastAsia" w:ascii="宋体" w:hAnsi="宋体" w:cs="宋体"/>
                <w:color w:val="auto"/>
                <w:kern w:val="0"/>
                <w:szCs w:val="21"/>
                <w:highlight w:val="none"/>
              </w:rPr>
              <w:t>0GB国内流量，实行当月流量不清零、不限速，流量可累计到次月，套餐流量超支后不限速的服务。</w:t>
            </w:r>
          </w:p>
        </w:tc>
      </w:tr>
      <w:tr w14:paraId="27814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0" w:type="auto"/>
            <w:noWrap w:val="0"/>
            <w:vAlign w:val="center"/>
          </w:tcPr>
          <w:p w14:paraId="4A9F7AFF">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2</w:t>
            </w:r>
          </w:p>
        </w:tc>
        <w:tc>
          <w:tcPr>
            <w:tcW w:w="0" w:type="auto"/>
            <w:gridSpan w:val="2"/>
            <w:noWrap w:val="0"/>
            <w:vAlign w:val="center"/>
          </w:tcPr>
          <w:p w14:paraId="1D2275B1">
            <w:pP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移动办公办案定制化开发服务</w:t>
            </w:r>
          </w:p>
        </w:tc>
        <w:tc>
          <w:tcPr>
            <w:tcW w:w="0" w:type="auto"/>
            <w:noWrap w:val="0"/>
            <w:vAlign w:val="center"/>
          </w:tcPr>
          <w:p w14:paraId="534A09DC">
            <w:pPr>
              <w:widowControl/>
              <w:jc w:val="center"/>
              <w:textAlignment w:val="center"/>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项</w:t>
            </w:r>
          </w:p>
        </w:tc>
        <w:tc>
          <w:tcPr>
            <w:tcW w:w="0" w:type="auto"/>
            <w:noWrap w:val="0"/>
            <w:vAlign w:val="center"/>
          </w:tcPr>
          <w:p w14:paraId="4CB334BA">
            <w:pPr>
              <w:spacing w:line="360" w:lineRule="auto"/>
              <w:rPr>
                <w:rFonts w:ascii="宋体" w:hAnsi="宋体" w:cs="宋体"/>
                <w:color w:val="auto"/>
                <w:highlight w:val="none"/>
              </w:rPr>
            </w:pPr>
            <w:r>
              <w:rPr>
                <w:rFonts w:hint="eastAsia" w:ascii="宋体" w:hAnsi="宋体" w:cs="宋体"/>
                <w:color w:val="auto"/>
                <w:highlight w:val="none"/>
              </w:rPr>
              <w:t>具体包含如下服务内容：</w:t>
            </w:r>
          </w:p>
          <w:p w14:paraId="6B911DB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（一）提供不少于</w:t>
            </w:r>
            <w:r>
              <w:rPr>
                <w:rFonts w:hint="eastAsia" w:ascii="宋体" w:hAnsi="宋体" w:cs="宋体"/>
                <w:color w:val="auto"/>
                <w:highlight w:val="yellow"/>
                <w:lang w:val="en-US" w:eastAsia="zh-CN"/>
              </w:rPr>
              <w:t>94</w:t>
            </w:r>
            <w:r>
              <w:rPr>
                <w:rFonts w:hint="eastAsia" w:ascii="宋体" w:hAnsi="宋体" w:cs="宋体"/>
                <w:color w:val="auto"/>
                <w:highlight w:val="yellow"/>
              </w:rPr>
              <w:t>台</w:t>
            </w:r>
            <w:r>
              <w:rPr>
                <w:rFonts w:hint="eastAsia" w:ascii="宋体" w:hAnsi="宋体" w:cs="宋体"/>
                <w:color w:val="auto"/>
                <w:highlight w:val="none"/>
              </w:rPr>
              <w:t>满足移动办公办案平台性能要求的运行</w:t>
            </w:r>
            <w:r>
              <w:rPr>
                <w:rFonts w:hint="eastAsia" w:ascii="宋体" w:hAnsi="宋体" w:cs="宋体"/>
                <w:color w:val="auto"/>
                <w:highlight w:val="none"/>
                <w:lang w:val="en-US" w:eastAsia="zh-CN"/>
              </w:rPr>
              <w:t>对象</w:t>
            </w:r>
            <w:r>
              <w:rPr>
                <w:rFonts w:hint="eastAsia" w:ascii="宋体" w:hAnsi="宋体" w:cs="宋体"/>
                <w:color w:val="auto"/>
                <w:highlight w:val="none"/>
              </w:rPr>
              <w:t>，应具备相应的功能要求，独立的操作系统及延伸的技术。</w:t>
            </w:r>
          </w:p>
          <w:p w14:paraId="6EFEEA4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（二）提供移动办公办案运行</w:t>
            </w:r>
            <w:r>
              <w:rPr>
                <w:rFonts w:hint="eastAsia" w:ascii="宋体" w:hAnsi="宋体" w:cs="宋体"/>
                <w:color w:val="auto"/>
                <w:highlight w:val="none"/>
                <w:lang w:val="en-US" w:eastAsia="zh-CN"/>
              </w:rPr>
              <w:t>对象</w:t>
            </w:r>
            <w:r>
              <w:rPr>
                <w:rFonts w:hint="eastAsia" w:ascii="宋体" w:hAnsi="宋体" w:cs="宋体"/>
                <w:color w:val="auto"/>
                <w:highlight w:val="none"/>
              </w:rPr>
              <w:t>应用的基础数据高速流量服务；</w:t>
            </w:r>
          </w:p>
          <w:p w14:paraId="0F2ED65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（三）提供定制化移动办公办案运行</w:t>
            </w:r>
            <w:r>
              <w:rPr>
                <w:rFonts w:hint="eastAsia" w:ascii="宋体" w:hAnsi="宋体" w:cs="宋体"/>
                <w:color w:val="auto"/>
                <w:highlight w:val="none"/>
                <w:lang w:val="en-US" w:eastAsia="zh-CN"/>
              </w:rPr>
              <w:t>对象</w:t>
            </w:r>
            <w:r>
              <w:rPr>
                <w:rFonts w:hint="eastAsia" w:ascii="宋体" w:hAnsi="宋体" w:cs="宋体"/>
                <w:color w:val="auto"/>
                <w:highlight w:val="none"/>
              </w:rPr>
              <w:t>使用服务,移动办公办案服务的运行</w:t>
            </w:r>
            <w:r>
              <w:rPr>
                <w:rFonts w:hint="eastAsia" w:ascii="宋体" w:hAnsi="宋体" w:cs="宋体"/>
                <w:color w:val="auto"/>
                <w:highlight w:val="none"/>
                <w:lang w:val="en-US" w:eastAsia="zh-CN"/>
              </w:rPr>
              <w:t>对象</w:t>
            </w:r>
            <w:r>
              <w:rPr>
                <w:rFonts w:hint="eastAsia" w:ascii="宋体" w:hAnsi="宋体" w:cs="宋体"/>
                <w:color w:val="auto"/>
                <w:highlight w:val="none"/>
              </w:rPr>
              <w:t>应满足单系统全网通安全应用，同时支持法院专用的安全系统以及标准安卓系统。</w:t>
            </w:r>
          </w:p>
          <w:p w14:paraId="5D68ED5F">
            <w:pPr>
              <w:spacing w:line="360" w:lineRule="auto"/>
              <w:ind w:firstLine="420" w:firstLineChars="200"/>
              <w:rPr>
                <w:rFonts w:ascii="宋体" w:hAnsi="宋体" w:cs="宋体"/>
                <w:color w:val="auto"/>
                <w:kern w:val="0"/>
                <w:szCs w:val="21"/>
                <w:highlight w:val="none"/>
                <w:lang w:bidi="ar"/>
              </w:rPr>
            </w:pPr>
            <w:r>
              <w:rPr>
                <w:rFonts w:hint="eastAsia" w:ascii="宋体" w:hAnsi="宋体" w:cs="宋体"/>
                <w:color w:val="auto"/>
                <w:highlight w:val="none"/>
              </w:rPr>
              <w:t>（四）运行</w:t>
            </w:r>
            <w:r>
              <w:rPr>
                <w:rFonts w:hint="eastAsia" w:ascii="宋体" w:hAnsi="宋体" w:cs="宋体"/>
                <w:color w:val="auto"/>
                <w:highlight w:val="none"/>
                <w:lang w:val="en-US" w:eastAsia="zh-CN"/>
              </w:rPr>
              <w:t>对象</w:t>
            </w:r>
            <w:r>
              <w:rPr>
                <w:rFonts w:hint="eastAsia" w:ascii="宋体" w:hAnsi="宋体" w:cs="宋体"/>
                <w:color w:val="auto"/>
                <w:highlight w:val="none"/>
              </w:rPr>
              <w:t>操作系统</w:t>
            </w:r>
            <w:r>
              <w:rPr>
                <w:rFonts w:hint="eastAsia" w:ascii="宋体" w:hAnsi="宋体" w:cs="宋体"/>
                <w:color w:val="auto"/>
                <w:kern w:val="0"/>
                <w:szCs w:val="21"/>
                <w:highlight w:val="none"/>
                <w:lang w:bidi="ar"/>
              </w:rPr>
              <w:t>必须承诺支持对采购人现有移动办公业务应用的兼容性，交付前采购人有权要求成交供应商进行系统软件兼容性适配测试，预装采购人指定的APP软件；</w:t>
            </w:r>
          </w:p>
          <w:p w14:paraId="0AB3ECB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（五）运行</w:t>
            </w:r>
            <w:r>
              <w:rPr>
                <w:rFonts w:hint="eastAsia" w:ascii="宋体" w:hAnsi="宋体" w:cs="宋体"/>
                <w:color w:val="auto"/>
                <w:highlight w:val="none"/>
                <w:lang w:val="en-US" w:eastAsia="zh-CN"/>
              </w:rPr>
              <w:t>对象</w:t>
            </w:r>
            <w:r>
              <w:rPr>
                <w:rFonts w:hint="eastAsia" w:ascii="宋体" w:hAnsi="宋体" w:cs="宋体"/>
                <w:color w:val="auto"/>
                <w:kern w:val="0"/>
                <w:szCs w:val="21"/>
                <w:highlight w:val="none"/>
                <w:lang w:bidi="ar"/>
              </w:rPr>
              <w:t>操作系统软件可持续升级，但不能影响移动办公安全接入的权限配置、数据安全和管理策略；</w:t>
            </w:r>
            <w:r>
              <w:rPr>
                <w:rFonts w:ascii="宋体" w:hAnsi="宋体" w:cs="宋体"/>
                <w:color w:val="auto"/>
                <w:highlight w:val="none"/>
              </w:rPr>
              <w:t xml:space="preserve"> </w:t>
            </w:r>
          </w:p>
          <w:p w14:paraId="2400CCF2">
            <w:pPr>
              <w:widowControl/>
              <w:spacing w:line="360" w:lineRule="auto"/>
              <w:ind w:firstLine="420" w:firstLineChars="200"/>
              <w:jc w:val="left"/>
              <w:textAlignment w:val="top"/>
              <w:rPr>
                <w:rFonts w:ascii="宋体" w:hAnsi="宋体"/>
                <w:color w:val="auto"/>
                <w:szCs w:val="21"/>
                <w:highlight w:val="none"/>
              </w:rPr>
            </w:pPr>
            <w:r>
              <w:rPr>
                <w:rFonts w:hint="eastAsia" w:ascii="宋体" w:hAnsi="宋体" w:cs="宋体"/>
                <w:color w:val="auto"/>
                <w:highlight w:val="none"/>
              </w:rPr>
              <w:t>（六）</w:t>
            </w:r>
            <w:r>
              <w:rPr>
                <w:rFonts w:hint="eastAsia" w:ascii="宋体" w:hAnsi="宋体" w:cs="宋体"/>
                <w:color w:val="auto"/>
                <w:kern w:val="0"/>
                <w:szCs w:val="21"/>
                <w:highlight w:val="none"/>
                <w:lang w:bidi="ar"/>
              </w:rPr>
              <w:t>采购人有权要求</w:t>
            </w:r>
            <w:r>
              <w:rPr>
                <w:rFonts w:hint="eastAsia" w:ascii="宋体" w:hAnsi="宋体" w:cs="宋体"/>
                <w:color w:val="auto"/>
                <w:highlight w:val="none"/>
              </w:rPr>
              <w:t>运行</w:t>
            </w:r>
            <w:r>
              <w:rPr>
                <w:rFonts w:hint="eastAsia" w:ascii="宋体" w:hAnsi="宋体" w:cs="宋体"/>
                <w:color w:val="auto"/>
                <w:highlight w:val="none"/>
                <w:lang w:val="en-US" w:eastAsia="zh-CN"/>
              </w:rPr>
              <w:t>对象</w:t>
            </w:r>
            <w:r>
              <w:rPr>
                <w:rFonts w:hint="eastAsia" w:ascii="宋体" w:hAnsi="宋体" w:cs="宋体"/>
                <w:color w:val="auto"/>
                <w:highlight w:val="none"/>
              </w:rPr>
              <w:t>设备出厂预装法院机关定制的开机画面或动画。</w:t>
            </w:r>
          </w:p>
        </w:tc>
      </w:tr>
      <w:tr w14:paraId="42EC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0" w:type="auto"/>
            <w:gridSpan w:val="5"/>
            <w:noWrap w:val="0"/>
            <w:vAlign w:val="center"/>
          </w:tcPr>
          <w:p w14:paraId="0F9144E5">
            <w:pPr>
              <w:widowControl/>
              <w:jc w:val="left"/>
              <w:textAlignment w:val="center"/>
              <w:rPr>
                <w:rFonts w:ascii="宋体" w:hAnsi="宋体" w:cs="宋体"/>
                <w:color w:val="auto"/>
                <w:szCs w:val="21"/>
                <w:highlight w:val="none"/>
              </w:rPr>
            </w:pPr>
            <w:r>
              <w:rPr>
                <w:rFonts w:hint="eastAsia" w:ascii="宋体" w:hAnsi="宋体"/>
                <w:b/>
                <w:color w:val="auto"/>
                <w:szCs w:val="21"/>
                <w:highlight w:val="none"/>
              </w:rPr>
              <w:t>▲</w:t>
            </w:r>
            <w:r>
              <w:rPr>
                <w:rFonts w:hint="eastAsia" w:ascii="宋体" w:hAnsi="宋体" w:cs="宋体"/>
                <w:b/>
                <w:bCs/>
                <w:color w:val="auto"/>
                <w:kern w:val="0"/>
                <w:szCs w:val="21"/>
                <w:highlight w:val="none"/>
                <w:lang w:bidi="ar"/>
              </w:rPr>
              <w:t>商务条款要求</w:t>
            </w:r>
          </w:p>
        </w:tc>
      </w:tr>
      <w:tr w14:paraId="1627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14" w:type="dxa"/>
            <w:gridSpan w:val="2"/>
            <w:noWrap w:val="0"/>
            <w:vAlign w:val="center"/>
          </w:tcPr>
          <w:p w14:paraId="7823A729">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基本要求</w:t>
            </w:r>
          </w:p>
        </w:tc>
        <w:tc>
          <w:tcPr>
            <w:tcW w:w="8645" w:type="dxa"/>
            <w:gridSpan w:val="3"/>
            <w:noWrap w:val="0"/>
            <w:vAlign w:val="center"/>
          </w:tcPr>
          <w:p w14:paraId="11876817">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1、服务期限：自签订合同之日起2年。</w:t>
            </w:r>
          </w:p>
          <w:p w14:paraId="4C49C685">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2、提交服务成果时间：自签订合同之日起</w:t>
            </w:r>
            <w:r>
              <w:rPr>
                <w:rFonts w:hint="eastAsia" w:ascii="宋体" w:hAnsi="宋体" w:cs="宋体"/>
                <w:color w:val="auto"/>
                <w:kern w:val="0"/>
                <w:szCs w:val="21"/>
                <w:highlight w:val="none"/>
                <w:lang w:val="en-US" w:eastAsia="zh-CN" w:bidi="ar"/>
              </w:rPr>
              <w:t>30</w:t>
            </w:r>
            <w:r>
              <w:rPr>
                <w:rFonts w:hint="eastAsia" w:ascii="宋体" w:hAnsi="宋体" w:cs="宋体"/>
                <w:color w:val="auto"/>
                <w:kern w:val="0"/>
                <w:szCs w:val="21"/>
                <w:highlight w:val="none"/>
                <w:lang w:bidi="ar"/>
              </w:rPr>
              <w:t>个</w:t>
            </w:r>
            <w:r>
              <w:rPr>
                <w:rFonts w:hint="eastAsia" w:ascii="宋体" w:hAnsi="宋体" w:cs="宋体"/>
                <w:color w:val="auto"/>
                <w:kern w:val="0"/>
                <w:szCs w:val="21"/>
                <w:highlight w:val="none"/>
                <w:lang w:val="en-US" w:eastAsia="zh-CN" w:bidi="ar"/>
              </w:rPr>
              <w:t>日历日</w:t>
            </w:r>
            <w:r>
              <w:rPr>
                <w:rFonts w:hint="eastAsia" w:ascii="宋体" w:hAnsi="宋体" w:cs="宋体"/>
                <w:color w:val="auto"/>
                <w:kern w:val="0"/>
                <w:szCs w:val="21"/>
                <w:highlight w:val="none"/>
                <w:lang w:bidi="ar"/>
              </w:rPr>
              <w:t>内提供服务所涉及的全部内容交货、安装调试完毕，所有服务内容必须提交使用。</w:t>
            </w:r>
          </w:p>
          <w:p w14:paraId="7DB060BB">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3、服务成果地点：采购人指定地点。</w:t>
            </w:r>
          </w:p>
          <w:p w14:paraId="70C92A86">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4、合同签订时间：自成交通知书发出之日起25个日历天内。</w:t>
            </w:r>
          </w:p>
        </w:tc>
      </w:tr>
      <w:tr w14:paraId="3F1A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14" w:type="dxa"/>
            <w:gridSpan w:val="2"/>
            <w:noWrap w:val="0"/>
            <w:vAlign w:val="center"/>
          </w:tcPr>
          <w:p w14:paraId="17AF24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报价要求</w:t>
            </w:r>
          </w:p>
        </w:tc>
        <w:tc>
          <w:tcPr>
            <w:tcW w:w="8645" w:type="dxa"/>
            <w:gridSpan w:val="3"/>
            <w:noWrap w:val="0"/>
            <w:vAlign w:val="center"/>
          </w:tcPr>
          <w:p w14:paraId="37218872">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磋商报价包含完成本次项目采购服务所需所有费用，包人员、技术支持、售后服务、必要的保险费和各项税费等费用</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 xml:space="preserve"> 服务期间产生的其他费用由成交人自行承担。</w:t>
            </w:r>
          </w:p>
        </w:tc>
      </w:tr>
      <w:tr w14:paraId="3E0D9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214" w:type="dxa"/>
            <w:gridSpan w:val="2"/>
            <w:noWrap w:val="0"/>
            <w:vAlign w:val="center"/>
          </w:tcPr>
          <w:p w14:paraId="33BFCC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合同签订</w:t>
            </w:r>
          </w:p>
        </w:tc>
        <w:tc>
          <w:tcPr>
            <w:tcW w:w="8645" w:type="dxa"/>
            <w:gridSpan w:val="3"/>
            <w:noWrap w:val="0"/>
            <w:vAlign w:val="center"/>
          </w:tcPr>
          <w:p w14:paraId="3EE36877">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成交供应商自成交通知书发出之日起25个日历天内与采购人签订合同，逾期视为放弃成交资格。</w:t>
            </w:r>
          </w:p>
        </w:tc>
      </w:tr>
      <w:tr w14:paraId="6F49A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214" w:type="dxa"/>
            <w:gridSpan w:val="2"/>
            <w:noWrap w:val="0"/>
            <w:vAlign w:val="center"/>
          </w:tcPr>
          <w:p w14:paraId="7AA4935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付款条件</w:t>
            </w:r>
          </w:p>
        </w:tc>
        <w:tc>
          <w:tcPr>
            <w:tcW w:w="8645" w:type="dxa"/>
            <w:gridSpan w:val="3"/>
            <w:noWrap w:val="0"/>
            <w:vAlign w:val="center"/>
          </w:tcPr>
          <w:p w14:paraId="028F9424">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yellow"/>
                <w:lang w:bidi="ar"/>
              </w:rPr>
              <w:t>合同签订后30天内支付合同总金额的</w:t>
            </w:r>
            <w:r>
              <w:rPr>
                <w:rFonts w:hint="eastAsia" w:ascii="宋体" w:hAnsi="宋体" w:cs="宋体"/>
                <w:color w:val="auto"/>
                <w:kern w:val="0"/>
                <w:szCs w:val="21"/>
                <w:highlight w:val="yellow"/>
                <w:lang w:val="en-US" w:eastAsia="zh-CN" w:bidi="ar"/>
              </w:rPr>
              <w:t>50</w:t>
            </w:r>
            <w:r>
              <w:rPr>
                <w:rFonts w:hint="eastAsia" w:ascii="宋体" w:hAnsi="宋体" w:cs="宋体"/>
                <w:color w:val="auto"/>
                <w:kern w:val="0"/>
                <w:szCs w:val="21"/>
                <w:highlight w:val="yellow"/>
                <w:lang w:bidi="ar"/>
              </w:rPr>
              <w:t>%，剩余5</w:t>
            </w:r>
            <w:r>
              <w:rPr>
                <w:rFonts w:hint="eastAsia" w:ascii="宋体" w:hAnsi="宋体" w:cs="宋体"/>
                <w:color w:val="auto"/>
                <w:kern w:val="0"/>
                <w:szCs w:val="21"/>
                <w:highlight w:val="yellow"/>
                <w:lang w:val="en-US" w:eastAsia="zh-CN" w:bidi="ar"/>
              </w:rPr>
              <w:t>0</w:t>
            </w:r>
            <w:r>
              <w:rPr>
                <w:rFonts w:hint="eastAsia" w:ascii="宋体" w:hAnsi="宋体" w:cs="宋体"/>
                <w:color w:val="auto"/>
                <w:kern w:val="0"/>
                <w:szCs w:val="21"/>
                <w:highlight w:val="yellow"/>
                <w:lang w:bidi="ar"/>
              </w:rPr>
              <w:t>%</w:t>
            </w:r>
            <w:r>
              <w:rPr>
                <w:rFonts w:hint="eastAsia" w:ascii="宋体" w:hAnsi="宋体" w:cs="宋体"/>
                <w:color w:val="auto"/>
                <w:kern w:val="0"/>
                <w:szCs w:val="21"/>
                <w:highlight w:val="yellow"/>
                <w:lang w:eastAsia="zh-CN" w:bidi="ar"/>
              </w:rPr>
              <w:t>合同款在服务成果交付验收后</w:t>
            </w:r>
            <w:r>
              <w:rPr>
                <w:rFonts w:hint="eastAsia" w:ascii="宋体" w:hAnsi="宋体" w:cs="宋体"/>
                <w:color w:val="auto"/>
                <w:kern w:val="0"/>
                <w:szCs w:val="21"/>
                <w:highlight w:val="yellow"/>
                <w:lang w:val="en-US" w:eastAsia="zh-CN" w:bidi="ar"/>
              </w:rPr>
              <w:t>30天内</w:t>
            </w:r>
            <w:r>
              <w:rPr>
                <w:rFonts w:hint="eastAsia" w:ascii="宋体" w:hAnsi="宋体" w:cs="宋体"/>
                <w:color w:val="auto"/>
                <w:kern w:val="0"/>
                <w:szCs w:val="21"/>
                <w:highlight w:val="yellow"/>
                <w:lang w:bidi="ar"/>
              </w:rPr>
              <w:t>支付完。</w:t>
            </w:r>
            <w:r>
              <w:rPr>
                <w:rFonts w:hint="eastAsia" w:ascii="宋体" w:hAnsi="宋体" w:cs="宋体"/>
                <w:color w:val="auto"/>
                <w:szCs w:val="21"/>
                <w:highlight w:val="none"/>
              </w:rPr>
              <w:t xml:space="preserve"> </w:t>
            </w:r>
          </w:p>
        </w:tc>
      </w:tr>
      <w:tr w14:paraId="0001B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214" w:type="dxa"/>
            <w:gridSpan w:val="2"/>
            <w:noWrap w:val="0"/>
            <w:vAlign w:val="center"/>
          </w:tcPr>
          <w:p w14:paraId="7C8CD59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服务要求</w:t>
            </w:r>
          </w:p>
        </w:tc>
        <w:tc>
          <w:tcPr>
            <w:tcW w:w="8645" w:type="dxa"/>
            <w:gridSpan w:val="3"/>
            <w:noWrap w:val="0"/>
            <w:vAlign w:val="center"/>
          </w:tcPr>
          <w:p w14:paraId="3AE064F5">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1、成交方需提供现场培训服务。</w:t>
            </w:r>
          </w:p>
          <w:p w14:paraId="3BE896BC">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响应制度：在接到采购人故障报修通知后2小时内作出有效回应，24小时内到达现场提供服务（在质保期内提供免费服务），排查问题消除故障。用户有关设备的任何故障和咨询，在2小时内做出相应的答复。用户在操作、维护、保养过程中遇到的问题，可以随时咨询，服务工程师随时为用户服务。</w:t>
            </w:r>
          </w:p>
          <w:p w14:paraId="4F000F4B">
            <w:pPr>
              <w:pStyle w:val="2"/>
              <w:rPr>
                <w:rFonts w:ascii="宋体" w:hAnsi="宋体" w:cs="宋体"/>
                <w:color w:val="auto"/>
                <w:szCs w:val="21"/>
                <w:highlight w:val="none"/>
              </w:rPr>
            </w:pPr>
            <w:r>
              <w:rPr>
                <w:rFonts w:hint="eastAsia"/>
                <w:color w:val="auto"/>
                <w:highlight w:val="none"/>
                <w:lang w:bidi="ar"/>
              </w:rPr>
              <w:t>3、质保服务：项目整体质保不少于2年，移动办公办案硬件设备的质保期内，全国联保，按国家有关规定实行产品“三包”服务，如因质量或故障问题，由指定售后服务机构办理检测手续，凭维修中心或特约维修点的质量检测证明。若设备在15天内出现非人为损坏的性能故障，成交供应商提供更换同型号同规格；若设备15天以上且在质保期内，设备非因人为及不可抗拒因素的原因而引起损坏或质量问题，成交供应商必须免费予以技术服务、维修或更换；因人为因素出现的故障不在免费保修范围内。</w:t>
            </w:r>
          </w:p>
        </w:tc>
      </w:tr>
      <w:tr w14:paraId="6EC62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14" w:type="dxa"/>
            <w:gridSpan w:val="2"/>
            <w:noWrap w:val="0"/>
            <w:vAlign w:val="center"/>
          </w:tcPr>
          <w:p w14:paraId="2562724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其他要求</w:t>
            </w:r>
          </w:p>
        </w:tc>
        <w:tc>
          <w:tcPr>
            <w:tcW w:w="8645" w:type="dxa"/>
            <w:gridSpan w:val="3"/>
            <w:noWrap w:val="0"/>
            <w:vAlign w:val="center"/>
          </w:tcPr>
          <w:p w14:paraId="5CE932A9">
            <w:pPr>
              <w:widowControl/>
              <w:jc w:val="left"/>
              <w:textAlignment w:val="top"/>
              <w:rPr>
                <w:color w:val="auto"/>
                <w:highlight w:val="none"/>
              </w:rPr>
            </w:pPr>
            <w:r>
              <w:rPr>
                <w:rFonts w:hint="eastAsia"/>
                <w:color w:val="auto"/>
                <w:highlight w:val="none"/>
              </w:rPr>
              <w:t>1、在磋商活动中提供任何虚假材料，其成交无效，并报监管部门查处。</w:t>
            </w:r>
          </w:p>
          <w:p w14:paraId="190A8747">
            <w:pPr>
              <w:widowControl/>
              <w:jc w:val="left"/>
              <w:textAlignment w:val="top"/>
              <w:rPr>
                <w:color w:val="auto"/>
                <w:highlight w:val="none"/>
              </w:rPr>
            </w:pPr>
            <w:r>
              <w:rPr>
                <w:rFonts w:hint="eastAsia"/>
                <w:color w:val="auto"/>
                <w:highlight w:val="none"/>
              </w:rPr>
              <w:t>2、若成交人所供服务不按采购文件要求及响应文件的承诺履约，将按照《中华人民共和国政府采购法》等有关规定严肃处理。</w:t>
            </w:r>
          </w:p>
          <w:p w14:paraId="433CC126">
            <w:pPr>
              <w:widowControl/>
              <w:jc w:val="left"/>
              <w:textAlignment w:val="center"/>
              <w:rPr>
                <w:rFonts w:hint="eastAsia"/>
                <w:color w:val="auto"/>
                <w:highlight w:val="none"/>
              </w:rPr>
            </w:pPr>
            <w:r>
              <w:rPr>
                <w:rFonts w:hint="eastAsia"/>
                <w:color w:val="auto"/>
                <w:highlight w:val="none"/>
              </w:rPr>
              <w:t>3、供应商需承诺所提供的服务或产品不会发生任何的知识产权或经营权的纠纷和第三方提出侵犯其著作权、专利权、商标权或设计权的纠纷。供应商应对采购内容所涉及的专利承担责任，并负责保护业主的利益不受任何损害。一切由于文字、商标、技术和软件专利授权引起的法律裁决、诉讼和赔偿费用均由成交人负责。所使用的服务设备、服务技术、材料须符合国家有关标准要求。</w:t>
            </w:r>
          </w:p>
          <w:p w14:paraId="22416D06">
            <w:pPr>
              <w:pStyle w:val="2"/>
              <w:rPr>
                <w:rFonts w:hint="eastAsia" w:eastAsia="宋体"/>
                <w:color w:val="auto"/>
                <w:highlight w:val="none"/>
                <w:lang w:val="en-US" w:eastAsia="zh-CN"/>
              </w:rPr>
            </w:pPr>
            <w:r>
              <w:rPr>
                <w:rFonts w:hint="eastAsia" w:ascii="宋体" w:hAnsi="宋体" w:cs="宋体"/>
                <w:color w:val="auto"/>
                <w:kern w:val="0"/>
                <w:szCs w:val="21"/>
                <w:highlight w:val="none"/>
                <w:lang w:bidi="ar"/>
              </w:rPr>
              <w:t>4、竞标时必须明确用于提供服务的运行工具的品牌型号及参数，并保证与广西法院审判办公系统能无缝对接。否则响应文件按无效响应处理</w:t>
            </w:r>
            <w:r>
              <w:rPr>
                <w:rFonts w:hint="eastAsia" w:ascii="宋体" w:hAnsi="宋体" w:cs="宋体"/>
                <w:color w:val="auto"/>
                <w:kern w:val="0"/>
                <w:szCs w:val="21"/>
                <w:highlight w:val="none"/>
                <w:lang w:eastAsia="zh-CN" w:bidi="ar"/>
              </w:rPr>
              <w:t>。</w:t>
            </w:r>
          </w:p>
        </w:tc>
      </w:tr>
    </w:tbl>
    <w:p w14:paraId="690E42F0">
      <w:pPr>
        <w:rPr>
          <w:color w:val="auto"/>
          <w:highlight w:val="none"/>
        </w:rPr>
      </w:pPr>
    </w:p>
    <w:p w14:paraId="14F1B33A">
      <w:pPr>
        <w:spacing w:line="360" w:lineRule="auto"/>
        <w:ind w:left="119"/>
        <w:rPr>
          <w:rFonts w:ascii="宋体" w:hAnsi="宋体" w:cs="宋体"/>
          <w:color w:val="auto"/>
          <w:sz w:val="32"/>
          <w:szCs w:val="32"/>
          <w:highlight w:val="none"/>
        </w:rPr>
      </w:pPr>
    </w:p>
    <w:p w14:paraId="666BD408">
      <w:pPr>
        <w:spacing w:line="360" w:lineRule="auto"/>
        <w:ind w:left="119"/>
        <w:rPr>
          <w:rFonts w:ascii="宋体" w:hAnsi="宋体" w:cs="宋体"/>
          <w:color w:val="auto"/>
          <w:sz w:val="32"/>
          <w:szCs w:val="32"/>
          <w:highlight w:val="none"/>
        </w:rPr>
      </w:pPr>
    </w:p>
    <w:p w14:paraId="6119C6A2">
      <w:pPr>
        <w:spacing w:line="360" w:lineRule="auto"/>
        <w:ind w:left="119"/>
        <w:rPr>
          <w:rFonts w:ascii="宋体" w:hAnsi="宋体" w:cs="宋体"/>
          <w:color w:val="auto"/>
          <w:sz w:val="32"/>
          <w:szCs w:val="32"/>
          <w:highlight w:val="none"/>
        </w:rPr>
      </w:pPr>
    </w:p>
    <w:p w14:paraId="395A549F">
      <w:pPr>
        <w:spacing w:line="360" w:lineRule="auto"/>
        <w:ind w:left="119"/>
        <w:rPr>
          <w:rFonts w:ascii="宋体" w:hAnsi="宋体" w:cs="宋体"/>
          <w:color w:val="auto"/>
          <w:sz w:val="32"/>
          <w:szCs w:val="32"/>
          <w:highlight w:val="none"/>
        </w:rPr>
      </w:pPr>
    </w:p>
    <w:p w14:paraId="28A75E45">
      <w:pPr>
        <w:spacing w:line="360" w:lineRule="auto"/>
        <w:ind w:left="119"/>
        <w:rPr>
          <w:rFonts w:ascii="宋体" w:hAnsi="宋体" w:cs="宋体"/>
          <w:color w:val="auto"/>
          <w:sz w:val="32"/>
          <w:szCs w:val="32"/>
          <w:highlight w:val="none"/>
        </w:rPr>
      </w:pPr>
    </w:p>
    <w:p w14:paraId="4F0F7D19">
      <w:pPr>
        <w:spacing w:line="360" w:lineRule="auto"/>
        <w:ind w:left="119"/>
        <w:rPr>
          <w:rFonts w:ascii="宋体" w:hAnsi="宋体" w:cs="宋体"/>
          <w:color w:val="auto"/>
          <w:sz w:val="32"/>
          <w:szCs w:val="32"/>
          <w:highlight w:val="none"/>
        </w:rPr>
      </w:pPr>
    </w:p>
    <w:p w14:paraId="3E663AAD">
      <w:pPr>
        <w:spacing w:line="360" w:lineRule="auto"/>
        <w:ind w:left="119"/>
        <w:rPr>
          <w:rFonts w:ascii="宋体" w:hAnsi="宋体" w:cs="宋体"/>
          <w:color w:val="auto"/>
          <w:sz w:val="32"/>
          <w:szCs w:val="32"/>
          <w:highlight w:val="none"/>
        </w:rPr>
      </w:pPr>
    </w:p>
    <w:p w14:paraId="664B5D23">
      <w:pPr>
        <w:spacing w:line="360" w:lineRule="auto"/>
        <w:rPr>
          <w:rFonts w:ascii="宋体" w:hAnsi="宋体" w:cs="宋体"/>
          <w:color w:val="auto"/>
          <w:sz w:val="32"/>
          <w:szCs w:val="32"/>
          <w:highlight w:val="none"/>
        </w:rPr>
      </w:pPr>
    </w:p>
    <w:p w14:paraId="1322342B">
      <w:pPr>
        <w:spacing w:line="360" w:lineRule="auto"/>
        <w:jc w:val="left"/>
        <w:rPr>
          <w:rFonts w:ascii="宋体" w:hAnsi="宋体" w:cs="宋体"/>
          <w:color w:val="auto"/>
          <w:kern w:val="0"/>
          <w:sz w:val="32"/>
          <w:szCs w:val="32"/>
          <w:highlight w:val="none"/>
        </w:rPr>
      </w:pPr>
      <w:r>
        <w:rPr>
          <w:rFonts w:hint="eastAsia" w:ascii="宋体" w:hAnsi="宋体" w:cs="宋体"/>
          <w:color w:val="auto"/>
          <w:sz w:val="32"/>
          <w:szCs w:val="32"/>
          <w:highlight w:val="none"/>
        </w:rPr>
        <w:t>附件1：</w:t>
      </w:r>
    </w:p>
    <w:p w14:paraId="5455E815">
      <w:pPr>
        <w:widowControl/>
        <w:spacing w:beforeLines="50" w:afterLines="50" w:line="360" w:lineRule="auto"/>
        <w:jc w:val="center"/>
        <w:outlineLvl w:val="0"/>
        <w:rPr>
          <w:rFonts w:ascii="宋体" w:hAnsi="宋体" w:cs="宋体"/>
          <w:b/>
          <w:bCs/>
          <w:color w:val="auto"/>
          <w:kern w:val="0"/>
          <w:sz w:val="30"/>
          <w:szCs w:val="30"/>
          <w:highlight w:val="none"/>
        </w:rPr>
      </w:pPr>
      <w:bookmarkStart w:id="58" w:name="_Toc28361_WPSOffice_Level2"/>
      <w:bookmarkStart w:id="59" w:name="_Toc31422"/>
      <w:r>
        <w:rPr>
          <w:rFonts w:hint="eastAsia" w:ascii="宋体" w:hAnsi="宋体" w:cs="宋体"/>
          <w:b/>
          <w:bCs/>
          <w:color w:val="auto"/>
          <w:kern w:val="0"/>
          <w:sz w:val="30"/>
          <w:szCs w:val="30"/>
          <w:highlight w:val="none"/>
        </w:rPr>
        <w:t>大中小微型企业划分标准</w:t>
      </w:r>
      <w:bookmarkEnd w:id="58"/>
      <w:bookmarkEnd w:id="59"/>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04116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ign w:val="center"/>
          </w:tcPr>
          <w:p w14:paraId="1A8DE0D4">
            <w:pPr>
              <w:widowControl/>
              <w:spacing w:line="360" w:lineRule="auto"/>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noWrap/>
            <w:vAlign w:val="center"/>
          </w:tcPr>
          <w:p w14:paraId="0E1E3D1A">
            <w:pPr>
              <w:widowControl/>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noWrap/>
            <w:vAlign w:val="center"/>
          </w:tcPr>
          <w:p w14:paraId="39EF8EA9">
            <w:pPr>
              <w:widowControl/>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1494218B">
            <w:pPr>
              <w:widowControl/>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noWrap/>
            <w:vAlign w:val="center"/>
          </w:tcPr>
          <w:p w14:paraId="3EB6EF60">
            <w:pPr>
              <w:widowControl/>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noWrap/>
            <w:vAlign w:val="center"/>
          </w:tcPr>
          <w:p w14:paraId="4969FC00">
            <w:pPr>
              <w:widowControl/>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noWrap/>
            <w:vAlign w:val="center"/>
          </w:tcPr>
          <w:p w14:paraId="021D0523">
            <w:pPr>
              <w:widowControl/>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noWrap/>
            <w:vAlign w:val="center"/>
          </w:tcPr>
          <w:p w14:paraId="49C073F8">
            <w:pPr>
              <w:widowControl/>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6F6CD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ign w:val="center"/>
          </w:tcPr>
          <w:p w14:paraId="4CB78717">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ign w:val="center"/>
          </w:tcPr>
          <w:p w14:paraId="6A2A4131">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12FA9D66">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2B894AF9">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ign w:val="center"/>
          </w:tcPr>
          <w:p w14:paraId="08545DD0">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ign w:val="center"/>
          </w:tcPr>
          <w:p w14:paraId="6C3F5F42">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ign w:val="center"/>
          </w:tcPr>
          <w:p w14:paraId="7475B033">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DDD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491B17C7">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noWrap/>
            <w:vAlign w:val="center"/>
          </w:tcPr>
          <w:p w14:paraId="21BAAF3B">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64210E90">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635A8BA9">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14:paraId="5CCDCA63">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14:paraId="10918FEB">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ign w:val="center"/>
          </w:tcPr>
          <w:p w14:paraId="25D83238">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5075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0FA899AF">
            <w:pPr>
              <w:widowControl/>
              <w:spacing w:line="360" w:lineRule="auto"/>
              <w:jc w:val="left"/>
              <w:rPr>
                <w:rFonts w:ascii="宋体" w:hAnsi="宋体" w:cs="宋体"/>
                <w:color w:val="auto"/>
                <w:kern w:val="0"/>
                <w:sz w:val="18"/>
                <w:szCs w:val="18"/>
                <w:highlight w:val="none"/>
              </w:rPr>
            </w:pPr>
          </w:p>
        </w:tc>
        <w:tc>
          <w:tcPr>
            <w:tcW w:w="1369" w:type="dxa"/>
            <w:noWrap/>
            <w:vAlign w:val="center"/>
          </w:tcPr>
          <w:p w14:paraId="6FC98672">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1CA59B9E">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60B92B47">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ign w:val="center"/>
          </w:tcPr>
          <w:p w14:paraId="0AC85196">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ign w:val="center"/>
          </w:tcPr>
          <w:p w14:paraId="318AD830">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ign w:val="center"/>
          </w:tcPr>
          <w:p w14:paraId="715EEA3C">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7458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243AA953">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ign w:val="center"/>
          </w:tcPr>
          <w:p w14:paraId="7F3160E7">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6DFD56AC">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4FD549E4">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ign w:val="center"/>
          </w:tcPr>
          <w:p w14:paraId="545DAE71">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ign w:val="center"/>
          </w:tcPr>
          <w:p w14:paraId="7129373F">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ign w:val="center"/>
          </w:tcPr>
          <w:p w14:paraId="3B2FB613">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BDA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55A87B52">
            <w:pPr>
              <w:widowControl/>
              <w:spacing w:line="360" w:lineRule="auto"/>
              <w:jc w:val="left"/>
              <w:rPr>
                <w:rFonts w:ascii="宋体" w:hAnsi="宋体" w:cs="宋体"/>
                <w:color w:val="auto"/>
                <w:kern w:val="0"/>
                <w:sz w:val="18"/>
                <w:szCs w:val="18"/>
                <w:highlight w:val="none"/>
              </w:rPr>
            </w:pPr>
          </w:p>
        </w:tc>
        <w:tc>
          <w:tcPr>
            <w:tcW w:w="1369" w:type="dxa"/>
            <w:noWrap/>
            <w:vAlign w:val="center"/>
          </w:tcPr>
          <w:p w14:paraId="368585D4">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ign w:val="center"/>
          </w:tcPr>
          <w:p w14:paraId="4E01F845">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0F7AF5E5">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ign w:val="center"/>
          </w:tcPr>
          <w:p w14:paraId="4C9EE6CB">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ign w:val="center"/>
          </w:tcPr>
          <w:p w14:paraId="70DFC3E1">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ign w:val="center"/>
          </w:tcPr>
          <w:p w14:paraId="15B587F5">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63A7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4E6A8A76">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ign w:val="center"/>
          </w:tcPr>
          <w:p w14:paraId="5CB9B06D">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248F7F91">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35E55628">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ign w:val="center"/>
          </w:tcPr>
          <w:p w14:paraId="327A9E1D">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ign w:val="center"/>
          </w:tcPr>
          <w:p w14:paraId="18407780">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ign w:val="center"/>
          </w:tcPr>
          <w:p w14:paraId="7B648DCA">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60132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6A36E7BD">
            <w:pPr>
              <w:widowControl/>
              <w:spacing w:line="360" w:lineRule="auto"/>
              <w:jc w:val="left"/>
              <w:rPr>
                <w:rFonts w:ascii="宋体" w:hAnsi="宋体" w:cs="宋体"/>
                <w:color w:val="auto"/>
                <w:kern w:val="0"/>
                <w:sz w:val="18"/>
                <w:szCs w:val="18"/>
                <w:highlight w:val="none"/>
              </w:rPr>
            </w:pPr>
          </w:p>
        </w:tc>
        <w:tc>
          <w:tcPr>
            <w:tcW w:w="1369" w:type="dxa"/>
            <w:noWrap/>
            <w:vAlign w:val="center"/>
          </w:tcPr>
          <w:p w14:paraId="57200D86">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472C8EA4">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17764E19">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ign w:val="center"/>
          </w:tcPr>
          <w:p w14:paraId="02382601">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ign w:val="center"/>
          </w:tcPr>
          <w:p w14:paraId="7C849B2C">
            <w:pPr>
              <w:widowControl/>
              <w:spacing w:line="360" w:lineRule="auto"/>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ign w:val="center"/>
          </w:tcPr>
          <w:p w14:paraId="354E125D">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28526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2700A458">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ign w:val="center"/>
          </w:tcPr>
          <w:p w14:paraId="54830AEA">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471CBD1E">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2A158546">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0212E8F0">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ign w:val="center"/>
          </w:tcPr>
          <w:p w14:paraId="1DB749EE">
            <w:pPr>
              <w:widowControl/>
              <w:spacing w:line="360" w:lineRule="auto"/>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ign w:val="center"/>
          </w:tcPr>
          <w:p w14:paraId="25EEB4DD">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E6E3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53864B46">
            <w:pPr>
              <w:widowControl/>
              <w:spacing w:line="360" w:lineRule="auto"/>
              <w:jc w:val="left"/>
              <w:rPr>
                <w:rFonts w:ascii="宋体" w:hAnsi="宋体" w:cs="宋体"/>
                <w:color w:val="auto"/>
                <w:kern w:val="0"/>
                <w:sz w:val="18"/>
                <w:szCs w:val="18"/>
                <w:highlight w:val="none"/>
              </w:rPr>
            </w:pPr>
          </w:p>
        </w:tc>
        <w:tc>
          <w:tcPr>
            <w:tcW w:w="1369" w:type="dxa"/>
            <w:noWrap/>
            <w:vAlign w:val="center"/>
          </w:tcPr>
          <w:p w14:paraId="08F6D486">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7A8DA179">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64C68E65">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ign w:val="center"/>
          </w:tcPr>
          <w:p w14:paraId="43CFC4AC">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ign w:val="center"/>
          </w:tcPr>
          <w:p w14:paraId="43B8B31D">
            <w:pPr>
              <w:widowControl/>
              <w:spacing w:line="360" w:lineRule="auto"/>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ign w:val="center"/>
          </w:tcPr>
          <w:p w14:paraId="59EFE218">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90D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4FA35971">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noWrap/>
            <w:vAlign w:val="center"/>
          </w:tcPr>
          <w:p w14:paraId="3311D06D">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6AE8D1F8">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1D0033C8">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14:paraId="69648FB2">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14:paraId="7279C28E">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ign w:val="center"/>
          </w:tcPr>
          <w:p w14:paraId="6A7EBB66">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4013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2EAA76D2">
            <w:pPr>
              <w:widowControl/>
              <w:spacing w:line="360" w:lineRule="auto"/>
              <w:jc w:val="left"/>
              <w:rPr>
                <w:rFonts w:ascii="宋体" w:hAnsi="宋体" w:cs="宋体"/>
                <w:color w:val="auto"/>
                <w:kern w:val="0"/>
                <w:sz w:val="18"/>
                <w:szCs w:val="18"/>
                <w:highlight w:val="none"/>
              </w:rPr>
            </w:pPr>
          </w:p>
        </w:tc>
        <w:tc>
          <w:tcPr>
            <w:tcW w:w="1369" w:type="dxa"/>
            <w:noWrap/>
            <w:vAlign w:val="center"/>
          </w:tcPr>
          <w:p w14:paraId="1DD773AA">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7E5961E4">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0E5B9B86">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ign w:val="center"/>
          </w:tcPr>
          <w:p w14:paraId="12DB1520">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ign w:val="center"/>
          </w:tcPr>
          <w:p w14:paraId="1C999047">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ign w:val="center"/>
          </w:tcPr>
          <w:p w14:paraId="0EA137AD">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6D4D6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5AF7DE7B">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ign w:val="center"/>
          </w:tcPr>
          <w:p w14:paraId="7E1B448A">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70A018C8">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0143722A">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ign w:val="center"/>
          </w:tcPr>
          <w:p w14:paraId="07670F32">
            <w:pPr>
              <w:widowControl/>
              <w:spacing w:line="360" w:lineRule="auto"/>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ign w:val="center"/>
          </w:tcPr>
          <w:p w14:paraId="35FD335B">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ign w:val="center"/>
          </w:tcPr>
          <w:p w14:paraId="1B6501D9">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408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2755E525">
            <w:pPr>
              <w:widowControl/>
              <w:spacing w:line="360" w:lineRule="auto"/>
              <w:jc w:val="left"/>
              <w:rPr>
                <w:rFonts w:ascii="宋体" w:hAnsi="宋体" w:cs="宋体"/>
                <w:color w:val="auto"/>
                <w:kern w:val="0"/>
                <w:sz w:val="18"/>
                <w:szCs w:val="18"/>
                <w:highlight w:val="none"/>
              </w:rPr>
            </w:pPr>
          </w:p>
        </w:tc>
        <w:tc>
          <w:tcPr>
            <w:tcW w:w="1369" w:type="dxa"/>
            <w:noWrap/>
            <w:vAlign w:val="center"/>
          </w:tcPr>
          <w:p w14:paraId="691ECD42">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51C59A6D">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302A9EAA">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ign w:val="center"/>
          </w:tcPr>
          <w:p w14:paraId="7D0AF612">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ign w:val="center"/>
          </w:tcPr>
          <w:p w14:paraId="18FD52CA">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ign w:val="center"/>
          </w:tcPr>
          <w:p w14:paraId="2390F389">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E382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6EE6D888">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ign w:val="center"/>
          </w:tcPr>
          <w:p w14:paraId="5CD48F46">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0CB8F75A">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160ABAB5">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14:paraId="2C978E62">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14:paraId="7018943C">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ign w:val="center"/>
          </w:tcPr>
          <w:p w14:paraId="6EF56E7E">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D2BD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336CAB3F">
            <w:pPr>
              <w:widowControl/>
              <w:spacing w:line="360" w:lineRule="auto"/>
              <w:jc w:val="left"/>
              <w:rPr>
                <w:rFonts w:ascii="宋体" w:hAnsi="宋体" w:cs="宋体"/>
                <w:color w:val="auto"/>
                <w:kern w:val="0"/>
                <w:sz w:val="18"/>
                <w:szCs w:val="18"/>
                <w:highlight w:val="none"/>
              </w:rPr>
            </w:pPr>
          </w:p>
        </w:tc>
        <w:tc>
          <w:tcPr>
            <w:tcW w:w="1369" w:type="dxa"/>
            <w:noWrap/>
            <w:vAlign w:val="center"/>
          </w:tcPr>
          <w:p w14:paraId="2620BF8B">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5413F087">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5F54F873">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ign w:val="center"/>
          </w:tcPr>
          <w:p w14:paraId="02A6C580">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ign w:val="center"/>
          </w:tcPr>
          <w:p w14:paraId="6DD03CD0">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ign w:val="center"/>
          </w:tcPr>
          <w:p w14:paraId="27B1DA7A">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B7E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1F97AAD4">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ign w:val="center"/>
          </w:tcPr>
          <w:p w14:paraId="7B280915">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0AF69054">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6FAFE036">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667B1BC5">
            <w:pPr>
              <w:widowControl/>
              <w:spacing w:line="360" w:lineRule="auto"/>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ign w:val="center"/>
          </w:tcPr>
          <w:p w14:paraId="2D6C375A">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1E1A2C3F">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F3E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01DE90FD">
            <w:pPr>
              <w:widowControl/>
              <w:spacing w:line="360" w:lineRule="auto"/>
              <w:jc w:val="left"/>
              <w:rPr>
                <w:rFonts w:ascii="宋体" w:hAnsi="宋体" w:cs="宋体"/>
                <w:color w:val="auto"/>
                <w:kern w:val="0"/>
                <w:sz w:val="18"/>
                <w:szCs w:val="18"/>
                <w:highlight w:val="none"/>
              </w:rPr>
            </w:pPr>
          </w:p>
        </w:tc>
        <w:tc>
          <w:tcPr>
            <w:tcW w:w="1369" w:type="dxa"/>
            <w:noWrap/>
            <w:vAlign w:val="center"/>
          </w:tcPr>
          <w:p w14:paraId="221BD153">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4FADFBB2">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4A05BE32">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ign w:val="center"/>
          </w:tcPr>
          <w:p w14:paraId="735D2F4F">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ign w:val="center"/>
          </w:tcPr>
          <w:p w14:paraId="6E41CDFE">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ign w:val="center"/>
          </w:tcPr>
          <w:p w14:paraId="5038A252">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860E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398EFFF5">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ign w:val="center"/>
          </w:tcPr>
          <w:p w14:paraId="6D62C7A8">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7646E2C8">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0C6D8115">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6046CAE4">
            <w:pPr>
              <w:widowControl/>
              <w:spacing w:line="360" w:lineRule="auto"/>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ign w:val="center"/>
          </w:tcPr>
          <w:p w14:paraId="77EA16C8">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6B0D10CD">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ECE9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61C56080">
            <w:pPr>
              <w:widowControl/>
              <w:spacing w:line="360" w:lineRule="auto"/>
              <w:jc w:val="left"/>
              <w:rPr>
                <w:rFonts w:ascii="宋体" w:hAnsi="宋体" w:cs="宋体"/>
                <w:color w:val="auto"/>
                <w:kern w:val="0"/>
                <w:sz w:val="18"/>
                <w:szCs w:val="18"/>
                <w:highlight w:val="none"/>
              </w:rPr>
            </w:pPr>
          </w:p>
        </w:tc>
        <w:tc>
          <w:tcPr>
            <w:tcW w:w="1369" w:type="dxa"/>
            <w:noWrap/>
            <w:vAlign w:val="center"/>
          </w:tcPr>
          <w:p w14:paraId="75A4A208">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6D0588C7">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664B81C1">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ign w:val="center"/>
          </w:tcPr>
          <w:p w14:paraId="294CD9BC">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ign w:val="center"/>
          </w:tcPr>
          <w:p w14:paraId="156D2707">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ign w:val="center"/>
          </w:tcPr>
          <w:p w14:paraId="519FE51C">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D08D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3EDEB5B9">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noWrap/>
            <w:vAlign w:val="center"/>
          </w:tcPr>
          <w:p w14:paraId="6226498F">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33DE9E9C">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141E1CD2">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ign w:val="center"/>
          </w:tcPr>
          <w:p w14:paraId="30DD2718">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ign w:val="center"/>
          </w:tcPr>
          <w:p w14:paraId="117AB7DF">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2957D866">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0F8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377010B4">
            <w:pPr>
              <w:widowControl/>
              <w:spacing w:line="360" w:lineRule="auto"/>
              <w:jc w:val="left"/>
              <w:rPr>
                <w:rFonts w:ascii="宋体" w:hAnsi="宋体" w:cs="宋体"/>
                <w:color w:val="auto"/>
                <w:kern w:val="0"/>
                <w:sz w:val="18"/>
                <w:szCs w:val="18"/>
                <w:highlight w:val="none"/>
              </w:rPr>
            </w:pPr>
          </w:p>
        </w:tc>
        <w:tc>
          <w:tcPr>
            <w:tcW w:w="1369" w:type="dxa"/>
            <w:noWrap/>
            <w:vAlign w:val="center"/>
          </w:tcPr>
          <w:p w14:paraId="6AF6CB78">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4D49E424">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44A38729">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ign w:val="center"/>
          </w:tcPr>
          <w:p w14:paraId="2CDFC83B">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ign w:val="center"/>
          </w:tcPr>
          <w:p w14:paraId="54331264">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ign w:val="center"/>
          </w:tcPr>
          <w:p w14:paraId="16DA5667">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5A47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ign w:val="center"/>
          </w:tcPr>
          <w:p w14:paraId="153A0C0A">
            <w:pPr>
              <w:widowControl/>
              <w:spacing w:line="360" w:lineRule="auto"/>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ign w:val="center"/>
          </w:tcPr>
          <w:p w14:paraId="10CFC0DD">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6AD53A8D">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702598D8">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5E38BD7C">
            <w:pPr>
              <w:widowControl/>
              <w:spacing w:line="360" w:lineRule="auto"/>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ign w:val="center"/>
          </w:tcPr>
          <w:p w14:paraId="1C27541C">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22166274">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D00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ign w:val="center"/>
          </w:tcPr>
          <w:p w14:paraId="638731BF">
            <w:pPr>
              <w:widowControl/>
              <w:spacing w:line="360" w:lineRule="auto"/>
              <w:jc w:val="left"/>
              <w:rPr>
                <w:rFonts w:ascii="宋体" w:hAnsi="宋体" w:cs="宋体"/>
                <w:color w:val="auto"/>
                <w:spacing w:val="-12"/>
                <w:kern w:val="0"/>
                <w:sz w:val="18"/>
                <w:szCs w:val="18"/>
                <w:highlight w:val="none"/>
              </w:rPr>
            </w:pPr>
          </w:p>
        </w:tc>
        <w:tc>
          <w:tcPr>
            <w:tcW w:w="1369" w:type="dxa"/>
            <w:noWrap/>
            <w:vAlign w:val="center"/>
          </w:tcPr>
          <w:p w14:paraId="7FE2973E">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3A5BF839">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42AFF2DA">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ign w:val="center"/>
          </w:tcPr>
          <w:p w14:paraId="36D54BDA">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ign w:val="center"/>
          </w:tcPr>
          <w:p w14:paraId="5950B4FA">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ign w:val="center"/>
          </w:tcPr>
          <w:p w14:paraId="3426AB19">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5011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ign w:val="center"/>
          </w:tcPr>
          <w:p w14:paraId="29C1B107">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ign w:val="center"/>
          </w:tcPr>
          <w:p w14:paraId="04CE3499">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04DE9AC4">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448B58A5">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ign w:val="center"/>
          </w:tcPr>
          <w:p w14:paraId="55ED423E">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ign w:val="center"/>
          </w:tcPr>
          <w:p w14:paraId="5125848D">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ign w:val="center"/>
          </w:tcPr>
          <w:p w14:paraId="12FCDEA6">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84D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ign w:val="center"/>
          </w:tcPr>
          <w:p w14:paraId="183810A0">
            <w:pPr>
              <w:widowControl/>
              <w:spacing w:line="360" w:lineRule="auto"/>
              <w:jc w:val="left"/>
              <w:rPr>
                <w:rFonts w:ascii="宋体" w:hAnsi="宋体" w:cs="宋体"/>
                <w:color w:val="auto"/>
                <w:kern w:val="0"/>
                <w:sz w:val="18"/>
                <w:szCs w:val="18"/>
                <w:highlight w:val="none"/>
              </w:rPr>
            </w:pPr>
          </w:p>
        </w:tc>
        <w:tc>
          <w:tcPr>
            <w:tcW w:w="1369" w:type="dxa"/>
            <w:noWrap/>
            <w:vAlign w:val="center"/>
          </w:tcPr>
          <w:p w14:paraId="6FE3B2E9">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ign w:val="center"/>
          </w:tcPr>
          <w:p w14:paraId="604C1987">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6FA808D0">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ign w:val="center"/>
          </w:tcPr>
          <w:p w14:paraId="2A04EAA6">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ign w:val="center"/>
          </w:tcPr>
          <w:p w14:paraId="474DF3B0">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ign w:val="center"/>
          </w:tcPr>
          <w:p w14:paraId="02C403BA">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4AFAE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ign w:val="center"/>
          </w:tcPr>
          <w:p w14:paraId="00708DFB">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ign w:val="center"/>
          </w:tcPr>
          <w:p w14:paraId="3AE46E55">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0C1271CC">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1B574A67">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14:paraId="0AF23490">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14:paraId="305764AE">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ign w:val="center"/>
          </w:tcPr>
          <w:p w14:paraId="58BE4E51">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1660B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ign w:val="center"/>
          </w:tcPr>
          <w:p w14:paraId="26FC02F7">
            <w:pPr>
              <w:widowControl/>
              <w:spacing w:line="360" w:lineRule="auto"/>
              <w:jc w:val="left"/>
              <w:rPr>
                <w:rFonts w:ascii="宋体" w:hAnsi="宋体" w:cs="宋体"/>
                <w:color w:val="auto"/>
                <w:kern w:val="0"/>
                <w:sz w:val="18"/>
                <w:szCs w:val="18"/>
                <w:highlight w:val="none"/>
              </w:rPr>
            </w:pPr>
          </w:p>
        </w:tc>
        <w:tc>
          <w:tcPr>
            <w:tcW w:w="1369" w:type="dxa"/>
            <w:noWrap/>
            <w:vAlign w:val="center"/>
          </w:tcPr>
          <w:p w14:paraId="357DC860">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71C3639E">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31DE242B">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ign w:val="center"/>
          </w:tcPr>
          <w:p w14:paraId="464F1DCB">
            <w:pPr>
              <w:widowControl/>
              <w:spacing w:line="360" w:lineRule="auto"/>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ign w:val="center"/>
          </w:tcPr>
          <w:p w14:paraId="120D8005">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ign w:val="center"/>
          </w:tcPr>
          <w:p w14:paraId="222BEC6A">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7EDB1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ign w:val="center"/>
          </w:tcPr>
          <w:p w14:paraId="4137D589">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ign w:val="center"/>
          </w:tcPr>
          <w:p w14:paraId="6733CB09">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05F15FE5">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0F815811">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20F87DF2">
            <w:pPr>
              <w:widowControl/>
              <w:spacing w:line="360" w:lineRule="auto"/>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ign w:val="center"/>
          </w:tcPr>
          <w:p w14:paraId="135B6543">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3291BDC8">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F225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ign w:val="center"/>
          </w:tcPr>
          <w:p w14:paraId="6061E205">
            <w:pPr>
              <w:widowControl/>
              <w:spacing w:line="360" w:lineRule="auto"/>
              <w:jc w:val="left"/>
              <w:rPr>
                <w:rFonts w:ascii="宋体" w:hAnsi="宋体" w:cs="宋体"/>
                <w:color w:val="auto"/>
                <w:kern w:val="0"/>
                <w:sz w:val="18"/>
                <w:szCs w:val="18"/>
                <w:highlight w:val="none"/>
              </w:rPr>
            </w:pPr>
          </w:p>
        </w:tc>
        <w:tc>
          <w:tcPr>
            <w:tcW w:w="1369" w:type="dxa"/>
            <w:noWrap/>
            <w:vAlign w:val="center"/>
          </w:tcPr>
          <w:p w14:paraId="1C2527E9">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ign w:val="center"/>
          </w:tcPr>
          <w:p w14:paraId="39D9FB9C">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356E74FE">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ign w:val="center"/>
          </w:tcPr>
          <w:p w14:paraId="735726A5">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ign w:val="center"/>
          </w:tcPr>
          <w:p w14:paraId="3D4B34F3">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ign w:val="center"/>
          </w:tcPr>
          <w:p w14:paraId="10F4DDBF">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38B45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ign w:val="center"/>
          </w:tcPr>
          <w:p w14:paraId="1B8147CF">
            <w:pPr>
              <w:widowControl/>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noWrap/>
            <w:vAlign w:val="center"/>
          </w:tcPr>
          <w:p w14:paraId="517088FB">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1480E800">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5341B88E">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336C151D">
            <w:pPr>
              <w:widowControl/>
              <w:spacing w:line="360" w:lineRule="auto"/>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ign w:val="center"/>
          </w:tcPr>
          <w:p w14:paraId="25053F06">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0015292F">
            <w:pPr>
              <w:widowControl/>
              <w:spacing w:line="36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6163DD8A">
      <w:pPr>
        <w:widowControl/>
        <w:spacing w:line="360" w:lineRule="auto"/>
        <w:rPr>
          <w:rFonts w:ascii="宋体" w:hAnsi="宋体" w:cs="宋体"/>
          <w:color w:val="auto"/>
          <w:spacing w:val="8"/>
          <w:kern w:val="0"/>
          <w:sz w:val="24"/>
          <w:highlight w:val="none"/>
        </w:rPr>
      </w:pPr>
    </w:p>
    <w:p w14:paraId="501C12B8">
      <w:pPr>
        <w:widowControl/>
        <w:spacing w:line="360" w:lineRule="auto"/>
        <w:rPr>
          <w:rFonts w:ascii="宋体" w:hAnsi="宋体" w:cs="宋体"/>
          <w:color w:val="auto"/>
          <w:spacing w:val="8"/>
          <w:kern w:val="0"/>
          <w:szCs w:val="21"/>
          <w:highlight w:val="none"/>
        </w:rPr>
      </w:pPr>
    </w:p>
    <w:p w14:paraId="39C1D168">
      <w:pPr>
        <w:widowControl/>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074728A5">
      <w:pPr>
        <w:pStyle w:val="16"/>
        <w:adjustRightInd w:val="0"/>
        <w:spacing w:line="360" w:lineRule="auto"/>
        <w:ind w:firstLine="432" w:firstLineChars="200"/>
        <w:contextualSpacing/>
        <w:rPr>
          <w:rFonts w:hAnsi="宋体" w:cs="宋体"/>
          <w:color w:val="auto"/>
          <w:spacing w:val="8"/>
          <w:highlight w:val="none"/>
        </w:rPr>
      </w:pPr>
      <w:r>
        <w:rPr>
          <w:rFonts w:hint="eastAsia" w:hAnsi="宋体" w:cs="宋体"/>
          <w:color w:val="auto"/>
          <w:spacing w:val="8"/>
          <w:highlight w:val="none"/>
        </w:rPr>
        <w:t>1.大型、中型和小型企业须同时满足所列指标的下限，否则下划一档；微型企业只须满足所列指标中的一项即可。</w:t>
      </w:r>
    </w:p>
    <w:p w14:paraId="2E32B9E7">
      <w:pPr>
        <w:pStyle w:val="16"/>
        <w:adjustRightInd w:val="0"/>
        <w:spacing w:line="360" w:lineRule="auto"/>
        <w:ind w:firstLine="432" w:firstLineChars="200"/>
        <w:contextualSpacing/>
        <w:rPr>
          <w:rFonts w:hAnsi="宋体" w:cs="宋体"/>
          <w:color w:val="auto"/>
          <w:spacing w:val="8"/>
          <w:highlight w:val="none"/>
        </w:rPr>
      </w:pPr>
      <w:r>
        <w:rPr>
          <w:rFonts w:hint="eastAsia" w:hAnsi="宋体" w:cs="宋体"/>
          <w:color w:val="auto"/>
          <w:spacing w:val="8"/>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6A33926">
      <w:pPr>
        <w:pStyle w:val="16"/>
        <w:spacing w:line="360" w:lineRule="auto"/>
        <w:ind w:firstLine="432" w:firstLineChars="200"/>
        <w:rPr>
          <w:rFonts w:hAnsi="宋体" w:cs="宋体"/>
          <w:color w:val="auto"/>
          <w:spacing w:val="8"/>
          <w:sz w:val="24"/>
          <w:szCs w:val="24"/>
          <w:highlight w:val="none"/>
        </w:rPr>
      </w:pPr>
      <w:r>
        <w:rPr>
          <w:rFonts w:hint="eastAsia" w:hAnsi="宋体" w:cs="宋体"/>
          <w:color w:val="auto"/>
          <w:spacing w:val="8"/>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E1F0BA6">
      <w:pPr>
        <w:pStyle w:val="4"/>
        <w:spacing w:line="360" w:lineRule="auto"/>
        <w:jc w:val="center"/>
        <w:rPr>
          <w:rFonts w:ascii="宋体" w:hAnsi="宋体" w:cs="宋体"/>
          <w:color w:val="auto"/>
          <w:highlight w:val="none"/>
        </w:rPr>
      </w:pPr>
      <w:bookmarkStart w:id="60" w:name="_Toc3319"/>
      <w:bookmarkStart w:id="61" w:name="_Toc80886927"/>
      <w:r>
        <w:rPr>
          <w:rFonts w:hint="eastAsia" w:ascii="宋体" w:hAnsi="宋体" w:cs="宋体"/>
          <w:bCs w:val="0"/>
          <w:color w:val="auto"/>
          <w:sz w:val="32"/>
          <w:szCs w:val="32"/>
          <w:highlight w:val="none"/>
        </w:rPr>
        <w:br w:type="page"/>
      </w:r>
      <w:bookmarkStart w:id="62" w:name="_Toc7704"/>
      <w:bookmarkStart w:id="63" w:name="_Toc13614"/>
      <w:bookmarkStart w:id="64" w:name="_Toc2072"/>
      <w:bookmarkStart w:id="65" w:name="_Toc19152"/>
      <w:bookmarkStart w:id="66" w:name="_Toc9239"/>
      <w:bookmarkStart w:id="67" w:name="_Toc24174"/>
      <w:bookmarkStart w:id="68" w:name="_Toc31789"/>
      <w:r>
        <w:rPr>
          <w:rFonts w:hint="eastAsia" w:ascii="宋体" w:hAnsi="宋体" w:cs="宋体"/>
          <w:bCs w:val="0"/>
          <w:color w:val="auto"/>
          <w:sz w:val="32"/>
          <w:szCs w:val="32"/>
          <w:highlight w:val="none"/>
        </w:rPr>
        <w:t>第三章 供应商须知</w:t>
      </w:r>
      <w:bookmarkEnd w:id="60"/>
      <w:bookmarkEnd w:id="61"/>
      <w:bookmarkEnd w:id="62"/>
      <w:bookmarkEnd w:id="63"/>
      <w:bookmarkEnd w:id="64"/>
      <w:bookmarkEnd w:id="65"/>
      <w:bookmarkEnd w:id="66"/>
      <w:bookmarkEnd w:id="67"/>
      <w:bookmarkEnd w:id="68"/>
    </w:p>
    <w:p w14:paraId="7928BA97">
      <w:pPr>
        <w:pStyle w:val="5"/>
        <w:spacing w:line="360" w:lineRule="auto"/>
        <w:jc w:val="center"/>
        <w:rPr>
          <w:rFonts w:ascii="宋体" w:hAnsi="宋体" w:cs="宋体"/>
          <w:b w:val="0"/>
          <w:color w:val="auto"/>
          <w:highlight w:val="none"/>
        </w:rPr>
      </w:pPr>
      <w:bookmarkStart w:id="69" w:name="_Toc2571"/>
      <w:bookmarkStart w:id="70" w:name="_Toc80886928"/>
      <w:bookmarkStart w:id="71" w:name="_Toc30660"/>
      <w:bookmarkStart w:id="72" w:name="_Toc9482"/>
      <w:r>
        <w:rPr>
          <w:rFonts w:hint="eastAsia" w:ascii="宋体" w:hAnsi="宋体" w:cs="宋体"/>
          <w:b w:val="0"/>
          <w:color w:val="auto"/>
          <w:highlight w:val="none"/>
        </w:rPr>
        <w:t>第一节 供应商须知前附表</w:t>
      </w:r>
      <w:bookmarkEnd w:id="69"/>
      <w:bookmarkEnd w:id="70"/>
      <w:bookmarkEnd w:id="71"/>
      <w:bookmarkEnd w:id="72"/>
    </w:p>
    <w:p w14:paraId="546941AD">
      <w:pPr>
        <w:spacing w:line="360" w:lineRule="auto"/>
        <w:jc w:val="center"/>
        <w:rPr>
          <w:rFonts w:ascii="宋体" w:hAnsi="宋体" w:cs="宋体"/>
          <w:b/>
          <w:color w:val="auto"/>
          <w:sz w:val="32"/>
          <w:szCs w:val="32"/>
          <w:highlight w:val="none"/>
        </w:rPr>
      </w:pPr>
    </w:p>
    <w:tbl>
      <w:tblPr>
        <w:tblStyle w:val="26"/>
        <w:tblW w:w="10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
        <w:gridCol w:w="2548"/>
        <w:gridCol w:w="6853"/>
      </w:tblGrid>
      <w:tr w14:paraId="1703D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63" w:type="dxa"/>
            <w:noWrap/>
            <w:vAlign w:val="top"/>
          </w:tcPr>
          <w:p w14:paraId="2CBFA0E7">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548" w:type="dxa"/>
            <w:noWrap/>
            <w:vAlign w:val="center"/>
          </w:tcPr>
          <w:p w14:paraId="1E409F7E">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条款内容</w:t>
            </w:r>
          </w:p>
        </w:tc>
        <w:tc>
          <w:tcPr>
            <w:tcW w:w="6853" w:type="dxa"/>
            <w:noWrap/>
            <w:vAlign w:val="top"/>
          </w:tcPr>
          <w:p w14:paraId="0FCA7E46">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具体要求</w:t>
            </w:r>
          </w:p>
        </w:tc>
      </w:tr>
      <w:tr w14:paraId="3B8F8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ign w:val="center"/>
          </w:tcPr>
          <w:p w14:paraId="3D4E0F0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w:t>
            </w:r>
          </w:p>
        </w:tc>
        <w:tc>
          <w:tcPr>
            <w:tcW w:w="2548" w:type="dxa"/>
            <w:noWrap/>
            <w:vAlign w:val="center"/>
          </w:tcPr>
          <w:p w14:paraId="202B8FE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供应商资格条件</w:t>
            </w:r>
          </w:p>
        </w:tc>
        <w:tc>
          <w:tcPr>
            <w:tcW w:w="6853" w:type="dxa"/>
            <w:noWrap/>
            <w:vAlign w:val="top"/>
          </w:tcPr>
          <w:p w14:paraId="143B8001">
            <w:pPr>
              <w:spacing w:line="360" w:lineRule="auto"/>
              <w:rPr>
                <w:rFonts w:ascii="宋体" w:hAnsi="宋体" w:cs="宋体"/>
                <w:color w:val="auto"/>
                <w:szCs w:val="21"/>
                <w:highlight w:val="none"/>
              </w:rPr>
            </w:pPr>
            <w:r>
              <w:rPr>
                <w:rFonts w:hint="eastAsia" w:ascii="宋体" w:hAnsi="宋体" w:cs="宋体"/>
                <w:color w:val="auto"/>
                <w:szCs w:val="21"/>
                <w:highlight w:val="none"/>
              </w:rPr>
              <w:t>详见竞争性磋商公告。</w:t>
            </w:r>
          </w:p>
        </w:tc>
      </w:tr>
      <w:tr w14:paraId="4ECE4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ign w:val="center"/>
          </w:tcPr>
          <w:p w14:paraId="4E2B104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2548" w:type="dxa"/>
            <w:noWrap/>
            <w:vAlign w:val="center"/>
          </w:tcPr>
          <w:p w14:paraId="1CD1F20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是否接受联合体竞标</w:t>
            </w:r>
          </w:p>
        </w:tc>
        <w:tc>
          <w:tcPr>
            <w:tcW w:w="6853" w:type="dxa"/>
            <w:noWrap/>
            <w:vAlign w:val="center"/>
          </w:tcPr>
          <w:p w14:paraId="59F33062">
            <w:pPr>
              <w:spacing w:line="360" w:lineRule="auto"/>
              <w:rPr>
                <w:rFonts w:ascii="宋体" w:hAnsi="宋体" w:cs="宋体"/>
                <w:color w:val="auto"/>
                <w:szCs w:val="21"/>
                <w:highlight w:val="none"/>
              </w:rPr>
            </w:pPr>
            <w:bookmarkStart w:id="73" w:name="PO_3000001868_PM007"/>
            <w:r>
              <w:rPr>
                <w:rFonts w:hint="eastAsia" w:ascii="宋体" w:hAnsi="宋体" w:cs="宋体"/>
                <w:color w:val="auto"/>
                <w:szCs w:val="21"/>
                <w:highlight w:val="none"/>
              </w:rPr>
              <w:t>详见竞争性磋商公告</w:t>
            </w:r>
            <w:bookmarkEnd w:id="73"/>
          </w:p>
        </w:tc>
      </w:tr>
      <w:tr w14:paraId="675AE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ign w:val="center"/>
          </w:tcPr>
          <w:p w14:paraId="64EA29D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5.2</w:t>
            </w:r>
          </w:p>
        </w:tc>
        <w:tc>
          <w:tcPr>
            <w:tcW w:w="2548" w:type="dxa"/>
            <w:noWrap/>
            <w:vAlign w:val="center"/>
          </w:tcPr>
          <w:p w14:paraId="5659256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联合体竞标要求</w:t>
            </w:r>
          </w:p>
        </w:tc>
        <w:tc>
          <w:tcPr>
            <w:tcW w:w="6853" w:type="dxa"/>
            <w:noWrap/>
            <w:vAlign w:val="center"/>
          </w:tcPr>
          <w:p w14:paraId="2F2331E5">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无</w:t>
            </w:r>
          </w:p>
        </w:tc>
      </w:tr>
      <w:tr w14:paraId="22910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ign w:val="center"/>
          </w:tcPr>
          <w:p w14:paraId="16E6011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6.1</w:t>
            </w:r>
          </w:p>
        </w:tc>
        <w:tc>
          <w:tcPr>
            <w:tcW w:w="2548" w:type="dxa"/>
            <w:noWrap/>
            <w:vAlign w:val="center"/>
          </w:tcPr>
          <w:p w14:paraId="2F4FD8D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是否允许分包</w:t>
            </w:r>
          </w:p>
        </w:tc>
        <w:tc>
          <w:tcPr>
            <w:tcW w:w="6853" w:type="dxa"/>
            <w:noWrap/>
            <w:vAlign w:val="center"/>
          </w:tcPr>
          <w:p w14:paraId="4598750B">
            <w:pPr>
              <w:pStyle w:val="11"/>
              <w:spacing w:line="360" w:lineRule="auto"/>
              <w:rPr>
                <w:rFonts w:ascii="宋体" w:hAnsi="宋体" w:cs="宋体"/>
                <w:color w:val="auto"/>
                <w:szCs w:val="21"/>
                <w:highlight w:val="none"/>
              </w:rPr>
            </w:pPr>
            <w:r>
              <w:rPr>
                <w:rFonts w:hint="eastAsia" w:ascii="宋体" w:hAnsi="宋体" w:cs="宋体"/>
                <w:color w:val="auto"/>
                <w:szCs w:val="21"/>
                <w:highlight w:val="none"/>
              </w:rPr>
              <w:t>☑不允许分包</w:t>
            </w:r>
          </w:p>
          <w:p w14:paraId="44D6D34A">
            <w:pPr>
              <w:pStyle w:val="11"/>
              <w:spacing w:line="360" w:lineRule="auto"/>
              <w:rPr>
                <w:rFonts w:ascii="宋体" w:hAnsi="宋体" w:cs="宋体"/>
                <w:color w:val="auto"/>
                <w:szCs w:val="21"/>
                <w:highlight w:val="none"/>
              </w:rPr>
            </w:pPr>
            <w:r>
              <w:rPr>
                <w:rFonts w:hint="eastAsia" w:ascii="宋体" w:hAnsi="宋体" w:cs="宋体"/>
                <w:color w:val="auto"/>
                <w:szCs w:val="21"/>
                <w:highlight w:val="none"/>
              </w:rPr>
              <w:t>□允许分包</w:t>
            </w:r>
          </w:p>
          <w:p w14:paraId="691AAB32">
            <w:pPr>
              <w:pStyle w:val="11"/>
              <w:spacing w:line="360" w:lineRule="auto"/>
              <w:rPr>
                <w:rFonts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w:t>
            </w:r>
          </w:p>
          <w:p w14:paraId="3DE130BA">
            <w:pPr>
              <w:pStyle w:val="11"/>
              <w:spacing w:line="360" w:lineRule="auto"/>
              <w:rPr>
                <w:rFonts w:ascii="宋体" w:hAnsi="宋体" w:cs="宋体"/>
                <w:color w:val="auto"/>
                <w:szCs w:val="21"/>
                <w:highlight w:val="non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w:t>
            </w:r>
          </w:p>
        </w:tc>
      </w:tr>
      <w:tr w14:paraId="0CD5A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ign w:val="center"/>
          </w:tcPr>
          <w:p w14:paraId="4CA541B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12.1.1</w:t>
            </w:r>
          </w:p>
        </w:tc>
        <w:tc>
          <w:tcPr>
            <w:tcW w:w="2548" w:type="dxa"/>
            <w:noWrap/>
            <w:vAlign w:val="center"/>
          </w:tcPr>
          <w:p w14:paraId="15517EE2">
            <w:pPr>
              <w:snapToGrid w:val="0"/>
              <w:spacing w:line="360" w:lineRule="auto"/>
              <w:jc w:val="center"/>
              <w:rPr>
                <w:rFonts w:ascii="宋体" w:hAnsi="宋体" w:cs="宋体"/>
                <w:color w:val="auto"/>
                <w:szCs w:val="21"/>
                <w:highlight w:val="none"/>
              </w:rPr>
            </w:pPr>
            <w:r>
              <w:rPr>
                <w:rFonts w:hint="eastAsia" w:ascii="宋体" w:hAnsi="宋体" w:cs="宋体"/>
                <w:b/>
                <w:color w:val="auto"/>
                <w:szCs w:val="21"/>
                <w:highlight w:val="none"/>
              </w:rPr>
              <w:t>资格证明文件组成</w:t>
            </w:r>
          </w:p>
        </w:tc>
        <w:tc>
          <w:tcPr>
            <w:tcW w:w="6853" w:type="dxa"/>
            <w:noWrap/>
            <w:vAlign w:val="center"/>
          </w:tcPr>
          <w:p w14:paraId="3C952D42">
            <w:pPr>
              <w:pStyle w:val="11"/>
              <w:spacing w:line="360" w:lineRule="auto"/>
              <w:rPr>
                <w:rFonts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1.供应商为法人或者其他组织的提供其营业执照等证明文件复印件（如营业执照或者事业单位法人证书或者执业许可证等），供应商为自然人的提供其有效身份证正反面复印件；（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BB16573">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2.防城港市政府采购供应商资格信用承诺函（格式后附）；（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8C08A3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3.声明函（格式后附）；（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D14FA87">
            <w:pPr>
              <w:snapToGrid w:val="0"/>
              <w:spacing w:line="360" w:lineRule="auto"/>
              <w:jc w:val="left"/>
              <w:rPr>
                <w:rFonts w:ascii="宋体" w:hAnsi="宋体" w:cs="宋体"/>
                <w:b/>
                <w:bCs/>
                <w:color w:val="auto"/>
                <w:szCs w:val="21"/>
                <w:highlight w:val="none"/>
              </w:rPr>
            </w:pPr>
            <w:r>
              <w:rPr>
                <w:rFonts w:hint="eastAsia" w:ascii="宋体" w:hAnsi="宋体" w:cs="宋体"/>
                <w:color w:val="auto"/>
                <w:szCs w:val="21"/>
                <w:highlight w:val="none"/>
              </w:rPr>
              <w:t>4.中小企业声明函；</w:t>
            </w:r>
            <w:r>
              <w:rPr>
                <w:rFonts w:hint="eastAsia" w:ascii="宋体" w:hAnsi="宋体" w:cs="宋体"/>
                <w:b/>
                <w:bCs/>
                <w:color w:val="auto"/>
                <w:szCs w:val="21"/>
                <w:highlight w:val="none"/>
              </w:rPr>
              <w:t>（</w:t>
            </w:r>
            <w:r>
              <w:rPr>
                <w:rFonts w:hint="eastAsia" w:ascii="宋体" w:hAnsi="宋体"/>
                <w:b/>
                <w:color w:val="auto"/>
                <w:highlight w:val="none"/>
              </w:rPr>
              <w:t>如有，请提供</w:t>
            </w:r>
            <w:r>
              <w:rPr>
                <w:rFonts w:hint="eastAsia" w:ascii="宋体" w:hAnsi="宋体" w:cs="宋体"/>
                <w:b/>
                <w:bCs/>
                <w:color w:val="auto"/>
                <w:szCs w:val="21"/>
                <w:highlight w:val="none"/>
              </w:rPr>
              <w:t>）</w:t>
            </w:r>
          </w:p>
          <w:p w14:paraId="1EC275D9">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本项目的特定资格要求：国内注册（指按国家有关规定要求注册的），生产或经营本次采购项目的供应商，根据《中华人民政府采购法实施条例》释义，银行、保险、石油石化、电力、电信等行业可以由分公司投标。</w:t>
            </w:r>
          </w:p>
          <w:p w14:paraId="246D6176">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6.除竞争性磋商文件规定必须提供以外，供应商认为需要提供的其他证明材料（格式自拟）。</w:t>
            </w:r>
          </w:p>
          <w:p w14:paraId="6B964A73">
            <w:pPr>
              <w:pStyle w:val="11"/>
              <w:spacing w:line="360" w:lineRule="auto"/>
              <w:rPr>
                <w:rFonts w:ascii="宋体" w:hAnsi="宋体" w:cs="宋体"/>
                <w:b/>
                <w:color w:val="auto"/>
                <w:szCs w:val="21"/>
                <w:highlight w:val="none"/>
              </w:rPr>
            </w:pPr>
            <w:r>
              <w:rPr>
                <w:rFonts w:hint="eastAsia" w:ascii="宋体" w:hAnsi="宋体" w:cs="宋体"/>
                <w:b/>
                <w:color w:val="auto"/>
                <w:szCs w:val="21"/>
                <w:highlight w:val="none"/>
              </w:rPr>
              <w:t>注：</w:t>
            </w:r>
          </w:p>
          <w:p w14:paraId="79D67DD1">
            <w:pPr>
              <w:pStyle w:val="11"/>
              <w:spacing w:line="360" w:lineRule="auto"/>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1.以上标明“必须提供”的材料属于复印件的扫描件的，必须加盖供应商公章，否则响应文件按无效响应处理。</w:t>
            </w:r>
          </w:p>
        </w:tc>
      </w:tr>
      <w:tr w14:paraId="56476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noWrap/>
            <w:vAlign w:val="center"/>
          </w:tcPr>
          <w:p w14:paraId="7D25CAA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2548" w:type="dxa"/>
            <w:noWrap/>
            <w:vAlign w:val="center"/>
          </w:tcPr>
          <w:p w14:paraId="4D805336">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商务文件组成</w:t>
            </w:r>
          </w:p>
        </w:tc>
        <w:tc>
          <w:tcPr>
            <w:tcW w:w="6853" w:type="dxa"/>
            <w:noWrap/>
            <w:vAlign w:val="center"/>
          </w:tcPr>
          <w:p w14:paraId="4C74C245">
            <w:pPr>
              <w:spacing w:line="360" w:lineRule="auto"/>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5EC746B">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BC7FD29">
            <w:pPr>
              <w:spacing w:line="360" w:lineRule="auto"/>
              <w:rPr>
                <w:rFonts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468514DB">
            <w:pPr>
              <w:spacing w:line="360" w:lineRule="auto"/>
              <w:rPr>
                <w:rFonts w:ascii="宋体" w:hAnsi="宋体" w:cs="宋体"/>
                <w:color w:val="auto"/>
                <w:szCs w:val="21"/>
                <w:highlight w:val="none"/>
              </w:rPr>
            </w:pPr>
            <w:r>
              <w:rPr>
                <w:rFonts w:hint="eastAsia" w:ascii="宋体" w:hAnsi="宋体" w:cs="宋体"/>
                <w:color w:val="auto"/>
                <w:szCs w:val="21"/>
                <w:highlight w:val="none"/>
              </w:rPr>
              <w:t>4.商务条款偏离表（格式后附）；（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C081B24">
            <w:pPr>
              <w:spacing w:line="360" w:lineRule="auto"/>
              <w:rPr>
                <w:rFonts w:ascii="宋体" w:hAnsi="宋体" w:cs="宋体"/>
                <w:color w:val="auto"/>
                <w:szCs w:val="21"/>
                <w:highlight w:val="none"/>
              </w:rPr>
            </w:pPr>
            <w:r>
              <w:rPr>
                <w:rFonts w:hint="eastAsia" w:ascii="宋体" w:hAnsi="宋体" w:cs="宋体"/>
                <w:color w:val="auto"/>
                <w:szCs w:val="21"/>
                <w:highlight w:val="none"/>
              </w:rPr>
              <w:t>5.对应采购需求的商务条款提供的其他文件资料（格式自拟）；</w:t>
            </w:r>
          </w:p>
          <w:p w14:paraId="699FC4BC">
            <w:pPr>
              <w:spacing w:line="360" w:lineRule="auto"/>
              <w:rPr>
                <w:rFonts w:ascii="宋体" w:hAnsi="宋体" w:cs="宋体"/>
                <w:color w:val="auto"/>
                <w:szCs w:val="21"/>
                <w:highlight w:val="none"/>
              </w:rPr>
            </w:pPr>
            <w:r>
              <w:rPr>
                <w:rFonts w:hint="eastAsia" w:ascii="宋体" w:hAnsi="宋体" w:cs="宋体"/>
                <w:color w:val="auto"/>
                <w:szCs w:val="21"/>
                <w:highlight w:val="none"/>
              </w:rPr>
              <w:t>6.供应商认为需要提供的其他有关资料（格式自拟）。</w:t>
            </w:r>
          </w:p>
          <w:p w14:paraId="23DA93BC">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注： </w:t>
            </w:r>
          </w:p>
          <w:p w14:paraId="7BBEC2EE">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1.法定代表人授权委托书必须由法定代表人及其委托代理人签字，并加盖供应商公章，否则响应文件按无效响应处理。</w:t>
            </w:r>
          </w:p>
          <w:p w14:paraId="06FF4195">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2.以上标明“必须提供”的材料属于复印件的扫描件的，必须加盖供应商公章，否则响应文件按无效响应处理。</w:t>
            </w:r>
          </w:p>
        </w:tc>
      </w:tr>
      <w:tr w14:paraId="18EAA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3" w:hRule="atLeast"/>
          <w:jc w:val="center"/>
        </w:trPr>
        <w:tc>
          <w:tcPr>
            <w:tcW w:w="963" w:type="dxa"/>
            <w:vMerge w:val="continue"/>
            <w:noWrap/>
            <w:vAlign w:val="center"/>
          </w:tcPr>
          <w:p w14:paraId="4237197F">
            <w:pPr>
              <w:spacing w:line="360" w:lineRule="auto"/>
              <w:jc w:val="center"/>
              <w:rPr>
                <w:rFonts w:ascii="宋体" w:hAnsi="宋体" w:cs="宋体"/>
                <w:color w:val="auto"/>
                <w:szCs w:val="21"/>
                <w:highlight w:val="none"/>
              </w:rPr>
            </w:pPr>
          </w:p>
        </w:tc>
        <w:tc>
          <w:tcPr>
            <w:tcW w:w="2548" w:type="dxa"/>
            <w:noWrap/>
            <w:vAlign w:val="center"/>
          </w:tcPr>
          <w:p w14:paraId="0844A7C4">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技术文件组成</w:t>
            </w:r>
          </w:p>
        </w:tc>
        <w:tc>
          <w:tcPr>
            <w:tcW w:w="6853" w:type="dxa"/>
            <w:noWrap/>
            <w:vAlign w:val="center"/>
          </w:tcPr>
          <w:p w14:paraId="210783C2">
            <w:pPr>
              <w:spacing w:line="360" w:lineRule="auto"/>
              <w:rPr>
                <w:rFonts w:ascii="宋体" w:hAnsi="宋体" w:cs="宋体"/>
                <w:color w:val="auto"/>
                <w:szCs w:val="21"/>
                <w:highlight w:val="none"/>
              </w:rPr>
            </w:pPr>
            <w:r>
              <w:rPr>
                <w:rFonts w:hint="eastAsia" w:ascii="宋体" w:hAnsi="宋体" w:cs="宋体"/>
                <w:color w:val="auto"/>
                <w:szCs w:val="21"/>
                <w:highlight w:val="none"/>
              </w:rPr>
              <w:t>1.服务需求偏离表；（格式后附）（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3B49E5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2.服务方案；（</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B2387F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3.技术方案；（</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712FBC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4.项目实施人员一览表；（格式自拟）</w:t>
            </w:r>
            <w:r>
              <w:rPr>
                <w:rFonts w:hint="eastAsia" w:ascii="宋体" w:hAnsi="宋体"/>
                <w:b/>
                <w:color w:val="auto"/>
                <w:highlight w:val="none"/>
              </w:rPr>
              <w:t>（如有，请提供）</w:t>
            </w:r>
          </w:p>
          <w:p w14:paraId="6B81B65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5.供应商具有类似服务业绩的相关证明材料；（格式自拟）</w:t>
            </w:r>
            <w:r>
              <w:rPr>
                <w:rFonts w:hint="eastAsia" w:ascii="宋体" w:hAnsi="宋体"/>
                <w:b/>
                <w:color w:val="auto"/>
                <w:highlight w:val="none"/>
              </w:rPr>
              <w:t>（如有，请提供）</w:t>
            </w:r>
          </w:p>
          <w:p w14:paraId="6048A39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6.对应采购需求的服务需求、商务条款提供的其他文件资料；</w:t>
            </w:r>
          </w:p>
          <w:p w14:paraId="5A078CD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7.供应商认为需要提供的其他有关资料。</w:t>
            </w:r>
          </w:p>
          <w:p w14:paraId="4E24F954">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注：1.以上标明“必须提供”的材料属于复印件的扫描件的，必须加盖供应商电子公章，否则响应文件按无效响应处理。</w:t>
            </w:r>
          </w:p>
        </w:tc>
      </w:tr>
      <w:tr w14:paraId="49336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ign w:val="center"/>
          </w:tcPr>
          <w:p w14:paraId="5525430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12.1.3</w:t>
            </w:r>
          </w:p>
        </w:tc>
        <w:tc>
          <w:tcPr>
            <w:tcW w:w="2548" w:type="dxa"/>
            <w:noWrap/>
            <w:vAlign w:val="center"/>
          </w:tcPr>
          <w:p w14:paraId="5F86CF43">
            <w:pPr>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报价文件组成</w:t>
            </w:r>
          </w:p>
        </w:tc>
        <w:tc>
          <w:tcPr>
            <w:tcW w:w="6853" w:type="dxa"/>
            <w:noWrap/>
            <w:vAlign w:val="center"/>
          </w:tcPr>
          <w:p w14:paraId="3B3FCC5E">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1.响应函（格式后附）；</w:t>
            </w:r>
            <w:r>
              <w:rPr>
                <w:rFonts w:hint="eastAsia" w:ascii="宋体" w:hAnsi="宋体" w:cs="宋体"/>
                <w:b/>
                <w:color w:val="auto"/>
                <w:szCs w:val="21"/>
                <w:highlight w:val="none"/>
              </w:rPr>
              <w:t>（必须提供，否则响应文件按无效响应处理）</w:t>
            </w:r>
          </w:p>
          <w:p w14:paraId="255590C5">
            <w:pPr>
              <w:spacing w:line="360" w:lineRule="auto"/>
              <w:rPr>
                <w:rFonts w:ascii="宋体" w:hAnsi="宋体" w:cs="宋体"/>
                <w:color w:val="auto"/>
                <w:szCs w:val="21"/>
                <w:highlight w:val="none"/>
              </w:rPr>
            </w:pPr>
            <w:r>
              <w:rPr>
                <w:rFonts w:hint="eastAsia" w:ascii="宋体" w:hAnsi="宋体" w:cs="宋体"/>
                <w:color w:val="auto"/>
                <w:szCs w:val="21"/>
                <w:highlight w:val="none"/>
              </w:rPr>
              <w:t>2.响应报价表（格式后附）；（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C63E7C2">
            <w:pPr>
              <w:spacing w:line="360" w:lineRule="auto"/>
              <w:rPr>
                <w:rFonts w:ascii="宋体" w:hAnsi="宋体" w:cs="宋体"/>
                <w:color w:val="auto"/>
                <w:szCs w:val="21"/>
                <w:highlight w:val="none"/>
              </w:rPr>
            </w:pPr>
            <w:r>
              <w:rPr>
                <w:rFonts w:hint="eastAsia" w:ascii="宋体" w:hAnsi="宋体" w:cs="宋体"/>
                <w:color w:val="auto"/>
                <w:szCs w:val="21"/>
                <w:highlight w:val="none"/>
              </w:rPr>
              <w:t>3.供应商针对报价需要说明的其他文件和说明（格式自拟）。</w:t>
            </w:r>
          </w:p>
        </w:tc>
      </w:tr>
      <w:tr w14:paraId="57CCB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ign w:val="center"/>
          </w:tcPr>
          <w:p w14:paraId="312B021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548" w:type="dxa"/>
            <w:noWrap/>
            <w:vAlign w:val="center"/>
          </w:tcPr>
          <w:p w14:paraId="6B641B9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响应文件电子版要求</w:t>
            </w:r>
          </w:p>
        </w:tc>
        <w:tc>
          <w:tcPr>
            <w:tcW w:w="6853" w:type="dxa"/>
            <w:noWrap/>
            <w:vAlign w:val="center"/>
          </w:tcPr>
          <w:p w14:paraId="69C2E854">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1.响应文件电子版要求：按照本竞争性磋商文件“第五章 响应文件格式”编写，第五章未附格式的，由供应商自行拟定。</w:t>
            </w:r>
          </w:p>
          <w:p w14:paraId="19C219AA">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2.响应文件电子版密封方式：电子响应文件通过平台有效CA加密后在广西政府采购云平台投送。</w:t>
            </w:r>
          </w:p>
        </w:tc>
      </w:tr>
      <w:tr w14:paraId="5E026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963" w:type="dxa"/>
            <w:noWrap/>
            <w:vAlign w:val="center"/>
          </w:tcPr>
          <w:p w14:paraId="18F0EBD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2548" w:type="dxa"/>
            <w:noWrap/>
            <w:vAlign w:val="center"/>
          </w:tcPr>
          <w:p w14:paraId="31923BD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响应报价要求</w:t>
            </w:r>
          </w:p>
        </w:tc>
        <w:tc>
          <w:tcPr>
            <w:tcW w:w="6853" w:type="dxa"/>
            <w:noWrap/>
            <w:vAlign w:val="center"/>
          </w:tcPr>
          <w:p w14:paraId="1F376722">
            <w:pPr>
              <w:snapToGrid w:val="0"/>
              <w:spacing w:line="360" w:lineRule="auto"/>
              <w:jc w:val="left"/>
              <w:rPr>
                <w:rFonts w:ascii="宋体" w:hAnsi="宋体" w:cs="宋体"/>
                <w:color w:val="auto"/>
                <w:highlight w:val="none"/>
              </w:rPr>
            </w:pPr>
            <w:r>
              <w:rPr>
                <w:rFonts w:hint="eastAsia" w:ascii="宋体" w:hAnsi="宋体" w:cs="宋体"/>
                <w:color w:val="auto"/>
                <w:highlight w:val="none"/>
              </w:rPr>
              <w:t>响应报价必须包含</w:t>
            </w:r>
          </w:p>
          <w:p w14:paraId="52616009">
            <w:pPr>
              <w:snapToGrid w:val="0"/>
              <w:spacing w:line="360" w:lineRule="auto"/>
              <w:jc w:val="left"/>
              <w:rPr>
                <w:rFonts w:ascii="宋体" w:hAnsi="宋体" w:cs="宋体"/>
                <w:color w:val="auto"/>
                <w:highlight w:val="none"/>
              </w:rPr>
            </w:pPr>
            <w:r>
              <w:rPr>
                <w:rFonts w:hint="eastAsia" w:ascii="宋体" w:hAnsi="宋体" w:cs="宋体"/>
                <w:color w:val="auto"/>
                <w:highlight w:val="none"/>
              </w:rPr>
              <w:t>①服务的价格；</w:t>
            </w:r>
          </w:p>
          <w:p w14:paraId="544D8720">
            <w:pPr>
              <w:snapToGrid w:val="0"/>
              <w:spacing w:line="360" w:lineRule="auto"/>
              <w:jc w:val="left"/>
              <w:rPr>
                <w:rFonts w:ascii="宋体" w:hAnsi="宋体" w:cs="宋体"/>
                <w:color w:val="auto"/>
                <w:highlight w:val="none"/>
              </w:rPr>
            </w:pPr>
            <w:r>
              <w:rPr>
                <w:rFonts w:hint="eastAsia" w:ascii="宋体" w:hAnsi="宋体" w:cs="宋体"/>
                <w:color w:val="auto"/>
                <w:highlight w:val="none"/>
              </w:rPr>
              <w:t>②必要的保险费用和各项税金；</w:t>
            </w:r>
          </w:p>
          <w:p w14:paraId="3AD6A300">
            <w:pPr>
              <w:snapToGrid w:val="0"/>
              <w:spacing w:line="360" w:lineRule="auto"/>
              <w:jc w:val="left"/>
              <w:rPr>
                <w:rFonts w:ascii="宋体" w:hAnsi="宋体" w:cs="宋体"/>
                <w:color w:val="auto"/>
                <w:highlight w:val="none"/>
              </w:rPr>
            </w:pPr>
            <w:r>
              <w:rPr>
                <w:rFonts w:hint="eastAsia" w:ascii="宋体" w:hAnsi="宋体" w:cs="宋体"/>
                <w:color w:val="auto"/>
                <w:highlight w:val="none"/>
              </w:rPr>
              <w:t>③服务期内的随配附件、备品备件、工具、货物运抵指定交货地点的各种费用和售后服务、</w:t>
            </w:r>
            <w:r>
              <w:rPr>
                <w:rFonts w:hint="eastAsia" w:ascii="宋体" w:hAnsi="宋体" w:cs="宋体"/>
                <w:color w:val="auto"/>
                <w:highlight w:val="none"/>
                <w:lang w:val="en-US" w:eastAsia="zh-CN"/>
              </w:rPr>
              <w:t>人员、</w:t>
            </w:r>
            <w:r>
              <w:rPr>
                <w:rFonts w:hint="eastAsia" w:ascii="宋体" w:hAnsi="宋体" w:cs="宋体"/>
                <w:color w:val="auto"/>
                <w:highlight w:val="none"/>
              </w:rPr>
              <w:t>税金及其它所有成本费用的总和。</w:t>
            </w:r>
          </w:p>
          <w:p w14:paraId="37D9B946">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☑响应报价包含验收费用</w:t>
            </w:r>
          </w:p>
          <w:p w14:paraId="1320CB14">
            <w:pPr>
              <w:pStyle w:val="2"/>
              <w:spacing w:line="360" w:lineRule="auto"/>
              <w:rPr>
                <w:rFonts w:ascii="宋体" w:hAnsi="宋体" w:cs="宋体"/>
                <w:color w:val="auto"/>
                <w:highlight w:val="none"/>
              </w:rPr>
            </w:pPr>
            <w:r>
              <w:rPr>
                <w:rFonts w:hint="eastAsia" w:ascii="宋体" w:hAnsi="宋体" w:cs="宋体"/>
                <w:b/>
                <w:color w:val="auto"/>
                <w:szCs w:val="21"/>
                <w:highlight w:val="none"/>
              </w:rPr>
              <w:t>□响应报价不包含验收费用</w:t>
            </w:r>
          </w:p>
        </w:tc>
      </w:tr>
      <w:tr w14:paraId="5BE63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ign w:val="center"/>
          </w:tcPr>
          <w:p w14:paraId="120435E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16.2</w:t>
            </w:r>
          </w:p>
        </w:tc>
        <w:tc>
          <w:tcPr>
            <w:tcW w:w="2548" w:type="dxa"/>
            <w:noWrap/>
            <w:vAlign w:val="center"/>
          </w:tcPr>
          <w:p w14:paraId="029AA00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竞标有效期</w:t>
            </w:r>
          </w:p>
        </w:tc>
        <w:tc>
          <w:tcPr>
            <w:tcW w:w="6853" w:type="dxa"/>
            <w:noWrap/>
            <w:vAlign w:val="center"/>
          </w:tcPr>
          <w:p w14:paraId="18B321CD">
            <w:pPr>
              <w:pStyle w:val="9"/>
              <w:tabs>
                <w:tab w:val="left" w:pos="720"/>
                <w:tab w:val="left" w:pos="840"/>
              </w:tabs>
              <w:snapToGrid w:val="0"/>
              <w:spacing w:line="360" w:lineRule="auto"/>
              <w:ind w:left="283" w:hanging="283" w:hangingChars="135"/>
              <w:rPr>
                <w:rFonts w:ascii="宋体" w:hAnsi="宋体" w:cs="宋体"/>
                <w:color w:val="auto"/>
                <w:szCs w:val="21"/>
                <w:highlight w:val="none"/>
              </w:rPr>
            </w:pPr>
            <w:r>
              <w:rPr>
                <w:rFonts w:hint="eastAsia" w:ascii="宋体" w:hAnsi="宋体" w:cs="宋体"/>
                <w:color w:val="auto"/>
                <w:szCs w:val="21"/>
                <w:highlight w:val="none"/>
              </w:rPr>
              <w:t>自首次响应文件提交截止之日起</w:t>
            </w:r>
            <w:r>
              <w:rPr>
                <w:rFonts w:hint="eastAsia" w:ascii="宋体" w:hAnsi="宋体" w:cs="宋体"/>
                <w:color w:val="auto"/>
                <w:szCs w:val="21"/>
                <w:highlight w:val="none"/>
                <w:u w:val="single"/>
              </w:rPr>
              <w:t xml:space="preserve"> 90 </w:t>
            </w:r>
            <w:r>
              <w:rPr>
                <w:rFonts w:hint="eastAsia" w:ascii="宋体" w:hAnsi="宋体" w:cs="宋体"/>
                <w:color w:val="auto"/>
                <w:szCs w:val="21"/>
                <w:highlight w:val="none"/>
              </w:rPr>
              <w:t>日。</w:t>
            </w:r>
          </w:p>
        </w:tc>
      </w:tr>
      <w:tr w14:paraId="6C167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ign w:val="center"/>
          </w:tcPr>
          <w:p w14:paraId="25DF95A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2548" w:type="dxa"/>
            <w:noWrap/>
            <w:vAlign w:val="center"/>
          </w:tcPr>
          <w:p w14:paraId="73A0ADB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磋商保证金</w:t>
            </w:r>
          </w:p>
        </w:tc>
        <w:tc>
          <w:tcPr>
            <w:tcW w:w="6853" w:type="dxa"/>
            <w:noWrap/>
            <w:vAlign w:val="center"/>
          </w:tcPr>
          <w:p w14:paraId="692A030D">
            <w:pPr>
              <w:spacing w:line="360" w:lineRule="auto"/>
              <w:rPr>
                <w:rFonts w:ascii="宋体" w:hAnsi="宋体" w:cs="宋体"/>
                <w:color w:val="auto"/>
                <w:szCs w:val="21"/>
                <w:highlight w:val="none"/>
              </w:rPr>
            </w:pPr>
            <w:r>
              <w:rPr>
                <w:rFonts w:hint="eastAsia" w:ascii="宋体" w:hAnsi="宋体" w:cs="宋体"/>
                <w:b/>
                <w:bCs/>
                <w:color w:val="auto"/>
                <w:szCs w:val="21"/>
                <w:highlight w:val="none"/>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磋商保证金。</w:t>
            </w:r>
          </w:p>
        </w:tc>
      </w:tr>
      <w:tr w14:paraId="7812D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restart"/>
            <w:noWrap/>
            <w:vAlign w:val="center"/>
          </w:tcPr>
          <w:p w14:paraId="4FB7910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2548" w:type="dxa"/>
            <w:noWrap/>
            <w:vAlign w:val="center"/>
          </w:tcPr>
          <w:p w14:paraId="15E2563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首次响应文件提交截止</w:t>
            </w:r>
          </w:p>
          <w:p w14:paraId="6BF6DA2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时间</w:t>
            </w:r>
          </w:p>
        </w:tc>
        <w:tc>
          <w:tcPr>
            <w:tcW w:w="6853" w:type="dxa"/>
            <w:noWrap/>
            <w:vAlign w:val="center"/>
          </w:tcPr>
          <w:p w14:paraId="7A96E8D3">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15C2E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continue"/>
            <w:noWrap/>
            <w:vAlign w:val="center"/>
          </w:tcPr>
          <w:p w14:paraId="6145BEEC">
            <w:pPr>
              <w:spacing w:line="360" w:lineRule="auto"/>
              <w:jc w:val="center"/>
              <w:rPr>
                <w:rFonts w:ascii="宋体" w:hAnsi="宋体" w:cs="宋体"/>
                <w:color w:val="auto"/>
                <w:szCs w:val="21"/>
                <w:highlight w:val="none"/>
              </w:rPr>
            </w:pPr>
          </w:p>
        </w:tc>
        <w:tc>
          <w:tcPr>
            <w:tcW w:w="2548" w:type="dxa"/>
            <w:noWrap/>
            <w:vAlign w:val="center"/>
          </w:tcPr>
          <w:p w14:paraId="22B4D21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首次响应文件开启</w:t>
            </w:r>
          </w:p>
          <w:p w14:paraId="096D4FD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时间</w:t>
            </w:r>
          </w:p>
        </w:tc>
        <w:tc>
          <w:tcPr>
            <w:tcW w:w="6853" w:type="dxa"/>
            <w:noWrap/>
            <w:vAlign w:val="center"/>
          </w:tcPr>
          <w:p w14:paraId="7F4FC01F">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详见竞争性磋商公告。</w:t>
            </w:r>
          </w:p>
        </w:tc>
      </w:tr>
      <w:tr w14:paraId="3523C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Merge w:val="continue"/>
            <w:noWrap/>
            <w:vAlign w:val="center"/>
          </w:tcPr>
          <w:p w14:paraId="19CEA9F6">
            <w:pPr>
              <w:spacing w:line="360" w:lineRule="auto"/>
              <w:jc w:val="center"/>
              <w:rPr>
                <w:rFonts w:ascii="宋体" w:hAnsi="宋体" w:cs="宋体"/>
                <w:color w:val="auto"/>
                <w:szCs w:val="21"/>
                <w:highlight w:val="none"/>
              </w:rPr>
            </w:pPr>
          </w:p>
        </w:tc>
        <w:tc>
          <w:tcPr>
            <w:tcW w:w="2548" w:type="dxa"/>
            <w:noWrap/>
            <w:vAlign w:val="center"/>
          </w:tcPr>
          <w:p w14:paraId="3006C88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首次响应文件提交地点</w:t>
            </w:r>
          </w:p>
        </w:tc>
        <w:tc>
          <w:tcPr>
            <w:tcW w:w="6853" w:type="dxa"/>
            <w:noWrap/>
            <w:vAlign w:val="center"/>
          </w:tcPr>
          <w:p w14:paraId="6DB8E32B">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21E0F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noWrap/>
            <w:vAlign w:val="center"/>
          </w:tcPr>
          <w:p w14:paraId="7D97B2A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20.6</w:t>
            </w:r>
          </w:p>
        </w:tc>
        <w:tc>
          <w:tcPr>
            <w:tcW w:w="2548" w:type="dxa"/>
            <w:noWrap/>
            <w:vAlign w:val="center"/>
          </w:tcPr>
          <w:p w14:paraId="096D4C6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备份响应文件</w:t>
            </w:r>
          </w:p>
        </w:tc>
        <w:tc>
          <w:tcPr>
            <w:tcW w:w="6853" w:type="dxa"/>
            <w:noWrap/>
            <w:vAlign w:val="center"/>
          </w:tcPr>
          <w:p w14:paraId="57F79E26">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本项目不接受备份响应文件。</w:t>
            </w:r>
          </w:p>
        </w:tc>
      </w:tr>
      <w:tr w14:paraId="23D80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noWrap/>
            <w:vAlign w:val="center"/>
          </w:tcPr>
          <w:p w14:paraId="2882E4A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w:t>
            </w:r>
          </w:p>
        </w:tc>
        <w:tc>
          <w:tcPr>
            <w:tcW w:w="2548" w:type="dxa"/>
            <w:noWrap/>
            <w:vAlign w:val="center"/>
          </w:tcPr>
          <w:p w14:paraId="75D0CFD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首次响应文件的补充、修改与撤回</w:t>
            </w:r>
          </w:p>
        </w:tc>
        <w:tc>
          <w:tcPr>
            <w:tcW w:w="6853" w:type="dxa"/>
            <w:noWrap/>
            <w:vAlign w:val="center"/>
          </w:tcPr>
          <w:p w14:paraId="7DCADBD6">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bCs/>
                <w:color w:val="auto"/>
                <w:highlight w:val="none"/>
              </w:rPr>
              <w:t>供应商须知正文</w:t>
            </w:r>
            <w:r>
              <w:rPr>
                <w:rFonts w:hint="eastAsia" w:ascii="宋体" w:hAnsi="宋体" w:cs="宋体"/>
                <w:color w:val="auto"/>
                <w:szCs w:val="21"/>
                <w:highlight w:val="none"/>
              </w:rPr>
              <w:t>。</w:t>
            </w:r>
          </w:p>
        </w:tc>
      </w:tr>
      <w:tr w14:paraId="06E12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63" w:type="dxa"/>
            <w:vMerge w:val="restart"/>
            <w:noWrap/>
            <w:vAlign w:val="center"/>
          </w:tcPr>
          <w:p w14:paraId="444127F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25</w:t>
            </w:r>
          </w:p>
        </w:tc>
        <w:tc>
          <w:tcPr>
            <w:tcW w:w="2548" w:type="dxa"/>
            <w:noWrap/>
            <w:vAlign w:val="center"/>
          </w:tcPr>
          <w:p w14:paraId="349750E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负偏离要求</w:t>
            </w:r>
          </w:p>
        </w:tc>
        <w:tc>
          <w:tcPr>
            <w:tcW w:w="6853" w:type="dxa"/>
            <w:noWrap/>
            <w:vAlign w:val="center"/>
          </w:tcPr>
          <w:p w14:paraId="53795AF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5CC6AF4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服务需求评审中允许负偏离的条款数为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7330A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noWrap/>
            <w:vAlign w:val="center"/>
          </w:tcPr>
          <w:p w14:paraId="6AF479C2">
            <w:pPr>
              <w:spacing w:line="360" w:lineRule="auto"/>
              <w:jc w:val="center"/>
              <w:rPr>
                <w:rFonts w:ascii="宋体" w:hAnsi="宋体" w:cs="宋体"/>
                <w:color w:val="auto"/>
                <w:szCs w:val="21"/>
                <w:highlight w:val="none"/>
              </w:rPr>
            </w:pPr>
          </w:p>
        </w:tc>
        <w:tc>
          <w:tcPr>
            <w:tcW w:w="2548" w:type="dxa"/>
            <w:noWrap/>
            <w:vAlign w:val="center"/>
          </w:tcPr>
          <w:p w14:paraId="64521925">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评审方法</w:t>
            </w:r>
          </w:p>
        </w:tc>
        <w:tc>
          <w:tcPr>
            <w:tcW w:w="6853" w:type="dxa"/>
            <w:noWrap/>
            <w:vAlign w:val="center"/>
          </w:tcPr>
          <w:p w14:paraId="42ECF49E">
            <w:pPr>
              <w:pStyle w:val="11"/>
              <w:spacing w:line="360" w:lineRule="auto"/>
              <w:rPr>
                <w:rFonts w:ascii="宋体" w:hAnsi="宋体" w:cs="宋体"/>
                <w:b/>
                <w:color w:val="auto"/>
                <w:szCs w:val="21"/>
                <w:highlight w:val="none"/>
              </w:rPr>
            </w:pPr>
            <w:r>
              <w:rPr>
                <w:rFonts w:hint="eastAsia" w:ascii="宋体" w:hAnsi="宋体" w:cs="宋体"/>
                <w:color w:val="auto"/>
                <w:highlight w:val="none"/>
              </w:rPr>
              <w:t>本项目采用综合评分法。综合评分法是指响应文件满足竞争性磋商文件全部实质性要求且按评审因素的量化指标评审得分最高的供应商为成交候选供应商的评审方法。</w:t>
            </w:r>
          </w:p>
        </w:tc>
      </w:tr>
      <w:tr w14:paraId="43047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noWrap/>
            <w:vAlign w:val="center"/>
          </w:tcPr>
          <w:p w14:paraId="66C4C5DB">
            <w:pPr>
              <w:spacing w:line="360" w:lineRule="auto"/>
              <w:jc w:val="center"/>
              <w:rPr>
                <w:rFonts w:ascii="宋体" w:hAnsi="宋体" w:cs="宋体"/>
                <w:color w:val="auto"/>
                <w:szCs w:val="21"/>
                <w:highlight w:val="none"/>
              </w:rPr>
            </w:pPr>
          </w:p>
        </w:tc>
        <w:tc>
          <w:tcPr>
            <w:tcW w:w="2548" w:type="dxa"/>
            <w:noWrap/>
            <w:vAlign w:val="center"/>
          </w:tcPr>
          <w:p w14:paraId="0C7F3DB6">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磋商的顺序</w:t>
            </w:r>
          </w:p>
        </w:tc>
        <w:tc>
          <w:tcPr>
            <w:tcW w:w="6853" w:type="dxa"/>
            <w:noWrap/>
            <w:vAlign w:val="center"/>
          </w:tcPr>
          <w:p w14:paraId="3A7CC1C1">
            <w:pPr>
              <w:pStyle w:val="11"/>
              <w:spacing w:line="360" w:lineRule="auto"/>
              <w:rPr>
                <w:rFonts w:ascii="宋体" w:hAnsi="宋体" w:cs="宋体"/>
                <w:color w:val="auto"/>
                <w:szCs w:val="21"/>
                <w:highlight w:val="none"/>
              </w:rPr>
            </w:pPr>
            <w:r>
              <w:rPr>
                <w:rFonts w:hint="eastAsia" w:ascii="宋体" w:hAnsi="宋体" w:cs="宋体"/>
                <w:color w:val="auto"/>
                <w:szCs w:val="21"/>
                <w:highlight w:val="none"/>
              </w:rPr>
              <w:t>□按照提交首次响应文件的顺序，通知磋商时，若某供应商不在通知现场时，该供应商排序到最后磋商，按照签到的顺序由其下一位供应商先参与磋商。</w:t>
            </w:r>
          </w:p>
          <w:p w14:paraId="1DDD695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☑随机排序。</w:t>
            </w:r>
          </w:p>
          <w:p w14:paraId="7C1DD747">
            <w:pPr>
              <w:pStyle w:val="11"/>
              <w:spacing w:line="360" w:lineRule="auto"/>
              <w:rPr>
                <w:rFonts w:ascii="宋体" w:hAnsi="宋体" w:cs="宋体"/>
                <w:b/>
                <w:color w:val="auto"/>
                <w:szCs w:val="21"/>
                <w:highlight w:val="none"/>
              </w:rPr>
            </w:pPr>
          </w:p>
        </w:tc>
      </w:tr>
      <w:tr w14:paraId="1CC1B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ign w:val="center"/>
          </w:tcPr>
          <w:p w14:paraId="5D0477D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27</w:t>
            </w:r>
          </w:p>
        </w:tc>
        <w:tc>
          <w:tcPr>
            <w:tcW w:w="2548" w:type="dxa"/>
            <w:noWrap/>
            <w:vAlign w:val="center"/>
          </w:tcPr>
          <w:p w14:paraId="530BBF9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853" w:type="dxa"/>
            <w:noWrap/>
            <w:vAlign w:val="center"/>
          </w:tcPr>
          <w:p w14:paraId="1C40972E">
            <w:pPr>
              <w:spacing w:line="360" w:lineRule="auto"/>
              <w:rPr>
                <w:rFonts w:ascii="宋体" w:hAnsi="宋体" w:cs="宋体"/>
                <w:color w:val="auto"/>
                <w:szCs w:val="21"/>
                <w:highlight w:val="none"/>
              </w:rPr>
            </w:pPr>
            <w:r>
              <w:rPr>
                <w:rFonts w:hint="eastAsia" w:ascii="宋体" w:hAnsi="宋体" w:cs="宋体"/>
                <w:b/>
                <w:bCs/>
                <w:color w:val="auto"/>
                <w:szCs w:val="21"/>
                <w:highlight w:val="none"/>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履约保证金。</w:t>
            </w:r>
          </w:p>
        </w:tc>
      </w:tr>
      <w:tr w14:paraId="15B1D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ign w:val="center"/>
          </w:tcPr>
          <w:p w14:paraId="6943032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28.5</w:t>
            </w:r>
          </w:p>
        </w:tc>
        <w:tc>
          <w:tcPr>
            <w:tcW w:w="2548" w:type="dxa"/>
            <w:noWrap/>
            <w:vAlign w:val="center"/>
          </w:tcPr>
          <w:p w14:paraId="588E92E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签订合同携带的材料</w:t>
            </w:r>
          </w:p>
        </w:tc>
        <w:tc>
          <w:tcPr>
            <w:tcW w:w="6853" w:type="dxa"/>
            <w:noWrap/>
            <w:vAlign w:val="center"/>
          </w:tcPr>
          <w:p w14:paraId="4EF73B73">
            <w:pPr>
              <w:snapToGrid w:val="0"/>
              <w:spacing w:line="360" w:lineRule="auto"/>
              <w:rPr>
                <w:rFonts w:ascii="宋体" w:hAnsi="宋体" w:cs="宋体"/>
                <w:b/>
                <w:bCs/>
                <w:i/>
                <w:iCs/>
                <w:color w:val="auto"/>
                <w:szCs w:val="21"/>
                <w:highlight w:val="none"/>
              </w:rPr>
            </w:pPr>
            <w:r>
              <w:rPr>
                <w:rFonts w:hint="eastAsia" w:ascii="宋体" w:hAnsi="宋体" w:cs="宋体"/>
                <w:color w:val="auto"/>
                <w:szCs w:val="21"/>
                <w:highlight w:val="none"/>
              </w:rPr>
              <w:t>使用的有效CA证书加盖单位电子公章</w:t>
            </w:r>
          </w:p>
        </w:tc>
      </w:tr>
      <w:tr w14:paraId="7AA97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noWrap/>
            <w:vAlign w:val="center"/>
          </w:tcPr>
          <w:p w14:paraId="092797E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30.2</w:t>
            </w:r>
          </w:p>
        </w:tc>
        <w:tc>
          <w:tcPr>
            <w:tcW w:w="2548" w:type="dxa"/>
            <w:noWrap/>
            <w:vAlign w:val="center"/>
          </w:tcPr>
          <w:p w14:paraId="7D9C824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6853" w:type="dxa"/>
            <w:noWrap/>
            <w:vAlign w:val="center"/>
          </w:tcPr>
          <w:p w14:paraId="45A8EAC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以书面形式</w:t>
            </w:r>
          </w:p>
        </w:tc>
      </w:tr>
      <w:tr w14:paraId="48209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noWrap/>
            <w:vAlign w:val="center"/>
          </w:tcPr>
          <w:p w14:paraId="3BF65A70">
            <w:pPr>
              <w:spacing w:line="360" w:lineRule="auto"/>
              <w:jc w:val="center"/>
              <w:rPr>
                <w:rFonts w:ascii="宋体" w:hAnsi="宋体" w:cs="宋体"/>
                <w:color w:val="auto"/>
                <w:szCs w:val="21"/>
                <w:highlight w:val="none"/>
              </w:rPr>
            </w:pPr>
          </w:p>
        </w:tc>
        <w:tc>
          <w:tcPr>
            <w:tcW w:w="2548" w:type="dxa"/>
            <w:noWrap/>
            <w:vAlign w:val="center"/>
          </w:tcPr>
          <w:p w14:paraId="4D4C9B6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质疑联系部门及联系</w:t>
            </w:r>
          </w:p>
          <w:p w14:paraId="2629358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方式</w:t>
            </w:r>
          </w:p>
        </w:tc>
        <w:tc>
          <w:tcPr>
            <w:tcW w:w="6853" w:type="dxa"/>
            <w:noWrap/>
            <w:vAlign w:val="center"/>
          </w:tcPr>
          <w:p w14:paraId="48C01EEA">
            <w:pPr>
              <w:snapToGrid w:val="0"/>
              <w:spacing w:line="360" w:lineRule="auto"/>
              <w:rPr>
                <w:rFonts w:hint="eastAsia" w:ascii="宋体" w:hAnsi="宋体" w:eastAsia="宋体" w:cs="宋体"/>
                <w:color w:val="auto"/>
                <w:spacing w:val="10"/>
                <w:highlight w:val="none"/>
                <w:lang w:eastAsia="zh-CN"/>
              </w:rPr>
            </w:pPr>
            <w:bookmarkStart w:id="74" w:name="PO_3000001868_PM031_3"/>
            <w:r>
              <w:rPr>
                <w:rFonts w:hint="eastAsia" w:ascii="宋体" w:hAnsi="宋体" w:cs="宋体"/>
                <w:color w:val="auto"/>
                <w:spacing w:val="10"/>
                <w:highlight w:val="none"/>
              </w:rPr>
              <w:t>（1）名称：</w:t>
            </w:r>
            <w:bookmarkEnd w:id="74"/>
            <w:r>
              <w:rPr>
                <w:rFonts w:hint="eastAsia" w:ascii="宋体" w:hAnsi="宋体" w:cs="宋体"/>
                <w:color w:val="auto"/>
                <w:spacing w:val="10"/>
                <w:highlight w:val="none"/>
                <w:lang w:eastAsia="zh-CN"/>
              </w:rPr>
              <w:t>上思县人民法院</w:t>
            </w:r>
          </w:p>
          <w:p w14:paraId="0BA567B3">
            <w:pPr>
              <w:snapToGrid w:val="0"/>
              <w:spacing w:line="360" w:lineRule="auto"/>
              <w:rPr>
                <w:rFonts w:ascii="宋体" w:hAnsi="宋体" w:cs="宋体"/>
                <w:color w:val="auto"/>
                <w:spacing w:val="10"/>
                <w:highlight w:val="none"/>
              </w:rPr>
            </w:pPr>
            <w:r>
              <w:rPr>
                <w:rFonts w:hint="eastAsia" w:ascii="宋体" w:hAnsi="宋体" w:cs="宋体"/>
                <w:color w:val="auto"/>
                <w:spacing w:val="10"/>
                <w:highlight w:val="none"/>
              </w:rPr>
              <w:t>联系电话：</w:t>
            </w:r>
            <w:r>
              <w:rPr>
                <w:rFonts w:hint="eastAsia" w:ascii="宋体" w:hAnsi="宋体" w:cs="宋体"/>
                <w:color w:val="auto"/>
                <w:spacing w:val="10"/>
                <w:highlight w:val="none"/>
                <w:lang w:eastAsia="zh-CN"/>
              </w:rPr>
              <w:t>上思县团结东路156号</w:t>
            </w:r>
            <w:r>
              <w:rPr>
                <w:rFonts w:hint="eastAsia" w:ascii="宋体" w:hAnsi="宋体" w:cs="宋体"/>
                <w:color w:val="auto"/>
                <w:spacing w:val="10"/>
                <w:highlight w:val="none"/>
              </w:rPr>
              <w:t xml:space="preserve"> </w:t>
            </w:r>
          </w:p>
          <w:p w14:paraId="3D4920B7">
            <w:pPr>
              <w:snapToGrid w:val="0"/>
              <w:spacing w:line="360" w:lineRule="auto"/>
              <w:rPr>
                <w:rFonts w:hint="eastAsia" w:ascii="宋体" w:hAnsi="宋体" w:eastAsia="宋体" w:cs="宋体"/>
                <w:color w:val="auto"/>
                <w:spacing w:val="10"/>
                <w:highlight w:val="none"/>
                <w:lang w:eastAsia="zh-CN"/>
              </w:rPr>
            </w:pPr>
            <w:r>
              <w:rPr>
                <w:rFonts w:hint="eastAsia" w:ascii="宋体" w:hAnsi="宋体" w:cs="宋体"/>
                <w:color w:val="auto"/>
                <w:spacing w:val="10"/>
                <w:highlight w:val="none"/>
              </w:rPr>
              <w:t>联系方式：</w:t>
            </w:r>
            <w:r>
              <w:rPr>
                <w:rFonts w:hint="eastAsia" w:ascii="宋体" w:hAnsi="宋体" w:cs="宋体"/>
                <w:color w:val="auto"/>
                <w:spacing w:val="10"/>
                <w:highlight w:val="none"/>
                <w:lang w:eastAsia="zh-CN"/>
              </w:rPr>
              <w:t>冯淑艳</w:t>
            </w:r>
            <w:r>
              <w:rPr>
                <w:rFonts w:hint="eastAsia" w:ascii="宋体" w:hAnsi="宋体" w:cs="宋体"/>
                <w:color w:val="auto"/>
                <w:spacing w:val="10"/>
                <w:highlight w:val="none"/>
              </w:rPr>
              <w:t>，</w:t>
            </w:r>
            <w:r>
              <w:rPr>
                <w:rFonts w:hint="eastAsia" w:ascii="宋体" w:hAnsi="宋体" w:cs="宋体"/>
                <w:color w:val="auto"/>
                <w:spacing w:val="10"/>
                <w:highlight w:val="none"/>
                <w:lang w:eastAsia="zh-CN"/>
              </w:rPr>
              <w:t>0770-8525058</w:t>
            </w:r>
          </w:p>
          <w:p w14:paraId="0244E863">
            <w:pPr>
              <w:snapToGrid w:val="0"/>
              <w:spacing w:line="360" w:lineRule="auto"/>
              <w:rPr>
                <w:rFonts w:hint="eastAsia" w:ascii="宋体" w:hAnsi="宋体" w:eastAsia="宋体" w:cs="宋体"/>
                <w:color w:val="auto"/>
                <w:spacing w:val="10"/>
                <w:highlight w:val="none"/>
                <w:lang w:eastAsia="zh-CN"/>
              </w:rPr>
            </w:pPr>
            <w:r>
              <w:rPr>
                <w:rFonts w:hint="eastAsia" w:ascii="宋体" w:hAnsi="宋体" w:cs="宋体"/>
                <w:color w:val="auto"/>
                <w:spacing w:val="10"/>
                <w:highlight w:val="none"/>
              </w:rPr>
              <w:t>（2）名称：</w:t>
            </w:r>
            <w:r>
              <w:rPr>
                <w:rFonts w:hint="eastAsia" w:ascii="宋体" w:hAnsi="宋体" w:cs="宋体"/>
                <w:color w:val="auto"/>
                <w:spacing w:val="10"/>
                <w:highlight w:val="none"/>
                <w:lang w:eastAsia="zh-CN"/>
              </w:rPr>
              <w:t>广西科举招标代理有限公司</w:t>
            </w:r>
          </w:p>
          <w:p w14:paraId="3B5CF2E5">
            <w:pPr>
              <w:snapToGrid w:val="0"/>
              <w:spacing w:line="360" w:lineRule="auto"/>
              <w:rPr>
                <w:rFonts w:hint="eastAsia" w:ascii="宋体" w:hAnsi="宋体" w:eastAsia="宋体" w:cs="宋体"/>
                <w:color w:val="auto"/>
                <w:spacing w:val="10"/>
                <w:highlight w:val="none"/>
                <w:lang w:val="en-US" w:eastAsia="zh-CN"/>
              </w:rPr>
            </w:pPr>
            <w:r>
              <w:rPr>
                <w:rFonts w:hint="eastAsia" w:ascii="宋体" w:hAnsi="宋体" w:cs="宋体"/>
                <w:color w:val="auto"/>
                <w:spacing w:val="10"/>
                <w:highlight w:val="none"/>
              </w:rPr>
              <w:t>联系电话：</w:t>
            </w:r>
            <w:r>
              <w:rPr>
                <w:rFonts w:hint="eastAsia" w:ascii="宋体" w:hAnsi="宋体" w:cs="宋体"/>
                <w:color w:val="auto"/>
                <w:spacing w:val="10"/>
                <w:highlight w:val="none"/>
                <w:lang w:eastAsia="zh-CN"/>
              </w:rPr>
              <w:t>13507701010</w:t>
            </w:r>
          </w:p>
          <w:p w14:paraId="58F6DC5F">
            <w:pPr>
              <w:snapToGrid w:val="0"/>
              <w:spacing w:line="360" w:lineRule="auto"/>
              <w:rPr>
                <w:rFonts w:ascii="宋体" w:hAnsi="宋体" w:cs="宋体"/>
                <w:color w:val="auto"/>
                <w:szCs w:val="21"/>
                <w:highlight w:val="none"/>
              </w:rPr>
            </w:pPr>
            <w:r>
              <w:rPr>
                <w:rFonts w:hint="eastAsia" w:ascii="宋体" w:hAnsi="宋体" w:cs="宋体"/>
                <w:color w:val="auto"/>
                <w:spacing w:val="10"/>
                <w:highlight w:val="none"/>
              </w:rPr>
              <w:t>通讯地址：</w:t>
            </w:r>
            <w:r>
              <w:rPr>
                <w:rFonts w:hint="eastAsia" w:ascii="宋体" w:hAnsi="宋体" w:cs="宋体"/>
                <w:color w:val="auto"/>
                <w:spacing w:val="10"/>
                <w:highlight w:val="none"/>
                <w:lang w:eastAsia="zh-CN"/>
              </w:rPr>
              <w:t>防城港市港口区西湾广场财苑小区8号2楼</w:t>
            </w:r>
            <w:r>
              <w:rPr>
                <w:rFonts w:hint="eastAsia" w:ascii="宋体" w:hAnsi="宋体" w:cs="宋体"/>
                <w:color w:val="auto"/>
                <w:spacing w:val="10"/>
                <w:highlight w:val="none"/>
              </w:rPr>
              <w:t xml:space="preserve"> </w:t>
            </w:r>
          </w:p>
        </w:tc>
      </w:tr>
      <w:tr w14:paraId="3CD8A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noWrap/>
            <w:vAlign w:val="center"/>
          </w:tcPr>
          <w:p w14:paraId="6ED125B7">
            <w:pPr>
              <w:spacing w:line="360" w:lineRule="auto"/>
              <w:jc w:val="center"/>
              <w:rPr>
                <w:rFonts w:ascii="宋体" w:hAnsi="宋体" w:cs="宋体"/>
                <w:color w:val="auto"/>
                <w:szCs w:val="21"/>
                <w:highlight w:val="none"/>
              </w:rPr>
            </w:pPr>
          </w:p>
        </w:tc>
        <w:tc>
          <w:tcPr>
            <w:tcW w:w="2548" w:type="dxa"/>
            <w:noWrap/>
            <w:vAlign w:val="center"/>
          </w:tcPr>
          <w:p w14:paraId="7AA994BF">
            <w:pPr>
              <w:spacing w:line="360" w:lineRule="auto"/>
              <w:jc w:val="center"/>
              <w:rPr>
                <w:rFonts w:ascii="宋体" w:hAnsi="宋体" w:cs="宋体"/>
                <w:color w:val="auto"/>
                <w:highlight w:val="none"/>
              </w:rPr>
            </w:pPr>
            <w:r>
              <w:rPr>
                <w:rFonts w:hint="eastAsia" w:ascii="宋体" w:hAnsi="宋体" w:cs="宋体"/>
                <w:color w:val="auto"/>
                <w:highlight w:val="none"/>
              </w:rPr>
              <w:t>现场提交质疑办理业务</w:t>
            </w:r>
          </w:p>
          <w:p w14:paraId="579BCD0F">
            <w:pPr>
              <w:spacing w:line="360" w:lineRule="auto"/>
              <w:jc w:val="center"/>
              <w:rPr>
                <w:rFonts w:ascii="宋体" w:hAnsi="宋体" w:cs="宋体"/>
                <w:color w:val="auto"/>
                <w:szCs w:val="21"/>
                <w:highlight w:val="none"/>
              </w:rPr>
            </w:pPr>
            <w:r>
              <w:rPr>
                <w:rFonts w:hint="eastAsia" w:ascii="宋体" w:hAnsi="宋体" w:cs="宋体"/>
                <w:color w:val="auto"/>
                <w:highlight w:val="none"/>
              </w:rPr>
              <w:t>时间</w:t>
            </w:r>
          </w:p>
        </w:tc>
        <w:tc>
          <w:tcPr>
            <w:tcW w:w="6853" w:type="dxa"/>
            <w:noWrap/>
            <w:vAlign w:val="center"/>
          </w:tcPr>
          <w:p w14:paraId="778B7465">
            <w:pPr>
              <w:snapToGrid w:val="0"/>
              <w:spacing w:line="360" w:lineRule="auto"/>
              <w:rPr>
                <w:rFonts w:ascii="宋体" w:hAnsi="宋体" w:cs="宋体"/>
                <w:color w:val="auto"/>
                <w:szCs w:val="21"/>
                <w:highlight w:val="none"/>
              </w:rPr>
            </w:pPr>
            <w:r>
              <w:rPr>
                <w:rFonts w:hint="eastAsia" w:ascii="宋体" w:hAnsi="宋体" w:cs="宋体"/>
                <w:color w:val="auto"/>
                <w:highlight w:val="none"/>
              </w:rPr>
              <w:t>质疑期内每个工作日（北京时间）上午</w:t>
            </w:r>
            <w:r>
              <w:rPr>
                <w:rFonts w:hint="eastAsia" w:ascii="宋体" w:hAnsi="宋体" w:cs="宋体"/>
                <w:color w:val="auto"/>
                <w:highlight w:val="none"/>
                <w:u w:val="single"/>
              </w:rPr>
              <w:t>9</w:t>
            </w:r>
            <w:r>
              <w:rPr>
                <w:rFonts w:hint="eastAsia" w:ascii="宋体" w:hAnsi="宋体" w:cs="宋体"/>
                <w:color w:val="auto"/>
                <w:highlight w:val="none"/>
              </w:rPr>
              <w:t>时</w:t>
            </w:r>
            <w:r>
              <w:rPr>
                <w:rFonts w:hint="eastAsia" w:ascii="宋体" w:hAnsi="宋体" w:cs="宋体"/>
                <w:color w:val="auto"/>
                <w:highlight w:val="none"/>
                <w:u w:val="single"/>
              </w:rPr>
              <w:t>00</w:t>
            </w:r>
            <w:r>
              <w:rPr>
                <w:rFonts w:hint="eastAsia" w:ascii="宋体" w:hAnsi="宋体" w:cs="宋体"/>
                <w:color w:val="auto"/>
                <w:highlight w:val="none"/>
              </w:rPr>
              <w:t>分到</w:t>
            </w:r>
            <w:r>
              <w:rPr>
                <w:rFonts w:hint="eastAsia" w:ascii="宋体" w:hAnsi="宋体" w:cs="宋体"/>
                <w:color w:val="auto"/>
                <w:highlight w:val="none"/>
                <w:u w:val="single"/>
              </w:rPr>
              <w:t>12</w:t>
            </w:r>
            <w:r>
              <w:rPr>
                <w:rFonts w:hint="eastAsia" w:ascii="宋体" w:hAnsi="宋体" w:cs="宋体"/>
                <w:color w:val="auto"/>
                <w:highlight w:val="none"/>
              </w:rPr>
              <w:t>时</w:t>
            </w:r>
            <w:r>
              <w:rPr>
                <w:rFonts w:hint="eastAsia" w:ascii="宋体" w:hAnsi="宋体" w:cs="宋体"/>
                <w:color w:val="auto"/>
                <w:highlight w:val="none"/>
                <w:u w:val="single"/>
              </w:rPr>
              <w:t>00</w:t>
            </w:r>
            <w:r>
              <w:rPr>
                <w:rFonts w:hint="eastAsia" w:ascii="宋体" w:hAnsi="宋体" w:cs="宋体"/>
                <w:color w:val="auto"/>
                <w:highlight w:val="none"/>
              </w:rPr>
              <w:t>分，下午</w:t>
            </w:r>
            <w:r>
              <w:rPr>
                <w:rFonts w:hint="eastAsia" w:ascii="宋体" w:hAnsi="宋体" w:cs="宋体"/>
                <w:color w:val="auto"/>
                <w:highlight w:val="none"/>
                <w:u w:val="single"/>
              </w:rPr>
              <w:t>15</w:t>
            </w:r>
            <w:r>
              <w:rPr>
                <w:rFonts w:hint="eastAsia" w:ascii="宋体" w:hAnsi="宋体" w:cs="宋体"/>
                <w:color w:val="auto"/>
                <w:highlight w:val="none"/>
              </w:rPr>
              <w:t>时</w:t>
            </w:r>
            <w:r>
              <w:rPr>
                <w:rFonts w:hint="eastAsia" w:ascii="宋体" w:hAnsi="宋体" w:cs="宋体"/>
                <w:color w:val="auto"/>
                <w:highlight w:val="none"/>
                <w:u w:val="single"/>
              </w:rPr>
              <w:t>00</w:t>
            </w:r>
            <w:r>
              <w:rPr>
                <w:rFonts w:hint="eastAsia" w:ascii="宋体" w:hAnsi="宋体" w:cs="宋体"/>
                <w:color w:val="auto"/>
                <w:highlight w:val="none"/>
              </w:rPr>
              <w:t>分到</w:t>
            </w:r>
            <w:r>
              <w:rPr>
                <w:rFonts w:hint="eastAsia" w:ascii="宋体" w:hAnsi="宋体" w:cs="宋体"/>
                <w:color w:val="auto"/>
                <w:highlight w:val="none"/>
                <w:u w:val="single"/>
              </w:rPr>
              <w:t>18</w:t>
            </w:r>
            <w:r>
              <w:rPr>
                <w:rFonts w:hint="eastAsia" w:ascii="宋体" w:hAnsi="宋体" w:cs="宋体"/>
                <w:color w:val="auto"/>
                <w:highlight w:val="none"/>
              </w:rPr>
              <w:t>时</w:t>
            </w:r>
            <w:r>
              <w:rPr>
                <w:rFonts w:hint="eastAsia" w:ascii="宋体" w:hAnsi="宋体" w:cs="宋体"/>
                <w:color w:val="auto"/>
                <w:highlight w:val="none"/>
                <w:u w:val="single"/>
              </w:rPr>
              <w:t>00</w:t>
            </w:r>
            <w:r>
              <w:rPr>
                <w:rFonts w:hint="eastAsia" w:ascii="宋体" w:hAnsi="宋体" w:cs="宋体"/>
                <w:color w:val="auto"/>
                <w:highlight w:val="none"/>
              </w:rPr>
              <w:t>分。</w:t>
            </w:r>
          </w:p>
        </w:tc>
      </w:tr>
      <w:tr w14:paraId="789C4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ign w:val="center"/>
          </w:tcPr>
          <w:p w14:paraId="1D97D12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30.6</w:t>
            </w:r>
          </w:p>
        </w:tc>
        <w:tc>
          <w:tcPr>
            <w:tcW w:w="2548" w:type="dxa"/>
            <w:noWrap/>
            <w:vAlign w:val="center"/>
          </w:tcPr>
          <w:p w14:paraId="6944D31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受理投诉方式</w:t>
            </w:r>
          </w:p>
        </w:tc>
        <w:tc>
          <w:tcPr>
            <w:tcW w:w="6853" w:type="dxa"/>
            <w:noWrap/>
            <w:vAlign w:val="center"/>
          </w:tcPr>
          <w:p w14:paraId="469A3AC8">
            <w:pPr>
              <w:snapToGrid w:val="0"/>
              <w:spacing w:line="360" w:lineRule="auto"/>
              <w:rPr>
                <w:rFonts w:ascii="宋体" w:hAnsi="宋体" w:cs="宋体"/>
                <w:color w:val="auto"/>
                <w:highlight w:val="none"/>
              </w:rPr>
            </w:pPr>
            <w:r>
              <w:rPr>
                <w:rFonts w:hint="eastAsia" w:ascii="宋体" w:hAnsi="宋体" w:cs="宋体"/>
                <w:color w:val="auto"/>
                <w:highlight w:val="none"/>
              </w:rPr>
              <w:t>1、受理方式：纸质方式受理，投诉书正、副本（经过质疑的事项才可投诉）。</w:t>
            </w:r>
          </w:p>
          <w:p w14:paraId="342C6585">
            <w:pPr>
              <w:snapToGrid w:val="0"/>
              <w:spacing w:line="360" w:lineRule="auto"/>
              <w:rPr>
                <w:rFonts w:ascii="宋体" w:hAnsi="宋体" w:cs="宋体"/>
                <w:color w:val="auto"/>
                <w:highlight w:val="none"/>
              </w:rPr>
            </w:pPr>
            <w:r>
              <w:rPr>
                <w:rFonts w:hint="eastAsia" w:ascii="宋体" w:hAnsi="宋体" w:cs="宋体"/>
                <w:color w:val="auto"/>
                <w:highlight w:val="none"/>
              </w:rPr>
              <w:t>2、通讯方式</w:t>
            </w:r>
          </w:p>
          <w:p w14:paraId="00C756EF">
            <w:pPr>
              <w:snapToGrid w:val="0"/>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名称：</w:t>
            </w:r>
            <w:r>
              <w:rPr>
                <w:rFonts w:hint="eastAsia" w:ascii="宋体" w:hAnsi="宋体" w:cs="宋体"/>
                <w:color w:val="auto"/>
                <w:highlight w:val="none"/>
                <w:lang w:eastAsia="zh-CN"/>
              </w:rPr>
              <w:t>上思县政府采购中心</w:t>
            </w:r>
            <w:r>
              <w:rPr>
                <w:rFonts w:hint="eastAsia" w:ascii="宋体" w:hAnsi="宋体" w:cs="宋体"/>
                <w:color w:val="auto"/>
                <w:kern w:val="0"/>
                <w:szCs w:val="21"/>
                <w:highlight w:val="none"/>
              </w:rPr>
              <w:t>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电话：</w:t>
            </w:r>
            <w:r>
              <w:rPr>
                <w:rFonts w:hint="eastAsia" w:ascii="宋体" w:hAnsi="宋体" w:cs="宋体"/>
                <w:color w:val="auto"/>
                <w:kern w:val="0"/>
                <w:szCs w:val="21"/>
                <w:highlight w:val="none"/>
                <w:lang w:eastAsia="zh-CN"/>
              </w:rPr>
              <w:t>0770-8521708</w:t>
            </w:r>
          </w:p>
        </w:tc>
      </w:tr>
      <w:tr w14:paraId="2A54D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ign w:val="center"/>
          </w:tcPr>
          <w:p w14:paraId="64F381B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32</w:t>
            </w:r>
          </w:p>
        </w:tc>
        <w:tc>
          <w:tcPr>
            <w:tcW w:w="2548" w:type="dxa"/>
            <w:noWrap/>
            <w:vAlign w:val="center"/>
          </w:tcPr>
          <w:p w14:paraId="4CE4753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采购代理服务费</w:t>
            </w:r>
          </w:p>
        </w:tc>
        <w:tc>
          <w:tcPr>
            <w:tcW w:w="6853" w:type="dxa"/>
            <w:noWrap/>
            <w:vAlign w:val="center"/>
          </w:tcPr>
          <w:p w14:paraId="538D4A2A">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 是否收取采购代理服务费：</w:t>
            </w:r>
          </w:p>
          <w:p w14:paraId="2ABBFC26">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☑是    □ 否</w:t>
            </w:r>
          </w:p>
          <w:p w14:paraId="5DD1D6B3">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2.采购代理服务费支付方式：</w:t>
            </w:r>
          </w:p>
          <w:p w14:paraId="4684BE3D">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☑本项目采购代理服务费由</w:t>
            </w:r>
            <w:r>
              <w:rPr>
                <w:rFonts w:hint="eastAsia" w:ascii="宋体" w:hAnsi="宋体" w:cs="宋体"/>
                <w:color w:val="auto"/>
                <w:kern w:val="0"/>
                <w:szCs w:val="21"/>
                <w:highlight w:val="none"/>
                <w:u w:val="single"/>
              </w:rPr>
              <w:t>成交供应商</w:t>
            </w:r>
            <w:r>
              <w:rPr>
                <w:rFonts w:hint="eastAsia" w:ascii="宋体" w:hAnsi="宋体" w:cs="宋体"/>
                <w:color w:val="auto"/>
                <w:kern w:val="0"/>
                <w:szCs w:val="21"/>
                <w:highlight w:val="none"/>
              </w:rPr>
              <w:t>在签订合同前，</w:t>
            </w:r>
            <w:r>
              <w:rPr>
                <w:rFonts w:hint="eastAsia" w:ascii="宋体" w:hAnsi="宋体" w:cs="宋体"/>
                <w:color w:val="auto"/>
                <w:highlight w:val="none"/>
              </w:rPr>
              <w:t>以银行转账、电汇等方式</w:t>
            </w:r>
            <w:r>
              <w:rPr>
                <w:rFonts w:hint="eastAsia" w:ascii="宋体" w:hAnsi="宋体" w:cs="宋体"/>
                <w:color w:val="auto"/>
                <w:kern w:val="0"/>
                <w:szCs w:val="21"/>
                <w:highlight w:val="none"/>
              </w:rPr>
              <w:t>一次性向采购代理机构支付。</w:t>
            </w:r>
          </w:p>
          <w:p w14:paraId="3451BE0F">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□采购人支付。</w:t>
            </w:r>
          </w:p>
          <w:p w14:paraId="68FCA993">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3.采购代理服务费收取标准：</w:t>
            </w:r>
          </w:p>
          <w:p w14:paraId="1AB96AC3">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☑以项目（☑成交总金额/□采购预算/□暂定成交金额/□其他）为计费额，按</w:t>
            </w:r>
            <w:r>
              <w:rPr>
                <w:rFonts w:hint="eastAsia" w:ascii="宋体" w:hAnsi="宋体" w:cs="宋体"/>
                <w:color w:val="auto"/>
                <w:highlight w:val="none"/>
              </w:rPr>
              <w:t>本须知正文第32.2条规定的收费计算标准（</w:t>
            </w:r>
            <w:r>
              <w:rPr>
                <w:rFonts w:hint="eastAsia" w:ascii="宋体" w:hAnsi="宋体" w:cs="宋体"/>
                <w:b/>
                <w:bCs/>
                <w:color w:val="auto"/>
                <w:kern w:val="0"/>
                <w:szCs w:val="21"/>
                <w:highlight w:val="none"/>
                <w:u w:val="single"/>
              </w:rPr>
              <w:t>服务类</w:t>
            </w:r>
            <w:r>
              <w:rPr>
                <w:rFonts w:hint="eastAsia" w:ascii="宋体" w:hAnsi="宋体" w:cs="宋体"/>
                <w:color w:val="auto"/>
                <w:highlight w:val="none"/>
              </w:rPr>
              <w:t>）</w:t>
            </w:r>
            <w:r>
              <w:rPr>
                <w:rFonts w:hint="eastAsia" w:ascii="宋体" w:hAnsi="宋体" w:cs="宋体"/>
                <w:color w:val="auto"/>
                <w:kern w:val="0"/>
                <w:szCs w:val="21"/>
                <w:highlight w:val="none"/>
              </w:rPr>
              <w:t>采用差额定率累进法计算出收费基准价格，采购代理机构收费以收取。</w:t>
            </w:r>
          </w:p>
          <w:p w14:paraId="05BCE1DF">
            <w:pPr>
              <w:snapToGrid w:val="0"/>
              <w:spacing w:line="360" w:lineRule="auto"/>
              <w:rPr>
                <w:rFonts w:ascii="宋体" w:hAnsi="宋体" w:cs="宋体"/>
                <w:color w:val="auto"/>
                <w:kern w:val="0"/>
                <w:szCs w:val="21"/>
                <w:highlight w:val="none"/>
                <w:u w:val="single"/>
              </w:rPr>
            </w:pPr>
            <w:r>
              <w:rPr>
                <w:rFonts w:hint="eastAsia" w:ascii="宋体" w:hAnsi="宋体" w:cs="宋体"/>
                <w:color w:val="auto"/>
                <w:kern w:val="0"/>
                <w:szCs w:val="21"/>
                <w:highlight w:val="none"/>
              </w:rPr>
              <w:t>□固定采购代理收费：</w:t>
            </w:r>
            <w:r>
              <w:rPr>
                <w:rFonts w:hint="eastAsia" w:ascii="宋体" w:hAnsi="宋体" w:cs="宋体"/>
                <w:color w:val="auto"/>
                <w:kern w:val="0"/>
                <w:szCs w:val="21"/>
                <w:highlight w:val="none"/>
                <w:u w:val="single"/>
              </w:rPr>
              <w:t xml:space="preserve">         。</w:t>
            </w:r>
          </w:p>
          <w:p w14:paraId="64A9EDEA">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4. 采购代理服务费收取银行账户的信息</w:t>
            </w:r>
          </w:p>
          <w:p w14:paraId="019BE125">
            <w:pPr>
              <w:snapToGrid w:val="0"/>
              <w:spacing w:line="360" w:lineRule="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开户名称：</w:t>
            </w:r>
            <w:r>
              <w:rPr>
                <w:rFonts w:hint="eastAsia" w:ascii="宋体" w:hAnsi="宋体" w:cs="宋体"/>
                <w:color w:val="auto"/>
                <w:kern w:val="0"/>
                <w:szCs w:val="21"/>
                <w:highlight w:val="none"/>
                <w:lang w:eastAsia="zh-CN"/>
              </w:rPr>
              <w:t>广西科举招标代理有限公司</w:t>
            </w:r>
          </w:p>
          <w:p w14:paraId="669DCE2B">
            <w:pPr>
              <w:snapToGrid w:val="0"/>
              <w:spacing w:line="360" w:lineRule="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开户银行：</w:t>
            </w:r>
            <w:r>
              <w:rPr>
                <w:rFonts w:hint="eastAsia" w:ascii="宋体" w:hAnsi="宋体" w:cs="宋体"/>
                <w:color w:val="auto"/>
                <w:kern w:val="0"/>
                <w:szCs w:val="21"/>
                <w:highlight w:val="none"/>
                <w:lang w:eastAsia="zh-CN"/>
              </w:rPr>
              <w:t>中国农业银行股份有限公司防城港分行营业室</w:t>
            </w:r>
          </w:p>
          <w:p w14:paraId="17671235">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银行账号：20765101040136526</w:t>
            </w:r>
          </w:p>
        </w:tc>
      </w:tr>
      <w:tr w14:paraId="4C96F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ign w:val="center"/>
          </w:tcPr>
          <w:p w14:paraId="74195D3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33.1</w:t>
            </w:r>
          </w:p>
        </w:tc>
        <w:tc>
          <w:tcPr>
            <w:tcW w:w="2548" w:type="dxa"/>
            <w:noWrap/>
            <w:vAlign w:val="center"/>
          </w:tcPr>
          <w:p w14:paraId="6DB8AFE7">
            <w:pPr>
              <w:spacing w:line="360" w:lineRule="auto"/>
              <w:jc w:val="center"/>
              <w:rPr>
                <w:rFonts w:ascii="宋体" w:hAnsi="宋体" w:cs="宋体"/>
                <w:color w:val="auto"/>
                <w:szCs w:val="21"/>
                <w:highlight w:val="none"/>
              </w:rPr>
            </w:pPr>
            <w:r>
              <w:rPr>
                <w:rFonts w:hint="eastAsia" w:ascii="宋体" w:hAnsi="宋体" w:cs="宋体"/>
                <w:color w:val="auto"/>
                <w:highlight w:val="none"/>
              </w:rPr>
              <w:t>解释</w:t>
            </w:r>
          </w:p>
        </w:tc>
        <w:tc>
          <w:tcPr>
            <w:tcW w:w="6853" w:type="dxa"/>
            <w:noWrap/>
            <w:vAlign w:val="center"/>
          </w:tcPr>
          <w:p w14:paraId="4249370E">
            <w:pPr>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解释：</w:t>
            </w:r>
            <w:r>
              <w:rPr>
                <w:rFonts w:hint="eastAsia" w:ascii="宋体" w:hAnsi="宋体" w:cs="宋体"/>
                <w:color w:val="auto"/>
                <w:kern w:val="0"/>
                <w:szCs w:val="21"/>
                <w:highlight w:val="none"/>
              </w:rPr>
              <w:t>构成本竞争性磋商文件的各个组成文件应互为解释，互为说明；除竞争性磋商文件中有特别规定外，仅适用于竞标阶段的规定，按更正公告（澄清公告）、竞争性磋商公告、采购需求、供应商须知、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cs="宋体"/>
                <w:b/>
                <w:color w:val="auto"/>
                <w:kern w:val="0"/>
                <w:szCs w:val="21"/>
                <w:highlight w:val="none"/>
              </w:rPr>
              <w:t>由采购人或者采购代理机构负责解释。</w:t>
            </w:r>
          </w:p>
          <w:p w14:paraId="4B393C3E">
            <w:pPr>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法律责任：</w:t>
            </w:r>
          </w:p>
          <w:p w14:paraId="6F872D2F">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58992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noWrap/>
            <w:vAlign w:val="center"/>
          </w:tcPr>
          <w:p w14:paraId="2097036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33.2</w:t>
            </w:r>
          </w:p>
        </w:tc>
        <w:tc>
          <w:tcPr>
            <w:tcW w:w="2548" w:type="dxa"/>
            <w:noWrap/>
            <w:vAlign w:val="center"/>
          </w:tcPr>
          <w:p w14:paraId="6BDCBA6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6853" w:type="dxa"/>
            <w:noWrap/>
            <w:vAlign w:val="center"/>
          </w:tcPr>
          <w:p w14:paraId="51454175">
            <w:pPr>
              <w:pStyle w:val="1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竞争性磋商文件中描述供应商的“公章”是指根据我国对公章的管理规定，用供应商法定主体行为名称制作的实物印章或供应商通过指定电子化政府采购平台办理数字证书（CA认证）获得的以法定主体行为名称制作的电子印章。除本竞争性磋商文件有特殊规定外，供应商的财务章、部门章、分公司章、工会章、合同章、投标专用章、业务专用章及银行的转账章、现金收讫章、现金付讫章等其他形式印章均不能代替公章。</w:t>
            </w:r>
          </w:p>
          <w:p w14:paraId="73169297">
            <w:pPr>
              <w:pStyle w:val="1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2.本竞争性磋商文件中描述供应商的“签字”是指供应商通过指定电子化政府采购平台办理数字证书（CA认证）获得的以供应商法定代表人或者委托代理人姓名制作的电子印章或手写签字。</w:t>
            </w:r>
          </w:p>
          <w:p w14:paraId="6AC5C858">
            <w:pPr>
              <w:pStyle w:val="11"/>
              <w:tabs>
                <w:tab w:val="center" w:pos="4153"/>
                <w:tab w:val="right" w:pos="8306"/>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竞争性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48B07919">
            <w:pPr>
              <w:pStyle w:val="1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供应商为其他组织或者自然人时，本竞争性磋商文件规定的法定代表人指负责人或者自然人。本竞争性磋商文件所称负责人是指参加竞标的其他组织营业执照上的负责人，本竞争性磋商文件所称自然人指参与竞标的自然人本人。</w:t>
            </w:r>
          </w:p>
          <w:p w14:paraId="69EDF53B">
            <w:pPr>
              <w:pStyle w:val="1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5.自然人竞标的，竞争性磋商文件规定盖公章处由自然人摁手指指印。</w:t>
            </w:r>
          </w:p>
          <w:p w14:paraId="5C73602C">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rPr>
              <w:t xml:space="preserve">    6.本竞争性磋商文件所称的“以上”“以下”“以内”“届满”，包括本数；所称的“不满”“超过”“以外”，不包括本数。</w:t>
            </w:r>
          </w:p>
        </w:tc>
      </w:tr>
    </w:tbl>
    <w:p w14:paraId="146ECB23">
      <w:pPr>
        <w:pStyle w:val="5"/>
        <w:spacing w:line="360" w:lineRule="auto"/>
        <w:jc w:val="center"/>
        <w:rPr>
          <w:rFonts w:ascii="宋体" w:hAnsi="宋体" w:cs="宋体"/>
          <w:b w:val="0"/>
          <w:color w:val="auto"/>
          <w:highlight w:val="none"/>
        </w:rPr>
      </w:pPr>
      <w:r>
        <w:rPr>
          <w:rFonts w:hint="eastAsia" w:ascii="宋体" w:hAnsi="宋体" w:cs="宋体"/>
          <w:b w:val="0"/>
          <w:color w:val="auto"/>
          <w:highlight w:val="none"/>
        </w:rPr>
        <w:br w:type="page"/>
      </w:r>
      <w:bookmarkStart w:id="75" w:name="_Toc30957"/>
      <w:bookmarkStart w:id="76" w:name="_Toc287"/>
      <w:bookmarkStart w:id="77" w:name="_Toc80886929"/>
      <w:bookmarkStart w:id="78" w:name="_Toc27094"/>
      <w:r>
        <w:rPr>
          <w:rFonts w:hint="eastAsia" w:ascii="宋体" w:hAnsi="宋体" w:cs="宋体"/>
          <w:b w:val="0"/>
          <w:color w:val="auto"/>
          <w:highlight w:val="none"/>
        </w:rPr>
        <w:t>第二节 供应商须知正文</w:t>
      </w:r>
      <w:bookmarkEnd w:id="75"/>
      <w:bookmarkEnd w:id="76"/>
      <w:bookmarkEnd w:id="77"/>
      <w:bookmarkEnd w:id="78"/>
    </w:p>
    <w:p w14:paraId="12296F85">
      <w:pPr>
        <w:pStyle w:val="6"/>
        <w:spacing w:before="0" w:after="0" w:line="360" w:lineRule="auto"/>
        <w:ind w:firstLine="640" w:firstLineChars="200"/>
        <w:rPr>
          <w:rFonts w:ascii="宋体" w:hAnsi="宋体" w:cs="宋体"/>
          <w:b w:val="0"/>
          <w:color w:val="auto"/>
          <w:highlight w:val="none"/>
        </w:rPr>
      </w:pPr>
      <w:bookmarkStart w:id="79" w:name="_Toc80886930"/>
      <w:bookmarkStart w:id="80" w:name="_Toc26166"/>
      <w:bookmarkStart w:id="81" w:name="_Toc29774"/>
      <w:bookmarkStart w:id="82" w:name="_Toc6457"/>
      <w:r>
        <w:rPr>
          <w:rFonts w:hint="eastAsia" w:ascii="宋体" w:hAnsi="宋体" w:cs="宋体"/>
          <w:b w:val="0"/>
          <w:color w:val="auto"/>
          <w:highlight w:val="none"/>
        </w:rPr>
        <w:t>一、总则</w:t>
      </w:r>
      <w:bookmarkEnd w:id="79"/>
      <w:bookmarkEnd w:id="80"/>
      <w:bookmarkEnd w:id="81"/>
      <w:bookmarkEnd w:id="82"/>
    </w:p>
    <w:p w14:paraId="09CAB658">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1.适用范围</w:t>
      </w:r>
    </w:p>
    <w:p w14:paraId="64FFDE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511A9A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3FBDB340">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2.定义</w:t>
      </w:r>
    </w:p>
    <w:p w14:paraId="1F98AB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526EB8E9">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0AA24E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38CFD316">
      <w:pPr>
        <w:spacing w:line="360" w:lineRule="auto"/>
        <w:ind w:firstLine="420" w:firstLineChars="200"/>
        <w:outlineLvl w:val="4"/>
        <w:rPr>
          <w:rFonts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14:paraId="5E7D7D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2.5“竞标”是指供应商按照本项目竞争性磋商公告规定的方式获取磋商文件、提交响应文件并希望获得标的的行为。</w:t>
      </w:r>
    </w:p>
    <w:p w14:paraId="03828F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是指：供应商根据本磋商文件要求，编制包含资格证明、</w:t>
      </w:r>
      <w:r>
        <w:rPr>
          <w:rFonts w:hint="eastAsia" w:ascii="宋体" w:hAnsi="宋体" w:cs="宋体"/>
          <w:color w:val="auto"/>
          <w:szCs w:val="21"/>
          <w:highlight w:val="none"/>
        </w:rPr>
        <w:t>报价文件、商务和技术文件</w:t>
      </w:r>
      <w:r>
        <w:rPr>
          <w:rFonts w:hint="eastAsia" w:ascii="宋体" w:hAnsi="宋体" w:cs="宋体"/>
          <w:color w:val="auto"/>
          <w:spacing w:val="-6"/>
          <w:szCs w:val="21"/>
          <w:highlight w:val="none"/>
        </w:rPr>
        <w:t>等所有内容的文件。</w:t>
      </w:r>
    </w:p>
    <w:p w14:paraId="37AEE4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2.7“实质性要求”是指磋商文件中已经指明不满足则响应文件按无效响应处理的条款，或者不能负偏离的条款，或者采购需求中带“▲”的条款。</w:t>
      </w:r>
    </w:p>
    <w:p w14:paraId="65DAB2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2.8“正偏离”，是指响应文件对磋商文件“采购需求”中有关条款作出的响应优于条款要求并有利于采购人的情形。</w:t>
      </w:r>
    </w:p>
    <w:p w14:paraId="0097F2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2.9“负偏离”，是指响应文件对磋商文件“采购需求”中有关条款作出的响应不满足条款要求，导致采购人要求不能得到满足的情形。</w:t>
      </w:r>
    </w:p>
    <w:p w14:paraId="5D11E0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0AFC1F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14:paraId="1978E3C5">
      <w:pPr>
        <w:spacing w:line="360" w:lineRule="auto"/>
        <w:ind w:firstLine="420" w:firstLineChars="200"/>
        <w:outlineLvl w:val="4"/>
        <w:rPr>
          <w:rFonts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6F6ED9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2.13“评审报价”是指供应商提交的最后报价并经修正（如有）和政策功能价格扣除（如有）后的价格。</w:t>
      </w:r>
    </w:p>
    <w:p w14:paraId="1F4A9C44">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3.供应商的资格条件</w:t>
      </w:r>
    </w:p>
    <w:p w14:paraId="047F64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543E22CA">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4.磋商费用</w:t>
      </w:r>
    </w:p>
    <w:p w14:paraId="6E0072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7C6B6E70">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5.联合体竞标</w:t>
      </w:r>
    </w:p>
    <w:p w14:paraId="285E8FCD">
      <w:pPr>
        <w:spacing w:line="360" w:lineRule="auto"/>
        <w:ind w:firstLine="420" w:firstLineChars="200"/>
        <w:outlineLvl w:val="4"/>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29BE6C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highlight w:val="none"/>
        </w:rPr>
        <w:t>如接受联合体竞标，</w:t>
      </w:r>
      <w:r>
        <w:rPr>
          <w:rFonts w:hint="eastAsia" w:ascii="宋体" w:hAnsi="宋体" w:cs="宋体"/>
          <w:color w:val="auto"/>
          <w:szCs w:val="21"/>
          <w:highlight w:val="none"/>
        </w:rPr>
        <w:t>联合体竞标要求详见“供应商须知前附表”。</w:t>
      </w:r>
    </w:p>
    <w:p w14:paraId="2CD5F1E6">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5.3根据《政府采购促进中小企业发展管理办法》（财库[2020]46号）第九条及《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 4%-6%的扣除，用扣除后的价格参加评审。组成联合体的小微企业与联合体内其他企业、分包企业之间存在直接控股、管理关系的，不享受价格扣除优惠政策。</w:t>
      </w:r>
    </w:p>
    <w:p w14:paraId="03A1F6FD">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 xml:space="preserve">6.转包与分包             </w:t>
      </w:r>
    </w:p>
    <w:p w14:paraId="3FD0BA41">
      <w:pPr>
        <w:spacing w:line="360" w:lineRule="auto"/>
        <w:ind w:firstLine="420" w:firstLineChars="200"/>
        <w:outlineLvl w:val="4"/>
        <w:rPr>
          <w:rFonts w:ascii="宋体" w:hAnsi="宋体" w:cs="宋体"/>
          <w:color w:val="auto"/>
          <w:szCs w:val="21"/>
          <w:highlight w:val="none"/>
        </w:rPr>
      </w:pPr>
      <w:r>
        <w:rPr>
          <w:rFonts w:hint="eastAsia" w:ascii="宋体" w:hAnsi="宋体" w:cs="宋体"/>
          <w:color w:val="auto"/>
          <w:szCs w:val="21"/>
          <w:highlight w:val="none"/>
        </w:rPr>
        <w:t>6.1本项目不允许转包。</w:t>
      </w:r>
    </w:p>
    <w:p w14:paraId="2D08DF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6.2本项目是否允许分包详见“供应商须知前附表”，本项目不允许违法分包。</w:t>
      </w:r>
    </w:p>
    <w:p w14:paraId="5BC4B0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根据《政府采购促进中小企业发展管理办法》（财库[2020]46号）第九条及《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r>
        <w:rPr>
          <w:rFonts w:hint="eastAsia" w:ascii="宋体" w:hAnsi="宋体" w:cs="宋体"/>
          <w:bCs/>
          <w:color w:val="auto"/>
          <w:szCs w:val="21"/>
          <w:highlight w:val="none"/>
        </w:rPr>
        <w:t>。</w:t>
      </w:r>
    </w:p>
    <w:p w14:paraId="4A4A1ED7">
      <w:pPr>
        <w:spacing w:line="360" w:lineRule="auto"/>
        <w:ind w:firstLine="482" w:firstLineChars="200"/>
        <w:outlineLvl w:val="3"/>
        <w:rPr>
          <w:rFonts w:ascii="宋体" w:hAnsi="宋体" w:cs="宋体"/>
          <w:b/>
          <w:bCs/>
          <w:color w:val="auto"/>
          <w:sz w:val="24"/>
          <w:highlight w:val="none"/>
        </w:rPr>
      </w:pPr>
      <w:bookmarkStart w:id="83" w:name="_Toc254970673"/>
      <w:bookmarkStart w:id="84" w:name="_Toc254970532"/>
      <w:r>
        <w:rPr>
          <w:rFonts w:hint="eastAsia" w:ascii="宋体" w:hAnsi="宋体" w:cs="宋体"/>
          <w:b/>
          <w:bCs/>
          <w:color w:val="auto"/>
          <w:sz w:val="24"/>
          <w:highlight w:val="none"/>
        </w:rPr>
        <w:t>7.特别说明</w:t>
      </w:r>
      <w:bookmarkEnd w:id="83"/>
      <w:bookmarkEnd w:id="84"/>
    </w:p>
    <w:p w14:paraId="19DFF3CB">
      <w:pPr>
        <w:spacing w:line="360" w:lineRule="auto"/>
        <w:ind w:firstLine="420" w:firstLineChars="200"/>
        <w:rPr>
          <w:rFonts w:ascii="宋体" w:hAnsi="宋体" w:cs="宋体"/>
          <w:color w:val="auto"/>
          <w:szCs w:val="21"/>
          <w:highlight w:val="none"/>
        </w:rPr>
      </w:pPr>
      <w:bookmarkStart w:id="85" w:name="_8.1提供相同品牌产品且通过资格审查、符合性审查的不同投标人参加同一合"/>
      <w:bookmarkEnd w:id="85"/>
      <w:r>
        <w:rPr>
          <w:rFonts w:hint="eastAsia" w:ascii="宋体" w:hAnsi="宋体" w:cs="宋体"/>
          <w:color w:val="auto"/>
          <w:szCs w:val="21"/>
          <w:highlight w:val="none"/>
        </w:rPr>
        <w:t>7.1</w:t>
      </w:r>
      <w:bookmarkStart w:id="86"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86"/>
    <w:p w14:paraId="0A9FDE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14:paraId="44AD32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5A4284A6">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7.4在政府采购活动中，采购人员及相关人员与供应商有下列利害关系之一的，应当回避：</w:t>
      </w:r>
    </w:p>
    <w:p w14:paraId="03D6B8F4">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（1）参加采购活动前3年内与供应商存在劳动关系；</w:t>
      </w:r>
    </w:p>
    <w:p w14:paraId="37543E38">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（2）参加采购活动前3年内担任供应商的董事、监事；</w:t>
      </w:r>
    </w:p>
    <w:p w14:paraId="689FE38A">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（3）参加采购活动前3年内是供应商的控股股东或者实际控制人；</w:t>
      </w:r>
    </w:p>
    <w:p w14:paraId="60F8F3A5">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（4）与供应商的法定代表人或者负责人有夫妻、直系血亲、三代以内旁系血亲或者近姻亲关系；</w:t>
      </w:r>
    </w:p>
    <w:p w14:paraId="6A751CF3">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（5）与供应商有其他可能影响政府采购活动公平、公正进行的关系。</w:t>
      </w:r>
    </w:p>
    <w:p w14:paraId="2291EFAB">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4E45301">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7.5有下列情形之一的视为供应商相互串通竞标，响应文件将被视为无效：</w:t>
      </w:r>
    </w:p>
    <w:p w14:paraId="4F1654C2">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（1）不同供应商的响应文件由同一单位或者个人编制；或不同供应商报名的IP地址一致的； </w:t>
      </w:r>
    </w:p>
    <w:p w14:paraId="7051CD7D">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（2）不同供应商委托同一单位或者个人办理竞标事宜；</w:t>
      </w:r>
    </w:p>
    <w:p w14:paraId="21684276">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（3）不同的供应商的响应文件载明的项目管理员为同一个人；</w:t>
      </w:r>
    </w:p>
    <w:p w14:paraId="396D1673">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（4）不同供应商的响应文件异常一致或者报价呈规律性差异；</w:t>
      </w:r>
    </w:p>
    <w:p w14:paraId="64A06A18">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（5）不同供应商的响应文件相互混装；</w:t>
      </w:r>
    </w:p>
    <w:p w14:paraId="0B75563E">
      <w:pPr>
        <w:tabs>
          <w:tab w:val="left" w:pos="6931"/>
        </w:tabs>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（6）不同供应商的磋商保证金从同一单位或者个人账户转出。</w:t>
      </w:r>
      <w:r>
        <w:rPr>
          <w:rFonts w:hint="eastAsia" w:ascii="宋体" w:hAnsi="宋体" w:cs="宋体"/>
          <w:b/>
          <w:bCs/>
          <w:color w:val="auto"/>
          <w:szCs w:val="21"/>
          <w:highlight w:val="none"/>
        </w:rPr>
        <w:tab/>
      </w:r>
    </w:p>
    <w:p w14:paraId="268C1FB7">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7.6供应商有下列情形之一的，属于恶意串通行为，将报同级监督管理部门：</w:t>
      </w:r>
    </w:p>
    <w:p w14:paraId="5B29B259">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（1）供应商直接或者间接从采购人或者采购代理机构处获得其他供应商的相关信息并修改其响应文件；</w:t>
      </w:r>
    </w:p>
    <w:p w14:paraId="685921C5">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（2）供应商按照采购人或者采购代理机构的授意撤换、修改响应文件；</w:t>
      </w:r>
    </w:p>
    <w:p w14:paraId="1A49C2E7">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（3）供应商之间协商报价、技术方案等响应文件的实质性内容；</w:t>
      </w:r>
    </w:p>
    <w:p w14:paraId="42B770DB">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（4）属于同一集团、协会、商会等组织成员的供应商按照该组织要求协同参加政府采购活动；</w:t>
      </w:r>
    </w:p>
    <w:p w14:paraId="006A73F4">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6ADDAA84">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（6）供应商之间商定部分供应商放弃参加政府采购活动或者放弃成交；</w:t>
      </w:r>
    </w:p>
    <w:p w14:paraId="6C996BA8">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（7）供应商与采购人或者采购代理机构之间、供应商相互之间，为谋求特定供应商成交或者排斥其他供应商的其他串通行为。</w:t>
      </w:r>
    </w:p>
    <w:p w14:paraId="4E535A65">
      <w:pPr>
        <w:pStyle w:val="6"/>
        <w:spacing w:before="0" w:after="0" w:line="360" w:lineRule="auto"/>
        <w:ind w:firstLine="640" w:firstLineChars="200"/>
        <w:rPr>
          <w:rFonts w:ascii="宋体" w:hAnsi="宋体" w:cs="宋体"/>
          <w:b w:val="0"/>
          <w:bCs w:val="0"/>
          <w:color w:val="auto"/>
          <w:highlight w:val="none"/>
        </w:rPr>
      </w:pPr>
      <w:bookmarkStart w:id="87" w:name="_Toc254970534"/>
      <w:bookmarkStart w:id="88" w:name="_Toc12713"/>
      <w:bookmarkStart w:id="89" w:name="_Toc27583"/>
      <w:bookmarkStart w:id="90" w:name="_Toc254970675"/>
      <w:bookmarkStart w:id="91" w:name="_Toc80886931"/>
      <w:bookmarkStart w:id="92" w:name="_Toc8748"/>
      <w:r>
        <w:rPr>
          <w:rFonts w:hint="eastAsia" w:ascii="宋体" w:hAnsi="宋体" w:cs="宋体"/>
          <w:b w:val="0"/>
          <w:bCs w:val="0"/>
          <w:color w:val="auto"/>
          <w:highlight w:val="none"/>
        </w:rPr>
        <w:t>二、磋商文件</w:t>
      </w:r>
      <w:bookmarkEnd w:id="87"/>
      <w:bookmarkEnd w:id="88"/>
      <w:bookmarkEnd w:id="89"/>
      <w:bookmarkEnd w:id="90"/>
      <w:bookmarkEnd w:id="91"/>
      <w:bookmarkEnd w:id="92"/>
    </w:p>
    <w:p w14:paraId="6D40C6EF">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8.磋商文件的构成</w:t>
      </w:r>
    </w:p>
    <w:p w14:paraId="2320A92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第一章 竞争性磋商公告；</w:t>
      </w:r>
    </w:p>
    <w:p w14:paraId="0136B66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第二章 采购需求；</w:t>
      </w:r>
    </w:p>
    <w:p w14:paraId="6694C3A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第三章 供应商须知； </w:t>
      </w:r>
    </w:p>
    <w:p w14:paraId="640F09B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第四章 评审程序、评审方法和评审标准；</w:t>
      </w:r>
    </w:p>
    <w:p w14:paraId="1E60194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第五章 响应文件格式；</w:t>
      </w:r>
    </w:p>
    <w:p w14:paraId="1EE1108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第六章 合同文本；</w:t>
      </w:r>
    </w:p>
    <w:p w14:paraId="40E6588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第七章 质疑、投诉材料格式。</w:t>
      </w:r>
    </w:p>
    <w:p w14:paraId="51581D11">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9.供应商的询问</w:t>
      </w:r>
    </w:p>
    <w:p w14:paraId="022DB0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25FAF8FC">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10.磋商文件的澄清和修改</w:t>
      </w:r>
    </w:p>
    <w:p w14:paraId="378D59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16E1142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43F448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时间。澄清或者更正公告在竞争性磋商公告发布媒体上发布，一经发布，视作已以书面形式通知所有获取竞争性磋商文件的潜在供应商，不再另行通知，所有潜在供应商应密切关注竞争性磋商公告发布媒体，因未能及时获知，由此产生的后果均应自行承担。</w:t>
      </w:r>
    </w:p>
    <w:p w14:paraId="138C77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10.4</w:t>
      </w:r>
      <w:r>
        <w:rPr>
          <w:rFonts w:hint="eastAsia" w:ascii="宋体" w:hAnsi="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51EDD47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10.5  采购人和采购代理机构可以视采购具体情况，变更提交首次响应文件截止时间和竞谈时间，将变更时间将在竞争性磋商公告中“七、其他补充事宜2.网上查询地址”规定的政府采购信息发布媒体上发布更正公告。</w:t>
      </w:r>
    </w:p>
    <w:p w14:paraId="7735FA04">
      <w:pPr>
        <w:spacing w:line="360" w:lineRule="auto"/>
        <w:ind w:firstLine="400" w:firstLineChars="200"/>
        <w:rPr>
          <w:rFonts w:ascii="宋体" w:hAnsi="宋体" w:cs="宋体"/>
          <w:color w:val="auto"/>
          <w:kern w:val="0"/>
          <w:sz w:val="20"/>
          <w:szCs w:val="21"/>
          <w:highlight w:val="none"/>
        </w:rPr>
      </w:pPr>
      <w:r>
        <w:rPr>
          <w:rFonts w:hint="eastAsia" w:ascii="宋体" w:hAnsi="宋体" w:cs="宋体"/>
          <w:color w:val="auto"/>
          <w:kern w:val="0"/>
          <w:sz w:val="20"/>
          <w:szCs w:val="21"/>
          <w:highlight w:val="none"/>
        </w:rPr>
        <w:t>▲</w:t>
      </w:r>
      <w:r>
        <w:rPr>
          <w:rFonts w:hint="eastAsia" w:ascii="宋体" w:hAnsi="宋体" w:cs="宋体"/>
          <w:b/>
          <w:color w:val="auto"/>
          <w:kern w:val="0"/>
          <w:sz w:val="20"/>
          <w:szCs w:val="21"/>
          <w:highlight w:val="none"/>
        </w:rPr>
        <w:t>响应文件未按磋商文件的澄清、修改的内容编制，又不符合实质性要求的，其响应文件按无效处理。</w:t>
      </w:r>
    </w:p>
    <w:p w14:paraId="69CCF9E7">
      <w:pPr>
        <w:pStyle w:val="6"/>
        <w:spacing w:before="0" w:after="0" w:line="360" w:lineRule="auto"/>
        <w:ind w:firstLine="320" w:firstLineChars="100"/>
        <w:rPr>
          <w:rFonts w:ascii="宋体" w:hAnsi="宋体" w:cs="宋体"/>
          <w:b w:val="0"/>
          <w:bCs w:val="0"/>
          <w:color w:val="auto"/>
          <w:highlight w:val="none"/>
        </w:rPr>
      </w:pPr>
      <w:bookmarkStart w:id="93" w:name="_Toc21480"/>
      <w:bookmarkStart w:id="94" w:name="_Toc80886932"/>
      <w:bookmarkStart w:id="95" w:name="_Toc4162"/>
      <w:bookmarkStart w:id="96" w:name="_Toc21690"/>
      <w:r>
        <w:rPr>
          <w:rFonts w:hint="eastAsia" w:ascii="宋体" w:hAnsi="宋体" w:cs="宋体"/>
          <w:b w:val="0"/>
          <w:bCs w:val="0"/>
          <w:color w:val="auto"/>
          <w:highlight w:val="none"/>
        </w:rPr>
        <w:t>三、响应文件的编制</w:t>
      </w:r>
      <w:bookmarkEnd w:id="93"/>
      <w:bookmarkEnd w:id="94"/>
      <w:bookmarkEnd w:id="95"/>
      <w:bookmarkEnd w:id="96"/>
    </w:p>
    <w:p w14:paraId="7E6C2F35">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11.响应文件的编制原则</w:t>
      </w:r>
    </w:p>
    <w:p w14:paraId="039B58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3FC7F163">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12.响应文件的组成</w:t>
      </w:r>
    </w:p>
    <w:p w14:paraId="1A1112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12.1响应文件由资格证明文件、报价文件、商务和技术文件三部分组成。</w:t>
      </w:r>
    </w:p>
    <w:p w14:paraId="35E466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14:paraId="13BEF5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12.1.2商务技术文件：详见供应商须知前附表</w:t>
      </w:r>
    </w:p>
    <w:p w14:paraId="69EF0F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12.1.3报价文件：详见供应商须知前附表</w:t>
      </w:r>
    </w:p>
    <w:p w14:paraId="40DA9BDF">
      <w:pPr>
        <w:spacing w:line="360" w:lineRule="auto"/>
        <w:ind w:firstLine="420" w:firstLineChars="200"/>
        <w:outlineLvl w:val="4"/>
        <w:rPr>
          <w:rFonts w:ascii="宋体" w:hAnsi="宋体" w:cs="宋体"/>
          <w:color w:val="auto"/>
          <w:szCs w:val="21"/>
          <w:highlight w:val="none"/>
        </w:rPr>
      </w:pPr>
      <w:r>
        <w:rPr>
          <w:rFonts w:hint="eastAsia" w:ascii="宋体" w:hAnsi="宋体" w:cs="宋体"/>
          <w:color w:val="auto"/>
          <w:szCs w:val="21"/>
          <w:highlight w:val="none"/>
        </w:rPr>
        <w:t>12.2响应文件电子版：详见供应商须知前附表</w:t>
      </w:r>
    </w:p>
    <w:p w14:paraId="1068E644">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13.计量单位</w:t>
      </w:r>
    </w:p>
    <w:p w14:paraId="47568E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372EA55C">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14.竞标的风险</w:t>
      </w:r>
    </w:p>
    <w:p w14:paraId="16AC02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6A98E7B0">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15.响应报价要求和构成</w:t>
      </w:r>
    </w:p>
    <w:p w14:paraId="382A1AC9">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15.1响应报价应按“第五章 响应文件格式”中“响应报价表”格式填写。</w:t>
      </w:r>
    </w:p>
    <w:p w14:paraId="24CBBDFD">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15.2响应报价的价格构成见“供应商须知前附表”。</w:t>
      </w:r>
    </w:p>
    <w:p w14:paraId="666D4A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15.3响应报价要求</w:t>
      </w:r>
    </w:p>
    <w:p w14:paraId="58A03D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15.3.1供应商的响应报价应符合以下要求，否则响应文件按无效响应处理：</w:t>
      </w:r>
    </w:p>
    <w:p w14:paraId="2DA09F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（1）供应商必须就“采购需求”中所竞标的项目的全部内容分别作完整唯一总价报价，不得存在漏项报价；</w:t>
      </w:r>
    </w:p>
    <w:p w14:paraId="767D7F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（2）供应商必须就所竞标的项目的单项内容作唯一报价。</w:t>
      </w:r>
    </w:p>
    <w:p w14:paraId="699A49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15.3.2响应报价（包含首次报价、最后报价）超过所竞标项目规定的采购预算金额或者最高限价的（如本项目公布了最高限价），其响应文件将按无效处理。</w:t>
      </w:r>
    </w:p>
    <w:p w14:paraId="10931B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15.3.3</w:t>
      </w:r>
      <w:bookmarkStart w:id="97" w:name="_Hlk42592874"/>
      <w:r>
        <w:rPr>
          <w:rFonts w:hint="eastAsia" w:ascii="宋体" w:hAnsi="宋体" w:cs="宋体"/>
          <w:color w:val="auto"/>
          <w:szCs w:val="21"/>
          <w:highlight w:val="none"/>
        </w:rPr>
        <w:t>响应报价（包含首次报价、最后报价）超过分项采购预算金额或者最高限价的（如本项目公布了最高限价），其响应文件将按无效处理。</w:t>
      </w:r>
    </w:p>
    <w:bookmarkEnd w:id="97"/>
    <w:p w14:paraId="0A93AE7F">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16.竞标有效期</w:t>
      </w:r>
    </w:p>
    <w:p w14:paraId="17F938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47480D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6B33E278">
      <w:pPr>
        <w:spacing w:line="360" w:lineRule="auto"/>
        <w:ind w:firstLine="420" w:firstLineChars="200"/>
        <w:outlineLvl w:val="4"/>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5CCA32FD">
      <w:pPr>
        <w:spacing w:line="360" w:lineRule="auto"/>
        <w:outlineLvl w:val="3"/>
        <w:rPr>
          <w:rFonts w:ascii="宋体" w:hAnsi="宋体" w:cs="宋体"/>
          <w:b/>
          <w:bCs/>
          <w:i/>
          <w:iCs/>
          <w:color w:val="auto"/>
          <w:sz w:val="24"/>
          <w:highlight w:val="none"/>
        </w:rPr>
      </w:pPr>
      <w:r>
        <w:rPr>
          <w:rFonts w:hint="eastAsia" w:ascii="宋体" w:hAnsi="宋体" w:cs="宋体"/>
          <w:b/>
          <w:bCs/>
          <w:color w:val="auto"/>
          <w:sz w:val="24"/>
          <w:highlight w:val="none"/>
        </w:rPr>
        <w:t>17.磋商保证金</w:t>
      </w:r>
    </w:p>
    <w:p w14:paraId="6C284CD4">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3C3EBA28">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14:paraId="12B04B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17.2.1未</w:t>
      </w:r>
      <w:r>
        <w:rPr>
          <w:rFonts w:hint="eastAsia" w:ascii="宋体" w:hAnsi="宋体" w:cs="宋体"/>
          <w:color w:val="auto"/>
          <w:spacing w:val="-6"/>
          <w:szCs w:val="21"/>
          <w:highlight w:val="none"/>
        </w:rPr>
        <w:t>成交供应商的磋商保证金自成交通知书发出之日起5个工作日内退还，退还方式如下：</w:t>
      </w:r>
    </w:p>
    <w:p w14:paraId="3EFDEA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（1）采用银行转账方式的，以转账方式退回到供应商银行账户。</w:t>
      </w:r>
    </w:p>
    <w:p w14:paraId="03F476B2">
      <w:pPr>
        <w:pStyle w:val="10"/>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（2）采用支票、汇票、本票或者金融机构、担保机构出具的保函等方式的，由供应商代表持相关授权证明材料至采购代理机构办理支票、汇票、本票或者金融机构、担保机构出具的保函等原件退还手续。</w:t>
      </w:r>
    </w:p>
    <w:p w14:paraId="2C9744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17.2.2成交供应商的磋商保证金自签订合同之日起5个工作日内退还，退还方式同未成交供应商的磋商保证金的退还方式；或者转为成交供应商的履约保证金。 </w:t>
      </w:r>
    </w:p>
    <w:p w14:paraId="775ABA83">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17.3磋商保证金不计息。</w:t>
      </w:r>
    </w:p>
    <w:p w14:paraId="088D0C48">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17811E7B">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4C0C8849">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（2）供应商在响应文件中提供虚假材料的；</w:t>
      </w:r>
    </w:p>
    <w:p w14:paraId="7EFDC5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（3）除因不可抗力或者磋商文件认可的情形以外，成交供应商不与采购人签订合同的；</w:t>
      </w:r>
    </w:p>
    <w:p w14:paraId="3CD0151D">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（4）供应商与采购人、其他供应商或者采购代理机构恶意串通的；</w:t>
      </w:r>
    </w:p>
    <w:p w14:paraId="3C22CD8B">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（5）磋商文件规定的其他情形。</w:t>
      </w:r>
    </w:p>
    <w:p w14:paraId="0AAD2197">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18.响应文件编制的要求</w:t>
      </w:r>
    </w:p>
    <w:p w14:paraId="686313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zCs w:val="21"/>
          <w:highlight w:val="none"/>
        </w:rPr>
        <w:t>后果由供应商承担。</w:t>
      </w:r>
    </w:p>
    <w:p w14:paraId="275B2D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18.2响应文件应按资格证明文件、报价文件分别编制，商务技术文件合并编制，本磋商只接受电子版响应文件，要求见本章“12.2响应文件电子版要求”。</w:t>
      </w:r>
    </w:p>
    <w:p w14:paraId="37CB2E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w:t>
      </w:r>
      <w:bookmarkStart w:id="98" w:name="_Hlk65832699"/>
      <w:r>
        <w:rPr>
          <w:rFonts w:hint="eastAsia" w:ascii="宋体" w:hAnsi="宋体" w:cs="宋体"/>
          <w:color w:val="auto"/>
          <w:szCs w:val="21"/>
          <w:highlight w:val="none"/>
        </w:rPr>
        <w:t>3响应文件须由供应商按</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第五章 响应文件格式</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要求进行签署、盖章</w:t>
      </w:r>
      <w:bookmarkEnd w:id="98"/>
      <w:r>
        <w:rPr>
          <w:rFonts w:hint="eastAsia" w:ascii="宋体" w:hAnsi="宋体" w:cs="宋体"/>
          <w:color w:val="auto"/>
          <w:szCs w:val="21"/>
          <w:highlight w:val="none"/>
        </w:rPr>
        <w:t>，</w:t>
      </w:r>
      <w:r>
        <w:rPr>
          <w:rFonts w:hint="eastAsia" w:ascii="宋体" w:hAnsi="宋体" w:cs="宋体"/>
          <w:b/>
          <w:bCs/>
          <w:color w:val="auto"/>
          <w:szCs w:val="21"/>
          <w:highlight w:val="none"/>
        </w:rPr>
        <w:t>否则其响应文件按无效响应处理</w:t>
      </w:r>
      <w:r>
        <w:rPr>
          <w:rFonts w:hint="eastAsia" w:ascii="宋体" w:hAnsi="宋体" w:cs="宋体"/>
          <w:color w:val="auto"/>
          <w:szCs w:val="21"/>
          <w:highlight w:val="none"/>
        </w:rPr>
        <w:t>。</w:t>
      </w:r>
    </w:p>
    <w:p w14:paraId="2AE951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18.4响应文件中标注的供应商名称应与营业执照（事业单位法人证书、执业许可证、自然人身份证）及供应商公章一致，</w:t>
      </w:r>
      <w:r>
        <w:rPr>
          <w:rFonts w:hint="eastAsia" w:ascii="宋体" w:hAnsi="宋体" w:cs="宋体"/>
          <w:b/>
          <w:bCs/>
          <w:color w:val="auto"/>
          <w:szCs w:val="21"/>
          <w:highlight w:val="none"/>
        </w:rPr>
        <w:t>否则其响应文件按无效响应处理。</w:t>
      </w:r>
    </w:p>
    <w:p w14:paraId="6FDBF9CF">
      <w:pPr>
        <w:spacing w:line="360" w:lineRule="auto"/>
        <w:ind w:firstLine="420" w:firstLineChars="200"/>
        <w:outlineLvl w:val="4"/>
        <w:rPr>
          <w:rFonts w:ascii="宋体" w:hAnsi="宋体" w:cs="宋体"/>
          <w:color w:val="auto"/>
          <w:szCs w:val="21"/>
          <w:highlight w:val="none"/>
        </w:rPr>
      </w:pPr>
      <w:r>
        <w:rPr>
          <w:rFonts w:hint="eastAsia" w:ascii="宋体" w:hAnsi="宋体" w:cs="宋体"/>
          <w:color w:val="auto"/>
          <w:szCs w:val="21"/>
          <w:highlight w:val="none"/>
        </w:rPr>
        <w:t>18.5响应文件应避免涂改、行间插字或者删除。</w:t>
      </w:r>
    </w:p>
    <w:p w14:paraId="0A974C97">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19.响应文件的密封和标记</w:t>
      </w:r>
    </w:p>
    <w:p w14:paraId="70B4177A">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19.1供应商进行电子交易应安装客户端软件—“</w:t>
      </w:r>
      <w:r>
        <w:rPr>
          <w:rFonts w:hint="eastAsia" w:ascii="宋体" w:hAnsi="宋体" w:cs="宋体"/>
          <w:color w:val="auto"/>
          <w:szCs w:val="21"/>
          <w:highlight w:val="none"/>
        </w:rPr>
        <w:t>广西政府采购云平台新版客户端</w:t>
      </w:r>
      <w:r>
        <w:rPr>
          <w:rFonts w:hint="eastAsia" w:ascii="宋体" w:hAnsi="宋体" w:cs="宋体"/>
          <w:color w:val="auto"/>
          <w:kern w:val="0"/>
          <w:szCs w:val="21"/>
          <w:highlight w:val="none"/>
          <w:lang w:val="zh-CN"/>
        </w:rPr>
        <w:t>”，并按照磋商文件和电子交易平台的要求编制并加密响应文件。供应商未按规定加密的响应文件，电子交易平台将拒收并提示。</w:t>
      </w:r>
    </w:p>
    <w:p w14:paraId="56C457F9">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19.2使用“</w:t>
      </w:r>
      <w:r>
        <w:rPr>
          <w:rFonts w:hint="eastAsia" w:ascii="宋体" w:hAnsi="宋体" w:cs="宋体"/>
          <w:color w:val="auto"/>
          <w:kern w:val="0"/>
          <w:szCs w:val="21"/>
          <w:highlight w:val="none"/>
        </w:rPr>
        <w:t>广西政府采购云平台</w:t>
      </w:r>
      <w:r>
        <w:rPr>
          <w:rFonts w:hint="eastAsia" w:ascii="宋体" w:hAnsi="宋体" w:cs="宋体"/>
          <w:color w:val="auto"/>
          <w:kern w:val="0"/>
          <w:szCs w:val="21"/>
          <w:highlight w:val="none"/>
          <w:lang w:val="zh-CN"/>
        </w:rPr>
        <w:t>电子交易客户端”需要提前申领CA数字证书。</w:t>
      </w:r>
    </w:p>
    <w:p w14:paraId="155571A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19.3为确保网上操作合法、有效和安全，供应商应当在响应文件提交截止时间前完成在“</w:t>
      </w:r>
      <w:r>
        <w:rPr>
          <w:rFonts w:hint="eastAsia" w:ascii="宋体" w:hAnsi="宋体" w:cs="宋体"/>
          <w:color w:val="auto"/>
          <w:szCs w:val="21"/>
          <w:highlight w:val="none"/>
        </w:rPr>
        <w:t>广西政府采购云平台</w:t>
      </w:r>
      <w:r>
        <w:rPr>
          <w:rFonts w:hint="eastAsia" w:ascii="宋体" w:hAnsi="宋体" w:cs="宋体"/>
          <w:color w:val="auto"/>
          <w:kern w:val="0"/>
          <w:szCs w:val="21"/>
          <w:highlight w:val="none"/>
        </w:rPr>
        <w:t>”的身份认证，确保在电子交易过程中能够对相关数据电文进行加密和使用电子签名。</w:t>
      </w:r>
    </w:p>
    <w:p w14:paraId="1309D8A6">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20.响应文件的提交</w:t>
      </w:r>
    </w:p>
    <w:p w14:paraId="10BAFD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14:paraId="7BD9D4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 在响应文件提交截止时间以后，不能补充、修改响应文件。</w:t>
      </w:r>
    </w:p>
    <w:p w14:paraId="4754FB81">
      <w:pPr>
        <w:spacing w:line="360" w:lineRule="auto"/>
        <w:ind w:firstLine="420" w:firstLineChars="200"/>
        <w:outlineLvl w:val="4"/>
        <w:rPr>
          <w:rFonts w:ascii="宋体" w:hAnsi="宋体" w:cs="宋体"/>
          <w:color w:val="auto"/>
          <w:szCs w:val="21"/>
          <w:highlight w:val="none"/>
        </w:rPr>
      </w:pPr>
      <w:r>
        <w:rPr>
          <w:rFonts w:hint="eastAsia" w:ascii="宋体" w:hAnsi="宋体" w:cs="宋体"/>
          <w:color w:val="auto"/>
          <w:szCs w:val="21"/>
          <w:highlight w:val="none"/>
        </w:rPr>
        <w:t>20.3 在提交“最后报价”后，供应商不能退出磋商。</w:t>
      </w:r>
    </w:p>
    <w:p w14:paraId="573F53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3F7A0C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20.5 采购机构不可视情况延长提交响应文件的截止时间。</w:t>
      </w:r>
    </w:p>
    <w:p w14:paraId="372C2C83">
      <w:pPr>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20.6备份响应文件。</w:t>
      </w:r>
      <w:r>
        <w:rPr>
          <w:rFonts w:hint="eastAsia" w:ascii="宋体" w:hAnsi="宋体" w:cs="宋体"/>
          <w:bCs/>
          <w:color w:val="auto"/>
          <w:szCs w:val="21"/>
          <w:highlight w:val="none"/>
        </w:rPr>
        <w:t>详见“供应商须知前附表”。</w:t>
      </w:r>
    </w:p>
    <w:p w14:paraId="7BC90C1E">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14:paraId="0BB5A1E5">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r>
        <w:rPr>
          <w:rFonts w:hint="eastAsia" w:ascii="宋体" w:hAnsi="宋体" w:cs="宋体"/>
          <w:color w:val="auto"/>
          <w:szCs w:val="21"/>
          <w:highlight w:val="none"/>
        </w:rPr>
        <w:t>。</w:t>
      </w:r>
      <w:bookmarkStart w:id="99" w:name="_Hlk45702405"/>
    </w:p>
    <w:p w14:paraId="5A3C82C3">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22. 截止时间后的撤回</w:t>
      </w:r>
    </w:p>
    <w:bookmarkEnd w:id="99"/>
    <w:p w14:paraId="2DA23031">
      <w:pPr>
        <w:pStyle w:val="25"/>
        <w:spacing w:line="360" w:lineRule="auto"/>
        <w:ind w:firstLine="404"/>
        <w:rPr>
          <w:rFonts w:ascii="宋体" w:hAnsi="宋体" w:eastAsia="宋体" w:cs="宋体"/>
          <w:b/>
          <w:bCs/>
          <w:color w:val="auto"/>
          <w:highlight w:val="none"/>
        </w:rPr>
      </w:pPr>
      <w:r>
        <w:rPr>
          <w:rFonts w:hint="eastAsia" w:ascii="宋体" w:hAnsi="宋体" w:eastAsia="宋体" w:cs="宋体"/>
          <w:color w:val="auto"/>
          <w:highlight w:val="none"/>
        </w:rPr>
        <w:t>供应商在首次响应文件提交截止时间后向采购人、采购代理机构书面申请撤回电子响应文件的，将根据本须知正文17.4的规定不予退还其磋商保证金（如有）。</w:t>
      </w:r>
    </w:p>
    <w:p w14:paraId="41C0858E">
      <w:pPr>
        <w:pStyle w:val="6"/>
        <w:spacing w:before="0" w:after="0" w:line="360" w:lineRule="auto"/>
        <w:ind w:firstLine="640" w:firstLineChars="200"/>
        <w:rPr>
          <w:rFonts w:ascii="宋体" w:hAnsi="宋体" w:cs="宋体"/>
          <w:b w:val="0"/>
          <w:bCs w:val="0"/>
          <w:color w:val="auto"/>
          <w:highlight w:val="none"/>
        </w:rPr>
      </w:pPr>
      <w:bookmarkStart w:id="100" w:name="_Toc80886933"/>
      <w:bookmarkStart w:id="101" w:name="_Toc29983"/>
      <w:bookmarkStart w:id="102" w:name="_Toc17876"/>
      <w:bookmarkStart w:id="103" w:name="_Toc20044"/>
      <w:r>
        <w:rPr>
          <w:rFonts w:hint="eastAsia" w:ascii="宋体" w:hAnsi="宋体" w:cs="宋体"/>
          <w:b w:val="0"/>
          <w:bCs w:val="0"/>
          <w:color w:val="auto"/>
          <w:highlight w:val="none"/>
        </w:rPr>
        <w:t>四、评审及磋商</w:t>
      </w:r>
      <w:bookmarkEnd w:id="100"/>
      <w:bookmarkEnd w:id="101"/>
      <w:bookmarkEnd w:id="102"/>
      <w:bookmarkEnd w:id="103"/>
    </w:p>
    <w:p w14:paraId="1084124F">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23.磋商小组成立</w:t>
      </w:r>
    </w:p>
    <w:p w14:paraId="065770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2A4A82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14:paraId="6779AC82">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24.首次响应文件的开启</w:t>
      </w:r>
    </w:p>
    <w:p w14:paraId="108453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24.1首次响应文件由磋商小组或者采购代理机构在“供应商须知前附表”规定的时间开启。</w:t>
      </w:r>
    </w:p>
    <w:p w14:paraId="2EBC3744">
      <w:pPr>
        <w:spacing w:line="360" w:lineRule="auto"/>
        <w:ind w:firstLine="420" w:firstLineChars="200"/>
        <w:outlineLvl w:val="4"/>
        <w:rPr>
          <w:rFonts w:ascii="宋体" w:hAnsi="宋体" w:cs="宋体"/>
          <w:bCs/>
          <w:color w:val="auto"/>
          <w:kern w:val="0"/>
          <w:szCs w:val="21"/>
          <w:highlight w:val="none"/>
        </w:rPr>
      </w:pPr>
      <w:r>
        <w:rPr>
          <w:rFonts w:hint="eastAsia" w:ascii="宋体" w:hAnsi="宋体" w:cs="宋体"/>
          <w:color w:val="auto"/>
          <w:kern w:val="0"/>
          <w:szCs w:val="21"/>
          <w:highlight w:val="none"/>
        </w:rPr>
        <w:t xml:space="preserve">24.2 </w:t>
      </w:r>
      <w:r>
        <w:rPr>
          <w:rFonts w:hint="eastAsia" w:ascii="宋体" w:hAnsi="宋体" w:cs="宋体"/>
          <w:bCs/>
          <w:color w:val="auto"/>
          <w:kern w:val="0"/>
          <w:szCs w:val="21"/>
          <w:highlight w:val="none"/>
        </w:rPr>
        <w:t>响应文件解密</w:t>
      </w:r>
    </w:p>
    <w:p w14:paraId="1DCABBC0">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bCs/>
          <w:color w:val="auto"/>
          <w:kern w:val="0"/>
          <w:szCs w:val="21"/>
          <w:highlight w:val="none"/>
        </w:rPr>
        <w:t>采购代理机构将在“供应商须知前附表”规定的时</w:t>
      </w:r>
      <w:r>
        <w:rPr>
          <w:rFonts w:hint="eastAsia" w:ascii="宋体" w:hAnsi="宋体" w:cs="宋体"/>
          <w:color w:val="auto"/>
          <w:kern w:val="0"/>
          <w:szCs w:val="21"/>
          <w:highlight w:val="none"/>
        </w:rPr>
        <w:t>间通过电子交易平台组织响应文件开启，采购机构依托电子交易平台发起开始解密指令，供应商的法定代表人或其委托代理人</w:t>
      </w:r>
      <w:r>
        <w:rPr>
          <w:rFonts w:hint="eastAsia" w:ascii="宋体" w:hAnsi="宋体" w:cs="宋体"/>
          <w:b/>
          <w:color w:val="auto"/>
          <w:kern w:val="0"/>
          <w:szCs w:val="21"/>
          <w:highlight w:val="none"/>
        </w:rPr>
        <w:t>须携带加密时所用的CA锁按平台提示和采购文件的规定登录到广西政府采购云平台电子开标大厅签到并在规定的时间内完成对电子响应文件在线解密</w:t>
      </w:r>
      <w:r>
        <w:rPr>
          <w:rFonts w:hint="eastAsia" w:ascii="宋体" w:hAnsi="宋体" w:cs="宋体"/>
          <w:color w:val="auto"/>
          <w:kern w:val="0"/>
          <w:szCs w:val="21"/>
          <w:highlight w:val="none"/>
        </w:rPr>
        <w:t>。</w:t>
      </w:r>
      <w:r>
        <w:rPr>
          <w:rFonts w:hint="eastAsia" w:ascii="宋体" w:hAnsi="宋体" w:cs="宋体"/>
          <w:color w:val="auto"/>
          <w:kern w:val="1"/>
          <w:szCs w:val="21"/>
          <w:highlight w:val="none"/>
        </w:rPr>
        <w:t>响应文件未按时解密的</w:t>
      </w:r>
      <w:r>
        <w:rPr>
          <w:rFonts w:hint="eastAsia" w:ascii="宋体" w:hAnsi="宋体" w:cs="宋体"/>
          <w:color w:val="auto"/>
          <w:kern w:val="0"/>
          <w:szCs w:val="21"/>
          <w:highlight w:val="none"/>
        </w:rPr>
        <w:t>，</w:t>
      </w:r>
      <w:r>
        <w:rPr>
          <w:rFonts w:hint="eastAsia" w:ascii="宋体" w:hAnsi="宋体" w:cs="宋体"/>
          <w:b/>
          <w:color w:val="auto"/>
          <w:kern w:val="0"/>
          <w:szCs w:val="21"/>
          <w:highlight w:val="none"/>
        </w:rPr>
        <w:t>视为响应文件无效。</w:t>
      </w:r>
      <w:r>
        <w:rPr>
          <w:rFonts w:hint="eastAsia" w:ascii="宋体" w:hAnsi="宋体" w:cs="宋体"/>
          <w:color w:val="auto"/>
          <w:kern w:val="0"/>
          <w:szCs w:val="21"/>
          <w:highlight w:val="none"/>
        </w:rPr>
        <w:t>（解密</w:t>
      </w:r>
      <w:r>
        <w:rPr>
          <w:rFonts w:hint="eastAsia" w:ascii="宋体" w:hAnsi="宋体" w:cs="宋体"/>
          <w:bCs/>
          <w:color w:val="auto"/>
          <w:kern w:val="0"/>
          <w:szCs w:val="21"/>
          <w:highlight w:val="none"/>
        </w:rPr>
        <w:t>异常情况处理：详见本章</w:t>
      </w:r>
      <w:r>
        <w:rPr>
          <w:rFonts w:hint="eastAsia" w:ascii="宋体" w:hAnsi="宋体" w:cs="宋体"/>
          <w:color w:val="auto"/>
          <w:kern w:val="0"/>
          <w:szCs w:val="21"/>
          <w:highlight w:val="none"/>
        </w:rPr>
        <w:t>25.4电子交易活动的中止。）</w:t>
      </w:r>
    </w:p>
    <w:p w14:paraId="798BCBF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如</w:t>
      </w:r>
      <w:r>
        <w:rPr>
          <w:rFonts w:hint="eastAsia" w:ascii="宋体" w:hAnsi="宋体" w:cs="宋体"/>
          <w:bCs/>
          <w:color w:val="auto"/>
          <w:kern w:val="0"/>
          <w:szCs w:val="21"/>
          <w:highlight w:val="none"/>
        </w:rPr>
        <w:t>供应商成功解密响应文件，但未在“</w:t>
      </w:r>
      <w:r>
        <w:rPr>
          <w:rFonts w:hint="eastAsia" w:ascii="宋体" w:hAnsi="宋体" w:cs="宋体"/>
          <w:color w:val="auto"/>
          <w:szCs w:val="21"/>
          <w:highlight w:val="none"/>
        </w:rPr>
        <w:t>广西政府采购云平台</w:t>
      </w:r>
      <w:r>
        <w:rPr>
          <w:rFonts w:hint="eastAsia" w:ascii="宋体" w:hAnsi="宋体" w:cs="宋体"/>
          <w:bCs/>
          <w:color w:val="auto"/>
          <w:kern w:val="0"/>
          <w:szCs w:val="21"/>
          <w:highlight w:val="none"/>
        </w:rPr>
        <w:t>”电子开标大厅参加磋商的，视同认可磋商过程和结果，</w:t>
      </w:r>
      <w:r>
        <w:rPr>
          <w:rFonts w:hint="eastAsia" w:ascii="宋体" w:hAnsi="宋体" w:cs="宋体"/>
          <w:color w:val="auto"/>
          <w:kern w:val="0"/>
          <w:szCs w:val="21"/>
          <w:highlight w:val="none"/>
        </w:rPr>
        <w:t>由此产生的后果由供应商自行负责。 参与磋商的供应商不足3家的，不得磋商。</w:t>
      </w:r>
    </w:p>
    <w:p w14:paraId="5AEB7BE9">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25.评审程序、评审方法和评审标准</w:t>
      </w:r>
    </w:p>
    <w:p w14:paraId="59CFD6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25.1</w:t>
      </w:r>
      <w:r>
        <w:rPr>
          <w:rFonts w:hint="eastAsia" w:ascii="宋体" w:hAnsi="宋体" w:cs="宋体"/>
          <w:color w:val="auto"/>
          <w:highlight w:val="none"/>
        </w:rPr>
        <w:t>本项目的评审方法详见“供应商须知前附表”。</w:t>
      </w:r>
      <w:r>
        <w:rPr>
          <w:rFonts w:hint="eastAsia" w:ascii="宋体" w:hAnsi="宋体" w:cs="宋体"/>
          <w:color w:val="auto"/>
          <w:szCs w:val="21"/>
          <w:highlight w:val="none"/>
        </w:rPr>
        <w:t>磋商小组按照“第四章 评审程序、评审方法和评审标准”规定的方法、评审因素、标准和程序对响应文件进行评审。</w:t>
      </w:r>
    </w:p>
    <w:p w14:paraId="4BD48B9A">
      <w:pPr>
        <w:pStyle w:val="2"/>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25.2磋商文件内容违反国家有关强制性规定的，磋商小组应当停止评审并向采购人或者采购代理机构说明情况，并在评审报告中书面体现。</w:t>
      </w:r>
    </w:p>
    <w:p w14:paraId="4542AB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25.3 采购需求负偏离要求及磋商顺序详见“供应商须知前附表”。</w:t>
      </w:r>
    </w:p>
    <w:p w14:paraId="1F1A705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25.4电子交易活动的中止。采购过程中出现以下情形，导致电子交易平台无法正常运行，或者无法保证电子交易的公平、公正和安全时，采购机构可中止电子交易活动：</w:t>
      </w:r>
    </w:p>
    <w:p w14:paraId="2571F28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5267EBE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6538E71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3938CDE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2B13C4A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14:paraId="60E97EB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25.5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DE7F3FC">
      <w:pPr>
        <w:pStyle w:val="6"/>
        <w:spacing w:before="0" w:after="0" w:line="360" w:lineRule="auto"/>
        <w:ind w:firstLine="480" w:firstLineChars="150"/>
        <w:rPr>
          <w:rFonts w:ascii="宋体" w:hAnsi="宋体" w:cs="宋体"/>
          <w:b w:val="0"/>
          <w:bCs w:val="0"/>
          <w:color w:val="auto"/>
          <w:highlight w:val="none"/>
        </w:rPr>
      </w:pPr>
      <w:bookmarkStart w:id="104" w:name="_Toc17745"/>
      <w:bookmarkStart w:id="105" w:name="_Toc80886934"/>
      <w:bookmarkStart w:id="106" w:name="_Toc13976"/>
      <w:bookmarkStart w:id="107" w:name="_Toc12018"/>
      <w:r>
        <w:rPr>
          <w:rFonts w:hint="eastAsia" w:ascii="宋体" w:hAnsi="宋体" w:cs="宋体"/>
          <w:b w:val="0"/>
          <w:bCs w:val="0"/>
          <w:color w:val="auto"/>
          <w:highlight w:val="none"/>
        </w:rPr>
        <w:t>五、成交及合同</w:t>
      </w:r>
      <w:bookmarkEnd w:id="104"/>
      <w:bookmarkEnd w:id="105"/>
      <w:bookmarkEnd w:id="106"/>
      <w:bookmarkEnd w:id="107"/>
    </w:p>
    <w:p w14:paraId="532EA0D8">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26.确定成交供应商及结果公告</w:t>
      </w:r>
    </w:p>
    <w:p w14:paraId="04FAE3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26.1确定成交供应商。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48063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26.2成交通知及成交结果公告。采购代理机构应当在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w:t>
      </w:r>
    </w:p>
    <w:p w14:paraId="71E6D8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依法确定排名第二的成交候选人为成交供应商。排名第二的成交候选人因上述规定的同样原因被取消成交资格的，采购人可以依法确定排名第三的成交候选人为成交供应商，以此类推。以上信息查询记录及相关证据与磋商文件一并保存。成交供应商享受《政府采购促进中小企业发展管理办法》（财库〔2020〕46号）规定的中小企业扶持政策的，采购人、采购代理机构应当随成交结果公开成交供应商的《中小企业声明函》。</w:t>
      </w:r>
    </w:p>
    <w:p w14:paraId="42F1FB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02F43963">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26.5排名第一的成交候选人放弃成交，采购人可以按照评审报告推荐的成交候选人名单排序，依法确定下一候选人为成交</w:t>
      </w:r>
      <w:r>
        <w:rPr>
          <w:rFonts w:hint="eastAsia" w:ascii="宋体" w:hAnsi="宋体" w:cs="宋体"/>
          <w:color w:val="auto"/>
          <w:szCs w:val="21"/>
          <w:highlight w:val="none"/>
        </w:rPr>
        <w:t>供应商</w:t>
      </w:r>
      <w:r>
        <w:rPr>
          <w:rFonts w:hint="eastAsia" w:ascii="宋体" w:hAnsi="宋体" w:cs="宋体"/>
          <w:bCs/>
          <w:color w:val="auto"/>
          <w:szCs w:val="21"/>
          <w:highlight w:val="none"/>
        </w:rPr>
        <w:t>，也可以重新开展政府采购活动</w:t>
      </w:r>
      <w:r>
        <w:rPr>
          <w:rFonts w:hint="eastAsia" w:ascii="宋体" w:hAnsi="宋体" w:cs="宋体"/>
          <w:color w:val="auto"/>
          <w:szCs w:val="21"/>
          <w:highlight w:val="none"/>
        </w:rPr>
        <w:t>。</w:t>
      </w:r>
    </w:p>
    <w:p w14:paraId="39ABEE38">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27.履约保证金</w:t>
      </w:r>
    </w:p>
    <w:p w14:paraId="45C67C87">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27.1 履约保证金的金额、提交方式、退付的时间和条件详见 “供应商须知前附表”。成交供应商未按规定提交履约保证金的，视为拒绝</w:t>
      </w:r>
      <w:r>
        <w:rPr>
          <w:rFonts w:hint="eastAsia" w:ascii="宋体" w:hAnsi="宋体" w:cs="宋体"/>
          <w:color w:val="auto"/>
          <w:highlight w:val="none"/>
        </w:rPr>
        <w:t>与采购人</w:t>
      </w:r>
      <w:r>
        <w:rPr>
          <w:rFonts w:hint="eastAsia" w:ascii="宋体" w:hAnsi="宋体" w:cs="宋体"/>
          <w:color w:val="auto"/>
          <w:szCs w:val="21"/>
          <w:highlight w:val="none"/>
        </w:rPr>
        <w:t>签订合同，采购人可以按照评审报告推荐的成交候选人名单排序，依法确定下一候选人为成交供应商，也可以重新开展政府采购活动。</w:t>
      </w:r>
    </w:p>
    <w:p w14:paraId="54FFF2E1">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27.2签订合同后，如成交供应商不按双方签订的合同规定履约，则没收其全部履约保证金，履约保证金不足以赔偿损失的，按实际损失赔偿。</w:t>
      </w:r>
    </w:p>
    <w:p w14:paraId="3FF2BD56">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27.3在履约保证金退还日期前，若成交供应商的开户名称、开户银行、账号有变动的，请以书面形式通知履约保证金收取单位，否则由此产生的后果由成交供应商自行承担。</w:t>
      </w:r>
    </w:p>
    <w:p w14:paraId="1E10206A">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28.签订合同</w:t>
      </w:r>
    </w:p>
    <w:p w14:paraId="5F7677BD">
      <w:pPr>
        <w:pStyle w:val="35"/>
        <w:snapToGrid w:val="0"/>
        <w:spacing w:before="0"/>
        <w:ind w:firstLine="420"/>
        <w:rPr>
          <w:rFonts w:ascii="宋体" w:hAnsi="宋体" w:cs="宋体"/>
          <w:color w:val="auto"/>
          <w:sz w:val="21"/>
          <w:szCs w:val="21"/>
          <w:highlight w:val="none"/>
          <w:lang w:val="zh-CN"/>
        </w:rPr>
      </w:pPr>
      <w:r>
        <w:rPr>
          <w:rFonts w:hint="eastAsia" w:ascii="宋体" w:hAnsi="宋体" w:cs="宋体"/>
          <w:color w:val="auto"/>
          <w:sz w:val="21"/>
          <w:szCs w:val="21"/>
          <w:highlight w:val="none"/>
        </w:rPr>
        <w:t>28.1采购人与成交供应商应当在成交通知书规定的时间内，按照磋商文件确定的合同文本以及采购标的、服务技术、采购金额、采购数量、技术和服务要求等事项签订政府采购合同。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color w:val="auto"/>
          <w:sz w:val="21"/>
          <w:szCs w:val="21"/>
          <w:highlight w:val="none"/>
          <w:lang w:val="zh-CN"/>
        </w:rPr>
        <w:t>如成交供应商为联合体的，由联合体成员各方法定代表人或其授权代表与采购人代表签订合同。</w:t>
      </w:r>
    </w:p>
    <w:p w14:paraId="1668B8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407D41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28.3成交供应商拒绝签订政府采购合同的，采购人可以按照评审报告推荐的成交候选人名单排序，依法确定下一候选人为成交供应商，也可以重新开展采购活动。拒绝签订政府采购合同的成交供应商不得参加对该项目重新开展的采购活动。</w:t>
      </w:r>
    </w:p>
    <w:p w14:paraId="2229F9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28.4如签订合同并生效后，供应商无故拒绝或延期，除按照合同条款处理外，列入不良行为记录，并给予通报。</w:t>
      </w:r>
    </w:p>
    <w:p w14:paraId="19E34016">
      <w:pPr>
        <w:spacing w:line="360" w:lineRule="auto"/>
        <w:ind w:firstLine="420" w:firstLineChars="200"/>
        <w:outlineLvl w:val="4"/>
        <w:rPr>
          <w:rFonts w:ascii="宋体" w:hAnsi="宋体" w:cs="宋体"/>
          <w:i/>
          <w:iCs/>
          <w:color w:val="auto"/>
          <w:szCs w:val="21"/>
          <w:highlight w:val="none"/>
        </w:rPr>
      </w:pPr>
      <w:r>
        <w:rPr>
          <w:rFonts w:hint="eastAsia" w:ascii="宋体" w:hAnsi="宋体" w:cs="宋体"/>
          <w:color w:val="auto"/>
          <w:szCs w:val="21"/>
          <w:highlight w:val="none"/>
        </w:rPr>
        <w:t>28.5采购合同由采购人与成交供应商根据磋商文件、响应文件等内容通过政府采购电子交易平台在线签订，自动备案，在线签订须携带的材料见“供应商须知前附表”。</w:t>
      </w:r>
    </w:p>
    <w:p w14:paraId="4427AAD1">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29.政府采购合同公告</w:t>
      </w:r>
    </w:p>
    <w:p w14:paraId="56EBEF1F">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采购人应当自政府采购合同签订之日起2个工作日内，将政府采购合同在省级以上人民政府财政部门指定的媒体上公告，但政府采购合同中涉及国家秘密、商业秘密的内容除外</w:t>
      </w:r>
      <w:r>
        <w:rPr>
          <w:rFonts w:hint="eastAsia" w:ascii="宋体" w:hAnsi="宋体" w:cs="宋体"/>
          <w:color w:val="auto"/>
          <w:highlight w:val="none"/>
        </w:rPr>
        <w:t>。</w:t>
      </w:r>
    </w:p>
    <w:p w14:paraId="49C711B4">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30. 询问、质疑和投诉</w:t>
      </w:r>
    </w:p>
    <w:p w14:paraId="5D0F2CF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30.1供应商对政府采购活动事项有疑问的，可以向采购人或者采购代理机构提出询问，采购人或者采购代理机构应当在3个工作日内对供应商依法提出的询问作出答复。</w:t>
      </w:r>
    </w:p>
    <w:p w14:paraId="0FFD7F78">
      <w:pPr>
        <w:spacing w:line="360" w:lineRule="auto"/>
        <w:ind w:firstLine="420" w:firstLineChars="200"/>
        <w:rPr>
          <w:rFonts w:ascii="宋体" w:hAnsi="宋体" w:cs="宋体"/>
          <w:b/>
          <w:color w:val="auto"/>
          <w:szCs w:val="21"/>
          <w:highlight w:val="none"/>
        </w:rPr>
      </w:pPr>
      <w:r>
        <w:rPr>
          <w:rFonts w:hint="eastAsia" w:ascii="宋体" w:hAnsi="宋体" w:cs="宋体"/>
          <w:color w:val="auto"/>
          <w:highlight w:val="none"/>
        </w:rPr>
        <w:t>30.2供应商认为磋商文件、采购过程或者成交结果使自己的合法权益受到损害的，应当在知道或者应知其权益受到损害之日起7个工作日内，以书面形式向采购人或者采购代理机构提出质疑，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w:t>
      </w:r>
      <w:r>
        <w:rPr>
          <w:rFonts w:hint="eastAsia" w:ascii="宋体" w:hAnsi="宋体" w:cs="宋体"/>
          <w:b/>
          <w:color w:val="auto"/>
          <w:szCs w:val="21"/>
          <w:highlight w:val="none"/>
        </w:rPr>
        <w:t xml:space="preserve">具体质疑起算时间及处理方式如下： </w:t>
      </w:r>
    </w:p>
    <w:p w14:paraId="7521E366">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（1）潜在供应商依法获取采购文件后，认为采购文件使自己的权益受到损害的，应当在竞争性磋商文件公告期限届满之日起7个工作日内提出质疑。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729EE7A2">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者采购代理机构提出，由采购人或者采购代理机构受理并负责答复；对采购过程中采购执行程序的质疑由采购代理机构受理并负责答复。</w:t>
      </w:r>
    </w:p>
    <w:p w14:paraId="11A9517C">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（3）供应商认为成交结果使自己的权益受到损害的，应当在成交结果公告期限届满之日起7个工作日内提出质疑，由采购人受理并负责答复。</w:t>
      </w:r>
    </w:p>
    <w:p w14:paraId="5C373ED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30.3供应商提出的询问或者质疑超出采购人对采购代理机构委托授权范围的，采购代理机构应当告知供应商向采购人提出。政府采购评审专家应当配合采购人或者采购代理机构答复供应商的询问和质疑。</w:t>
      </w:r>
    </w:p>
    <w:p w14:paraId="631D1C49">
      <w:pPr>
        <w:spacing w:line="360" w:lineRule="auto"/>
        <w:ind w:firstLine="422" w:firstLineChars="200"/>
        <w:rPr>
          <w:rFonts w:ascii="宋体" w:hAnsi="宋体" w:cs="宋体"/>
          <w:color w:val="auto"/>
          <w:highlight w:val="none"/>
        </w:rPr>
      </w:pPr>
      <w:r>
        <w:rPr>
          <w:rFonts w:hint="eastAsia" w:ascii="宋体" w:hAnsi="宋体" w:cs="宋体"/>
          <w:b/>
          <w:bCs/>
          <w:color w:val="auto"/>
          <w:highlight w:val="none"/>
        </w:rPr>
        <w:t>30.4 供应商提出质疑应当提交质疑函和必要的证明材料，针对同一采购程序环节的质疑必须在法定质疑期内一次性提出。质疑函应当包括下列内容（质疑函格式后附）：</w:t>
      </w:r>
    </w:p>
    <w:p w14:paraId="7D6412D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34B79E3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3EC3AD2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6469700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18FBC3B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7BFC560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4F830DE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302A493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30.5采购人、采购代理机构认为供应商质疑不成立，或者成立但未对成交结果构成影响的，继续开展采购活动；认为供应商质疑成立且影响或者可能影响成交结果的，按照下列情况处理：</w:t>
      </w:r>
    </w:p>
    <w:p w14:paraId="7CAC005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66CF906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17DA98A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59528A02">
      <w:pPr>
        <w:spacing w:line="360" w:lineRule="auto"/>
        <w:ind w:firstLine="422" w:firstLineChars="200"/>
        <w:rPr>
          <w:rFonts w:ascii="宋体" w:hAnsi="宋体" w:cs="宋体"/>
          <w:color w:val="auto"/>
          <w:highlight w:val="none"/>
        </w:rPr>
      </w:pPr>
      <w:r>
        <w:rPr>
          <w:rFonts w:hint="eastAsia" w:ascii="宋体" w:hAnsi="宋体" w:cs="宋体"/>
          <w:b/>
          <w:bCs/>
          <w:color w:val="auto"/>
          <w:highlight w:val="none"/>
        </w:rPr>
        <w:t>30.6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受理投诉方式见“供应商须知前附表”</w:t>
      </w:r>
      <w:r>
        <w:rPr>
          <w:rFonts w:hint="eastAsia" w:ascii="宋体" w:hAnsi="宋体" w:cs="宋体"/>
          <w:color w:val="auto"/>
          <w:highlight w:val="none"/>
        </w:rPr>
        <w:t>。</w:t>
      </w:r>
      <w:bookmarkStart w:id="108" w:name="_Toc80205930"/>
    </w:p>
    <w:p w14:paraId="0909F590">
      <w:pPr>
        <w:pStyle w:val="6"/>
        <w:spacing w:before="0" w:after="0" w:line="360" w:lineRule="auto"/>
        <w:ind w:firstLine="315" w:firstLineChars="98"/>
        <w:rPr>
          <w:rFonts w:ascii="宋体" w:hAnsi="宋体" w:cs="宋体"/>
          <w:b w:val="0"/>
          <w:color w:val="auto"/>
          <w:highlight w:val="none"/>
        </w:rPr>
      </w:pPr>
      <w:bookmarkStart w:id="109" w:name="_Toc26989"/>
      <w:bookmarkStart w:id="110" w:name="_Toc9275"/>
      <w:bookmarkStart w:id="111" w:name="_Toc27059"/>
      <w:bookmarkStart w:id="112" w:name="_Toc80886935"/>
      <w:r>
        <w:rPr>
          <w:rFonts w:hint="eastAsia" w:ascii="宋体" w:hAnsi="宋体" w:cs="宋体"/>
          <w:color w:val="auto"/>
          <w:highlight w:val="none"/>
        </w:rPr>
        <w:t>六</w:t>
      </w:r>
      <w:r>
        <w:rPr>
          <w:rFonts w:hint="eastAsia" w:ascii="宋体" w:hAnsi="宋体" w:cs="宋体"/>
          <w:b w:val="0"/>
          <w:color w:val="auto"/>
          <w:highlight w:val="none"/>
        </w:rPr>
        <w:t>、验收</w:t>
      </w:r>
      <w:bookmarkEnd w:id="108"/>
      <w:bookmarkEnd w:id="109"/>
      <w:bookmarkEnd w:id="110"/>
      <w:bookmarkEnd w:id="111"/>
      <w:bookmarkEnd w:id="112"/>
    </w:p>
    <w:p w14:paraId="5539FE97">
      <w:pPr>
        <w:tabs>
          <w:tab w:val="left" w:pos="0"/>
        </w:tabs>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31.验收</w:t>
      </w:r>
    </w:p>
    <w:p w14:paraId="705CE9AA">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58B86A4">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31.2采购人可以邀请参加本项目的其他供应商或者第三方机构参与验收。参与验收的供应商或者第三方机构的意见作为验收书的参考资料一并存档。</w:t>
      </w:r>
    </w:p>
    <w:p w14:paraId="07831CDC">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如有）返还条件挂钩。履约验收的各项资料应当存档备查。</w:t>
      </w:r>
    </w:p>
    <w:p w14:paraId="227F9A93">
      <w:pPr>
        <w:tabs>
          <w:tab w:val="left" w:pos="0"/>
        </w:tabs>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31.4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00377C7">
      <w:pPr>
        <w:pStyle w:val="6"/>
        <w:spacing w:before="0" w:after="0" w:line="360" w:lineRule="auto"/>
        <w:ind w:firstLine="320" w:firstLineChars="100"/>
        <w:rPr>
          <w:rFonts w:ascii="宋体" w:hAnsi="宋体" w:cs="宋体"/>
          <w:b w:val="0"/>
          <w:bCs w:val="0"/>
          <w:color w:val="auto"/>
          <w:highlight w:val="none"/>
        </w:rPr>
      </w:pPr>
      <w:bookmarkStart w:id="113" w:name="_Toc21185"/>
      <w:bookmarkStart w:id="114" w:name="_Toc1170"/>
      <w:bookmarkStart w:id="115" w:name="_Toc80886936"/>
      <w:bookmarkStart w:id="116" w:name="_Toc10913"/>
      <w:r>
        <w:rPr>
          <w:rFonts w:hint="eastAsia" w:ascii="宋体" w:hAnsi="宋体" w:cs="宋体"/>
          <w:b w:val="0"/>
          <w:bCs w:val="0"/>
          <w:color w:val="auto"/>
          <w:highlight w:val="none"/>
        </w:rPr>
        <w:t>七、其他事项</w:t>
      </w:r>
      <w:bookmarkEnd w:id="113"/>
      <w:bookmarkEnd w:id="114"/>
      <w:bookmarkEnd w:id="115"/>
      <w:bookmarkEnd w:id="116"/>
    </w:p>
    <w:p w14:paraId="717A8AB9">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32.采购代理服务费</w:t>
      </w:r>
    </w:p>
    <w:p w14:paraId="02ECBC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32.1 采购代理服务费收费标准及缴费账户详见“供应商须知前附表”，供应商为联合体的，可以由联合体中的一方或者多方共同缴纳采购代理服务费。</w:t>
      </w:r>
    </w:p>
    <w:p w14:paraId="7C528959">
      <w:pPr>
        <w:pStyle w:val="2"/>
        <w:spacing w:line="360" w:lineRule="auto"/>
        <w:ind w:firstLine="420" w:firstLineChars="200"/>
        <w:outlineLvl w:val="4"/>
        <w:rPr>
          <w:rFonts w:ascii="宋体" w:hAnsi="宋体" w:cs="宋体"/>
          <w:color w:val="auto"/>
          <w:highlight w:val="none"/>
        </w:rPr>
      </w:pPr>
      <w:r>
        <w:rPr>
          <w:rFonts w:hint="eastAsia" w:ascii="宋体" w:hAnsi="宋体" w:cs="宋体"/>
          <w:color w:val="auto"/>
          <w:szCs w:val="21"/>
          <w:highlight w:val="none"/>
        </w:rPr>
        <w:t>32.2采购代理服务费收费计算标准：</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1B7A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ign w:val="top"/>
          </w:tcPr>
          <w:p w14:paraId="4F67ED48">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5705ACB0">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659" w:type="dxa"/>
            <w:noWrap/>
            <w:vAlign w:val="center"/>
          </w:tcPr>
          <w:p w14:paraId="67FF908B">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532" w:type="dxa"/>
            <w:noWrap/>
            <w:vAlign w:val="center"/>
          </w:tcPr>
          <w:p w14:paraId="0D6EF37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546" w:type="dxa"/>
            <w:noWrap/>
            <w:vAlign w:val="center"/>
          </w:tcPr>
          <w:p w14:paraId="20A8348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5E07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ign w:val="top"/>
          </w:tcPr>
          <w:p w14:paraId="15164377">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noWrap/>
            <w:vAlign w:val="top"/>
          </w:tcPr>
          <w:p w14:paraId="03C70DFD">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noWrap/>
            <w:vAlign w:val="top"/>
          </w:tcPr>
          <w:p w14:paraId="4AD8B6E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546" w:type="dxa"/>
            <w:noWrap/>
            <w:vAlign w:val="top"/>
          </w:tcPr>
          <w:p w14:paraId="411C6043">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714EF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ign w:val="top"/>
          </w:tcPr>
          <w:p w14:paraId="39134CEC">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noWrap/>
            <w:vAlign w:val="top"/>
          </w:tcPr>
          <w:p w14:paraId="39AAE911">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noWrap/>
            <w:vAlign w:val="top"/>
          </w:tcPr>
          <w:p w14:paraId="3ECEBFF3">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546" w:type="dxa"/>
            <w:noWrap/>
            <w:vAlign w:val="top"/>
          </w:tcPr>
          <w:p w14:paraId="1C6CBA6F">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1B0B9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ign w:val="top"/>
          </w:tcPr>
          <w:p w14:paraId="6F4CB4C4">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noWrap/>
            <w:vAlign w:val="top"/>
          </w:tcPr>
          <w:p w14:paraId="37627B96">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noWrap/>
            <w:vAlign w:val="top"/>
          </w:tcPr>
          <w:p w14:paraId="5FBCAA4C">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546" w:type="dxa"/>
            <w:noWrap/>
            <w:vAlign w:val="top"/>
          </w:tcPr>
          <w:p w14:paraId="11C0F070">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44E60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ign w:val="top"/>
          </w:tcPr>
          <w:p w14:paraId="1E187F5D">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noWrap/>
            <w:vAlign w:val="top"/>
          </w:tcPr>
          <w:p w14:paraId="31B7AA6F">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noWrap/>
            <w:vAlign w:val="top"/>
          </w:tcPr>
          <w:p w14:paraId="356DCB8F">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546" w:type="dxa"/>
            <w:noWrap/>
            <w:vAlign w:val="top"/>
          </w:tcPr>
          <w:p w14:paraId="2D4BB0A1">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0B08A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ign w:val="top"/>
          </w:tcPr>
          <w:p w14:paraId="3A6B7E5C">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noWrap/>
            <w:vAlign w:val="top"/>
          </w:tcPr>
          <w:p w14:paraId="4EEDFA0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noWrap/>
            <w:vAlign w:val="top"/>
          </w:tcPr>
          <w:p w14:paraId="675DF5A5">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546" w:type="dxa"/>
            <w:noWrap/>
            <w:vAlign w:val="top"/>
          </w:tcPr>
          <w:p w14:paraId="2B23DAFD">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47989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ign w:val="top"/>
          </w:tcPr>
          <w:p w14:paraId="5532A7CA">
            <w:pP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noWrap/>
            <w:vAlign w:val="top"/>
          </w:tcPr>
          <w:p w14:paraId="396ABE2C">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532" w:type="dxa"/>
            <w:noWrap/>
            <w:vAlign w:val="top"/>
          </w:tcPr>
          <w:p w14:paraId="4BB9A607">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noWrap/>
            <w:vAlign w:val="top"/>
          </w:tcPr>
          <w:p w14:paraId="1DD80D76">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6FC3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ign w:val="top"/>
          </w:tcPr>
          <w:p w14:paraId="4F7AF6CE">
            <w:pP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noWrap/>
            <w:vAlign w:val="top"/>
          </w:tcPr>
          <w:p w14:paraId="10464844">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532" w:type="dxa"/>
            <w:noWrap/>
            <w:vAlign w:val="top"/>
          </w:tcPr>
          <w:p w14:paraId="5C113002">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noWrap/>
            <w:vAlign w:val="top"/>
          </w:tcPr>
          <w:p w14:paraId="79244606">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3DF4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ign w:val="top"/>
          </w:tcPr>
          <w:p w14:paraId="3B710193">
            <w:pP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noWrap/>
            <w:vAlign w:val="top"/>
          </w:tcPr>
          <w:p w14:paraId="650CEF47">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532" w:type="dxa"/>
            <w:noWrap/>
            <w:vAlign w:val="top"/>
          </w:tcPr>
          <w:p w14:paraId="6E01143B">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546" w:type="dxa"/>
            <w:noWrap/>
            <w:vAlign w:val="top"/>
          </w:tcPr>
          <w:p w14:paraId="7206DEED">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2BD8D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ign w:val="top"/>
          </w:tcPr>
          <w:p w14:paraId="67127CF5">
            <w:pP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noWrap/>
            <w:vAlign w:val="top"/>
          </w:tcPr>
          <w:p w14:paraId="0A8A79D3">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noWrap/>
            <w:vAlign w:val="top"/>
          </w:tcPr>
          <w:p w14:paraId="3A7975E3">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546" w:type="dxa"/>
            <w:noWrap/>
            <w:vAlign w:val="top"/>
          </w:tcPr>
          <w:p w14:paraId="7F452B65">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3ABBD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ign w:val="top"/>
          </w:tcPr>
          <w:p w14:paraId="3545A148">
            <w:pPr>
              <w:spacing w:line="360" w:lineRule="auto"/>
              <w:rPr>
                <w:rFonts w:ascii="宋体" w:hAnsi="宋体" w:cs="宋体"/>
                <w:color w:val="auto"/>
                <w:szCs w:val="21"/>
                <w:highlight w:val="none"/>
              </w:rPr>
            </w:pPr>
            <w:r>
              <w:rPr>
                <w:rFonts w:hint="eastAsia" w:ascii="宋体" w:hAnsi="宋体" w:cs="宋体"/>
                <w:color w:val="auto"/>
                <w:szCs w:val="21"/>
                <w:highlight w:val="none"/>
              </w:rPr>
              <w:t>100亿元以上</w:t>
            </w:r>
          </w:p>
        </w:tc>
        <w:tc>
          <w:tcPr>
            <w:tcW w:w="1659" w:type="dxa"/>
            <w:noWrap/>
            <w:vAlign w:val="top"/>
          </w:tcPr>
          <w:p w14:paraId="6DFCECFF">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noWrap/>
            <w:vAlign w:val="top"/>
          </w:tcPr>
          <w:p w14:paraId="577A2DCC">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546" w:type="dxa"/>
            <w:noWrap/>
            <w:vAlign w:val="top"/>
          </w:tcPr>
          <w:p w14:paraId="11FB5F8A">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3957AF0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注：</w:t>
      </w:r>
    </w:p>
    <w:p w14:paraId="1B12E44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（1）按本表费率计算的收费为采购代理的收费基准价格；</w:t>
      </w:r>
    </w:p>
    <w:p w14:paraId="0C8282F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（2）采购代理收费按差额定率累进法计算。</w:t>
      </w:r>
    </w:p>
    <w:p w14:paraId="363478A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例如：某服务采购代理业务成交金额或者暂定价为150万元，计算采购代理收费额如下：</w:t>
      </w:r>
    </w:p>
    <w:p w14:paraId="5D53ECD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100 万元 ×l.5 ％＝ 1.5 万元</w:t>
      </w:r>
    </w:p>
    <w:p w14:paraId="3D8066B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150 － 100 ）万元 ×0.8％＝ 0.4万元</w:t>
      </w:r>
    </w:p>
    <w:p w14:paraId="105FD74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合计收费＝ 1.5 ＋ 0.4＝ 1.9 万元</w:t>
      </w:r>
    </w:p>
    <w:p w14:paraId="128B123D">
      <w:pPr>
        <w:spacing w:line="360" w:lineRule="auto"/>
        <w:ind w:firstLine="482" w:firstLineChars="200"/>
        <w:outlineLvl w:val="3"/>
        <w:rPr>
          <w:rFonts w:ascii="宋体" w:hAnsi="宋体" w:cs="宋体"/>
          <w:b/>
          <w:bCs/>
          <w:color w:val="auto"/>
          <w:sz w:val="24"/>
          <w:highlight w:val="none"/>
        </w:rPr>
      </w:pPr>
      <w:r>
        <w:rPr>
          <w:rFonts w:hint="eastAsia" w:ascii="宋体" w:hAnsi="宋体" w:cs="宋体"/>
          <w:b/>
          <w:bCs/>
          <w:color w:val="auto"/>
          <w:sz w:val="24"/>
          <w:highlight w:val="none"/>
        </w:rPr>
        <w:t>33.需要补充的其他内容</w:t>
      </w:r>
    </w:p>
    <w:p w14:paraId="1B8FB7CB">
      <w:pPr>
        <w:spacing w:line="360" w:lineRule="auto"/>
        <w:ind w:firstLine="420" w:firstLineChars="200"/>
        <w:textAlignment w:val="center"/>
        <w:rPr>
          <w:rFonts w:ascii="宋体" w:hAnsi="宋体" w:cs="宋体"/>
          <w:color w:val="auto"/>
          <w:szCs w:val="21"/>
          <w:highlight w:val="none"/>
        </w:rPr>
      </w:pPr>
      <w:r>
        <w:rPr>
          <w:rFonts w:hint="eastAsia" w:ascii="宋体" w:hAnsi="宋体" w:cs="宋体"/>
          <w:color w:val="auto"/>
          <w:szCs w:val="21"/>
          <w:highlight w:val="none"/>
        </w:rPr>
        <w:t>33.1本磋商文件解释规则详见“供应商须知前附表”。</w:t>
      </w:r>
    </w:p>
    <w:p w14:paraId="3CC22B6A">
      <w:pPr>
        <w:spacing w:line="360" w:lineRule="auto"/>
        <w:ind w:firstLine="420" w:firstLineChars="200"/>
        <w:textAlignment w:val="center"/>
        <w:rPr>
          <w:rFonts w:ascii="宋体" w:hAnsi="宋体" w:cs="宋体"/>
          <w:color w:val="auto"/>
          <w:szCs w:val="21"/>
          <w:highlight w:val="none"/>
        </w:rPr>
      </w:pPr>
      <w:r>
        <w:rPr>
          <w:rFonts w:hint="eastAsia" w:ascii="宋体" w:hAnsi="宋体" w:cs="宋体"/>
          <w:color w:val="auto"/>
          <w:szCs w:val="21"/>
          <w:highlight w:val="none"/>
        </w:rPr>
        <w:t>33.2 其他事项详见“供应商须知前附表”。</w:t>
      </w:r>
    </w:p>
    <w:p w14:paraId="0528C5FF">
      <w:pPr>
        <w:spacing w:line="360" w:lineRule="auto"/>
        <w:ind w:firstLine="420" w:firstLineChars="200"/>
        <w:textAlignment w:val="center"/>
        <w:rPr>
          <w:rFonts w:ascii="宋体" w:hAnsi="宋体" w:cs="宋体"/>
          <w:color w:val="auto"/>
          <w:szCs w:val="21"/>
          <w:highlight w:val="none"/>
        </w:rPr>
      </w:pPr>
      <w:r>
        <w:rPr>
          <w:rFonts w:hint="eastAsia" w:ascii="宋体" w:hAnsi="宋体" w:cs="宋体"/>
          <w:color w:val="auto"/>
          <w:szCs w:val="21"/>
          <w:highlight w:val="none"/>
        </w:rPr>
        <w:t>33.3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cs="宋体"/>
          <w:color w:val="auto"/>
          <w:kern w:val="0"/>
          <w:szCs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cs="宋体"/>
          <w:color w:val="auto"/>
          <w:szCs w:val="21"/>
          <w:highlight w:val="none"/>
        </w:rPr>
        <w:t>，享受本文件规定的中小企业扶持政策。</w:t>
      </w:r>
    </w:p>
    <w:p w14:paraId="7C955BF6">
      <w:pPr>
        <w:spacing w:line="360" w:lineRule="auto"/>
        <w:ind w:firstLine="420" w:firstLineChars="200"/>
        <w:textAlignment w:val="center"/>
        <w:rPr>
          <w:rFonts w:ascii="宋体" w:hAnsi="宋体" w:cs="宋体"/>
          <w:color w:val="auto"/>
          <w:szCs w:val="21"/>
          <w:highlight w:val="none"/>
        </w:rPr>
      </w:pPr>
      <w:r>
        <w:rPr>
          <w:rFonts w:hint="eastAsia" w:ascii="宋体" w:hAnsi="宋体" w:cs="宋体"/>
          <w:color w:val="auto"/>
          <w:szCs w:val="21"/>
          <w:highlight w:val="none"/>
        </w:rPr>
        <w:t>以联合体形式参加政府采购活动，联合体各方均为中小企业的，联合体视同中小企业。其中，联合体各方均为小微企业的，联合体视同小微企业。</w:t>
      </w:r>
    </w:p>
    <w:p w14:paraId="52370C74">
      <w:pPr>
        <w:spacing w:line="360" w:lineRule="auto"/>
        <w:ind w:firstLine="420" w:firstLineChars="200"/>
        <w:textAlignment w:val="center"/>
        <w:rPr>
          <w:rFonts w:ascii="宋体" w:hAnsi="宋体" w:cs="宋体"/>
          <w:color w:val="auto"/>
          <w:szCs w:val="21"/>
          <w:highlight w:val="none"/>
        </w:rPr>
      </w:pPr>
      <w:r>
        <w:rPr>
          <w:rFonts w:hint="eastAsia" w:ascii="宋体" w:hAnsi="宋体" w:cs="宋体"/>
          <w:color w:val="auto"/>
          <w:szCs w:val="21"/>
          <w:highlight w:val="none"/>
        </w:rPr>
        <w:t>依据本文件规定享受扶持政策获得政府采购合同的，小微企业不得将合同分包给大中型企业，中型企业不得将合同分包给大型企业。</w:t>
      </w:r>
    </w:p>
    <w:p w14:paraId="265212B2">
      <w:pPr>
        <w:spacing w:line="360" w:lineRule="auto"/>
        <w:ind w:firstLine="480" w:firstLineChars="200"/>
        <w:outlineLvl w:val="3"/>
        <w:rPr>
          <w:rFonts w:ascii="宋体" w:hAnsi="宋体" w:cs="宋体"/>
          <w:color w:val="auto"/>
          <w:sz w:val="24"/>
          <w:highlight w:val="none"/>
        </w:rPr>
      </w:pPr>
      <w:r>
        <w:rPr>
          <w:rFonts w:hint="eastAsia" w:ascii="宋体" w:hAnsi="宋体" w:cs="宋体"/>
          <w:color w:val="auto"/>
          <w:sz w:val="24"/>
          <w:highlight w:val="none"/>
        </w:rPr>
        <w:t>34. 广西线上“政采贷”政策告知函</w:t>
      </w:r>
    </w:p>
    <w:p w14:paraId="4B4DC5C5">
      <w:pPr>
        <w:spacing w:line="360" w:lineRule="auto"/>
        <w:jc w:val="center"/>
        <w:rPr>
          <w:rFonts w:ascii="宋体" w:hAnsi="宋体" w:cs="宋体"/>
          <w:color w:val="auto"/>
          <w:sz w:val="32"/>
          <w:szCs w:val="32"/>
          <w:highlight w:val="none"/>
        </w:rPr>
      </w:pPr>
    </w:p>
    <w:p w14:paraId="5B1218AE">
      <w:pPr>
        <w:rPr>
          <w:rFonts w:ascii="宋体" w:hAnsi="宋体" w:cs="宋体"/>
          <w:color w:val="auto"/>
          <w:sz w:val="32"/>
          <w:szCs w:val="32"/>
          <w:highlight w:val="none"/>
        </w:rPr>
      </w:pPr>
      <w:r>
        <w:rPr>
          <w:rFonts w:hint="eastAsia" w:ascii="宋体" w:hAnsi="宋体" w:cs="宋体"/>
          <w:color w:val="auto"/>
          <w:sz w:val="32"/>
          <w:szCs w:val="32"/>
          <w:highlight w:val="none"/>
        </w:rPr>
        <w:br w:type="page"/>
      </w:r>
    </w:p>
    <w:p w14:paraId="01A51013">
      <w:pPr>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广西线上“政采贷”政策告知函</w:t>
      </w:r>
    </w:p>
    <w:p w14:paraId="69FEFCC2">
      <w:pPr>
        <w:spacing w:line="360" w:lineRule="auto"/>
        <w:ind w:firstLine="420" w:firstLineChars="200"/>
        <w:rPr>
          <w:rFonts w:ascii="宋体" w:hAnsi="宋体" w:cs="宋体"/>
          <w:color w:val="auto"/>
          <w:szCs w:val="32"/>
          <w:highlight w:val="none"/>
        </w:rPr>
      </w:pPr>
    </w:p>
    <w:p w14:paraId="73E86996">
      <w:pPr>
        <w:spacing w:line="360" w:lineRule="auto"/>
        <w:rPr>
          <w:rFonts w:ascii="宋体" w:hAnsi="宋体" w:cs="宋体"/>
          <w:color w:val="auto"/>
          <w:szCs w:val="21"/>
          <w:highlight w:val="none"/>
        </w:rPr>
      </w:pPr>
      <w:r>
        <w:rPr>
          <w:rFonts w:hint="eastAsia" w:ascii="宋体" w:hAnsi="宋体" w:cs="宋体"/>
          <w:color w:val="auto"/>
          <w:szCs w:val="21"/>
          <w:highlight w:val="none"/>
        </w:rPr>
        <w:t>各供应商：</w:t>
      </w:r>
    </w:p>
    <w:p w14:paraId="1A8B71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欢迎贵公司参与广西政府采购活动！</w:t>
      </w:r>
    </w:p>
    <w:p w14:paraId="16DC32FC">
      <w:pPr>
        <w:spacing w:line="5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18EA3D22">
      <w:pPr>
        <w:spacing w:line="5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相关金融产品和银行业金融机构联系方式，可在中征应收账款融资服务平台查询（网址：</w:t>
      </w:r>
      <w:r>
        <w:rPr>
          <w:color w:val="auto"/>
          <w:highlight w:val="none"/>
        </w:rPr>
        <w:fldChar w:fldCharType="begin"/>
      </w:r>
      <w:r>
        <w:rPr>
          <w:color w:val="auto"/>
          <w:highlight w:val="none"/>
        </w:rPr>
        <w:instrText xml:space="preserve"> HYPERLINK "https://www.crcrfsp.com/" </w:instrText>
      </w:r>
      <w:r>
        <w:rPr>
          <w:color w:val="auto"/>
          <w:highlight w:val="none"/>
        </w:rPr>
        <w:fldChar w:fldCharType="separate"/>
      </w:r>
      <w:r>
        <w:rPr>
          <w:rStyle w:val="31"/>
          <w:rFonts w:hint="eastAsia" w:ascii="宋体" w:hAnsi="宋体" w:cs="宋体"/>
          <w:color w:val="auto"/>
          <w:szCs w:val="21"/>
          <w:highlight w:val="none"/>
        </w:rPr>
        <w:t>https://www.crcrfsp.com/</w:t>
      </w:r>
      <w:r>
        <w:rPr>
          <w:rStyle w:val="31"/>
          <w:rFonts w:hint="eastAsia" w:ascii="宋体" w:hAnsi="宋体" w:cs="宋体"/>
          <w:color w:val="auto"/>
          <w:szCs w:val="21"/>
          <w:highlight w:val="none"/>
        </w:rPr>
        <w:fldChar w:fldCharType="end"/>
      </w:r>
      <w:r>
        <w:rPr>
          <w:rFonts w:hint="eastAsia" w:ascii="宋体" w:hAnsi="宋体" w:cs="宋体"/>
          <w:color w:val="auto"/>
          <w:szCs w:val="21"/>
          <w:highlight w:val="none"/>
        </w:rPr>
        <w:t>，客服电话：400-009-0001）。</w:t>
      </w:r>
    </w:p>
    <w:p w14:paraId="0250BDDB">
      <w:pPr>
        <w:pStyle w:val="18"/>
        <w:spacing w:line="360" w:lineRule="auto"/>
        <w:rPr>
          <w:rFonts w:ascii="宋体" w:hAnsi="宋体" w:cs="宋体"/>
          <w:color w:val="auto"/>
          <w:szCs w:val="21"/>
          <w:highlight w:val="none"/>
        </w:rPr>
      </w:pPr>
      <w:r>
        <w:rPr>
          <w:rFonts w:hint="eastAsia" w:ascii="宋体" w:hAnsi="宋体" w:cs="宋体"/>
          <w:color w:val="auto"/>
          <w:szCs w:val="21"/>
          <w:highlight w:val="none"/>
        </w:rPr>
        <w:br w:type="page"/>
      </w:r>
    </w:p>
    <w:p w14:paraId="4BDC6FAE">
      <w:pPr>
        <w:spacing w:line="360" w:lineRule="auto"/>
        <w:ind w:firstLine="400" w:firstLineChars="200"/>
        <w:textAlignment w:val="center"/>
        <w:rPr>
          <w:rFonts w:ascii="宋体" w:hAnsi="宋体" w:cs="宋体"/>
          <w:color w:val="auto"/>
          <w:kern w:val="0"/>
          <w:sz w:val="20"/>
          <w:szCs w:val="21"/>
          <w:highlight w:val="none"/>
        </w:rPr>
      </w:pPr>
    </w:p>
    <w:p w14:paraId="5AD76DE6">
      <w:pPr>
        <w:pStyle w:val="4"/>
        <w:spacing w:line="360" w:lineRule="auto"/>
        <w:jc w:val="center"/>
        <w:rPr>
          <w:rFonts w:ascii="宋体" w:hAnsi="宋体" w:cs="宋体"/>
          <w:color w:val="auto"/>
          <w:highlight w:val="none"/>
        </w:rPr>
      </w:pPr>
      <w:bookmarkStart w:id="117" w:name="_Toc1088"/>
      <w:bookmarkStart w:id="118" w:name="_Toc3879"/>
      <w:bookmarkStart w:id="119" w:name="_Toc5544"/>
      <w:bookmarkStart w:id="120" w:name="_Toc80886937"/>
      <w:bookmarkStart w:id="121" w:name="_Toc8412"/>
      <w:bookmarkStart w:id="122" w:name="_Toc17511"/>
      <w:bookmarkStart w:id="123" w:name="_Toc8593"/>
      <w:bookmarkStart w:id="124" w:name="_Toc3976"/>
      <w:bookmarkStart w:id="125" w:name="_Toc28979"/>
      <w:r>
        <w:rPr>
          <w:rFonts w:hint="eastAsia" w:ascii="宋体" w:hAnsi="宋体" w:cs="宋体"/>
          <w:color w:val="auto"/>
          <w:highlight w:val="none"/>
        </w:rPr>
        <w:t>第四章  评审程序、评审方法和评审标准</w:t>
      </w:r>
      <w:bookmarkEnd w:id="117"/>
      <w:bookmarkEnd w:id="118"/>
      <w:bookmarkEnd w:id="119"/>
      <w:bookmarkEnd w:id="120"/>
      <w:bookmarkEnd w:id="121"/>
      <w:bookmarkEnd w:id="122"/>
      <w:bookmarkEnd w:id="123"/>
      <w:bookmarkEnd w:id="124"/>
      <w:bookmarkEnd w:id="125"/>
    </w:p>
    <w:p w14:paraId="252FDD0C">
      <w:pPr>
        <w:pStyle w:val="5"/>
        <w:spacing w:line="360" w:lineRule="auto"/>
        <w:jc w:val="center"/>
        <w:rPr>
          <w:rFonts w:ascii="宋体" w:hAnsi="宋体" w:cs="宋体"/>
          <w:b w:val="0"/>
          <w:color w:val="auto"/>
          <w:highlight w:val="none"/>
        </w:rPr>
      </w:pPr>
      <w:bookmarkStart w:id="126" w:name="_Toc816"/>
      <w:bookmarkStart w:id="127" w:name="_Toc11607"/>
      <w:bookmarkStart w:id="128" w:name="_Toc80886938"/>
      <w:bookmarkStart w:id="129" w:name="_Toc17424"/>
      <w:r>
        <w:rPr>
          <w:rFonts w:hint="eastAsia" w:ascii="宋体" w:hAnsi="宋体" w:cs="宋体"/>
          <w:b w:val="0"/>
          <w:color w:val="auto"/>
          <w:highlight w:val="none"/>
        </w:rPr>
        <w:t>第一节 评审程序和评审方法</w:t>
      </w:r>
      <w:bookmarkEnd w:id="126"/>
      <w:bookmarkEnd w:id="127"/>
      <w:bookmarkEnd w:id="128"/>
      <w:bookmarkEnd w:id="129"/>
    </w:p>
    <w:p w14:paraId="609316BF">
      <w:pPr>
        <w:spacing w:line="360" w:lineRule="auto"/>
        <w:ind w:firstLine="482" w:firstLineChars="200"/>
        <w:outlineLvl w:val="2"/>
        <w:rPr>
          <w:rFonts w:ascii="宋体" w:hAnsi="宋体" w:cs="宋体"/>
          <w:b/>
          <w:bCs/>
          <w:color w:val="auto"/>
          <w:sz w:val="24"/>
          <w:highlight w:val="none"/>
        </w:rPr>
      </w:pPr>
      <w:bookmarkStart w:id="130" w:name="_Toc18068"/>
      <w:r>
        <w:rPr>
          <w:rFonts w:hint="eastAsia" w:ascii="宋体" w:hAnsi="宋体" w:cs="宋体"/>
          <w:b/>
          <w:bCs/>
          <w:color w:val="auto"/>
          <w:sz w:val="24"/>
          <w:highlight w:val="none"/>
        </w:rPr>
        <w:t>1.确认磋商文件</w:t>
      </w:r>
      <w:bookmarkEnd w:id="130"/>
    </w:p>
    <w:p w14:paraId="476D66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由磋商小组确认磋商文件。</w:t>
      </w:r>
    </w:p>
    <w:p w14:paraId="3A53E566">
      <w:pPr>
        <w:spacing w:line="360" w:lineRule="auto"/>
        <w:ind w:firstLine="482" w:firstLineChars="200"/>
        <w:outlineLvl w:val="2"/>
        <w:rPr>
          <w:rFonts w:ascii="宋体" w:hAnsi="宋体" w:cs="宋体"/>
          <w:b/>
          <w:bCs/>
          <w:color w:val="auto"/>
          <w:sz w:val="24"/>
          <w:highlight w:val="none"/>
        </w:rPr>
      </w:pPr>
      <w:bookmarkStart w:id="131" w:name="_Toc3170"/>
      <w:r>
        <w:rPr>
          <w:rFonts w:hint="eastAsia" w:ascii="宋体" w:hAnsi="宋体" w:cs="宋体"/>
          <w:b/>
          <w:bCs/>
          <w:color w:val="auto"/>
          <w:sz w:val="24"/>
          <w:highlight w:val="none"/>
        </w:rPr>
        <w:t>2.资格审查</w:t>
      </w:r>
      <w:bookmarkEnd w:id="131"/>
    </w:p>
    <w:p w14:paraId="1DE92EF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2.1响应文件开启后，磋商小组依法对供应商的资格证明文件进行审查。</w:t>
      </w:r>
    </w:p>
    <w:p w14:paraId="5A17063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14:paraId="3AB47C0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（1）查询渠道：广西政府采购云平台“信用中国”网站(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32"/>
          <w:rFonts w:hint="eastAsia" w:ascii="宋体" w:hAnsi="宋体" w:cs="宋体"/>
          <w:color w:val="auto"/>
          <w:highlight w:val="none"/>
        </w:rPr>
        <w:t>www.creditchina.gov.cn</w:t>
      </w:r>
      <w:r>
        <w:rPr>
          <w:rStyle w:val="32"/>
          <w:rFonts w:hint="eastAsia" w:ascii="宋体" w:hAnsi="宋体" w:cs="宋体"/>
          <w:color w:val="auto"/>
          <w:highlight w:val="none"/>
        </w:rPr>
        <w:fldChar w:fldCharType="end"/>
      </w:r>
      <w:r>
        <w:rPr>
          <w:rFonts w:hint="eastAsia" w:ascii="宋体" w:hAnsi="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32"/>
          <w:rFonts w:hint="eastAsia" w:ascii="宋体" w:hAnsi="宋体" w:cs="宋体"/>
          <w:color w:val="auto"/>
          <w:highlight w:val="none"/>
        </w:rPr>
        <w:t>www.ccgp.gov.cn</w:t>
      </w:r>
      <w:r>
        <w:rPr>
          <w:rStyle w:val="32"/>
          <w:rFonts w:hint="eastAsia" w:ascii="宋体" w:hAnsi="宋体" w:cs="宋体"/>
          <w:color w:val="auto"/>
          <w:highlight w:val="none"/>
        </w:rPr>
        <w:fldChar w:fldCharType="end"/>
      </w:r>
      <w:r>
        <w:rPr>
          <w:rFonts w:hint="eastAsia" w:ascii="宋体" w:hAnsi="宋体" w:cs="宋体"/>
          <w:color w:val="auto"/>
          <w:szCs w:val="21"/>
          <w:highlight w:val="none"/>
        </w:rPr>
        <w:t>)链接入口。</w:t>
      </w:r>
    </w:p>
    <w:p w14:paraId="2B6E8A5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5136569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14:paraId="716A064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56DD5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14145C9E">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2.3供应商有下列情形之一的，资格审查不通过，其响应文件按无效响应处理：</w:t>
      </w:r>
    </w:p>
    <w:p w14:paraId="03F5196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304A4F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11197D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486BBBB4">
      <w:pPr>
        <w:spacing w:line="360" w:lineRule="auto"/>
        <w:ind w:firstLine="420" w:firstLineChars="200"/>
        <w:rPr>
          <w:rFonts w:ascii="宋体" w:hAnsi="宋体" w:cs="宋体"/>
          <w:color w:val="auto"/>
          <w:szCs w:val="21"/>
          <w:highlight w:val="none"/>
        </w:rPr>
      </w:pPr>
      <w:bookmarkStart w:id="132"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132"/>
    </w:p>
    <w:p w14:paraId="377A882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2.4通过资格审查的合格供应商不足3家的，不得进入符合性审查环节，采购人或者采购代理机构应当重新开展采购活动。</w:t>
      </w:r>
    </w:p>
    <w:p w14:paraId="5FE0579A">
      <w:pPr>
        <w:spacing w:line="360" w:lineRule="auto"/>
        <w:ind w:firstLine="482" w:firstLineChars="200"/>
        <w:outlineLvl w:val="2"/>
        <w:rPr>
          <w:rFonts w:ascii="宋体" w:hAnsi="宋体" w:cs="宋体"/>
          <w:b/>
          <w:bCs/>
          <w:color w:val="auto"/>
          <w:sz w:val="24"/>
          <w:highlight w:val="none"/>
        </w:rPr>
      </w:pPr>
      <w:bookmarkStart w:id="133" w:name="_Toc12085"/>
      <w:r>
        <w:rPr>
          <w:rFonts w:hint="eastAsia" w:ascii="宋体" w:hAnsi="宋体" w:cs="宋体"/>
          <w:b/>
          <w:bCs/>
          <w:color w:val="auto"/>
          <w:sz w:val="24"/>
          <w:highlight w:val="none"/>
        </w:rPr>
        <w:t>3.符合性审查</w:t>
      </w:r>
      <w:bookmarkEnd w:id="133"/>
    </w:p>
    <w:p w14:paraId="7F7903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4D30E3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D1172C3">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供应商公章</w:t>
      </w:r>
      <w:r>
        <w:rPr>
          <w:rFonts w:hint="eastAsia" w:ascii="宋体" w:hAnsi="宋体" w:cs="宋体"/>
          <w:color w:val="auto"/>
          <w:spacing w:val="-6"/>
          <w:szCs w:val="21"/>
          <w:highlight w:val="none"/>
        </w:rPr>
        <w:t>。供应商为自然人的，必须由本人签字并附身份证明。</w:t>
      </w:r>
    </w:p>
    <w:p w14:paraId="1B9703CB">
      <w:pPr>
        <w:spacing w:line="360" w:lineRule="auto"/>
        <w:ind w:firstLine="396" w:firstLineChars="200"/>
        <w:outlineLvl w:val="3"/>
        <w:rPr>
          <w:rFonts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475AC4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（1）响应文件中响应报价表内容与响应文件中相应内容不一致的，以响应报价表为准；</w:t>
      </w:r>
    </w:p>
    <w:p w14:paraId="249E0B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4271FE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（3）单价金额小数点或者百分比有明显错位的，以响应报价表的总价为准，并修改单价；</w:t>
      </w:r>
    </w:p>
    <w:p w14:paraId="471FC8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2460DC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0E731D89">
      <w:pPr>
        <w:spacing w:line="360" w:lineRule="auto"/>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3.5商务技术、报价评审</w:t>
      </w:r>
    </w:p>
    <w:p w14:paraId="076EFC0B">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在评审时，如发现下列情形之一的，将被视为响应文件无效处理：</w:t>
      </w:r>
    </w:p>
    <w:p w14:paraId="3AD0F3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542A40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6D3C96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14:paraId="22B2E1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25174F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4）商务条款中标“▲”的条款发生负偏离的或者允许负偏离的条款数超过“供应商须知前附表”规定项数的或者标明实质性的要求发生负偏离；</w:t>
      </w:r>
    </w:p>
    <w:p w14:paraId="1335ED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14:paraId="3EE10C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14:paraId="6720C4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14:paraId="24CFCD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46709D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9）属于“供应商须知正文”第7.5条情形；</w:t>
      </w:r>
    </w:p>
    <w:p w14:paraId="02C7CA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10）技术需求允许负偏离的条款数超过“供应商须知前附表”规定项数；</w:t>
      </w:r>
    </w:p>
    <w:p w14:paraId="56ECC5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11）虚假竞标，或者出现其他情形而导致被磋商小组认定无效；</w:t>
      </w:r>
    </w:p>
    <w:p w14:paraId="4567C0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12）竞标技术方案不明确，磋商文件未允许但响应文件中存在一个或者一个以上备选（替代）竞标方案；</w:t>
      </w:r>
    </w:p>
    <w:p w14:paraId="1AD1CE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13）响应文件标注的项目名称或者项目编号与竞争性磋商文件标注的项目名称或者项目编号不一致的；</w:t>
      </w:r>
    </w:p>
    <w:p w14:paraId="53688A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14）未响应磋商文件实质性要求；</w:t>
      </w:r>
    </w:p>
    <w:p w14:paraId="06746922">
      <w:pPr>
        <w:pStyle w:val="2"/>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15）提交的磋商保证金无效的或者未按照磋商文件的规定提交磋商保证金；</w:t>
      </w:r>
    </w:p>
    <w:p w14:paraId="061D3C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16）法律、法规和磋商文件规定的其他无效情形。</w:t>
      </w:r>
    </w:p>
    <w:p w14:paraId="42A746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（2）报价评审</w:t>
      </w:r>
    </w:p>
    <w:p w14:paraId="2CEB8B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报价文件中规定的“响应报价表”；</w:t>
      </w:r>
    </w:p>
    <w:p w14:paraId="28D2FA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7B455A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项目进行报价或者存在漏项报价；供应商未就所竞标项目的单项内容作唯一报价；供应商未就所竞标项目的全部内容作唯一总价报价；供应商响应文件中存在有选择、有条件报价的（磋商文件允许有备选方案或者其他约定的除外）；</w:t>
      </w:r>
    </w:p>
    <w:p w14:paraId="5ACC65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报价（包含首次报价、最后报价）超过所竞标项目规定的采购预算金额或者最高限价的（如本项目公布了最高限价）；响应报价（包含首次报价、最后报价）超过磋商文件分项采购预算金额或者最高限价的（如本项目公布了最高限价）；</w:t>
      </w:r>
    </w:p>
    <w:p w14:paraId="070882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项目规定的采购预算金额或者最高限价（如本项目公布了最高限价）；或者经供应商确认修正后响应报价（包含首次报价、最后报价）超过磋商文件分项采购预算金额或者最高限价的（如本项目公布了最高限价）。</w:t>
      </w:r>
    </w:p>
    <w:p w14:paraId="7618F3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6）响应文件响应的标的数量及单位与竞争性磋商文件要求实质性不一致的。</w:t>
      </w:r>
    </w:p>
    <w:p w14:paraId="71B044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0F741B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2C1B07E5">
      <w:pPr>
        <w:spacing w:line="360" w:lineRule="auto"/>
        <w:ind w:firstLine="482" w:firstLineChars="200"/>
        <w:outlineLvl w:val="2"/>
        <w:rPr>
          <w:rFonts w:ascii="宋体" w:hAnsi="宋体" w:cs="宋体"/>
          <w:b/>
          <w:bCs/>
          <w:color w:val="auto"/>
          <w:sz w:val="24"/>
          <w:highlight w:val="none"/>
        </w:rPr>
      </w:pPr>
      <w:bookmarkStart w:id="134" w:name="_Toc15730"/>
      <w:r>
        <w:rPr>
          <w:rFonts w:hint="eastAsia" w:ascii="宋体" w:hAnsi="宋体" w:cs="宋体"/>
          <w:b/>
          <w:bCs/>
          <w:color w:val="auto"/>
          <w:sz w:val="24"/>
          <w:highlight w:val="none"/>
        </w:rPr>
        <w:t>4.磋商程序</w:t>
      </w:r>
      <w:bookmarkEnd w:id="134"/>
    </w:p>
    <w:p w14:paraId="252E1DF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4.1磋商小组按照“供应商须知前附表”确定的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6B7345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D3788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4.3对磋商文件作出的实质性变动是磋商文件的有效组成部分，由磋商小组及时以电子澄清函形式同时通知所有参加磋商的供应商。</w:t>
      </w:r>
    </w:p>
    <w:p w14:paraId="44AA2D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供应商必须按照磋商文件的变动情况和磋商小组的要求以回函的形式重新提交响应文件，并加盖供应商公章。供应商为自然人的，必须由本人签字并附身份证明。参加磋商的供应商未在规定时间内重新提交响应文件的，视同退出磋商。</w:t>
      </w:r>
    </w:p>
    <w:p w14:paraId="420F64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4.5磋商中，</w:t>
      </w:r>
      <w:r>
        <w:rPr>
          <w:rFonts w:hint="eastAsia" w:ascii="宋体" w:hAnsi="宋体" w:cs="宋体"/>
          <w:color w:val="auto"/>
          <w:spacing w:val="-6"/>
          <w:szCs w:val="21"/>
          <w:highlight w:val="none"/>
        </w:rPr>
        <w:t>磋商的任何一方不得透露与磋商有关的其他供应商的技术资料、价格和其他信息。</w:t>
      </w:r>
    </w:p>
    <w:p w14:paraId="4001BAF2">
      <w:pPr>
        <w:widowControl/>
        <w:tabs>
          <w:tab w:val="left" w:pos="540"/>
        </w:tabs>
        <w:spacing w:line="360" w:lineRule="auto"/>
        <w:ind w:firstLine="420" w:firstLineChars="200"/>
        <w:jc w:val="left"/>
        <w:rPr>
          <w:rFonts w:ascii="宋体" w:hAnsi="宋体" w:cs="宋体"/>
          <w:b/>
          <w:color w:val="auto"/>
          <w:highlight w:val="none"/>
        </w:rPr>
      </w:pPr>
      <w:r>
        <w:rPr>
          <w:rFonts w:hint="eastAsia" w:ascii="宋体" w:hAnsi="宋体" w:cs="宋体"/>
          <w:color w:val="auto"/>
          <w:szCs w:val="21"/>
          <w:highlight w:val="none"/>
        </w:rPr>
        <w:t>4.6磋商小组应对磋商过程和重要磋商内容进行记录，作为评审报告一部分，磋商小组在记录上签字确认。</w:t>
      </w:r>
      <w:r>
        <w:rPr>
          <w:rFonts w:hint="eastAsia" w:ascii="宋体" w:hAnsi="宋体" w:cs="宋体"/>
          <w:b/>
          <w:color w:val="auto"/>
          <w:highlight w:val="none"/>
        </w:rPr>
        <w:t>主要内容包括：</w:t>
      </w:r>
    </w:p>
    <w:p w14:paraId="5594DEAD">
      <w:pPr>
        <w:pStyle w:val="35"/>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（1）按照相关规定进行公示的，公示情况说明；</w:t>
      </w:r>
    </w:p>
    <w:p w14:paraId="44F78BF2">
      <w:pPr>
        <w:pStyle w:val="35"/>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（2）磋商日期和地点，磋商人员名单；</w:t>
      </w:r>
    </w:p>
    <w:p w14:paraId="519D357C">
      <w:pPr>
        <w:pStyle w:val="35"/>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（3）合同主要条款及价格商定情况。</w:t>
      </w:r>
    </w:p>
    <w:p w14:paraId="5A8A8C12">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4.7磋商过程中重新提交的响应文件，供应商可以在开启前补充、修改。</w:t>
      </w:r>
    </w:p>
    <w:p w14:paraId="629193A0">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15748CBA">
      <w:pPr>
        <w:spacing w:line="360" w:lineRule="auto"/>
        <w:ind w:firstLine="200"/>
        <w:outlineLvl w:val="2"/>
        <w:rPr>
          <w:rFonts w:ascii="宋体" w:hAnsi="宋体" w:cs="宋体"/>
          <w:color w:val="auto"/>
          <w:szCs w:val="21"/>
          <w:highlight w:val="none"/>
        </w:rPr>
      </w:pPr>
      <w:bookmarkStart w:id="135" w:name="_Toc29771"/>
      <w:r>
        <w:rPr>
          <w:rFonts w:hint="eastAsia" w:ascii="宋体" w:hAnsi="宋体" w:cs="宋体"/>
          <w:b/>
          <w:bCs/>
          <w:color w:val="auto"/>
          <w:sz w:val="24"/>
          <w:highlight w:val="none"/>
        </w:rPr>
        <w:t>5. 最后报价</w:t>
      </w:r>
      <w:bookmarkEnd w:id="135"/>
    </w:p>
    <w:p w14:paraId="1D4578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13DF07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66EBC1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216598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5.4已经提交响应文件的供应商，在提交最后报价之前，可以根据磋商情况退出磋商，退出磋商的供应商的响应文件按无效响应处理。</w:t>
      </w:r>
    </w:p>
    <w:p w14:paraId="4CD16C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5.5供应商未在规定时间内提交最后报价的，视同退出磋商，其响应文件按无效处理。</w:t>
      </w:r>
    </w:p>
    <w:p w14:paraId="65D124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5.6磋商小组收齐本项目最后报价后统一开启，磋商小组对最后报价进行有效性、完整性和响应程度的审查。</w:t>
      </w:r>
    </w:p>
    <w:p w14:paraId="088E55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5.7最终响应文件的报价出现前后不一致的，按照本章第3.4条的规定修正。 </w:t>
      </w:r>
    </w:p>
    <w:p w14:paraId="2EC56F92">
      <w:pPr>
        <w:spacing w:line="360" w:lineRule="auto"/>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5.8修正后的最后报价出现下列情形的，按无效响应处理：</w:t>
      </w:r>
    </w:p>
    <w:p w14:paraId="22D147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1DC85A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（2）经供应商确认修正后的响应报价（包含首次报价、最后报价）超过所竞标项目规定的采购预算金额或者最高限价的（如本项目公布了最高限价）；</w:t>
      </w:r>
    </w:p>
    <w:p w14:paraId="795F13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14:paraId="78FF49FB">
      <w:pPr>
        <w:spacing w:line="360" w:lineRule="auto"/>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14:paraId="37D16F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s="宋体"/>
          <w:color w:val="auto"/>
          <w:sz w:val="22"/>
          <w:szCs w:val="22"/>
          <w:highlight w:val="none"/>
        </w:rPr>
        <w:t>，磋商小组应当告知有关供应商</w:t>
      </w:r>
      <w:r>
        <w:rPr>
          <w:rFonts w:hint="eastAsia" w:ascii="宋体" w:hAnsi="宋体" w:cs="宋体"/>
          <w:color w:val="auto"/>
          <w:szCs w:val="21"/>
          <w:highlight w:val="none"/>
        </w:rPr>
        <w:t>。</w:t>
      </w:r>
    </w:p>
    <w:p w14:paraId="65A16D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5.11最后报价结束后，磋商小组不得再与供应商进行任何形式的商谈。</w:t>
      </w:r>
    </w:p>
    <w:p w14:paraId="72E01CC6">
      <w:pPr>
        <w:spacing w:line="360" w:lineRule="auto"/>
        <w:ind w:firstLine="200"/>
        <w:outlineLvl w:val="2"/>
        <w:rPr>
          <w:rFonts w:ascii="宋体" w:hAnsi="宋体" w:cs="宋体"/>
          <w:b/>
          <w:bCs/>
          <w:color w:val="auto"/>
          <w:sz w:val="24"/>
          <w:highlight w:val="none"/>
        </w:rPr>
      </w:pPr>
      <w:bookmarkStart w:id="136" w:name="_Toc6660"/>
      <w:r>
        <w:rPr>
          <w:rFonts w:hint="eastAsia" w:ascii="宋体" w:hAnsi="宋体" w:cs="宋体"/>
          <w:b/>
          <w:bCs/>
          <w:color w:val="auto"/>
          <w:sz w:val="24"/>
          <w:highlight w:val="none"/>
        </w:rPr>
        <w:t>6.比较与评价</w:t>
      </w:r>
      <w:bookmarkEnd w:id="136"/>
    </w:p>
    <w:p w14:paraId="1551B100">
      <w:pPr>
        <w:spacing w:line="360" w:lineRule="auto"/>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6.1评审方法：综合评分法。</w:t>
      </w:r>
    </w:p>
    <w:p w14:paraId="113CAF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402A5B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6.3评审时，磋商小组各成员应当独立对每个有效响应的文件进行评价、打分，然后汇总每个供应商每项评分因素的得分。</w:t>
      </w:r>
    </w:p>
    <w:p w14:paraId="7824966F">
      <w:pPr>
        <w:pStyle w:val="2"/>
        <w:spacing w:line="360" w:lineRule="auto"/>
        <w:ind w:firstLine="420" w:firstLineChars="200"/>
        <w:rPr>
          <w:rFonts w:ascii="宋体" w:hAnsi="宋体" w:cs="宋体"/>
          <w:color w:val="auto"/>
          <w:highlight w:val="none"/>
        </w:rPr>
      </w:pPr>
      <w:r>
        <w:rPr>
          <w:rFonts w:hint="eastAsia" w:ascii="宋体" w:hAnsi="宋体" w:cs="宋体"/>
          <w:color w:val="auto"/>
          <w:highlight w:val="none"/>
        </w:rPr>
        <w:t>（1）磋商小组成员要根据政府采购法律法规和采购文件所载明的评审方法、标准进行评审。对供应商的价格分等客观评分项的评分应当一致，对其他需要借助专业知识评判的主观评分项，应当严格按照评分细则公正评分。</w:t>
      </w:r>
    </w:p>
    <w:p w14:paraId="7448EA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（2）磋商小组按照磋商文件中规定的评审标准计算各供应商的报价得分。项目评审过程中，不得去掉最后报价中的最高报价和最低报价。</w:t>
      </w:r>
    </w:p>
    <w:p w14:paraId="4D08E2B7">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（3）各供应商的得分为磋商小组所有成员的有效评分的算术平均数。</w:t>
      </w:r>
    </w:p>
    <w:p w14:paraId="465CEF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6.4评审</w:t>
      </w:r>
      <w:r>
        <w:rPr>
          <w:rFonts w:hint="eastAsia" w:ascii="宋体" w:hAnsi="宋体" w:cs="宋体"/>
          <w:color w:val="auto"/>
          <w:highlight w:val="none"/>
        </w:rPr>
        <w:t>报价</w:t>
      </w:r>
      <w:r>
        <w:rPr>
          <w:rFonts w:hint="eastAsia" w:ascii="宋体" w:hAnsi="宋体" w:cs="宋体"/>
          <w:color w:val="auto"/>
          <w:szCs w:val="21"/>
          <w:highlight w:val="none"/>
        </w:rPr>
        <w:t>为供应商的最后报价进行政策性扣除后的价格，评审</w:t>
      </w:r>
      <w:r>
        <w:rPr>
          <w:rFonts w:hint="eastAsia" w:ascii="宋体" w:hAnsi="宋体" w:cs="宋体"/>
          <w:color w:val="auto"/>
          <w:highlight w:val="none"/>
        </w:rPr>
        <w:t>报价</w:t>
      </w:r>
      <w:r>
        <w:rPr>
          <w:rFonts w:hint="eastAsia" w:ascii="宋体" w:hAnsi="宋体" w:cs="宋体"/>
          <w:color w:val="auto"/>
          <w:szCs w:val="21"/>
          <w:highlight w:val="none"/>
        </w:rPr>
        <w:t>只是作为评审时使用。最终成交供应商的成交金额等于最后报价（如有修正，以确认修正后的最后报价为准）。</w:t>
      </w:r>
    </w:p>
    <w:p w14:paraId="3FABC5B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6.5由磋商小组根据综合评分情况，按照评审得分由高到低顺序推荐3名以上成交候选供应商，并编写评</w:t>
      </w:r>
      <w:r>
        <w:rPr>
          <w:rFonts w:hint="eastAsia" w:ascii="宋体" w:hAnsi="宋体" w:cs="宋体"/>
          <w:color w:val="auto"/>
          <w:kern w:val="0"/>
          <w:szCs w:val="21"/>
          <w:highlight w:val="none"/>
        </w:rPr>
        <w:t>审报告。符合本章第5.3条情形的，可以推荐2家成交候选供应商。评审得分相同的，</w:t>
      </w:r>
      <w:r>
        <w:rPr>
          <w:rFonts w:hint="eastAsia" w:ascii="宋体" w:hAnsi="宋体" w:cs="宋体"/>
          <w:bCs/>
          <w:color w:val="auto"/>
          <w:szCs w:val="21"/>
          <w:highlight w:val="none"/>
        </w:rPr>
        <w:t>按照最后报价（不计算价格折扣）由低到高的顺序推荐。评审得分且最后报价（不计算价格折扣）相同的，按照技术指标优劣顺序推荐（按技术分得分由高到低排序，技术分得分相同的按照商务分得分由高到低排序）。评审得分、最后报价（不计算价格折扣）、技术分得分、商务分得分均相同的，由磋商小组随机抽取推荐。</w:t>
      </w:r>
    </w:p>
    <w:p w14:paraId="0C6F2573">
      <w:pPr>
        <w:spacing w:line="360" w:lineRule="auto"/>
        <w:ind w:firstLine="420" w:firstLineChars="200"/>
        <w:rPr>
          <w:rFonts w:ascii="宋体" w:hAnsi="宋体" w:cs="宋体"/>
          <w:b/>
          <w:bCs/>
          <w:color w:val="auto"/>
          <w:sz w:val="24"/>
          <w:highlight w:val="none"/>
        </w:rPr>
      </w:pPr>
      <w:r>
        <w:rPr>
          <w:rFonts w:hint="eastAsia" w:ascii="宋体" w:hAnsi="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1EBD556">
      <w:pPr>
        <w:spacing w:line="360" w:lineRule="auto"/>
        <w:ind w:firstLine="200"/>
        <w:outlineLvl w:val="2"/>
        <w:rPr>
          <w:rFonts w:ascii="宋体" w:hAnsi="宋体" w:cs="宋体"/>
          <w:b/>
          <w:bCs/>
          <w:color w:val="auto"/>
          <w:sz w:val="24"/>
          <w:highlight w:val="none"/>
        </w:rPr>
      </w:pPr>
      <w:bookmarkStart w:id="137" w:name="_Toc15680"/>
      <w:r>
        <w:rPr>
          <w:rFonts w:hint="eastAsia" w:ascii="宋体" w:hAnsi="宋体" w:cs="宋体"/>
          <w:b/>
          <w:bCs/>
          <w:color w:val="auto"/>
          <w:sz w:val="24"/>
          <w:highlight w:val="none"/>
        </w:rPr>
        <w:t>7.评审标准</w:t>
      </w:r>
      <w:bookmarkEnd w:id="137"/>
    </w:p>
    <w:p w14:paraId="57366D5F">
      <w:pPr>
        <w:rPr>
          <w:rFonts w:hint="eastAsia" w:ascii="宋体" w:hAnsi="宋体" w:eastAsia="宋体" w:cs="宋体"/>
          <w:bCs/>
          <w:color w:val="auto"/>
          <w:sz w:val="21"/>
          <w:szCs w:val="21"/>
          <w:highlight w:val="none"/>
        </w:rPr>
      </w:pPr>
      <w:bookmarkStart w:id="138" w:name="_Toc80205935"/>
      <w:r>
        <w:rPr>
          <w:rFonts w:hint="eastAsia" w:ascii="宋体" w:hAnsi="宋体" w:eastAsia="宋体" w:cs="宋体"/>
          <w:bCs/>
          <w:color w:val="auto"/>
          <w:sz w:val="21"/>
          <w:szCs w:val="21"/>
          <w:highlight w:val="none"/>
        </w:rPr>
        <w:t>7.1评审依据：磋商小组将以磋商响应文件为评审依据，对供应商的报价、技术、商务等方面内容按百分制打分。（计分方法按四舍五入取至百分位）</w:t>
      </w:r>
    </w:p>
    <w:tbl>
      <w:tblPr>
        <w:tblStyle w:val="26"/>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510"/>
        <w:gridCol w:w="5931"/>
        <w:gridCol w:w="1239"/>
      </w:tblGrid>
      <w:tr w14:paraId="575A6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2" w:type="dxa"/>
            <w:noWrap w:val="0"/>
            <w:vAlign w:val="center"/>
          </w:tcPr>
          <w:p w14:paraId="0779D5E3">
            <w:pPr>
              <w:widowControl/>
              <w:spacing w:line="360" w:lineRule="auto"/>
              <w:jc w:val="center"/>
              <w:rPr>
                <w:rFonts w:hint="eastAsia" w:ascii="宋体" w:hAnsi="宋体" w:eastAsia="宋体" w:cs="宋体"/>
                <w:b/>
                <w:bCs/>
                <w:color w:val="auto"/>
                <w:kern w:val="0"/>
                <w:sz w:val="21"/>
                <w:szCs w:val="21"/>
                <w:highlight w:val="none"/>
              </w:rPr>
            </w:pPr>
            <w:bookmarkStart w:id="139" w:name="PO_TDCUS_ITEM_SM_TABLE_1"/>
            <w:r>
              <w:rPr>
                <w:rFonts w:hint="eastAsia" w:ascii="宋体" w:hAnsi="宋体" w:eastAsia="宋体" w:cs="宋体"/>
                <w:bCs/>
                <w:color w:val="auto"/>
                <w:sz w:val="21"/>
                <w:szCs w:val="21"/>
                <w:highlight w:val="none"/>
              </w:rPr>
              <w:t xml:space="preserve"> </w:t>
            </w:r>
            <w:bookmarkEnd w:id="139"/>
            <w:r>
              <w:rPr>
                <w:rFonts w:hint="eastAsia" w:ascii="宋体" w:hAnsi="宋体" w:eastAsia="宋体" w:cs="宋体"/>
                <w:b/>
                <w:bCs/>
                <w:color w:val="auto"/>
                <w:kern w:val="0"/>
                <w:sz w:val="21"/>
                <w:szCs w:val="21"/>
                <w:highlight w:val="none"/>
              </w:rPr>
              <w:t>序号</w:t>
            </w:r>
          </w:p>
        </w:tc>
        <w:tc>
          <w:tcPr>
            <w:tcW w:w="1510" w:type="dxa"/>
            <w:noWrap w:val="0"/>
            <w:vAlign w:val="center"/>
          </w:tcPr>
          <w:p w14:paraId="4C34A88D">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5931" w:type="dxa"/>
            <w:noWrap w:val="0"/>
            <w:vAlign w:val="center"/>
          </w:tcPr>
          <w:p w14:paraId="034AE63E">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评审因素具体内容</w:t>
            </w:r>
          </w:p>
        </w:tc>
        <w:tc>
          <w:tcPr>
            <w:tcW w:w="1239" w:type="dxa"/>
            <w:noWrap w:val="0"/>
            <w:vAlign w:val="center"/>
          </w:tcPr>
          <w:p w14:paraId="0C2042F2">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r>
      <w:tr w14:paraId="26066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2" w:type="dxa"/>
            <w:noWrap w:val="0"/>
            <w:vAlign w:val="center"/>
          </w:tcPr>
          <w:p w14:paraId="1BFC79C9">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10" w:type="dxa"/>
            <w:noWrap w:val="0"/>
            <w:vAlign w:val="center"/>
          </w:tcPr>
          <w:p w14:paraId="771B7573">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价格分</w:t>
            </w:r>
          </w:p>
        </w:tc>
        <w:tc>
          <w:tcPr>
            <w:tcW w:w="5931" w:type="dxa"/>
            <w:noWrap w:val="0"/>
            <w:vAlign w:val="center"/>
          </w:tcPr>
          <w:p w14:paraId="21A5CC20">
            <w:pPr>
              <w:spacing w:line="360" w:lineRule="exact"/>
              <w:rPr>
                <w:rFonts w:hint="eastAsia" w:ascii="宋体" w:hAnsi="宋体"/>
                <w:color w:val="auto"/>
                <w:szCs w:val="21"/>
                <w:highlight w:val="none"/>
              </w:rPr>
            </w:pPr>
            <w:r>
              <w:rPr>
                <w:rFonts w:hint="eastAsia" w:ascii="宋体" w:hAnsi="宋体" w:cs="Courier New"/>
                <w:bCs/>
                <w:color w:val="auto"/>
                <w:szCs w:val="21"/>
                <w:highlight w:val="none"/>
              </w:rPr>
              <w:t>（1）</w:t>
            </w:r>
            <w:r>
              <w:rPr>
                <w:rFonts w:hint="eastAsia" w:ascii="宋体" w:hAnsi="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59865435">
            <w:pPr>
              <w:rPr>
                <w:rFonts w:hint="eastAsia"/>
                <w:color w:val="auto"/>
                <w:highlight w:val="none"/>
              </w:rPr>
            </w:pPr>
            <w:r>
              <w:rPr>
                <w:rFonts w:hint="eastAsia"/>
                <w:color w:val="auto"/>
                <w:highlight w:val="none"/>
              </w:rPr>
              <w:t>（2）政府采购政策性扣除计算方法</w:t>
            </w:r>
          </w:p>
          <w:p w14:paraId="1A63F710">
            <w:pPr>
              <w:spacing w:line="36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根据《政府采购促进中小企业发展管理办法》（财库〔2020〕46号）的规定，供应商在其响应文件中提供《中小企业声明函》，且其竞标全部货物由小微企业制造的，对供应商的竞标报价给予20%的扣除，扣除后的价格为评审价，即评审价=竞标报价×（1-20%）。除上述情况外，评审价=竞标报价。</w:t>
            </w:r>
          </w:p>
          <w:p w14:paraId="2B6F3A5F">
            <w:pPr>
              <w:spacing w:line="360" w:lineRule="exac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bCs/>
                <w:color w:val="auto"/>
                <w:szCs w:val="21"/>
                <w:highlight w:val="none"/>
              </w:rPr>
              <w:t>监狱企业属于小型、微型企业的，</w:t>
            </w:r>
            <w:r>
              <w:rPr>
                <w:rFonts w:hint="eastAsia" w:ascii="宋体" w:hAnsi="宋体"/>
                <w:color w:val="auto"/>
                <w:szCs w:val="21"/>
                <w:highlight w:val="none"/>
              </w:rPr>
              <w:t>不重复享受政策。</w:t>
            </w:r>
          </w:p>
          <w:p w14:paraId="4ECBD33A">
            <w:pPr>
              <w:spacing w:line="360" w:lineRule="exac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FB95CC9">
            <w:pPr>
              <w:rPr>
                <w:color w:val="auto"/>
                <w:highlight w:val="none"/>
              </w:rPr>
            </w:pPr>
            <w:r>
              <w:rPr>
                <w:rFonts w:hint="eastAsia"/>
                <w:color w:val="auto"/>
                <w:highlight w:val="none"/>
              </w:rPr>
              <w:t>（</w:t>
            </w:r>
            <w:r>
              <w:rPr>
                <w:color w:val="auto"/>
                <w:highlight w:val="none"/>
              </w:rPr>
              <w:t>5</w:t>
            </w:r>
            <w:r>
              <w:rPr>
                <w:rFonts w:hint="eastAsia"/>
                <w:color w:val="auto"/>
                <w:highlight w:val="none"/>
              </w:rPr>
              <w:t>）以进入比较与评价环节的最低的评审价为基准价，基准价得分为</w:t>
            </w:r>
            <w:r>
              <w:rPr>
                <w:rFonts w:hint="eastAsia"/>
                <w:color w:val="auto"/>
                <w:highlight w:val="none"/>
                <w:u w:val="single"/>
              </w:rPr>
              <w:t>15分</w:t>
            </w:r>
            <w:r>
              <w:rPr>
                <w:rFonts w:hint="eastAsia"/>
                <w:color w:val="auto"/>
                <w:highlight w:val="none"/>
              </w:rPr>
              <w:t>。</w:t>
            </w:r>
          </w:p>
          <w:p w14:paraId="204E1458">
            <w:pPr>
              <w:rPr>
                <w:color w:val="auto"/>
                <w:highlight w:val="none"/>
              </w:rPr>
            </w:pPr>
            <w:r>
              <w:rPr>
                <w:rFonts w:hint="eastAsia"/>
                <w:color w:val="auto"/>
                <w:highlight w:val="none"/>
              </w:rPr>
              <w:t>（</w:t>
            </w:r>
            <w:r>
              <w:rPr>
                <w:color w:val="auto"/>
                <w:highlight w:val="none"/>
              </w:rPr>
              <w:t>6</w:t>
            </w:r>
            <w:r>
              <w:rPr>
                <w:rFonts w:hint="eastAsia"/>
                <w:color w:val="auto"/>
                <w:highlight w:val="none"/>
              </w:rPr>
              <w:t>）价格分计算公式：</w:t>
            </w:r>
          </w:p>
          <w:p w14:paraId="123FD13A">
            <w:pPr>
              <w:spacing w:line="360" w:lineRule="auto"/>
              <w:rPr>
                <w:rFonts w:hint="eastAsia" w:ascii="宋体" w:hAnsi="宋体" w:eastAsia="宋体" w:cs="宋体"/>
                <w:color w:val="auto"/>
                <w:sz w:val="21"/>
                <w:szCs w:val="21"/>
                <w:highlight w:val="none"/>
              </w:rPr>
            </w:pPr>
            <w:r>
              <w:rPr>
                <w:rFonts w:hint="eastAsia"/>
                <w:color w:val="auto"/>
                <w:highlight w:val="none"/>
              </w:rPr>
              <w:t>报价得分=（基准价/供应商最后评审报价）×</w:t>
            </w:r>
            <w:r>
              <w:rPr>
                <w:rFonts w:hint="eastAsia"/>
                <w:color w:val="auto"/>
                <w:highlight w:val="none"/>
                <w:u w:val="single"/>
              </w:rPr>
              <w:t>15分</w:t>
            </w:r>
          </w:p>
        </w:tc>
        <w:tc>
          <w:tcPr>
            <w:tcW w:w="1239" w:type="dxa"/>
            <w:noWrap w:val="0"/>
            <w:vAlign w:val="center"/>
          </w:tcPr>
          <w:p w14:paraId="56028718">
            <w:pPr>
              <w:widowControl/>
              <w:spacing w:line="360" w:lineRule="auto"/>
              <w:ind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r>
      <w:tr w14:paraId="6055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2" w:type="dxa"/>
            <w:noWrap w:val="0"/>
            <w:vAlign w:val="center"/>
          </w:tcPr>
          <w:p w14:paraId="2A9CD3E8">
            <w:pPr>
              <w:widowControl/>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w:t>
            </w:r>
          </w:p>
        </w:tc>
        <w:tc>
          <w:tcPr>
            <w:tcW w:w="1510" w:type="dxa"/>
            <w:noWrap w:val="0"/>
            <w:vAlign w:val="center"/>
          </w:tcPr>
          <w:p w14:paraId="429B0960">
            <w:pPr>
              <w:widowControl/>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技术分</w:t>
            </w:r>
          </w:p>
        </w:tc>
        <w:tc>
          <w:tcPr>
            <w:tcW w:w="5931" w:type="dxa"/>
            <w:noWrap w:val="0"/>
            <w:vAlign w:val="center"/>
          </w:tcPr>
          <w:p w14:paraId="71DB59D5">
            <w:pPr>
              <w:widowControl/>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评审因素</w:t>
            </w:r>
          </w:p>
        </w:tc>
        <w:tc>
          <w:tcPr>
            <w:tcW w:w="1239" w:type="dxa"/>
            <w:noWrap w:val="0"/>
            <w:vAlign w:val="center"/>
          </w:tcPr>
          <w:p w14:paraId="38D6D6C1">
            <w:pPr>
              <w:widowControl/>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75</w:t>
            </w:r>
            <w:r>
              <w:rPr>
                <w:rFonts w:hint="eastAsia" w:ascii="宋体" w:hAnsi="宋体" w:eastAsia="宋体" w:cs="宋体"/>
                <w:b/>
                <w:color w:val="auto"/>
                <w:kern w:val="0"/>
                <w:sz w:val="21"/>
                <w:szCs w:val="21"/>
                <w:highlight w:val="none"/>
              </w:rPr>
              <w:t>分</w:t>
            </w:r>
          </w:p>
        </w:tc>
      </w:tr>
      <w:tr w14:paraId="065C2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2" w:type="dxa"/>
            <w:noWrap w:val="0"/>
            <w:vAlign w:val="center"/>
          </w:tcPr>
          <w:p w14:paraId="5DF25D6F">
            <w:pPr>
              <w:pStyle w:val="16"/>
              <w:spacing w:line="3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2.1</w:t>
            </w:r>
          </w:p>
        </w:tc>
        <w:tc>
          <w:tcPr>
            <w:tcW w:w="1510" w:type="dxa"/>
            <w:noWrap w:val="0"/>
            <w:vAlign w:val="center"/>
          </w:tcPr>
          <w:p w14:paraId="41F53121">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技术方案分</w:t>
            </w:r>
          </w:p>
        </w:tc>
        <w:tc>
          <w:tcPr>
            <w:tcW w:w="5931" w:type="dxa"/>
            <w:noWrap w:val="0"/>
            <w:vAlign w:val="center"/>
          </w:tcPr>
          <w:p w14:paraId="0E729F7C">
            <w:pPr>
              <w:snapToGrid w:val="0"/>
              <w:spacing w:line="40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bCs/>
                <w:color w:val="auto"/>
                <w:kern w:val="0"/>
                <w:sz w:val="21"/>
                <w:szCs w:val="21"/>
                <w:highlight w:val="none"/>
              </w:rPr>
              <w:t>由磋商小组根据各</w:t>
            </w:r>
            <w:r>
              <w:rPr>
                <w:rFonts w:hint="eastAsia" w:ascii="宋体" w:hAnsi="宋体" w:cs="宋体"/>
                <w:bCs/>
                <w:color w:val="auto"/>
                <w:kern w:val="0"/>
                <w:sz w:val="21"/>
                <w:szCs w:val="21"/>
                <w:highlight w:val="none"/>
                <w:lang w:val="en-US" w:eastAsia="zh-CN"/>
              </w:rPr>
              <w:t>竞标</w:t>
            </w:r>
            <w:r>
              <w:rPr>
                <w:rFonts w:hint="eastAsia" w:ascii="宋体" w:hAnsi="宋体" w:eastAsia="宋体" w:cs="宋体"/>
                <w:bCs/>
                <w:color w:val="auto"/>
                <w:kern w:val="0"/>
                <w:sz w:val="21"/>
                <w:szCs w:val="21"/>
                <w:highlight w:val="none"/>
              </w:rPr>
              <w:t>人的</w:t>
            </w:r>
            <w:r>
              <w:rPr>
                <w:rFonts w:hint="eastAsia" w:ascii="宋体" w:hAnsi="宋体" w:eastAsia="宋体" w:cs="宋体"/>
                <w:bCs/>
                <w:color w:val="auto"/>
                <w:sz w:val="21"/>
                <w:szCs w:val="21"/>
                <w:highlight w:val="none"/>
              </w:rPr>
              <w:t>技术方案</w:t>
            </w:r>
            <w:r>
              <w:rPr>
                <w:rFonts w:hint="eastAsia" w:ascii="宋体" w:hAnsi="宋体" w:eastAsia="宋体" w:cs="宋体"/>
                <w:bCs/>
                <w:color w:val="auto"/>
                <w:kern w:val="0"/>
                <w:sz w:val="21"/>
                <w:szCs w:val="21"/>
                <w:highlight w:val="none"/>
              </w:rPr>
              <w:t>集体讨论确定</w:t>
            </w:r>
            <w:r>
              <w:rPr>
                <w:rFonts w:hint="eastAsia" w:ascii="宋体" w:hAnsi="宋体" w:cs="宋体"/>
                <w:bCs/>
                <w:color w:val="auto"/>
                <w:kern w:val="0"/>
                <w:sz w:val="21"/>
                <w:szCs w:val="21"/>
                <w:highlight w:val="none"/>
                <w:lang w:val="en-US" w:eastAsia="zh-CN"/>
              </w:rPr>
              <w:t>竞标</w:t>
            </w:r>
            <w:r>
              <w:rPr>
                <w:rFonts w:hint="eastAsia" w:ascii="宋体" w:hAnsi="宋体" w:eastAsia="宋体" w:cs="宋体"/>
                <w:bCs/>
                <w:color w:val="auto"/>
                <w:kern w:val="0"/>
                <w:sz w:val="21"/>
                <w:szCs w:val="21"/>
                <w:highlight w:val="none"/>
              </w:rPr>
              <w:t>人所属档次后，在相应档次内由评委独立打分。</w:t>
            </w:r>
          </w:p>
          <w:p w14:paraId="29E7D700">
            <w:pPr>
              <w:autoSpaceDE w:val="0"/>
              <w:autoSpaceDN w:val="0"/>
              <w:spacing w:line="360" w:lineRule="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一档（</w:t>
            </w:r>
            <w:r>
              <w:rPr>
                <w:rFonts w:hint="eastAsia" w:ascii="宋体" w:hAnsi="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分）：能够初步认知项目特点，提出的技术方案框架基本成型，关键环节具备可行性，可满足项目基础技术需求。​</w:t>
            </w:r>
          </w:p>
          <w:p w14:paraId="2CBC5B24">
            <w:pPr>
              <w:autoSpaceDE w:val="0"/>
              <w:autoSpaceDN w:val="0"/>
              <w:spacing w:line="360" w:lineRule="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二档（</w:t>
            </w:r>
            <w:r>
              <w:rPr>
                <w:rFonts w:hint="eastAsia" w:ascii="宋体" w:hAnsi="宋体" w:cs="宋体"/>
                <w:color w:val="auto"/>
                <w:sz w:val="21"/>
                <w:szCs w:val="21"/>
                <w:highlight w:val="none"/>
                <w:lang w:val="en-US" w:eastAsia="zh-CN"/>
              </w:rPr>
              <w:t>10</w:t>
            </w:r>
            <w:r>
              <w:rPr>
                <w:rFonts w:hint="default" w:ascii="宋体" w:hAnsi="宋体" w:eastAsia="宋体" w:cs="宋体"/>
                <w:color w:val="auto"/>
                <w:sz w:val="21"/>
                <w:szCs w:val="21"/>
                <w:highlight w:val="none"/>
                <w:lang w:val="en-US" w:eastAsia="zh-CN"/>
              </w:rPr>
              <w:t>分）：契合招标文件核心要求，对项目特点理解较为准确，技术方案内容完整，包含主要技术路线与实施步骤，具备较高落地可能性。​</w:t>
            </w:r>
          </w:p>
          <w:p w14:paraId="099F91C2">
            <w:pPr>
              <w:autoSpaceDE w:val="0"/>
              <w:autoSpaceDN w:val="0"/>
              <w:spacing w:line="360" w:lineRule="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三档（</w:t>
            </w:r>
            <w:r>
              <w:rPr>
                <w:rFonts w:hint="eastAsia" w:ascii="宋体" w:hAnsi="宋体" w:cs="宋体"/>
                <w:color w:val="auto"/>
                <w:sz w:val="21"/>
                <w:szCs w:val="21"/>
                <w:highlight w:val="none"/>
                <w:lang w:val="en-US" w:eastAsia="zh-CN"/>
              </w:rPr>
              <w:t>15</w:t>
            </w:r>
            <w:r>
              <w:rPr>
                <w:rFonts w:hint="default" w:ascii="宋体" w:hAnsi="宋体" w:eastAsia="宋体" w:cs="宋体"/>
                <w:color w:val="auto"/>
                <w:sz w:val="21"/>
                <w:szCs w:val="21"/>
                <w:highlight w:val="none"/>
                <w:lang w:val="en-US" w:eastAsia="zh-CN"/>
              </w:rPr>
              <w:t>分）：在满足二档标准基础上，精准把握项目特点，深度剖析技术重点、难点与要点，方案细节丰富，各技术模块衔接紧密，逻辑严谨。​</w:t>
            </w:r>
          </w:p>
          <w:p w14:paraId="5B9DB994">
            <w:pPr>
              <w:autoSpaceDE w:val="0"/>
              <w:autoSpaceDN w:val="0"/>
              <w:spacing w:line="360" w:lineRule="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四档（</w:t>
            </w:r>
            <w:r>
              <w:rPr>
                <w:rFonts w:hint="eastAsia" w:ascii="宋体" w:hAnsi="宋体" w:cs="宋体"/>
                <w:color w:val="auto"/>
                <w:sz w:val="21"/>
                <w:szCs w:val="21"/>
                <w:highlight w:val="none"/>
                <w:lang w:val="en-US" w:eastAsia="zh-CN"/>
              </w:rPr>
              <w:t>18</w:t>
            </w:r>
            <w:r>
              <w:rPr>
                <w:rFonts w:hint="default" w:ascii="宋体" w:hAnsi="宋体" w:eastAsia="宋体" w:cs="宋体"/>
                <w:color w:val="auto"/>
                <w:sz w:val="21"/>
                <w:szCs w:val="21"/>
                <w:highlight w:val="none"/>
                <w:lang w:val="en-US" w:eastAsia="zh-CN"/>
              </w:rPr>
              <w:t>分）：在满足</w:t>
            </w:r>
            <w:r>
              <w:rPr>
                <w:rFonts w:hint="eastAsia" w:ascii="宋体" w:hAnsi="宋体" w:cs="宋体"/>
                <w:color w:val="auto"/>
                <w:sz w:val="21"/>
                <w:szCs w:val="21"/>
                <w:highlight w:val="none"/>
                <w:lang w:val="en-US" w:eastAsia="zh-CN"/>
              </w:rPr>
              <w:t>三</w:t>
            </w:r>
            <w:r>
              <w:rPr>
                <w:rFonts w:hint="default" w:ascii="宋体" w:hAnsi="宋体" w:eastAsia="宋体" w:cs="宋体"/>
                <w:color w:val="auto"/>
                <w:sz w:val="21"/>
                <w:szCs w:val="21"/>
                <w:highlight w:val="none"/>
                <w:lang w:val="en-US" w:eastAsia="zh-CN"/>
              </w:rPr>
              <w:t>档标准基础上，技术方案融入创新技术理念或方法，针对潜在技术风险制定详细应对预案，提供从规划到验收的全流程实施规划。​</w:t>
            </w:r>
          </w:p>
          <w:p w14:paraId="549CAA17">
            <w:pPr>
              <w:autoSpaceDE w:val="0"/>
              <w:autoSpaceDN w:val="0"/>
              <w:spacing w:line="360" w:lineRule="auto"/>
              <w:rPr>
                <w:rFonts w:hint="eastAsia" w:ascii="宋体" w:hAnsi="宋体" w:eastAsia="宋体" w:cs="宋体"/>
                <w:bCs/>
                <w:color w:val="auto"/>
                <w:sz w:val="21"/>
                <w:szCs w:val="21"/>
                <w:highlight w:val="none"/>
              </w:rPr>
            </w:pPr>
            <w:r>
              <w:rPr>
                <w:rFonts w:hint="default" w:ascii="宋体" w:hAnsi="宋体" w:eastAsia="宋体" w:cs="宋体"/>
                <w:color w:val="auto"/>
                <w:sz w:val="21"/>
                <w:szCs w:val="21"/>
                <w:highlight w:val="none"/>
                <w:lang w:val="en-US" w:eastAsia="zh-CN"/>
              </w:rPr>
              <w:t>五档（</w:t>
            </w:r>
            <w:r>
              <w:rPr>
                <w:rFonts w:hint="eastAsia" w:ascii="宋体" w:hAnsi="宋体" w:cs="宋体"/>
                <w:color w:val="auto"/>
                <w:sz w:val="21"/>
                <w:szCs w:val="21"/>
                <w:highlight w:val="none"/>
                <w:lang w:val="en-US" w:eastAsia="zh-CN"/>
              </w:rPr>
              <w:t>20</w:t>
            </w:r>
            <w:r>
              <w:rPr>
                <w:rFonts w:hint="default" w:ascii="宋体" w:hAnsi="宋体" w:eastAsia="宋体" w:cs="宋体"/>
                <w:color w:val="auto"/>
                <w:sz w:val="21"/>
                <w:szCs w:val="21"/>
                <w:highlight w:val="none"/>
                <w:lang w:val="en-US" w:eastAsia="zh-CN"/>
              </w:rPr>
              <w:t>分）：在满足</w:t>
            </w:r>
            <w:r>
              <w:rPr>
                <w:rFonts w:hint="eastAsia" w:ascii="宋体" w:hAnsi="宋体" w:cs="宋体"/>
                <w:color w:val="auto"/>
                <w:sz w:val="21"/>
                <w:szCs w:val="21"/>
                <w:highlight w:val="none"/>
                <w:lang w:val="en-US" w:eastAsia="zh-CN"/>
              </w:rPr>
              <w:t>四</w:t>
            </w:r>
            <w:r>
              <w:rPr>
                <w:rFonts w:hint="default" w:ascii="宋体" w:hAnsi="宋体" w:eastAsia="宋体" w:cs="宋体"/>
                <w:color w:val="auto"/>
                <w:sz w:val="21"/>
                <w:szCs w:val="21"/>
                <w:highlight w:val="none"/>
                <w:lang w:val="en-US" w:eastAsia="zh-CN"/>
              </w:rPr>
              <w:t>档标准基础上深入透彻剖析项目特点，技术方案兼具创新性与前瞻性，不仅完整可行，还能结合行业发展趋势，提供覆盖项目全生命周期的动态技术优化策略与价值增值方案。</w:t>
            </w:r>
          </w:p>
        </w:tc>
        <w:tc>
          <w:tcPr>
            <w:tcW w:w="1239" w:type="dxa"/>
            <w:noWrap w:val="0"/>
            <w:vAlign w:val="center"/>
          </w:tcPr>
          <w:p w14:paraId="33C9E20E">
            <w:pPr>
              <w:spacing w:line="360" w:lineRule="auto"/>
              <w:jc w:val="center"/>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20</w:t>
            </w:r>
            <w:r>
              <w:rPr>
                <w:rFonts w:hint="eastAsia" w:ascii="宋体" w:hAnsi="宋体" w:eastAsia="宋体" w:cs="宋体"/>
                <w:bCs/>
                <w:color w:val="auto"/>
                <w:sz w:val="21"/>
                <w:szCs w:val="21"/>
                <w:highlight w:val="none"/>
              </w:rPr>
              <w:t>分</w:t>
            </w:r>
          </w:p>
        </w:tc>
      </w:tr>
      <w:tr w14:paraId="32EF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2" w:type="dxa"/>
            <w:noWrap w:val="0"/>
            <w:vAlign w:val="center"/>
          </w:tcPr>
          <w:p w14:paraId="3E6E549E">
            <w:pPr>
              <w:spacing w:line="360" w:lineRule="exact"/>
              <w:ind w:left="-105" w:leftChars="-50" w:right="-105" w:rightChars="-5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2.2</w:t>
            </w:r>
          </w:p>
        </w:tc>
        <w:tc>
          <w:tcPr>
            <w:tcW w:w="1510" w:type="dxa"/>
            <w:noWrap w:val="0"/>
            <w:vAlign w:val="center"/>
          </w:tcPr>
          <w:p w14:paraId="40F61589">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流量服务分</w:t>
            </w:r>
          </w:p>
        </w:tc>
        <w:tc>
          <w:tcPr>
            <w:tcW w:w="5931" w:type="dxa"/>
            <w:noWrap w:val="0"/>
            <w:vAlign w:val="center"/>
          </w:tcPr>
          <w:p w14:paraId="5218DE2D">
            <w:pPr>
              <w:autoSpaceDE w:val="0"/>
              <w:autoSpaceDN w:val="0"/>
              <w:spacing w:line="360" w:lineRule="auto"/>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一档（3分）：基本满足招标文件要求，提供不少于40GB/人/月的高速数据流量服务，同时提供不少于700分钟/人/月的国内通话服务。​</w:t>
            </w:r>
          </w:p>
          <w:p w14:paraId="1480593C">
            <w:pPr>
              <w:autoSpaceDE w:val="0"/>
              <w:autoSpaceDN w:val="0"/>
              <w:spacing w:line="360" w:lineRule="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二档（6分）：满足招标文件要求，提供不少于60GB/人/月的高速数据流量服务，同时提供不少于800分钟/人/月的国内通话服务。​</w:t>
            </w:r>
          </w:p>
          <w:p w14:paraId="35EC28DF">
            <w:pPr>
              <w:autoSpaceDE w:val="0"/>
              <w:autoSpaceDN w:val="0"/>
              <w:spacing w:line="360" w:lineRule="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三档（9分）：高标准满足招标文件要求，提供不少于100GB/人/月的高速数据流量服务，提供不少于1200 分钟/人/月的国内通话服务</w:t>
            </w:r>
            <w:r>
              <w:rPr>
                <w:rFonts w:hint="eastAsia" w:ascii="宋体" w:hAnsi="宋体" w:eastAsia="宋体" w:cs="宋体"/>
                <w:color w:val="auto"/>
                <w:sz w:val="21"/>
                <w:szCs w:val="21"/>
                <w:highlight w:val="none"/>
                <w:lang w:val="en-US" w:eastAsia="zh-CN"/>
              </w:rPr>
              <w:t>。</w:t>
            </w:r>
          </w:p>
          <w:p w14:paraId="7512242B">
            <w:pPr>
              <w:autoSpaceDE w:val="0"/>
              <w:autoSpaceDN w:val="0"/>
              <w:spacing w:line="360" w:lineRule="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四档（12分）：</w:t>
            </w:r>
            <w:r>
              <w:rPr>
                <w:rFonts w:hint="eastAsia" w:ascii="宋体" w:hAnsi="宋体" w:eastAsia="宋体" w:cs="宋体"/>
                <w:color w:val="auto"/>
                <w:sz w:val="21"/>
                <w:szCs w:val="21"/>
                <w:highlight w:val="none"/>
                <w:lang w:val="en-US" w:eastAsia="zh-CN"/>
              </w:rPr>
              <w:t>完全</w:t>
            </w:r>
            <w:r>
              <w:rPr>
                <w:rFonts w:hint="default" w:ascii="宋体" w:hAnsi="宋体" w:eastAsia="宋体" w:cs="宋体"/>
                <w:color w:val="auto"/>
                <w:sz w:val="21"/>
                <w:szCs w:val="21"/>
                <w:highlight w:val="none"/>
                <w:lang w:val="en-US" w:eastAsia="zh-CN"/>
              </w:rPr>
              <w:t>满足在三档基础上，提供不少于1</w:t>
            </w:r>
            <w:r>
              <w:rPr>
                <w:rFonts w:hint="eastAsia" w:ascii="宋体" w:hAnsi="宋体" w:eastAsia="宋体" w:cs="宋体"/>
                <w:color w:val="auto"/>
                <w:sz w:val="21"/>
                <w:szCs w:val="21"/>
                <w:highlight w:val="none"/>
                <w:lang w:val="en-US" w:eastAsia="zh-CN"/>
              </w:rPr>
              <w:t>20</w:t>
            </w:r>
            <w:r>
              <w:rPr>
                <w:rFonts w:hint="default" w:ascii="宋体" w:hAnsi="宋体" w:eastAsia="宋体" w:cs="宋体"/>
                <w:color w:val="auto"/>
                <w:sz w:val="21"/>
                <w:szCs w:val="21"/>
                <w:highlight w:val="none"/>
                <w:lang w:val="en-US" w:eastAsia="zh-CN"/>
              </w:rPr>
              <w:t>GB/人/月的高速数据流量服务，提供不少于</w:t>
            </w:r>
            <w:r>
              <w:rPr>
                <w:rFonts w:hint="eastAsia" w:ascii="宋体" w:hAnsi="宋体" w:eastAsia="宋体" w:cs="宋体"/>
                <w:color w:val="auto"/>
                <w:sz w:val="21"/>
                <w:szCs w:val="21"/>
                <w:highlight w:val="none"/>
                <w:lang w:val="en-US" w:eastAsia="zh-CN"/>
              </w:rPr>
              <w:t>1800</w:t>
            </w:r>
            <w:r>
              <w:rPr>
                <w:rFonts w:hint="default" w:ascii="宋体" w:hAnsi="宋体" w:eastAsia="宋体" w:cs="宋体"/>
                <w:color w:val="auto"/>
                <w:sz w:val="21"/>
                <w:szCs w:val="21"/>
                <w:highlight w:val="none"/>
                <w:lang w:val="en-US" w:eastAsia="zh-CN"/>
              </w:rPr>
              <w:t>分钟/人</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月的国内通话服务</w:t>
            </w:r>
            <w:r>
              <w:rPr>
                <w:rFonts w:hint="eastAsia" w:ascii="宋体" w:hAnsi="宋体" w:eastAsia="宋体" w:cs="宋体"/>
                <w:color w:val="auto"/>
                <w:sz w:val="21"/>
                <w:szCs w:val="21"/>
                <w:highlight w:val="none"/>
                <w:lang w:val="en-US" w:eastAsia="zh-CN"/>
              </w:rPr>
              <w:t>。</w:t>
            </w:r>
          </w:p>
          <w:p w14:paraId="34782F8E">
            <w:pPr>
              <w:autoSpaceDE w:val="0"/>
              <w:autoSpaceDN w:val="0"/>
              <w:spacing w:line="360" w:lineRule="auto"/>
              <w:rPr>
                <w:rFonts w:hint="eastAsia" w:ascii="宋体" w:hAnsi="宋体" w:eastAsia="宋体" w:cs="宋体"/>
                <w:bCs/>
                <w:color w:val="auto"/>
                <w:sz w:val="21"/>
                <w:szCs w:val="21"/>
                <w:highlight w:val="none"/>
              </w:rPr>
            </w:pPr>
            <w:r>
              <w:rPr>
                <w:rFonts w:hint="default" w:ascii="宋体" w:hAnsi="宋体" w:eastAsia="宋体" w:cs="宋体"/>
                <w:color w:val="auto"/>
                <w:sz w:val="21"/>
                <w:szCs w:val="21"/>
                <w:highlight w:val="none"/>
                <w:lang w:val="en-US" w:eastAsia="zh-CN"/>
              </w:rPr>
              <w:t>五档（15分）：深度契合招标文件要求，提供不少于</w:t>
            </w:r>
            <w:r>
              <w:rPr>
                <w:rFonts w:hint="eastAsia" w:ascii="宋体" w:hAnsi="宋体" w:eastAsia="宋体" w:cs="宋体"/>
                <w:color w:val="auto"/>
                <w:sz w:val="21"/>
                <w:szCs w:val="21"/>
                <w:highlight w:val="none"/>
                <w:lang w:val="en-US" w:eastAsia="zh-CN"/>
              </w:rPr>
              <w:t>150</w:t>
            </w:r>
            <w:r>
              <w:rPr>
                <w:rFonts w:hint="default" w:ascii="宋体" w:hAnsi="宋体" w:eastAsia="宋体" w:cs="宋体"/>
                <w:color w:val="auto"/>
                <w:sz w:val="21"/>
                <w:szCs w:val="21"/>
                <w:highlight w:val="none"/>
                <w:lang w:val="en-US" w:eastAsia="zh-CN"/>
              </w:rPr>
              <w:t>GB/人/月的高速数据流量服务，提供不少于</w:t>
            </w:r>
            <w:r>
              <w:rPr>
                <w:rFonts w:hint="eastAsia" w:ascii="宋体" w:hAnsi="宋体" w:eastAsia="宋体" w:cs="宋体"/>
                <w:color w:val="auto"/>
                <w:sz w:val="21"/>
                <w:szCs w:val="21"/>
                <w:highlight w:val="none"/>
                <w:lang w:val="en-US" w:eastAsia="zh-CN"/>
              </w:rPr>
              <w:t>2000</w:t>
            </w:r>
            <w:r>
              <w:rPr>
                <w:rFonts w:hint="default" w:ascii="宋体" w:hAnsi="宋体" w:eastAsia="宋体" w:cs="宋体"/>
                <w:color w:val="auto"/>
                <w:sz w:val="21"/>
                <w:szCs w:val="21"/>
                <w:highlight w:val="none"/>
                <w:lang w:val="en-US" w:eastAsia="zh-CN"/>
              </w:rPr>
              <w:t>分钟/人</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月的国内通话服务</w:t>
            </w:r>
            <w:r>
              <w:rPr>
                <w:rFonts w:hint="eastAsia" w:ascii="宋体" w:hAnsi="宋体" w:eastAsia="宋体" w:cs="宋体"/>
                <w:color w:val="auto"/>
                <w:sz w:val="21"/>
                <w:szCs w:val="21"/>
                <w:highlight w:val="none"/>
                <w:lang w:val="en-US" w:eastAsia="zh-CN"/>
              </w:rPr>
              <w:t>。</w:t>
            </w:r>
          </w:p>
        </w:tc>
        <w:tc>
          <w:tcPr>
            <w:tcW w:w="1239" w:type="dxa"/>
            <w:noWrap w:val="0"/>
            <w:vAlign w:val="center"/>
          </w:tcPr>
          <w:p w14:paraId="4D65782C">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15分</w:t>
            </w:r>
          </w:p>
        </w:tc>
      </w:tr>
      <w:tr w14:paraId="46513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2" w:type="dxa"/>
            <w:noWrap w:val="0"/>
            <w:vAlign w:val="center"/>
          </w:tcPr>
          <w:p w14:paraId="4B2B81E3">
            <w:pPr>
              <w:spacing w:line="360" w:lineRule="exact"/>
              <w:ind w:left="-105" w:leftChars="-50" w:right="-105" w:rightChars="-5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2.3</w:t>
            </w:r>
          </w:p>
        </w:tc>
        <w:tc>
          <w:tcPr>
            <w:tcW w:w="1510" w:type="dxa"/>
            <w:noWrap w:val="0"/>
            <w:vAlign w:val="center"/>
          </w:tcPr>
          <w:p w14:paraId="54ACD082">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实施方案分</w:t>
            </w:r>
          </w:p>
        </w:tc>
        <w:tc>
          <w:tcPr>
            <w:tcW w:w="5931" w:type="dxa"/>
            <w:noWrap w:val="0"/>
            <w:vAlign w:val="center"/>
          </w:tcPr>
          <w:p w14:paraId="7DA6190A">
            <w:pPr>
              <w:snapToGrid w:val="0"/>
              <w:spacing w:line="400" w:lineRule="exact"/>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由磋商小组根据各</w:t>
            </w:r>
            <w:r>
              <w:rPr>
                <w:rFonts w:hint="eastAsia" w:ascii="宋体" w:hAnsi="宋体" w:cs="宋体"/>
                <w:bCs/>
                <w:color w:val="auto"/>
                <w:kern w:val="0"/>
                <w:sz w:val="21"/>
                <w:szCs w:val="21"/>
                <w:highlight w:val="none"/>
                <w:lang w:val="en-US" w:eastAsia="zh-CN"/>
              </w:rPr>
              <w:t>竞标</w:t>
            </w:r>
            <w:r>
              <w:rPr>
                <w:rFonts w:hint="eastAsia" w:ascii="宋体" w:hAnsi="宋体" w:eastAsia="宋体" w:cs="宋体"/>
                <w:bCs/>
                <w:color w:val="auto"/>
                <w:kern w:val="0"/>
                <w:sz w:val="21"/>
                <w:szCs w:val="21"/>
                <w:highlight w:val="none"/>
              </w:rPr>
              <w:t>人的实施方案集体讨论确定</w:t>
            </w:r>
            <w:r>
              <w:rPr>
                <w:rFonts w:hint="eastAsia" w:ascii="宋体" w:hAnsi="宋体" w:cs="宋体"/>
                <w:bCs/>
                <w:color w:val="auto"/>
                <w:kern w:val="0"/>
                <w:sz w:val="21"/>
                <w:szCs w:val="21"/>
                <w:highlight w:val="none"/>
                <w:lang w:val="en-US" w:eastAsia="zh-CN"/>
              </w:rPr>
              <w:t>竞标</w:t>
            </w:r>
            <w:r>
              <w:rPr>
                <w:rFonts w:hint="eastAsia" w:ascii="宋体" w:hAnsi="宋体" w:eastAsia="宋体" w:cs="宋体"/>
                <w:bCs/>
                <w:color w:val="auto"/>
                <w:kern w:val="0"/>
                <w:sz w:val="21"/>
                <w:szCs w:val="21"/>
                <w:highlight w:val="none"/>
              </w:rPr>
              <w:t>人所属档次后，在相应档次内由评委独立打分。</w:t>
            </w:r>
          </w:p>
          <w:p w14:paraId="551D5523">
            <w:pPr>
              <w:snapToGrid w:val="0"/>
              <w:spacing w:line="400" w:lineRule="exact"/>
              <w:ind w:firstLine="420" w:firstLineChars="200"/>
              <w:rPr>
                <w:rFonts w:hint="eastAsia" w:ascii="宋体" w:hAnsi="宋体" w:eastAsia="宋体" w:cs="宋体"/>
                <w:bCs/>
                <w:color w:val="auto"/>
                <w:kern w:val="0"/>
                <w:sz w:val="21"/>
                <w:szCs w:val="21"/>
                <w:highlight w:val="none"/>
              </w:rPr>
            </w:pPr>
            <w:r>
              <w:rPr>
                <w:rFonts w:hint="default" w:ascii="宋体" w:hAnsi="宋体" w:eastAsia="宋体" w:cs="宋体"/>
                <w:bCs/>
                <w:color w:val="auto"/>
                <w:kern w:val="0"/>
                <w:sz w:val="21"/>
                <w:szCs w:val="21"/>
                <w:highlight w:val="none"/>
              </w:rPr>
              <w:t>一档（5分）:提供实施方案，但方案较为简单，基本满足招标文件要求。且为该项目配备项目经理1人，要求具备信息系统项目管理师资质证书；技术经理1人，要求具有信息系统项目管理师（中级）资质证书。至少1名技术人员具有注册信息安全工程师CISE证书或注册信息安全专业人员CISP证书。</w:t>
            </w:r>
          </w:p>
          <w:p w14:paraId="687B58A3">
            <w:pPr>
              <w:snapToGrid w:val="0"/>
              <w:spacing w:line="400" w:lineRule="exact"/>
              <w:ind w:firstLine="420" w:firstLineChars="200"/>
              <w:rPr>
                <w:rFonts w:hint="default" w:ascii="宋体" w:hAnsi="宋体" w:eastAsia="宋体" w:cs="宋体"/>
                <w:bCs/>
                <w:color w:val="auto"/>
                <w:kern w:val="0"/>
                <w:sz w:val="21"/>
                <w:szCs w:val="21"/>
                <w:highlight w:val="none"/>
              </w:rPr>
            </w:pPr>
            <w:r>
              <w:rPr>
                <w:rFonts w:hint="default" w:ascii="宋体" w:hAnsi="宋体" w:eastAsia="宋体" w:cs="宋体"/>
                <w:bCs/>
                <w:color w:val="auto"/>
                <w:kern w:val="0"/>
                <w:sz w:val="21"/>
                <w:szCs w:val="21"/>
                <w:highlight w:val="none"/>
              </w:rPr>
              <w:t>二档（10分）:在满足一档的基础上，提供的实施方案对项目环境及情况把握较为准确，建设思路较为清晰，方案具有一定的整体性和可靠性，方案表述较为清晰、完整，措施较为具体有效。且项目经理同时具有通信类工程师证书（中级及以上）；投入技术人员增设：a.至少1名技术人员具有软件设计师（中级）或软件设计师（高级）证书；</w:t>
            </w:r>
            <w:r>
              <w:rPr>
                <w:rFonts w:hint="eastAsia" w:ascii="宋体" w:hAnsi="宋体" w:cs="宋体"/>
                <w:bCs/>
                <w:color w:val="auto"/>
                <w:kern w:val="0"/>
                <w:sz w:val="21"/>
                <w:szCs w:val="21"/>
                <w:highlight w:val="none"/>
                <w:lang w:val="en-US" w:eastAsia="zh-CN"/>
              </w:rPr>
              <w:t>b</w:t>
            </w:r>
            <w:r>
              <w:rPr>
                <w:rFonts w:hint="default" w:ascii="宋体" w:hAnsi="宋体" w:eastAsia="宋体" w:cs="宋体"/>
                <w:bCs/>
                <w:color w:val="auto"/>
                <w:kern w:val="0"/>
                <w:sz w:val="21"/>
                <w:szCs w:val="21"/>
                <w:highlight w:val="none"/>
              </w:rPr>
              <w:t>、至少1名技术人员具有网络工程师（中级）或网络工程师（高级）证书。</w:t>
            </w:r>
          </w:p>
          <w:p w14:paraId="4D8A538C">
            <w:pPr>
              <w:snapToGrid w:val="0"/>
              <w:spacing w:line="400" w:lineRule="exact"/>
              <w:ind w:firstLine="420" w:firstLineChars="200"/>
              <w:rPr>
                <w:rFonts w:hint="default" w:ascii="宋体" w:hAnsi="宋体" w:eastAsia="宋体" w:cs="宋体"/>
                <w:bCs/>
                <w:color w:val="auto"/>
                <w:kern w:val="0"/>
                <w:sz w:val="21"/>
                <w:szCs w:val="21"/>
                <w:highlight w:val="none"/>
              </w:rPr>
            </w:pPr>
            <w:r>
              <w:rPr>
                <w:rFonts w:hint="default" w:ascii="宋体" w:hAnsi="宋体" w:eastAsia="宋体" w:cs="宋体"/>
                <w:bCs/>
                <w:color w:val="auto"/>
                <w:kern w:val="0"/>
                <w:sz w:val="21"/>
                <w:szCs w:val="21"/>
                <w:highlight w:val="none"/>
              </w:rPr>
              <w:t>三档（15分）:在满足二档的基础上，对项目总体有较好的认识，建设思路清晰，项目实施组织方案较为完整，能较为详细地说明各个阶段工作安排和进度计划，实施方案较为成熟，有一定的针对性。且项目经理同时具有通信类高级工程师证书。</w:t>
            </w:r>
          </w:p>
          <w:p w14:paraId="74A7FBD3">
            <w:pPr>
              <w:snapToGrid w:val="0"/>
              <w:spacing w:line="400" w:lineRule="exact"/>
              <w:ind w:firstLine="420" w:firstLineChars="200"/>
              <w:rPr>
                <w:rFonts w:hint="default" w:ascii="宋体" w:hAnsi="宋体" w:eastAsia="宋体" w:cs="宋体"/>
                <w:bCs/>
                <w:color w:val="auto"/>
                <w:kern w:val="0"/>
                <w:sz w:val="21"/>
                <w:szCs w:val="21"/>
                <w:highlight w:val="none"/>
              </w:rPr>
            </w:pPr>
            <w:r>
              <w:rPr>
                <w:rFonts w:hint="default" w:ascii="宋体" w:hAnsi="宋体" w:eastAsia="宋体" w:cs="宋体"/>
                <w:bCs/>
                <w:color w:val="auto"/>
                <w:kern w:val="0"/>
                <w:sz w:val="21"/>
                <w:szCs w:val="21"/>
                <w:highlight w:val="none"/>
              </w:rPr>
              <w:t>四档（18分）:在满足三档的基础上，提供的实施方案对项目环境及情况把握准确，建设思路清晰，方案具有先进性、整体性、可靠性，方案表述清晰、完整，措施具体有效。项目经理同时具有通信类高级工程师证书和网络安全技术Ⅰ级证书或网络安全技术更高级别的证书；投入技术人员增设：具备设备管理测评证书2人。</w:t>
            </w:r>
          </w:p>
          <w:p w14:paraId="5319D962">
            <w:pPr>
              <w:snapToGrid w:val="0"/>
              <w:spacing w:line="400" w:lineRule="exact"/>
              <w:ind w:firstLine="420" w:firstLineChars="200"/>
              <w:rPr>
                <w:rFonts w:hint="eastAsia" w:ascii="宋体" w:hAnsi="宋体" w:eastAsia="宋体" w:cs="宋体"/>
                <w:bCs/>
                <w:color w:val="auto"/>
                <w:kern w:val="0"/>
                <w:sz w:val="21"/>
                <w:szCs w:val="21"/>
                <w:highlight w:val="none"/>
              </w:rPr>
            </w:pPr>
            <w:r>
              <w:rPr>
                <w:rFonts w:hint="default" w:ascii="宋体" w:hAnsi="宋体" w:eastAsia="宋体" w:cs="宋体"/>
                <w:bCs/>
                <w:color w:val="auto"/>
                <w:kern w:val="0"/>
                <w:sz w:val="21"/>
                <w:szCs w:val="21"/>
                <w:highlight w:val="none"/>
              </w:rPr>
              <w:t>五档（20分）:在满足四档的基础上，对项目总体有深刻认识，建设思路清晰，项目实施组织方案完整，能详细说明各个阶段工作安排和进度计划，实施方案成熟，有针对性，并对可能出现的问题有预判和解决方案。项目经理同时具有通信类高级工程师证书和网络安全技术级Ⅰ证书或网络安全技术更高级别的证书；投入技术人员增设：至少1人具有信息系统项目管理师（高级）资质证书。</w:t>
            </w:r>
          </w:p>
          <w:p w14:paraId="30A4A685">
            <w:pPr>
              <w:autoSpaceDE w:val="0"/>
              <w:autoSpaceDN w:val="0"/>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注：不提供项目实施方案的得0分，评委根据供应商提供的项目实施方案独立进行打分。（需提供供应商或供应商上级机构人员有效证书复印件及近半年内连续三个月的缴纳社保记录。）</w:t>
            </w:r>
          </w:p>
        </w:tc>
        <w:tc>
          <w:tcPr>
            <w:tcW w:w="1239" w:type="dxa"/>
            <w:noWrap w:val="0"/>
            <w:vAlign w:val="center"/>
          </w:tcPr>
          <w:p w14:paraId="18B42273">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20分</w:t>
            </w:r>
          </w:p>
        </w:tc>
      </w:tr>
      <w:tr w14:paraId="1FF9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2" w:type="dxa"/>
            <w:noWrap w:val="0"/>
            <w:vAlign w:val="center"/>
          </w:tcPr>
          <w:p w14:paraId="534366F4">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510" w:type="dxa"/>
            <w:noWrap w:val="0"/>
            <w:vAlign w:val="center"/>
          </w:tcPr>
          <w:p w14:paraId="086EFA6F">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售后服务方案分</w:t>
            </w:r>
          </w:p>
        </w:tc>
        <w:tc>
          <w:tcPr>
            <w:tcW w:w="5931" w:type="dxa"/>
            <w:noWrap w:val="0"/>
            <w:vAlign w:val="center"/>
          </w:tcPr>
          <w:p w14:paraId="2DE33A3C">
            <w:pPr>
              <w:snapToGrid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由磋商小组根据各</w:t>
            </w:r>
            <w:r>
              <w:rPr>
                <w:rFonts w:hint="eastAsia" w:ascii="宋体" w:hAnsi="宋体" w:cs="宋体"/>
                <w:bCs/>
                <w:color w:val="auto"/>
                <w:kern w:val="0"/>
                <w:sz w:val="21"/>
                <w:szCs w:val="21"/>
                <w:highlight w:val="none"/>
                <w:lang w:val="en-US" w:eastAsia="zh-CN"/>
              </w:rPr>
              <w:t>竞标</w:t>
            </w:r>
            <w:r>
              <w:rPr>
                <w:rFonts w:hint="eastAsia" w:ascii="宋体" w:hAnsi="宋体" w:eastAsia="宋体" w:cs="宋体"/>
                <w:bCs/>
                <w:color w:val="auto"/>
                <w:kern w:val="0"/>
                <w:sz w:val="21"/>
                <w:szCs w:val="21"/>
                <w:highlight w:val="none"/>
              </w:rPr>
              <w:t>人的</w:t>
            </w:r>
            <w:r>
              <w:rPr>
                <w:rFonts w:hint="eastAsia" w:ascii="宋体" w:hAnsi="宋体" w:eastAsia="宋体" w:cs="宋体"/>
                <w:bCs/>
                <w:color w:val="auto"/>
                <w:sz w:val="21"/>
                <w:szCs w:val="21"/>
                <w:highlight w:val="none"/>
              </w:rPr>
              <w:t>售后服务方案</w:t>
            </w:r>
            <w:r>
              <w:rPr>
                <w:rFonts w:hint="eastAsia" w:ascii="宋体" w:hAnsi="宋体" w:eastAsia="宋体" w:cs="宋体"/>
                <w:bCs/>
                <w:color w:val="auto"/>
                <w:kern w:val="0"/>
                <w:sz w:val="21"/>
                <w:szCs w:val="21"/>
                <w:highlight w:val="none"/>
              </w:rPr>
              <w:t>集体讨论确定</w:t>
            </w:r>
            <w:r>
              <w:rPr>
                <w:rFonts w:hint="eastAsia" w:ascii="宋体" w:hAnsi="宋体" w:cs="宋体"/>
                <w:bCs/>
                <w:color w:val="auto"/>
                <w:kern w:val="0"/>
                <w:sz w:val="21"/>
                <w:szCs w:val="21"/>
                <w:highlight w:val="none"/>
                <w:lang w:val="en-US" w:eastAsia="zh-CN"/>
              </w:rPr>
              <w:t>竞标</w:t>
            </w:r>
            <w:r>
              <w:rPr>
                <w:rFonts w:hint="eastAsia" w:ascii="宋体" w:hAnsi="宋体" w:eastAsia="宋体" w:cs="宋体"/>
                <w:bCs/>
                <w:color w:val="auto"/>
                <w:kern w:val="0"/>
                <w:sz w:val="21"/>
                <w:szCs w:val="21"/>
                <w:highlight w:val="none"/>
              </w:rPr>
              <w:t>人所属档次后，在相应档次内由评委独立打分。</w:t>
            </w:r>
          </w:p>
          <w:p w14:paraId="4CB20DDE">
            <w:pPr>
              <w:pStyle w:val="16"/>
              <w:spacing w:line="360" w:lineRule="auto"/>
              <w:ind w:right="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5分）：服务期内投标人方案描述包括售后服务支持、服务流程、维修期限、响应时间、应急预案、故障解决、培训计划等方面内容，方案总体描述一般，可操作性、先进性、完整性一般，基本能够满足招标文件要求，且在本市辖区内设立自有服务网点（属于本法人或负责人）或承诺成交后10天内设立；（提供证明材料复印件：营业执照或房屋租赁合同、不动产登记证等复印件）；</w:t>
            </w:r>
          </w:p>
          <w:p w14:paraId="53080D9D">
            <w:pPr>
              <w:pStyle w:val="16"/>
              <w:spacing w:line="360" w:lineRule="auto"/>
              <w:ind w:right="1"/>
              <w:rPr>
                <w:rFonts w:hint="eastAsia"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二档（</w:t>
            </w:r>
            <w:r>
              <w:rPr>
                <w:rFonts w:hint="eastAsia" w:hAnsi="宋体" w:cs="宋体"/>
                <w:bCs/>
                <w:color w:val="auto"/>
                <w:sz w:val="21"/>
                <w:szCs w:val="21"/>
                <w:highlight w:val="none"/>
                <w:lang w:val="en-US" w:eastAsia="zh-CN"/>
              </w:rPr>
              <w:t>10</w:t>
            </w:r>
            <w:r>
              <w:rPr>
                <w:rFonts w:hint="default" w:ascii="宋体" w:hAnsi="宋体" w:eastAsia="宋体" w:cs="宋体"/>
                <w:bCs/>
                <w:color w:val="auto"/>
                <w:sz w:val="21"/>
                <w:szCs w:val="21"/>
                <w:highlight w:val="none"/>
                <w:lang w:val="en-US" w:eastAsia="zh-CN"/>
              </w:rPr>
              <w:t>分）满足一档要求的基础上，</w:t>
            </w:r>
            <w:r>
              <w:rPr>
                <w:rFonts w:hint="eastAsia" w:ascii="宋体" w:hAnsi="宋体" w:eastAsia="宋体" w:cs="宋体"/>
                <w:bCs/>
                <w:color w:val="auto"/>
                <w:sz w:val="21"/>
                <w:szCs w:val="21"/>
                <w:highlight w:val="none"/>
              </w:rPr>
              <w:t>服务期内投标人方案描述包括售后服务支持、服务流程、维修期限、响应时间、用户回访、保密承诺、故障解决等内容，表述较详细，可操作性、先进性、完整性较强；培训计划或方案能够满足对采购服务的基本维护</w:t>
            </w:r>
            <w:r>
              <w:rPr>
                <w:rFonts w:hint="default" w:ascii="宋体" w:hAnsi="宋体" w:eastAsia="宋体" w:cs="宋体"/>
                <w:bCs/>
                <w:color w:val="auto"/>
                <w:sz w:val="21"/>
                <w:szCs w:val="21"/>
                <w:highlight w:val="none"/>
                <w:lang w:val="en-US" w:eastAsia="zh-CN"/>
              </w:rPr>
              <w:t>。拟投入本项目运维负责人1人（同时具有高级信息系统项目管理师证书、高级网络信息安全工程师证书）；拟投入本项目服务人员至少5名。且在本市辖区内设立不少于15个自有服务网点（属于本法人或负责人）或承诺成交后10天内设立</w:t>
            </w:r>
            <w:r>
              <w:rPr>
                <w:rFonts w:hint="eastAsia" w:hAnsi="宋体" w:eastAsia="宋体" w:cs="宋体"/>
                <w:bCs/>
                <w:color w:val="auto"/>
                <w:sz w:val="21"/>
                <w:szCs w:val="21"/>
                <w:highlight w:val="none"/>
                <w:lang w:eastAsia="zh-CN"/>
              </w:rPr>
              <w:t>；</w:t>
            </w:r>
          </w:p>
          <w:p w14:paraId="45D54CEB">
            <w:pPr>
              <w:pStyle w:val="16"/>
              <w:spacing w:line="360" w:lineRule="auto"/>
              <w:ind w:right="1"/>
              <w:rPr>
                <w:rFonts w:hint="eastAsia"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三档（</w:t>
            </w:r>
            <w:r>
              <w:rPr>
                <w:rFonts w:hint="eastAsia" w:hAnsi="宋体" w:cs="宋体"/>
                <w:bCs/>
                <w:color w:val="auto"/>
                <w:sz w:val="21"/>
                <w:szCs w:val="21"/>
                <w:highlight w:val="none"/>
                <w:lang w:val="en-US" w:eastAsia="zh-CN"/>
              </w:rPr>
              <w:t>15</w:t>
            </w:r>
            <w:r>
              <w:rPr>
                <w:rFonts w:hint="default" w:ascii="宋体" w:hAnsi="宋体" w:eastAsia="宋体" w:cs="宋体"/>
                <w:bCs/>
                <w:color w:val="auto"/>
                <w:sz w:val="21"/>
                <w:szCs w:val="21"/>
                <w:highlight w:val="none"/>
                <w:lang w:val="en-US" w:eastAsia="zh-CN"/>
              </w:rPr>
              <w:t>分）满足二档要求的基础上，服务期内投标人方案描述包括售后服务支持、服务流程、维修期限、响应时间等，在本市辖区内设有区县两级服务机构，具备一定网络维护经验，提供用户回访、保密承诺、故障解决等内容，表述清晰，方案可操作性、先进性、完整性良好；培训计划或方案能够结合行业常见技术，培训内容较充实。拟投入本项目运维负责人1人（同时具有高级信息系统项目管理师证书、高级网络信息安全工程师证书、大数据高级工程师）；除运维负责人外，拟投入本项目运维服务团队不少于10人，其中至少1人具备IT服务项目经理证书，至少1人具备数字化信息通信项目经理证书；至少1人具备通信工程类专业（职称或资格）证书，至少1人具备大数据工程师证书。且在本市辖区内设立不少于</w:t>
            </w:r>
            <w:r>
              <w:rPr>
                <w:rFonts w:hint="eastAsia" w:hAnsi="宋体" w:cs="宋体"/>
                <w:bCs/>
                <w:color w:val="auto"/>
                <w:sz w:val="21"/>
                <w:szCs w:val="21"/>
                <w:highlight w:val="none"/>
                <w:lang w:val="en-US" w:eastAsia="zh-CN"/>
              </w:rPr>
              <w:t>25</w:t>
            </w:r>
            <w:r>
              <w:rPr>
                <w:rFonts w:hint="default" w:ascii="宋体" w:hAnsi="宋体" w:eastAsia="宋体" w:cs="宋体"/>
                <w:bCs/>
                <w:color w:val="auto"/>
                <w:sz w:val="21"/>
                <w:szCs w:val="21"/>
                <w:highlight w:val="none"/>
                <w:lang w:val="en-US" w:eastAsia="zh-CN"/>
              </w:rPr>
              <w:t>个自有服务网点（属于本法人或负责人）或承诺成交后10天内设立</w:t>
            </w:r>
            <w:r>
              <w:rPr>
                <w:rFonts w:hint="eastAsia" w:hAnsi="宋体" w:eastAsia="宋体" w:cs="宋体"/>
                <w:bCs/>
                <w:color w:val="auto"/>
                <w:sz w:val="21"/>
                <w:szCs w:val="21"/>
                <w:highlight w:val="none"/>
                <w:lang w:val="en-US" w:eastAsia="zh-CN"/>
              </w:rPr>
              <w:t>；</w:t>
            </w:r>
          </w:p>
          <w:p w14:paraId="4D445D88">
            <w:pPr>
              <w:pStyle w:val="16"/>
              <w:spacing w:line="360" w:lineRule="auto"/>
              <w:ind w:right="1"/>
              <w:rPr>
                <w:rFonts w:hint="default" w:ascii="宋体" w:hAnsi="宋体" w:eastAsia="宋体" w:cs="宋体"/>
                <w:bCs/>
                <w:color w:val="auto"/>
                <w:sz w:val="21"/>
                <w:szCs w:val="21"/>
                <w:highlight w:val="none"/>
              </w:rPr>
            </w:pPr>
            <w:r>
              <w:rPr>
                <w:rFonts w:hint="default" w:ascii="宋体" w:hAnsi="宋体" w:eastAsia="宋体" w:cs="宋体"/>
                <w:bCs/>
                <w:color w:val="auto"/>
                <w:sz w:val="21"/>
                <w:szCs w:val="21"/>
                <w:highlight w:val="none"/>
                <w:lang w:val="en-US" w:eastAsia="zh-CN"/>
              </w:rPr>
              <w:t>四档（</w:t>
            </w:r>
            <w:r>
              <w:rPr>
                <w:rFonts w:hint="eastAsia" w:hAnsi="宋体" w:cs="宋体"/>
                <w:bCs/>
                <w:color w:val="auto"/>
                <w:sz w:val="21"/>
                <w:szCs w:val="21"/>
                <w:highlight w:val="none"/>
                <w:lang w:val="en-US" w:eastAsia="zh-CN"/>
              </w:rPr>
              <w:t>18</w:t>
            </w:r>
            <w:r>
              <w:rPr>
                <w:rFonts w:hint="default" w:ascii="宋体" w:hAnsi="宋体" w:eastAsia="宋体" w:cs="宋体"/>
                <w:bCs/>
                <w:color w:val="auto"/>
                <w:sz w:val="21"/>
                <w:szCs w:val="21"/>
                <w:highlight w:val="none"/>
                <w:lang w:val="en-US" w:eastAsia="zh-CN"/>
              </w:rPr>
              <w:t>分）满足三档要求的基础上，服务期内投标人方案描述包括售后服务支持，在本市辖区内设有市县乡镇三级服务机构，具备丰富网络维护经验，服务流程</w:t>
            </w:r>
            <w:r>
              <w:rPr>
                <w:rFonts w:hint="eastAsia" w:hAnsi="宋体" w:eastAsia="宋体" w:cs="宋体"/>
                <w:bCs/>
                <w:color w:val="auto"/>
                <w:sz w:val="21"/>
                <w:szCs w:val="21"/>
                <w:highlight w:val="none"/>
                <w:lang w:val="en-US" w:eastAsia="zh-CN"/>
              </w:rPr>
              <w:t>和</w:t>
            </w:r>
            <w:r>
              <w:rPr>
                <w:rFonts w:hint="default" w:ascii="宋体" w:hAnsi="宋体" w:eastAsia="宋体" w:cs="宋体"/>
                <w:bCs/>
                <w:color w:val="auto"/>
                <w:sz w:val="21"/>
                <w:szCs w:val="21"/>
                <w:highlight w:val="none"/>
                <w:lang w:val="en-US" w:eastAsia="zh-CN"/>
              </w:rPr>
              <w:t>提供详细用户回访、保密承诺、故障解决等内容，表述详细具体，方案可操作性、先进性、完整性较强；培训计划或方案能够结合当前较先进技术，培训内容系统详实。拟投入本项目运维负责人1人（同时具有高级信息系统项目管理师证书、高级网络信息安全工程师证书、大数据高级工程师）；除运维负责人外，拟投入本项目运维服务团队不少于15人，其中至少2人具备IT服务项目经理证书，至少2人具备数字化信息通信项目经理证书；至少2人具备通信工程类专业（职称或资格）证书，至少2人具备大数据工程师证书。且在本市辖区内设立不少于</w:t>
            </w:r>
            <w:r>
              <w:rPr>
                <w:rFonts w:hint="eastAsia" w:hAnsi="宋体" w:cs="宋体"/>
                <w:bCs/>
                <w:color w:val="auto"/>
                <w:sz w:val="21"/>
                <w:szCs w:val="21"/>
                <w:highlight w:val="none"/>
                <w:lang w:val="en-US" w:eastAsia="zh-CN"/>
              </w:rPr>
              <w:t>30</w:t>
            </w:r>
            <w:r>
              <w:rPr>
                <w:rFonts w:hint="default" w:ascii="宋体" w:hAnsi="宋体" w:eastAsia="宋体" w:cs="宋体"/>
                <w:bCs/>
                <w:color w:val="auto"/>
                <w:sz w:val="21"/>
                <w:szCs w:val="21"/>
                <w:highlight w:val="none"/>
                <w:lang w:val="en-US" w:eastAsia="zh-CN"/>
              </w:rPr>
              <w:t>个自有服务网点（属于本法人或负责人）或承诺成交后10天内设立</w:t>
            </w:r>
            <w:r>
              <w:rPr>
                <w:rFonts w:hint="eastAsia" w:hAnsi="宋体" w:cs="宋体"/>
                <w:bCs/>
                <w:color w:val="auto"/>
                <w:sz w:val="21"/>
                <w:szCs w:val="21"/>
                <w:highlight w:val="none"/>
                <w:lang w:val="en-US" w:eastAsia="zh-CN"/>
              </w:rPr>
              <w:t>。</w:t>
            </w:r>
            <w:r>
              <w:rPr>
                <w:rFonts w:hint="default" w:ascii="宋体" w:hAnsi="宋体" w:eastAsia="宋体" w:cs="宋体"/>
                <w:bCs/>
                <w:color w:val="auto"/>
                <w:sz w:val="21"/>
                <w:szCs w:val="21"/>
                <w:highlight w:val="none"/>
                <w:lang w:val="en-US" w:eastAsia="zh-CN"/>
              </w:rPr>
              <w:t>​</w:t>
            </w:r>
          </w:p>
          <w:p w14:paraId="061A10A1">
            <w:pPr>
              <w:pStyle w:val="16"/>
              <w:spacing w:line="360" w:lineRule="auto"/>
              <w:ind w:right="1"/>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五档（</w:t>
            </w:r>
            <w:r>
              <w:rPr>
                <w:rFonts w:hint="eastAsia" w:hAnsi="宋体" w:cs="宋体"/>
                <w:bCs/>
                <w:color w:val="auto"/>
                <w:sz w:val="21"/>
                <w:szCs w:val="21"/>
                <w:highlight w:val="none"/>
                <w:lang w:val="en-US" w:eastAsia="zh-CN"/>
              </w:rPr>
              <w:t>20</w:t>
            </w:r>
            <w:r>
              <w:rPr>
                <w:rFonts w:hint="default" w:ascii="宋体" w:hAnsi="宋体" w:eastAsia="宋体" w:cs="宋体"/>
                <w:bCs/>
                <w:color w:val="auto"/>
                <w:sz w:val="21"/>
                <w:szCs w:val="21"/>
                <w:highlight w:val="none"/>
                <w:lang w:val="en-US" w:eastAsia="zh-CN"/>
              </w:rPr>
              <w:t>分）满足四档要求的基础上，服务期内投标人方案描述包括售后服务支持，在本市辖区内设有完善的市县乡镇三级服务机构及覆盖社区的延伸服务点，具备卓越网络维护经验，服务流程，提供全面、细致的用户回访、保密承诺、故障解决等内容，表述精准清晰，方案可操作性、先进性、完整性极强；培训计划或方案深度结合前沿先进技术，培训内容丰富、具有前瞻性。拟投入本项目运维负责人1人（同时具有高级信息系统项目管理师证书、高级网络信息安全工程师证书、大数据高级工程师）；除运维负责人外，拟投入本项目运维服务团队不少于20人，其中至少3人具备IT服务项目经理证书，至少3人具备数字化信息通信项目经理证书；至少3人具备通信工程类专业（职称或资格）证书，至少3人具备大数据工程师证书。且在本市辖区内设立不少于</w:t>
            </w:r>
            <w:r>
              <w:rPr>
                <w:rFonts w:hint="eastAsia" w:hAnsi="宋体" w:cs="宋体"/>
                <w:bCs/>
                <w:color w:val="auto"/>
                <w:sz w:val="21"/>
                <w:szCs w:val="21"/>
                <w:highlight w:val="none"/>
                <w:lang w:val="en-US" w:eastAsia="zh-CN"/>
              </w:rPr>
              <w:t>33</w:t>
            </w:r>
            <w:r>
              <w:rPr>
                <w:rFonts w:hint="default" w:ascii="宋体" w:hAnsi="宋体" w:eastAsia="宋体" w:cs="宋体"/>
                <w:bCs/>
                <w:color w:val="auto"/>
                <w:sz w:val="21"/>
                <w:szCs w:val="21"/>
                <w:highlight w:val="none"/>
                <w:lang w:val="en-US" w:eastAsia="zh-CN"/>
              </w:rPr>
              <w:t>个自有服务网点（属于本法人或负责人）或承诺成交后10天内设立；（提供证明材料复印件：营业执照或房屋租赁合同、不动产登记证等复印件）</w:t>
            </w:r>
          </w:p>
          <w:p w14:paraId="2C6DE0C2">
            <w:pPr>
              <w:pStyle w:val="17"/>
              <w:ind w:left="0" w:leftChars="0" w:firstLine="0" w:firstLineChars="0"/>
              <w:rPr>
                <w:rFonts w:hint="default"/>
                <w:color w:val="auto"/>
                <w:highlight w:val="none"/>
                <w:lang w:val="en-US" w:eastAsia="zh-CN"/>
              </w:rPr>
            </w:pPr>
            <w:r>
              <w:rPr>
                <w:rFonts w:hint="eastAsia" w:ascii="宋体" w:hAnsi="宋体" w:eastAsia="宋体" w:cs="宋体"/>
                <w:color w:val="auto"/>
                <w:sz w:val="21"/>
                <w:szCs w:val="21"/>
                <w:highlight w:val="none"/>
              </w:rPr>
              <w:t>注：需提供供应商或供应商上级机构人员有效证书复印件及近半年内连续三个月的缴纳社保记录。</w:t>
            </w:r>
          </w:p>
          <w:p w14:paraId="5BE5CCD8">
            <w:pPr>
              <w:pStyle w:val="17"/>
              <w:rPr>
                <w:rFonts w:hint="eastAsia"/>
                <w:color w:val="auto"/>
                <w:highlight w:val="none"/>
              </w:rPr>
            </w:pPr>
          </w:p>
        </w:tc>
        <w:tc>
          <w:tcPr>
            <w:tcW w:w="1239" w:type="dxa"/>
            <w:noWrap w:val="0"/>
            <w:vAlign w:val="center"/>
          </w:tcPr>
          <w:p w14:paraId="065A5E25">
            <w:pPr>
              <w:spacing w:line="360" w:lineRule="auto"/>
              <w:jc w:val="center"/>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20</w:t>
            </w:r>
            <w:r>
              <w:rPr>
                <w:rFonts w:hint="eastAsia" w:ascii="宋体" w:hAnsi="宋体" w:eastAsia="宋体" w:cs="宋体"/>
                <w:bCs/>
                <w:color w:val="auto"/>
                <w:sz w:val="21"/>
                <w:szCs w:val="21"/>
                <w:highlight w:val="none"/>
              </w:rPr>
              <w:t>分</w:t>
            </w:r>
          </w:p>
        </w:tc>
      </w:tr>
      <w:tr w14:paraId="4E7E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2" w:type="dxa"/>
            <w:noWrap w:val="0"/>
            <w:vAlign w:val="center"/>
          </w:tcPr>
          <w:p w14:paraId="7098088D">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3</w:t>
            </w:r>
          </w:p>
        </w:tc>
        <w:tc>
          <w:tcPr>
            <w:tcW w:w="1510" w:type="dxa"/>
            <w:noWrap w:val="0"/>
            <w:vAlign w:val="center"/>
          </w:tcPr>
          <w:p w14:paraId="56F365DC">
            <w:pPr>
              <w:widowControl/>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商务分</w:t>
            </w:r>
          </w:p>
        </w:tc>
        <w:tc>
          <w:tcPr>
            <w:tcW w:w="5931" w:type="dxa"/>
            <w:noWrap w:val="0"/>
            <w:vAlign w:val="center"/>
          </w:tcPr>
          <w:p w14:paraId="76E9ECE8">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1239" w:type="dxa"/>
            <w:noWrap w:val="0"/>
            <w:vAlign w:val="center"/>
          </w:tcPr>
          <w:p w14:paraId="446E1C11">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10分</w:t>
            </w:r>
          </w:p>
        </w:tc>
      </w:tr>
      <w:tr w14:paraId="16C22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532" w:type="dxa"/>
            <w:noWrap w:val="0"/>
            <w:vAlign w:val="center"/>
          </w:tcPr>
          <w:p w14:paraId="4B5B36C3">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w:t>
            </w:r>
          </w:p>
        </w:tc>
        <w:tc>
          <w:tcPr>
            <w:tcW w:w="1510" w:type="dxa"/>
            <w:noWrap w:val="0"/>
            <w:vAlign w:val="center"/>
          </w:tcPr>
          <w:p w14:paraId="7FFDBED2">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信誉分</w:t>
            </w:r>
          </w:p>
        </w:tc>
        <w:tc>
          <w:tcPr>
            <w:tcW w:w="5931" w:type="dxa"/>
            <w:noWrap w:val="0"/>
            <w:vAlign w:val="center"/>
          </w:tcPr>
          <w:p w14:paraId="5CA71AA9">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（1）竞标人或上级机构具备标准化管理体系认证证书5A级（GB/T15496），提供证书复印件得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分；竞标人具备标准化管理体系认证证书4A级（GB/T15496）及以下证书，提供证书复印件得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4726E675">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（2）竞标人或上级机构具备服务质量达标测评认证证书五星级（GB/T16868），提供证书复印件得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分；竞标人具备服务质量达标测评认证证书四星级（GB/T16868）及以下证书，提供证书复印件得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3BE9FFA9">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（3）竞标人或上级机构具备合同履约能力达标测评认证5A级证书，提供证书复印件得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分；竞标人具备合同履约能力达标测评认证4A级及以下证书，提供证书复印件得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52B5628D">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（4）竞标人或上级机构具备供应商综合实力评价认证3A级证书，提供证书复印件得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分；竞标人具备供应商综合实力评价认证2A级及以下证书，提供证书复印件得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32B0B9D0">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（注：以上相关证书要求办理发证时间在</w:t>
            </w:r>
            <w:r>
              <w:rPr>
                <w:rFonts w:hint="eastAsia" w:ascii="宋体" w:hAnsi="宋体" w:eastAsia="宋体" w:cs="宋体"/>
                <w:color w:val="auto"/>
                <w:sz w:val="21"/>
                <w:szCs w:val="21"/>
                <w:highlight w:val="none"/>
                <w:lang w:val="en-US" w:eastAsia="zh-CN"/>
              </w:rPr>
              <w:t>投标截止</w:t>
            </w:r>
            <w:r>
              <w:rPr>
                <w:rFonts w:hint="eastAsia" w:ascii="宋体" w:hAnsi="宋体" w:eastAsia="宋体" w:cs="宋体"/>
                <w:color w:val="auto"/>
                <w:sz w:val="21"/>
                <w:szCs w:val="21"/>
                <w:highlight w:val="none"/>
              </w:rPr>
              <w:t>之日前，否则无效）</w:t>
            </w:r>
          </w:p>
        </w:tc>
        <w:tc>
          <w:tcPr>
            <w:tcW w:w="1239" w:type="dxa"/>
            <w:noWrap w:val="0"/>
            <w:vAlign w:val="center"/>
          </w:tcPr>
          <w:p w14:paraId="3BAE8179">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tc>
      </w:tr>
      <w:tr w14:paraId="7124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532" w:type="dxa"/>
            <w:noWrap w:val="0"/>
            <w:vAlign w:val="center"/>
          </w:tcPr>
          <w:p w14:paraId="35206119">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w:t>
            </w:r>
          </w:p>
        </w:tc>
        <w:tc>
          <w:tcPr>
            <w:tcW w:w="1510" w:type="dxa"/>
            <w:noWrap w:val="0"/>
            <w:vAlign w:val="center"/>
          </w:tcPr>
          <w:p w14:paraId="400551FF">
            <w:pPr>
              <w:pStyle w:val="16"/>
              <w:spacing w:line="400" w:lineRule="exact"/>
              <w:ind w:left="105" w:right="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业绩分</w:t>
            </w:r>
          </w:p>
        </w:tc>
        <w:tc>
          <w:tcPr>
            <w:tcW w:w="5931" w:type="dxa"/>
            <w:noWrap w:val="0"/>
            <w:vAlign w:val="center"/>
          </w:tcPr>
          <w:p w14:paraId="10FDB616">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投标人近</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年来获得同类项目业绩，每有一项得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分（提供中标通知书或合同复印件，不提供不得分），满分4分。</w:t>
            </w:r>
          </w:p>
        </w:tc>
        <w:tc>
          <w:tcPr>
            <w:tcW w:w="1239" w:type="dxa"/>
            <w:noWrap w:val="0"/>
            <w:vAlign w:val="center"/>
          </w:tcPr>
          <w:p w14:paraId="0383DDA8">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p>
        </w:tc>
      </w:tr>
      <w:tr w14:paraId="30341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973" w:type="dxa"/>
            <w:gridSpan w:val="3"/>
            <w:noWrap w:val="0"/>
            <w:vAlign w:val="center"/>
          </w:tcPr>
          <w:p w14:paraId="7906A9AA">
            <w:pPr>
              <w:pStyle w:val="16"/>
              <w:spacing w:line="360" w:lineRule="auto"/>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总得分＝1＋2＋3</w:t>
            </w:r>
          </w:p>
        </w:tc>
        <w:tc>
          <w:tcPr>
            <w:tcW w:w="1239" w:type="dxa"/>
            <w:noWrap w:val="0"/>
            <w:vAlign w:val="center"/>
          </w:tcPr>
          <w:p w14:paraId="5007F716">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满分100分</w:t>
            </w:r>
          </w:p>
        </w:tc>
      </w:tr>
    </w:tbl>
    <w:p w14:paraId="3D4C8123">
      <w:pPr>
        <w:spacing w:line="360" w:lineRule="auto"/>
        <w:ind w:firstLine="422" w:firstLineChars="200"/>
        <w:rPr>
          <w:rFonts w:ascii="宋体" w:hAnsi="宋体" w:cs="宋体"/>
          <w:b/>
          <w:bCs/>
          <w:color w:val="auto"/>
          <w:highlight w:val="none"/>
        </w:rPr>
      </w:pPr>
    </w:p>
    <w:p w14:paraId="52B5B66A">
      <w:pPr>
        <w:spacing w:line="360" w:lineRule="auto"/>
        <w:ind w:firstLine="420" w:firstLineChars="200"/>
        <w:outlineLvl w:val="3"/>
        <w:rPr>
          <w:rFonts w:ascii="宋体" w:hAnsi="宋体" w:cs="宋体"/>
          <w:color w:val="auto"/>
          <w:highlight w:val="none"/>
        </w:rPr>
      </w:pPr>
      <w:r>
        <w:rPr>
          <w:rFonts w:hint="eastAsia" w:ascii="宋体" w:hAnsi="宋体" w:cs="宋体"/>
          <w:color w:val="auto"/>
          <w:highlight w:val="none"/>
        </w:rPr>
        <w:t>7.2终止竞争性磋商采购活动</w:t>
      </w:r>
    </w:p>
    <w:p w14:paraId="3A700EA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2A162616">
      <w:pPr>
        <w:spacing w:line="360" w:lineRule="auto"/>
        <w:rPr>
          <w:rFonts w:ascii="宋体" w:hAnsi="宋体" w:cs="宋体"/>
          <w:b/>
          <w:color w:val="auto"/>
          <w:highlight w:val="none"/>
        </w:rPr>
      </w:pPr>
    </w:p>
    <w:p w14:paraId="34B789D5">
      <w:pPr>
        <w:pStyle w:val="5"/>
        <w:spacing w:before="0" w:after="0" w:line="360" w:lineRule="auto"/>
        <w:ind w:firstLine="640" w:firstLineChars="200"/>
        <w:jc w:val="center"/>
        <w:rPr>
          <w:rFonts w:ascii="宋体" w:hAnsi="宋体" w:cs="宋体"/>
          <w:b w:val="0"/>
          <w:color w:val="auto"/>
          <w:highlight w:val="none"/>
        </w:rPr>
      </w:pPr>
      <w:bookmarkStart w:id="140" w:name="_Toc80886939"/>
      <w:r>
        <w:rPr>
          <w:rFonts w:hint="eastAsia" w:ascii="宋体" w:hAnsi="宋体" w:cs="宋体"/>
          <w:b w:val="0"/>
          <w:color w:val="auto"/>
          <w:highlight w:val="none"/>
        </w:rPr>
        <w:br w:type="page"/>
      </w:r>
      <w:bookmarkStart w:id="141" w:name="_Toc22545"/>
      <w:bookmarkStart w:id="142" w:name="_Toc31942"/>
      <w:bookmarkStart w:id="143" w:name="_Toc11595"/>
      <w:r>
        <w:rPr>
          <w:rFonts w:hint="eastAsia" w:ascii="宋体" w:hAnsi="宋体" w:cs="宋体"/>
          <w:b w:val="0"/>
          <w:color w:val="auto"/>
          <w:highlight w:val="none"/>
        </w:rPr>
        <w:t>第二节 评审报告</w:t>
      </w:r>
      <w:bookmarkEnd w:id="138"/>
      <w:bookmarkEnd w:id="140"/>
      <w:bookmarkEnd w:id="141"/>
      <w:bookmarkEnd w:id="142"/>
      <w:bookmarkEnd w:id="143"/>
    </w:p>
    <w:p w14:paraId="350F3EA7">
      <w:pPr>
        <w:spacing w:line="360" w:lineRule="auto"/>
        <w:ind w:firstLine="480" w:firstLineChars="200"/>
        <w:outlineLvl w:val="2"/>
        <w:rPr>
          <w:rFonts w:ascii="宋体" w:hAnsi="宋体" w:cs="宋体"/>
          <w:color w:val="auto"/>
          <w:sz w:val="24"/>
          <w:szCs w:val="32"/>
          <w:highlight w:val="none"/>
        </w:rPr>
      </w:pPr>
      <w:bookmarkStart w:id="144" w:name="_Toc20273"/>
      <w:r>
        <w:rPr>
          <w:rFonts w:hint="eastAsia" w:ascii="宋体" w:hAnsi="宋体" w:cs="宋体"/>
          <w:color w:val="auto"/>
          <w:sz w:val="24"/>
          <w:szCs w:val="32"/>
          <w:highlight w:val="none"/>
        </w:rPr>
        <w:t>1.成交标准</w:t>
      </w:r>
      <w:bookmarkEnd w:id="144"/>
    </w:p>
    <w:p w14:paraId="4046F147">
      <w:pPr>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分得分由高到低排序，技术分得分相同的按照商务分得分由高到低排序）。评审得分、最后报价（不计算价格折扣）、技术分得分、商务分得分均相同的，由磋商小组随机抽取推荐。</w:t>
      </w:r>
    </w:p>
    <w:p w14:paraId="1CCFAE06">
      <w:pPr>
        <w:spacing w:line="360" w:lineRule="auto"/>
        <w:ind w:firstLine="480" w:firstLineChars="200"/>
        <w:outlineLvl w:val="2"/>
        <w:rPr>
          <w:rFonts w:ascii="宋体" w:hAnsi="宋体" w:cs="宋体"/>
          <w:color w:val="auto"/>
          <w:sz w:val="24"/>
          <w:szCs w:val="32"/>
          <w:highlight w:val="none"/>
        </w:rPr>
      </w:pPr>
      <w:bookmarkStart w:id="145" w:name="_Toc16103"/>
      <w:r>
        <w:rPr>
          <w:rFonts w:hint="eastAsia" w:ascii="宋体" w:hAnsi="宋体" w:cs="宋体"/>
          <w:color w:val="auto"/>
          <w:sz w:val="24"/>
          <w:szCs w:val="32"/>
          <w:highlight w:val="none"/>
        </w:rPr>
        <w:t>2.评标争议事项处理</w:t>
      </w:r>
      <w:bookmarkEnd w:id="145"/>
    </w:p>
    <w:p w14:paraId="3ED40C6C">
      <w:pPr>
        <w:pStyle w:val="35"/>
        <w:spacing w:before="0"/>
        <w:ind w:firstLine="420"/>
        <w:rPr>
          <w:rFonts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磋商小组成员对需要共同认定的事项存在争议的，应当按照少数服从多数的原则作出结论。持不同意见的磋商小组成员应当在评审报告上签署不同意见及理由，否则视为同意评审报告。</w:t>
      </w:r>
    </w:p>
    <w:p w14:paraId="76AC2C0B">
      <w:pPr>
        <w:pStyle w:val="35"/>
        <w:spacing w:before="0"/>
        <w:ind w:firstLine="420"/>
        <w:rPr>
          <w:rFonts w:ascii="宋体" w:hAnsi="宋体" w:cs="宋体"/>
          <w:color w:val="auto"/>
          <w:kern w:val="2"/>
          <w:sz w:val="21"/>
          <w:szCs w:val="24"/>
          <w:highlight w:val="none"/>
        </w:rPr>
      </w:pPr>
    </w:p>
    <w:p w14:paraId="13EA49AE">
      <w:pPr>
        <w:pStyle w:val="5"/>
        <w:spacing w:before="0" w:after="0" w:line="360" w:lineRule="auto"/>
        <w:ind w:firstLine="640" w:firstLineChars="200"/>
        <w:jc w:val="center"/>
        <w:rPr>
          <w:rFonts w:ascii="宋体" w:hAnsi="宋体" w:cs="宋体"/>
          <w:b w:val="0"/>
          <w:color w:val="auto"/>
          <w:highlight w:val="none"/>
        </w:rPr>
      </w:pPr>
      <w:bookmarkStart w:id="146" w:name="_Toc80205936"/>
      <w:bookmarkStart w:id="147" w:name="_Toc2025"/>
      <w:bookmarkStart w:id="148" w:name="_Toc11536"/>
      <w:bookmarkStart w:id="149" w:name="_Toc80886940"/>
      <w:bookmarkStart w:id="150" w:name="_Toc20045"/>
      <w:r>
        <w:rPr>
          <w:rFonts w:hint="eastAsia" w:ascii="宋体" w:hAnsi="宋体" w:cs="宋体"/>
          <w:b w:val="0"/>
          <w:color w:val="auto"/>
          <w:highlight w:val="none"/>
        </w:rPr>
        <w:t>第三节 评审过程的保密与录像</w:t>
      </w:r>
      <w:bookmarkEnd w:id="146"/>
      <w:bookmarkEnd w:id="147"/>
      <w:bookmarkEnd w:id="148"/>
      <w:bookmarkEnd w:id="149"/>
      <w:bookmarkEnd w:id="150"/>
    </w:p>
    <w:p w14:paraId="0555977A">
      <w:pPr>
        <w:spacing w:line="360" w:lineRule="auto"/>
        <w:ind w:firstLine="480" w:firstLineChars="200"/>
        <w:outlineLvl w:val="2"/>
        <w:rPr>
          <w:rFonts w:ascii="宋体" w:hAnsi="宋体" w:cs="宋体"/>
          <w:color w:val="auto"/>
          <w:sz w:val="24"/>
          <w:szCs w:val="32"/>
          <w:highlight w:val="none"/>
        </w:rPr>
      </w:pPr>
      <w:bookmarkStart w:id="151" w:name="_Toc5155"/>
      <w:r>
        <w:rPr>
          <w:rFonts w:hint="eastAsia" w:ascii="宋体" w:hAnsi="宋体" w:cs="宋体"/>
          <w:color w:val="auto"/>
          <w:sz w:val="24"/>
          <w:szCs w:val="32"/>
          <w:highlight w:val="none"/>
        </w:rPr>
        <w:t>1.保密。</w:t>
      </w:r>
      <w:bookmarkEnd w:id="151"/>
    </w:p>
    <w:p w14:paraId="57B7A5F9">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评审活动在严格保密的情况下进行。评审过程中凡是与响应文件评审和比较、中标成交供应商推荐等评审有关的情况，以及涉及国家秘密和商业秘密等信息，磋商小组成员、采购人和采购代理机构工作人员、相关监督人员等与评审有关的人员应当予以保密。</w:t>
      </w:r>
    </w:p>
    <w:p w14:paraId="2259C45C">
      <w:pPr>
        <w:widowControl/>
        <w:spacing w:line="360" w:lineRule="auto"/>
        <w:ind w:firstLine="480" w:firstLineChars="200"/>
        <w:outlineLvl w:val="2"/>
        <w:rPr>
          <w:rFonts w:ascii="宋体" w:hAnsi="宋体" w:cs="宋体"/>
          <w:color w:val="auto"/>
          <w:sz w:val="24"/>
          <w:szCs w:val="32"/>
          <w:highlight w:val="none"/>
        </w:rPr>
      </w:pPr>
      <w:bookmarkStart w:id="152" w:name="_Toc19955"/>
      <w:r>
        <w:rPr>
          <w:rFonts w:hint="eastAsia" w:ascii="宋体" w:hAnsi="宋体" w:cs="宋体"/>
          <w:color w:val="auto"/>
          <w:sz w:val="24"/>
          <w:szCs w:val="32"/>
          <w:highlight w:val="none"/>
        </w:rPr>
        <w:t>2.录音录像。</w:t>
      </w:r>
      <w:bookmarkEnd w:id="152"/>
    </w:p>
    <w:p w14:paraId="7D03E19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p>
    <w:p w14:paraId="221C7FF9">
      <w:pPr>
        <w:spacing w:line="360" w:lineRule="auto"/>
        <w:ind w:firstLine="420" w:firstLineChars="200"/>
        <w:rPr>
          <w:rFonts w:ascii="宋体" w:hAnsi="宋体" w:cs="宋体"/>
          <w:color w:val="auto"/>
          <w:highlight w:val="none"/>
        </w:rPr>
      </w:pPr>
    </w:p>
    <w:p w14:paraId="3CDE8944">
      <w:pPr>
        <w:spacing w:line="360" w:lineRule="auto"/>
        <w:ind w:firstLine="420" w:firstLineChars="200"/>
        <w:rPr>
          <w:rFonts w:ascii="宋体" w:hAnsi="宋体" w:cs="宋体"/>
          <w:color w:val="auto"/>
          <w:highlight w:val="none"/>
        </w:rPr>
      </w:pPr>
    </w:p>
    <w:p w14:paraId="12504DEF">
      <w:pPr>
        <w:pStyle w:val="5"/>
        <w:spacing w:line="360" w:lineRule="auto"/>
        <w:rPr>
          <w:rFonts w:ascii="宋体" w:hAnsi="宋体" w:cs="宋体"/>
          <w:color w:val="auto"/>
          <w:highlight w:val="none"/>
        </w:rPr>
      </w:pPr>
    </w:p>
    <w:p w14:paraId="1612D1D8">
      <w:pPr>
        <w:pStyle w:val="5"/>
        <w:spacing w:line="360" w:lineRule="auto"/>
        <w:jc w:val="center"/>
        <w:rPr>
          <w:rFonts w:ascii="宋体" w:hAnsi="宋体" w:cs="宋体"/>
          <w:color w:val="auto"/>
          <w:highlight w:val="none"/>
        </w:rPr>
      </w:pPr>
      <w:r>
        <w:rPr>
          <w:rFonts w:hint="eastAsia" w:ascii="宋体" w:hAnsi="宋体" w:cs="宋体"/>
          <w:color w:val="auto"/>
          <w:highlight w:val="none"/>
        </w:rPr>
        <w:br w:type="page"/>
      </w:r>
    </w:p>
    <w:p w14:paraId="3A44241E">
      <w:pPr>
        <w:pStyle w:val="5"/>
        <w:spacing w:line="360" w:lineRule="auto"/>
        <w:jc w:val="center"/>
        <w:rPr>
          <w:rFonts w:ascii="宋体" w:hAnsi="宋体" w:cs="宋体"/>
          <w:color w:val="auto"/>
          <w:highlight w:val="none"/>
        </w:rPr>
      </w:pPr>
    </w:p>
    <w:p w14:paraId="75EAFE96">
      <w:pPr>
        <w:pStyle w:val="5"/>
        <w:spacing w:line="360" w:lineRule="auto"/>
        <w:jc w:val="center"/>
        <w:rPr>
          <w:rFonts w:ascii="宋体" w:hAnsi="宋体" w:cs="宋体"/>
          <w:color w:val="auto"/>
          <w:highlight w:val="none"/>
        </w:rPr>
      </w:pPr>
    </w:p>
    <w:p w14:paraId="7333BED3">
      <w:pPr>
        <w:pStyle w:val="5"/>
        <w:spacing w:line="360" w:lineRule="auto"/>
        <w:jc w:val="center"/>
        <w:rPr>
          <w:rFonts w:ascii="宋体" w:hAnsi="宋体" w:cs="宋体"/>
          <w:color w:val="auto"/>
          <w:highlight w:val="none"/>
        </w:rPr>
      </w:pPr>
    </w:p>
    <w:p w14:paraId="19E1C42B">
      <w:pPr>
        <w:pStyle w:val="5"/>
        <w:spacing w:line="360" w:lineRule="auto"/>
        <w:jc w:val="center"/>
        <w:rPr>
          <w:rFonts w:ascii="宋体" w:hAnsi="宋体" w:cs="宋体"/>
          <w:color w:val="auto"/>
          <w:highlight w:val="none"/>
        </w:rPr>
      </w:pPr>
    </w:p>
    <w:p w14:paraId="513BAEE7">
      <w:pPr>
        <w:pStyle w:val="5"/>
        <w:spacing w:line="360" w:lineRule="auto"/>
        <w:jc w:val="center"/>
        <w:rPr>
          <w:rFonts w:ascii="宋体" w:hAnsi="宋体" w:cs="宋体"/>
          <w:color w:val="auto"/>
          <w:highlight w:val="none"/>
        </w:rPr>
      </w:pPr>
    </w:p>
    <w:p w14:paraId="475AEA7D">
      <w:pPr>
        <w:pStyle w:val="4"/>
        <w:spacing w:line="360" w:lineRule="auto"/>
        <w:jc w:val="center"/>
        <w:rPr>
          <w:rFonts w:ascii="宋体" w:hAnsi="宋体" w:cs="宋体"/>
          <w:color w:val="auto"/>
          <w:highlight w:val="none"/>
        </w:rPr>
        <w:sectPr>
          <w:footerReference r:id="rId5" w:type="first"/>
          <w:footerReference r:id="rId4" w:type="default"/>
          <w:pgSz w:w="11911" w:h="16838"/>
          <w:pgMar w:top="1134" w:right="1134" w:bottom="1134" w:left="1134" w:header="720" w:footer="720" w:gutter="0"/>
          <w:pgNumType w:start="1"/>
          <w:cols w:space="720" w:num="1"/>
        </w:sectPr>
      </w:pPr>
      <w:bookmarkStart w:id="153" w:name="_Toc80886941"/>
      <w:bookmarkStart w:id="154" w:name="_Toc17404"/>
      <w:bookmarkStart w:id="155" w:name="_Toc2137"/>
      <w:bookmarkStart w:id="156" w:name="_Toc5005"/>
      <w:bookmarkStart w:id="157" w:name="_Toc22302"/>
      <w:bookmarkStart w:id="158" w:name="_Toc27282"/>
      <w:bookmarkStart w:id="159" w:name="_Toc7776"/>
      <w:bookmarkStart w:id="160" w:name="_Toc12890"/>
      <w:bookmarkStart w:id="161" w:name="_Toc26272"/>
      <w:r>
        <w:rPr>
          <w:rFonts w:hint="eastAsia" w:ascii="宋体" w:hAnsi="宋体" w:cs="宋体"/>
          <w:color w:val="auto"/>
          <w:highlight w:val="none"/>
        </w:rPr>
        <w:t>第五章 响应文件格式</w:t>
      </w:r>
      <w:bookmarkEnd w:id="153"/>
      <w:bookmarkEnd w:id="154"/>
      <w:bookmarkEnd w:id="155"/>
      <w:bookmarkEnd w:id="156"/>
      <w:bookmarkEnd w:id="157"/>
      <w:bookmarkEnd w:id="158"/>
      <w:bookmarkEnd w:id="159"/>
      <w:bookmarkEnd w:id="160"/>
      <w:bookmarkEnd w:id="161"/>
    </w:p>
    <w:p w14:paraId="49180431">
      <w:pPr>
        <w:pStyle w:val="5"/>
        <w:spacing w:line="360" w:lineRule="auto"/>
        <w:jc w:val="center"/>
        <w:rPr>
          <w:rFonts w:ascii="宋体" w:hAnsi="宋体" w:cs="宋体"/>
          <w:bCs w:val="0"/>
          <w:color w:val="auto"/>
          <w:highlight w:val="none"/>
        </w:rPr>
      </w:pPr>
      <w:bookmarkStart w:id="162" w:name="_Toc17107"/>
      <w:bookmarkStart w:id="163" w:name="_Toc12994"/>
      <w:bookmarkStart w:id="164" w:name="_Toc80886943"/>
      <w:bookmarkStart w:id="165" w:name="_Toc22245"/>
      <w:bookmarkStart w:id="166" w:name="_Toc80205939"/>
      <w:r>
        <w:rPr>
          <w:rFonts w:hint="eastAsia" w:ascii="宋体" w:hAnsi="宋体" w:cs="宋体"/>
          <w:bCs w:val="0"/>
          <w:color w:val="auto"/>
          <w:highlight w:val="none"/>
        </w:rPr>
        <w:t>第一节 资格证明文件格式</w:t>
      </w:r>
      <w:bookmarkEnd w:id="162"/>
      <w:bookmarkEnd w:id="163"/>
      <w:bookmarkEnd w:id="164"/>
      <w:bookmarkEnd w:id="165"/>
      <w:bookmarkEnd w:id="166"/>
    </w:p>
    <w:p w14:paraId="047A5C64">
      <w:pPr>
        <w:snapToGrid w:val="0"/>
        <w:spacing w:beforeLines="50" w:after="50" w:line="360" w:lineRule="auto"/>
        <w:jc w:val="left"/>
        <w:rPr>
          <w:rFonts w:ascii="宋体" w:hAnsi="宋体" w:cs="宋体"/>
          <w:color w:val="auto"/>
          <w:sz w:val="24"/>
          <w:highlight w:val="none"/>
        </w:rPr>
      </w:pPr>
      <w:r>
        <w:rPr>
          <w:rFonts w:hint="eastAsia" w:ascii="宋体" w:hAnsi="宋体" w:cs="宋体"/>
          <w:b/>
          <w:bCs/>
          <w:color w:val="auto"/>
          <w:sz w:val="28"/>
          <w:szCs w:val="28"/>
          <w:highlight w:val="none"/>
        </w:rPr>
        <w:t>1.资格证明文件封面的格式</w:t>
      </w:r>
      <w:r>
        <w:rPr>
          <w:rFonts w:hint="eastAsia" w:ascii="宋体" w:hAnsi="宋体" w:cs="宋体"/>
          <w:b/>
          <w:color w:val="auto"/>
          <w:sz w:val="28"/>
          <w:szCs w:val="28"/>
          <w:highlight w:val="none"/>
        </w:rPr>
        <w:t>（参照此格式自拟）</w:t>
      </w:r>
      <w:r>
        <w:rPr>
          <w:rFonts w:hint="eastAsia" w:ascii="宋体" w:hAnsi="宋体" w:cs="宋体"/>
          <w:b/>
          <w:bCs/>
          <w:color w:val="auto"/>
          <w:sz w:val="28"/>
          <w:szCs w:val="28"/>
          <w:highlight w:val="none"/>
        </w:rPr>
        <w:t>：</w:t>
      </w:r>
    </w:p>
    <w:p w14:paraId="5AF462D3">
      <w:pPr>
        <w:snapToGrid w:val="0"/>
        <w:spacing w:beforeLines="50" w:after="50" w:line="360" w:lineRule="auto"/>
        <w:ind w:firstLine="6930" w:firstLineChars="3300"/>
        <w:rPr>
          <w:rFonts w:ascii="宋体" w:hAnsi="宋体" w:cs="宋体"/>
          <w:bCs/>
          <w:color w:val="auto"/>
          <w:sz w:val="32"/>
          <w:szCs w:val="20"/>
          <w:highlight w:val="none"/>
        </w:rPr>
      </w:pPr>
      <w:r>
        <w:rPr>
          <w:rFonts w:hint="eastAsia" w:ascii="宋体" w:hAnsi="宋体" w:cs="宋体"/>
          <w:bCs/>
          <w:color w:val="auto"/>
          <w:highlight w:val="none"/>
        </w:rPr>
        <w:t>全流程电子文件</w:t>
      </w:r>
    </w:p>
    <w:p w14:paraId="5207A45C">
      <w:pPr>
        <w:snapToGrid w:val="0"/>
        <w:spacing w:beforeLines="50" w:after="50" w:line="360" w:lineRule="auto"/>
        <w:rPr>
          <w:rFonts w:ascii="宋体" w:hAnsi="宋体" w:cs="宋体"/>
          <w:color w:val="auto"/>
          <w:sz w:val="24"/>
          <w:szCs w:val="20"/>
          <w:highlight w:val="none"/>
        </w:rPr>
      </w:pPr>
    </w:p>
    <w:p w14:paraId="214C1079">
      <w:pPr>
        <w:snapToGrid w:val="0"/>
        <w:spacing w:beforeLines="50" w:after="50" w:line="360" w:lineRule="auto"/>
        <w:rPr>
          <w:rFonts w:ascii="宋体" w:hAnsi="宋体" w:cs="宋体"/>
          <w:color w:val="auto"/>
          <w:sz w:val="24"/>
          <w:szCs w:val="20"/>
          <w:highlight w:val="none"/>
        </w:rPr>
      </w:pPr>
    </w:p>
    <w:p w14:paraId="30A5A802">
      <w:pPr>
        <w:snapToGrid w:val="0"/>
        <w:spacing w:beforeLines="50" w:after="50" w:line="360"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t>资  格  证  明  文  件</w:t>
      </w:r>
    </w:p>
    <w:p w14:paraId="0575C4BF">
      <w:pPr>
        <w:snapToGrid w:val="0"/>
        <w:spacing w:beforeLines="50" w:after="50" w:line="360" w:lineRule="auto"/>
        <w:rPr>
          <w:rFonts w:ascii="宋体" w:hAnsi="宋体" w:cs="宋体"/>
          <w:bCs/>
          <w:color w:val="auto"/>
          <w:sz w:val="24"/>
          <w:szCs w:val="20"/>
          <w:highlight w:val="none"/>
        </w:rPr>
      </w:pPr>
    </w:p>
    <w:p w14:paraId="47B5413D">
      <w:pPr>
        <w:snapToGrid w:val="0"/>
        <w:spacing w:beforeLines="50" w:after="50" w:line="360" w:lineRule="auto"/>
        <w:rPr>
          <w:rFonts w:ascii="宋体" w:hAnsi="宋体" w:cs="宋体"/>
          <w:bCs/>
          <w:color w:val="auto"/>
          <w:sz w:val="24"/>
          <w:szCs w:val="20"/>
          <w:highlight w:val="none"/>
        </w:rPr>
      </w:pPr>
    </w:p>
    <w:p w14:paraId="7C0A433C">
      <w:pPr>
        <w:snapToGrid w:val="0"/>
        <w:spacing w:beforeLines="50" w:after="50" w:line="360" w:lineRule="auto"/>
        <w:rPr>
          <w:rFonts w:ascii="宋体" w:hAnsi="宋体" w:cs="宋体"/>
          <w:bCs/>
          <w:color w:val="auto"/>
          <w:sz w:val="24"/>
          <w:szCs w:val="20"/>
          <w:highlight w:val="none"/>
        </w:rPr>
      </w:pPr>
    </w:p>
    <w:p w14:paraId="69952739">
      <w:pPr>
        <w:snapToGrid w:val="0"/>
        <w:spacing w:beforeLines="50" w:after="50" w:line="36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172FC1BA">
      <w:pPr>
        <w:snapToGrid w:val="0"/>
        <w:spacing w:beforeLines="50" w:after="50" w:line="360" w:lineRule="auto"/>
        <w:ind w:firstLine="720" w:firstLineChars="225"/>
        <w:rPr>
          <w:rFonts w:ascii="宋体" w:hAnsi="宋体" w:cs="宋体"/>
          <w:bCs/>
          <w:color w:val="auto"/>
          <w:sz w:val="32"/>
          <w:szCs w:val="32"/>
          <w:highlight w:val="none"/>
        </w:rPr>
      </w:pPr>
    </w:p>
    <w:p w14:paraId="20E77AF7">
      <w:pPr>
        <w:snapToGrid w:val="0"/>
        <w:spacing w:beforeLines="50" w:after="50" w:line="360" w:lineRule="auto"/>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54B43CF0">
      <w:pPr>
        <w:snapToGrid w:val="0"/>
        <w:spacing w:beforeLines="50" w:after="50" w:line="360" w:lineRule="auto"/>
        <w:ind w:firstLine="720" w:firstLineChars="225"/>
        <w:rPr>
          <w:rFonts w:ascii="宋体" w:hAnsi="宋体" w:cs="宋体"/>
          <w:bCs/>
          <w:color w:val="auto"/>
          <w:sz w:val="32"/>
          <w:szCs w:val="32"/>
          <w:highlight w:val="none"/>
        </w:rPr>
      </w:pPr>
    </w:p>
    <w:p w14:paraId="2112AB75">
      <w:pPr>
        <w:snapToGrid w:val="0"/>
        <w:spacing w:beforeLines="50" w:after="50" w:line="360" w:lineRule="auto"/>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5D98298F">
      <w:pPr>
        <w:snapToGrid w:val="0"/>
        <w:spacing w:beforeLines="50" w:after="50" w:line="360" w:lineRule="auto"/>
        <w:ind w:firstLine="720" w:firstLineChars="225"/>
        <w:rPr>
          <w:rFonts w:ascii="宋体" w:hAnsi="宋体" w:cs="宋体"/>
          <w:bCs/>
          <w:color w:val="auto"/>
          <w:sz w:val="32"/>
          <w:szCs w:val="32"/>
          <w:highlight w:val="none"/>
        </w:rPr>
      </w:pPr>
    </w:p>
    <w:p w14:paraId="5F20DB43">
      <w:pPr>
        <w:pStyle w:val="10"/>
        <w:snapToGrid w:val="0"/>
        <w:spacing w:before="50" w:after="50" w:line="360" w:lineRule="auto"/>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64481978">
      <w:pPr>
        <w:pStyle w:val="10"/>
        <w:snapToGrid w:val="0"/>
        <w:spacing w:before="50" w:after="50" w:line="360" w:lineRule="auto"/>
        <w:ind w:firstLine="720" w:firstLineChars="225"/>
        <w:rPr>
          <w:rFonts w:ascii="宋体" w:hAnsi="宋体" w:cs="宋体"/>
          <w:bCs/>
          <w:color w:val="auto"/>
          <w:sz w:val="32"/>
          <w:szCs w:val="32"/>
          <w:highlight w:val="none"/>
        </w:rPr>
      </w:pPr>
    </w:p>
    <w:p w14:paraId="0FF10DC8">
      <w:pPr>
        <w:pStyle w:val="10"/>
        <w:snapToGrid w:val="0"/>
        <w:spacing w:before="50" w:after="50" w:line="360" w:lineRule="auto"/>
        <w:ind w:firstLine="720" w:firstLineChars="225"/>
        <w:rPr>
          <w:rFonts w:ascii="宋体" w:hAnsi="宋体" w:cs="宋体"/>
          <w:bCs/>
          <w:color w:val="auto"/>
          <w:sz w:val="32"/>
          <w:szCs w:val="32"/>
          <w:highlight w:val="none"/>
        </w:rPr>
      </w:pPr>
    </w:p>
    <w:p w14:paraId="22B77D5B">
      <w:pPr>
        <w:pStyle w:val="10"/>
        <w:snapToGrid w:val="0"/>
        <w:spacing w:before="50" w:after="50" w:line="360" w:lineRule="auto"/>
        <w:ind w:firstLine="720" w:firstLineChars="225"/>
        <w:rPr>
          <w:rFonts w:ascii="宋体" w:hAnsi="宋体" w:cs="宋体"/>
          <w:bCs/>
          <w:color w:val="auto"/>
          <w:sz w:val="32"/>
          <w:szCs w:val="32"/>
          <w:highlight w:val="none"/>
        </w:rPr>
      </w:pPr>
    </w:p>
    <w:p w14:paraId="0F319F6D">
      <w:pPr>
        <w:pStyle w:val="10"/>
        <w:snapToGrid w:val="0"/>
        <w:spacing w:before="50" w:after="50" w:line="360" w:lineRule="auto"/>
        <w:ind w:firstLine="1280" w:firstLineChars="400"/>
        <w:rPr>
          <w:rFonts w:ascii="宋体" w:hAnsi="宋体" w:cs="宋体"/>
          <w:bCs/>
          <w:color w:val="auto"/>
          <w:sz w:val="32"/>
          <w:szCs w:val="32"/>
          <w:highlight w:val="none"/>
        </w:rPr>
      </w:pPr>
    </w:p>
    <w:p w14:paraId="2D56E381">
      <w:pPr>
        <w:snapToGrid w:val="0"/>
        <w:spacing w:beforeLines="50" w:after="50"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447918B0">
      <w:pPr>
        <w:snapToGrid w:val="0"/>
        <w:spacing w:beforeLines="50" w:after="50" w:line="360" w:lineRule="auto"/>
        <w:jc w:val="left"/>
        <w:outlineLvl w:val="2"/>
        <w:rPr>
          <w:rFonts w:ascii="宋体" w:hAnsi="宋体" w:cs="宋体"/>
          <w:b/>
          <w:bCs/>
          <w:color w:val="auto"/>
          <w:sz w:val="28"/>
          <w:szCs w:val="28"/>
          <w:highlight w:val="none"/>
        </w:rPr>
      </w:pPr>
      <w:r>
        <w:rPr>
          <w:rFonts w:hint="eastAsia" w:ascii="宋体" w:hAnsi="宋体" w:cs="宋体"/>
          <w:color w:val="auto"/>
          <w:sz w:val="24"/>
          <w:highlight w:val="none"/>
        </w:rPr>
        <w:br w:type="page"/>
      </w:r>
      <w:bookmarkStart w:id="167" w:name="_Toc13010"/>
      <w:r>
        <w:rPr>
          <w:rFonts w:hint="eastAsia" w:ascii="宋体" w:hAnsi="宋体" w:cs="宋体"/>
          <w:b/>
          <w:bCs/>
          <w:color w:val="auto"/>
          <w:sz w:val="28"/>
          <w:szCs w:val="28"/>
          <w:highlight w:val="none"/>
        </w:rPr>
        <w:t>2.资格证明文件目录</w:t>
      </w:r>
      <w:bookmarkEnd w:id="167"/>
    </w:p>
    <w:p w14:paraId="34B6573B">
      <w:pPr>
        <w:spacing w:line="360" w:lineRule="auto"/>
        <w:rPr>
          <w:rFonts w:ascii="宋体" w:hAnsi="宋体" w:cs="宋体"/>
          <w:b/>
          <w:bCs/>
          <w:color w:val="auto"/>
          <w:sz w:val="28"/>
          <w:szCs w:val="28"/>
          <w:highlight w:val="none"/>
        </w:rPr>
      </w:pPr>
      <w:r>
        <w:rPr>
          <w:rFonts w:hint="eastAsia" w:ascii="宋体" w:hAnsi="宋体" w:cs="宋体"/>
          <w:color w:val="auto"/>
          <w:sz w:val="28"/>
          <w:szCs w:val="28"/>
          <w:highlight w:val="none"/>
        </w:rPr>
        <w:t>根据竞争性磋商文件规定及供应商提供的材料自行编写目录（部分格式后附）。</w:t>
      </w:r>
    </w:p>
    <w:p w14:paraId="32D4A93A">
      <w:pPr>
        <w:autoSpaceDE w:val="0"/>
        <w:autoSpaceDN w:val="0"/>
        <w:adjustRightInd w:val="0"/>
        <w:spacing w:line="360" w:lineRule="auto"/>
        <w:jc w:val="left"/>
        <w:outlineLvl w:val="2"/>
        <w:rPr>
          <w:rFonts w:ascii="宋体" w:hAnsi="宋体" w:cs="宋体"/>
          <w:color w:val="auto"/>
          <w:szCs w:val="21"/>
          <w:highlight w:val="none"/>
        </w:rPr>
      </w:pPr>
      <w:r>
        <w:rPr>
          <w:rFonts w:hint="eastAsia" w:ascii="宋体" w:hAnsi="宋体" w:cs="宋体"/>
          <w:color w:val="auto"/>
          <w:szCs w:val="21"/>
          <w:highlight w:val="none"/>
        </w:rPr>
        <w:br w:type="page"/>
      </w:r>
      <w:bookmarkStart w:id="168" w:name="_Toc12099"/>
      <w:r>
        <w:rPr>
          <w:rFonts w:hint="eastAsia" w:ascii="宋体" w:hAnsi="宋体" w:cs="宋体"/>
          <w:b/>
          <w:bCs/>
          <w:color w:val="auto"/>
          <w:kern w:val="0"/>
          <w:sz w:val="28"/>
          <w:szCs w:val="28"/>
          <w:highlight w:val="none"/>
        </w:rPr>
        <w:t>2.政府采购供应商资格信用承诺函（格式）：</w:t>
      </w:r>
      <w:bookmarkEnd w:id="168"/>
    </w:p>
    <w:p w14:paraId="52ABAA47">
      <w:pPr>
        <w:autoSpaceDE w:val="0"/>
        <w:autoSpaceDN w:val="0"/>
        <w:adjustRightInd w:val="0"/>
        <w:spacing w:line="360" w:lineRule="auto"/>
        <w:jc w:val="center"/>
        <w:rPr>
          <w:rFonts w:ascii="宋体" w:hAnsi="宋体" w:cs="宋体"/>
          <w:b/>
          <w:bCs/>
          <w:color w:val="auto"/>
          <w:sz w:val="44"/>
          <w:szCs w:val="44"/>
          <w:highlight w:val="none"/>
        </w:rPr>
      </w:pPr>
    </w:p>
    <w:p w14:paraId="1E6B3042">
      <w:pPr>
        <w:spacing w:line="360" w:lineRule="auto"/>
        <w:jc w:val="center"/>
        <w:outlineLvl w:val="3"/>
        <w:rPr>
          <w:rFonts w:ascii="宋体" w:hAnsi="宋体" w:cs="宋体"/>
          <w:b/>
          <w:color w:val="auto"/>
          <w:sz w:val="32"/>
          <w:szCs w:val="32"/>
          <w:highlight w:val="none"/>
        </w:rPr>
      </w:pPr>
      <w:r>
        <w:rPr>
          <w:rFonts w:hint="eastAsia" w:ascii="宋体" w:hAnsi="宋体" w:cs="宋体"/>
          <w:b/>
          <w:color w:val="auto"/>
          <w:sz w:val="32"/>
          <w:szCs w:val="32"/>
          <w:highlight w:val="none"/>
        </w:rPr>
        <w:t>防城港市政府采购供应商资格信用承诺函</w:t>
      </w:r>
    </w:p>
    <w:p w14:paraId="68DC23E0">
      <w:pPr>
        <w:pStyle w:val="22"/>
        <w:spacing w:line="360" w:lineRule="auto"/>
        <w:rPr>
          <w:rFonts w:ascii="宋体" w:hAnsi="宋体" w:cs="宋体"/>
          <w:color w:val="auto"/>
          <w:sz w:val="32"/>
          <w:szCs w:val="32"/>
          <w:highlight w:val="none"/>
        </w:rPr>
      </w:pPr>
    </w:p>
    <w:p w14:paraId="2C4DB219">
      <w:pPr>
        <w:autoSpaceDE w:val="0"/>
        <w:autoSpaceDN w:val="0"/>
        <w:adjustRightInd w:val="0"/>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致：</w:t>
      </w:r>
      <w:r>
        <w:rPr>
          <w:rFonts w:hint="eastAsia" w:ascii="宋体" w:hAnsi="宋体" w:cs="宋体"/>
          <w:color w:val="auto"/>
          <w:spacing w:val="6"/>
          <w:sz w:val="24"/>
          <w:highlight w:val="none"/>
          <w:u w:val="single"/>
        </w:rPr>
        <w:t>（采购人名称）、（代理机构名称）</w:t>
      </w:r>
      <w:r>
        <w:rPr>
          <w:rFonts w:hint="eastAsia" w:ascii="宋体" w:hAnsi="宋体" w:cs="宋体"/>
          <w:color w:val="auto"/>
          <w:spacing w:val="6"/>
          <w:sz w:val="24"/>
          <w:highlight w:val="none"/>
        </w:rPr>
        <w:t>：</w:t>
      </w:r>
    </w:p>
    <w:p w14:paraId="503830EA">
      <w:pPr>
        <w:autoSpaceDE w:val="0"/>
        <w:autoSpaceDN w:val="0"/>
        <w:adjustRightInd w:val="0"/>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我方自愿参加项目（项目编号：）的政府采购活动，并郑重承诺我方符合《中华人民共和国政府采购法》第二十二条规定的条件：</w:t>
      </w:r>
    </w:p>
    <w:p w14:paraId="4040F9AC">
      <w:pPr>
        <w:autoSpaceDE w:val="0"/>
        <w:autoSpaceDN w:val="0"/>
        <w:adjustRightInd w:val="0"/>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 xml:space="preserve">（一）具有独立承担民事责任的能力； </w:t>
      </w:r>
    </w:p>
    <w:p w14:paraId="43B43A59">
      <w:pPr>
        <w:autoSpaceDE w:val="0"/>
        <w:autoSpaceDN w:val="0"/>
        <w:adjustRightInd w:val="0"/>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 xml:space="preserve">（二）具有良好的商业信誉和健全的财务会计制度； </w:t>
      </w:r>
    </w:p>
    <w:p w14:paraId="0EAD70AA">
      <w:pPr>
        <w:autoSpaceDE w:val="0"/>
        <w:autoSpaceDN w:val="0"/>
        <w:adjustRightInd w:val="0"/>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 xml:space="preserve">（三）具有履行合同所必需的设备和专业技术能力； </w:t>
      </w:r>
    </w:p>
    <w:p w14:paraId="22B22701">
      <w:pPr>
        <w:autoSpaceDE w:val="0"/>
        <w:autoSpaceDN w:val="0"/>
        <w:adjustRightInd w:val="0"/>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 xml:space="preserve">（四）有依法缴纳税收和社会保障资金的良好记录； </w:t>
      </w:r>
    </w:p>
    <w:p w14:paraId="4C40AB2A">
      <w:pPr>
        <w:autoSpaceDE w:val="0"/>
        <w:autoSpaceDN w:val="0"/>
        <w:adjustRightInd w:val="0"/>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 xml:space="preserve">（五）参加政府采购活动前三年内，在经营活动中没有重大违法记录； </w:t>
      </w:r>
    </w:p>
    <w:p w14:paraId="3F9B40F2">
      <w:pPr>
        <w:autoSpaceDE w:val="0"/>
        <w:autoSpaceDN w:val="0"/>
        <w:adjustRightInd w:val="0"/>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 xml:space="preserve">（六）法律、行政法规规定的其他条件。 </w:t>
      </w:r>
    </w:p>
    <w:p w14:paraId="45C2C018">
      <w:pPr>
        <w:autoSpaceDE w:val="0"/>
        <w:autoSpaceDN w:val="0"/>
        <w:adjustRightInd w:val="0"/>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我方保证上述承诺事项的真实性，如有弄虚作假或其他违法违规行为，愿意承担一切法律责任，并承担因此所造成的一切损失。</w:t>
      </w:r>
    </w:p>
    <w:p w14:paraId="0EB56665">
      <w:pPr>
        <w:autoSpaceDE w:val="0"/>
        <w:autoSpaceDN w:val="0"/>
        <w:adjustRightInd w:val="0"/>
        <w:spacing w:line="360" w:lineRule="auto"/>
        <w:ind w:firstLine="506" w:firstLineChars="200"/>
        <w:rPr>
          <w:rFonts w:ascii="宋体" w:hAnsi="宋体" w:cs="宋体"/>
          <w:color w:val="auto"/>
          <w:spacing w:val="6"/>
          <w:sz w:val="24"/>
          <w:highlight w:val="none"/>
        </w:rPr>
      </w:pPr>
      <w:r>
        <w:rPr>
          <w:rFonts w:hint="eastAsia" w:ascii="宋体" w:hAnsi="宋体" w:cs="宋体"/>
          <w:b/>
          <w:bCs/>
          <w:color w:val="auto"/>
          <w:spacing w:val="6"/>
          <w:sz w:val="24"/>
          <w:highlight w:val="none"/>
        </w:rPr>
        <w:t>特此声明！</w:t>
      </w:r>
    </w:p>
    <w:p w14:paraId="47547956">
      <w:pPr>
        <w:pStyle w:val="25"/>
        <w:spacing w:line="360" w:lineRule="auto"/>
        <w:ind w:firstLine="504"/>
        <w:rPr>
          <w:rFonts w:ascii="宋体" w:hAnsi="宋体" w:eastAsia="宋体" w:cs="宋体"/>
          <w:color w:val="auto"/>
          <w:spacing w:val="6"/>
          <w:sz w:val="24"/>
          <w:szCs w:val="24"/>
          <w:highlight w:val="none"/>
        </w:rPr>
      </w:pPr>
    </w:p>
    <w:p w14:paraId="325A7C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法定代表人（负责人、自然人）或委托代理人</w:t>
      </w:r>
      <w:r>
        <w:rPr>
          <w:rFonts w:hint="eastAsia" w:ascii="宋体" w:hAnsi="宋体" w:cs="宋体"/>
          <w:b/>
          <w:bCs/>
          <w:color w:val="auto"/>
          <w:sz w:val="24"/>
          <w:highlight w:val="none"/>
        </w:rPr>
        <w:t>（签字或电子签章）</w:t>
      </w:r>
      <w:r>
        <w:rPr>
          <w:rFonts w:hint="eastAsia" w:ascii="宋体" w:hAnsi="宋体" w:cs="宋体"/>
          <w:color w:val="auto"/>
          <w:sz w:val="24"/>
          <w:highlight w:val="none"/>
        </w:rPr>
        <w:t>：</w:t>
      </w:r>
    </w:p>
    <w:p w14:paraId="3ADA15B9">
      <w:pPr>
        <w:snapToGrid w:val="0"/>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供应商</w:t>
      </w:r>
      <w:r>
        <w:rPr>
          <w:rFonts w:hint="eastAsia" w:ascii="宋体" w:hAnsi="宋体" w:cs="宋体"/>
          <w:b/>
          <w:bCs/>
          <w:color w:val="auto"/>
          <w:sz w:val="24"/>
          <w:highlight w:val="none"/>
        </w:rPr>
        <w:t>（盖公章或CA电子签章）</w:t>
      </w:r>
      <w:r>
        <w:rPr>
          <w:rFonts w:hint="eastAsia" w:ascii="宋体" w:hAnsi="宋体" w:cs="宋体"/>
          <w:color w:val="auto"/>
          <w:sz w:val="24"/>
          <w:highlight w:val="none"/>
        </w:rPr>
        <w:t>：</w:t>
      </w:r>
    </w:p>
    <w:p w14:paraId="36CDF8AA">
      <w:pPr>
        <w:snapToGrid w:val="0"/>
        <w:spacing w:line="360" w:lineRule="auto"/>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5D46CB30">
      <w:pPr>
        <w:pStyle w:val="16"/>
        <w:spacing w:line="360" w:lineRule="auto"/>
        <w:jc w:val="right"/>
        <w:rPr>
          <w:rFonts w:hAnsi="宋体" w:cs="宋体"/>
          <w:color w:val="auto"/>
          <w:sz w:val="24"/>
          <w:szCs w:val="24"/>
          <w:highlight w:val="none"/>
        </w:rPr>
      </w:pPr>
    </w:p>
    <w:p w14:paraId="16DC7017">
      <w:pPr>
        <w:pStyle w:val="16"/>
        <w:spacing w:line="360" w:lineRule="auto"/>
        <w:rPr>
          <w:rFonts w:hAnsi="宋体" w:cs="宋体"/>
          <w:b/>
          <w:color w:val="auto"/>
          <w:sz w:val="30"/>
          <w:szCs w:val="30"/>
          <w:highlight w:val="none"/>
        </w:rPr>
      </w:pPr>
    </w:p>
    <w:p w14:paraId="2C76132E">
      <w:pPr>
        <w:pStyle w:val="16"/>
        <w:spacing w:line="360" w:lineRule="auto"/>
        <w:ind w:firstLine="602" w:firstLineChars="200"/>
        <w:rPr>
          <w:rFonts w:hAnsi="宋体" w:cs="宋体"/>
          <w:b/>
          <w:color w:val="auto"/>
          <w:sz w:val="30"/>
          <w:szCs w:val="30"/>
          <w:highlight w:val="none"/>
        </w:rPr>
      </w:pPr>
    </w:p>
    <w:p w14:paraId="28FCFCE1">
      <w:pPr>
        <w:spacing w:line="360" w:lineRule="auto"/>
        <w:jc w:val="left"/>
        <w:rPr>
          <w:rFonts w:ascii="宋体" w:hAnsi="宋体" w:cs="宋体"/>
          <w:b/>
          <w:bCs/>
          <w:color w:val="auto"/>
          <w:kern w:val="0"/>
          <w:sz w:val="28"/>
          <w:szCs w:val="28"/>
          <w:highlight w:val="none"/>
        </w:rPr>
      </w:pPr>
      <w:r>
        <w:rPr>
          <w:rFonts w:hint="eastAsia" w:ascii="宋体" w:hAnsi="宋体" w:cs="宋体"/>
          <w:b/>
          <w:color w:val="auto"/>
          <w:sz w:val="30"/>
          <w:szCs w:val="30"/>
          <w:highlight w:val="none"/>
        </w:rPr>
        <w:t>注：此项材料必须</w:t>
      </w:r>
      <w:r>
        <w:rPr>
          <w:rFonts w:hint="eastAsia" w:ascii="宋体" w:hAnsi="宋体" w:cs="宋体"/>
          <w:b/>
          <w:bCs/>
          <w:color w:val="auto"/>
          <w:sz w:val="30"/>
          <w:szCs w:val="30"/>
          <w:highlight w:val="none"/>
        </w:rPr>
        <w:t>以PDF格式上传</w:t>
      </w:r>
    </w:p>
    <w:p w14:paraId="272FCE34">
      <w:pPr>
        <w:spacing w:line="288" w:lineRule="auto"/>
        <w:jc w:val="left"/>
        <w:outlineLvl w:val="2"/>
        <w:rPr>
          <w:rFonts w:ascii="宋体" w:hAnsi="宋体" w:cs="宋体"/>
          <w:b/>
          <w:bCs/>
          <w:color w:val="auto"/>
          <w:sz w:val="28"/>
          <w:szCs w:val="28"/>
          <w:highlight w:val="none"/>
        </w:rPr>
      </w:pPr>
      <w:r>
        <w:rPr>
          <w:rFonts w:hint="eastAsia" w:ascii="宋体" w:hAnsi="宋体" w:cs="宋体"/>
          <w:b/>
          <w:bCs/>
          <w:color w:val="auto"/>
          <w:kern w:val="0"/>
          <w:sz w:val="28"/>
          <w:szCs w:val="28"/>
          <w:highlight w:val="none"/>
        </w:rPr>
        <w:br w:type="page"/>
      </w:r>
      <w:bookmarkStart w:id="169" w:name="_Toc5267"/>
      <w:r>
        <w:rPr>
          <w:rFonts w:hint="eastAsia" w:ascii="宋体" w:hAnsi="宋体" w:cs="宋体"/>
          <w:b/>
          <w:bCs/>
          <w:color w:val="auto"/>
          <w:kern w:val="0"/>
          <w:sz w:val="28"/>
          <w:szCs w:val="28"/>
          <w:highlight w:val="none"/>
        </w:rPr>
        <w:t>3.声明函的格式：</w:t>
      </w:r>
      <w:bookmarkEnd w:id="169"/>
    </w:p>
    <w:p w14:paraId="6EB8BCB0">
      <w:pPr>
        <w:spacing w:line="288" w:lineRule="auto"/>
        <w:jc w:val="center"/>
        <w:rPr>
          <w:rFonts w:ascii="宋体" w:hAnsi="宋体" w:cs="宋体"/>
          <w:b/>
          <w:color w:val="auto"/>
          <w:sz w:val="32"/>
          <w:szCs w:val="32"/>
          <w:highlight w:val="none"/>
        </w:rPr>
      </w:pPr>
    </w:p>
    <w:p w14:paraId="088B6E57">
      <w:pPr>
        <w:spacing w:line="288"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声明函</w:t>
      </w:r>
    </w:p>
    <w:p w14:paraId="4CFF9BD2">
      <w:pPr>
        <w:spacing w:line="288" w:lineRule="auto"/>
        <w:jc w:val="center"/>
        <w:rPr>
          <w:rFonts w:ascii="宋体" w:hAnsi="宋体" w:cs="宋体"/>
          <w:color w:val="auto"/>
          <w:sz w:val="24"/>
          <w:szCs w:val="20"/>
          <w:highlight w:val="none"/>
        </w:rPr>
      </w:pPr>
    </w:p>
    <w:p w14:paraId="6DDE8633">
      <w:pPr>
        <w:spacing w:line="288"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（采购代理机构名称）</w:t>
      </w:r>
      <w:r>
        <w:rPr>
          <w:rFonts w:hint="eastAsia" w:ascii="宋体" w:hAnsi="宋体" w:cs="宋体"/>
          <w:color w:val="auto"/>
          <w:sz w:val="24"/>
          <w:highlight w:val="none"/>
        </w:rPr>
        <w:t>：</w:t>
      </w:r>
    </w:p>
    <w:p w14:paraId="643BE78A">
      <w:pPr>
        <w:spacing w:line="288" w:lineRule="auto"/>
        <w:ind w:firstLine="480" w:firstLineChars="200"/>
        <w:contextualSpacing/>
        <w:rPr>
          <w:rFonts w:ascii="宋体" w:hAnsi="宋体" w:cs="宋体"/>
          <w:color w:val="auto"/>
          <w:sz w:val="24"/>
          <w:highlight w:val="none"/>
        </w:rPr>
      </w:pPr>
      <w:r>
        <w:rPr>
          <w:rFonts w:hint="eastAsia" w:ascii="宋体" w:hAnsi="宋体" w:cs="宋体"/>
          <w:i/>
          <w:iCs/>
          <w:color w:val="auto"/>
          <w:sz w:val="24"/>
          <w:highlight w:val="none"/>
          <w:u w:val="single"/>
        </w:rPr>
        <w:t>（供应商名称）</w:t>
      </w:r>
      <w:r>
        <w:rPr>
          <w:rFonts w:hint="eastAsia" w:ascii="宋体" w:hAnsi="宋体" w:cs="宋体"/>
          <w:color w:val="auto"/>
          <w:sz w:val="24"/>
          <w:highlight w:val="none"/>
        </w:rPr>
        <w:t>系中华人民共和国合法供应商，经营地址。</w:t>
      </w:r>
    </w:p>
    <w:p w14:paraId="78F0E726">
      <w:pPr>
        <w:spacing w:line="288"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i/>
          <w:iCs/>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78D236A0">
      <w:pPr>
        <w:spacing w:line="288" w:lineRule="auto"/>
        <w:ind w:firstLine="480" w:firstLineChars="200"/>
        <w:contextualSpacing/>
        <w:outlineLvl w:val="2"/>
        <w:rPr>
          <w:rFonts w:ascii="宋体" w:hAnsi="宋体" w:cs="宋体"/>
          <w:color w:val="auto"/>
          <w:sz w:val="24"/>
          <w:highlight w:val="none"/>
        </w:rPr>
      </w:pPr>
      <w:bookmarkStart w:id="170" w:name="_Toc21740"/>
      <w:r>
        <w:rPr>
          <w:rFonts w:hint="eastAsia" w:ascii="宋体" w:hAnsi="宋体" w:cs="宋体"/>
          <w:color w:val="auto"/>
          <w:sz w:val="24"/>
          <w:highlight w:val="none"/>
        </w:rPr>
        <w:t>1.我方向贵方提交的所有响应文件、资料都是准确的和真实的。</w:t>
      </w:r>
      <w:bookmarkEnd w:id="170"/>
    </w:p>
    <w:p w14:paraId="16F083B6">
      <w:pPr>
        <w:spacing w:line="288"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88FB9A4">
      <w:pPr>
        <w:spacing w:line="288" w:lineRule="auto"/>
        <w:ind w:firstLine="480" w:firstLineChars="200"/>
        <w:contextualSpacing/>
        <w:outlineLvl w:val="2"/>
        <w:rPr>
          <w:rFonts w:ascii="宋体" w:hAnsi="宋体" w:cs="宋体"/>
          <w:color w:val="auto"/>
          <w:sz w:val="24"/>
          <w:highlight w:val="none"/>
        </w:rPr>
      </w:pPr>
      <w:bookmarkStart w:id="171" w:name="_Toc629"/>
      <w:r>
        <w:rPr>
          <w:rFonts w:hint="eastAsia" w:ascii="宋体" w:hAnsi="宋体" w:cs="宋体"/>
          <w:color w:val="auto"/>
          <w:sz w:val="24"/>
          <w:highlight w:val="none"/>
        </w:rPr>
        <w:t>3.在此，我方宣布同意如下：</w:t>
      </w:r>
      <w:bookmarkEnd w:id="171"/>
    </w:p>
    <w:p w14:paraId="46CD9D38">
      <w:pPr>
        <w:spacing w:line="288"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752E5351">
      <w:pPr>
        <w:spacing w:line="288"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（2）已详细审查磋商文件的全部内容，包括澄清或者更正公告（如有）；</w:t>
      </w:r>
    </w:p>
    <w:p w14:paraId="4EB388B8">
      <w:pPr>
        <w:spacing w:line="288"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0A705090">
      <w:pPr>
        <w:spacing w:line="288"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14:paraId="5C2DDB7A">
      <w:pPr>
        <w:spacing w:line="288"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根据《中华人民共和国政府采购法实施条例》第五十条要求对政府采购合同进行公告，但政府采购合同中涉及国家秘密、商业秘密的内容除外。我方就对本次响应文件进行注明如下：（两项内容中必须选择一项）</w:t>
      </w:r>
    </w:p>
    <w:p w14:paraId="58594F3A">
      <w:pPr>
        <w:spacing w:line="288"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649DD3FD">
      <w:pPr>
        <w:spacing w:line="288"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p>
    <w:p w14:paraId="55287637">
      <w:pPr>
        <w:pStyle w:val="14"/>
        <w:tabs>
          <w:tab w:val="left" w:pos="939"/>
        </w:tabs>
        <w:spacing w:line="288" w:lineRule="auto"/>
        <w:ind w:left="0" w:leftChars="0" w:firstLine="480" w:firstLineChars="200"/>
        <w:rPr>
          <w:rFonts w:ascii="宋体" w:hAnsi="宋体" w:cs="宋体"/>
          <w:color w:val="auto"/>
          <w:sz w:val="24"/>
          <w:highlight w:val="none"/>
        </w:rPr>
      </w:pPr>
      <w:r>
        <w:rPr>
          <w:rFonts w:hint="eastAsia" w:ascii="宋体" w:hAnsi="宋体" w:cs="宋体"/>
          <w:color w:val="auto"/>
          <w:kern w:val="0"/>
          <w:sz w:val="24"/>
          <w:highlight w:val="none"/>
        </w:rPr>
        <w:t>6.</w:t>
      </w:r>
      <w:r>
        <w:rPr>
          <w:rFonts w:hint="eastAsia" w:ascii="宋体" w:hAnsi="宋体" w:cs="宋体"/>
          <w:color w:val="auto"/>
          <w:sz w:val="24"/>
          <w:highlight w:val="none"/>
        </w:rPr>
        <w:t>以上事项如有虚假或者隐瞒，我方愿意承担一切后果，并不再寻求任何旨在减轻或者免除法律责任的辩解。</w:t>
      </w:r>
    </w:p>
    <w:p w14:paraId="672584DD">
      <w:pPr>
        <w:pStyle w:val="14"/>
        <w:tabs>
          <w:tab w:val="left" w:pos="939"/>
        </w:tabs>
        <w:spacing w:line="288"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46A7B8A6">
      <w:pPr>
        <w:pStyle w:val="14"/>
        <w:tabs>
          <w:tab w:val="left" w:pos="939"/>
        </w:tabs>
        <w:spacing w:line="288"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注：如为联合体竞标，盖章处须加盖联合体各方公章，否则其响应文件按无效响应处理。</w:t>
      </w:r>
    </w:p>
    <w:p w14:paraId="747C01AB">
      <w:pPr>
        <w:pStyle w:val="14"/>
        <w:tabs>
          <w:tab w:val="left" w:pos="939"/>
        </w:tabs>
        <w:spacing w:line="288" w:lineRule="auto"/>
        <w:ind w:left="0" w:leftChars="0" w:firstLine="480" w:firstLineChars="200"/>
        <w:rPr>
          <w:rFonts w:ascii="宋体" w:hAnsi="宋体" w:cs="宋体"/>
          <w:color w:val="auto"/>
          <w:sz w:val="24"/>
          <w:highlight w:val="none"/>
        </w:rPr>
      </w:pPr>
    </w:p>
    <w:p w14:paraId="50838656">
      <w:pPr>
        <w:autoSpaceDE w:val="0"/>
        <w:autoSpaceDN w:val="0"/>
        <w:spacing w:line="288" w:lineRule="auto"/>
        <w:ind w:left="4365" w:leftChars="1850" w:hanging="480" w:hangingChars="200"/>
        <w:rPr>
          <w:rFonts w:ascii="宋体" w:hAnsi="宋体" w:cs="宋体"/>
          <w:color w:val="auto"/>
          <w:kern w:val="0"/>
          <w:sz w:val="24"/>
          <w:highlight w:val="none"/>
        </w:rPr>
      </w:pPr>
    </w:p>
    <w:p w14:paraId="706A5597">
      <w:pPr>
        <w:autoSpaceDE w:val="0"/>
        <w:autoSpaceDN w:val="0"/>
        <w:spacing w:line="288" w:lineRule="auto"/>
        <w:ind w:left="4365" w:leftChars="1850" w:hanging="480" w:hangingChars="200"/>
        <w:rPr>
          <w:rFonts w:ascii="宋体" w:hAnsi="宋体" w:cs="宋体"/>
          <w:color w:val="auto"/>
          <w:kern w:val="0"/>
          <w:sz w:val="24"/>
          <w:highlight w:val="none"/>
        </w:rPr>
      </w:pPr>
    </w:p>
    <w:p w14:paraId="29A15E0D">
      <w:pPr>
        <w:autoSpaceDE w:val="0"/>
        <w:autoSpaceDN w:val="0"/>
        <w:spacing w:line="288"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r>
        <w:rPr>
          <w:rFonts w:hint="eastAsia" w:ascii="宋体" w:hAnsi="宋体" w:cs="宋体"/>
          <w:b/>
          <w:bCs/>
          <w:color w:val="auto"/>
          <w:sz w:val="24"/>
          <w:highlight w:val="none"/>
        </w:rPr>
        <w:t>或CA电子签章</w:t>
      </w:r>
      <w:r>
        <w:rPr>
          <w:rFonts w:hint="eastAsia" w:ascii="宋体" w:hAnsi="宋体" w:cs="宋体"/>
          <w:color w:val="auto"/>
          <w:kern w:val="0"/>
          <w:sz w:val="24"/>
          <w:highlight w:val="none"/>
        </w:rPr>
        <w:t>）：</w:t>
      </w:r>
    </w:p>
    <w:p w14:paraId="110D0556">
      <w:pPr>
        <w:autoSpaceDE w:val="0"/>
        <w:autoSpaceDN w:val="0"/>
        <w:spacing w:line="288" w:lineRule="auto"/>
        <w:ind w:firstLine="6120" w:firstLineChars="2550"/>
        <w:rPr>
          <w:rFonts w:ascii="宋体" w:hAnsi="宋体" w:cs="宋体"/>
          <w:color w:val="auto"/>
          <w:kern w:val="0"/>
          <w:sz w:val="24"/>
          <w:highlight w:val="none"/>
          <w:lang w:val="zh-CN"/>
        </w:rPr>
        <w:sectPr>
          <w:pgSz w:w="11911" w:h="16838"/>
          <w:pgMar w:top="1134" w:right="1134" w:bottom="1134" w:left="1134" w:header="720" w:footer="720" w:gutter="0"/>
          <w:cols w:space="720" w:num="1"/>
        </w:sectPr>
      </w:pPr>
      <w:r>
        <w:rPr>
          <w:rFonts w:hint="eastAsia" w:ascii="宋体" w:hAnsi="宋体" w:cs="宋体"/>
          <w:color w:val="auto"/>
          <w:kern w:val="0"/>
          <w:sz w:val="24"/>
          <w:highlight w:val="none"/>
          <w:lang w:val="zh-CN"/>
        </w:rPr>
        <w:t>日期：  年  月   日</w:t>
      </w:r>
    </w:p>
    <w:p w14:paraId="05DF665E">
      <w:pPr>
        <w:spacing w:line="360" w:lineRule="auto"/>
        <w:outlineLvl w:val="2"/>
        <w:rPr>
          <w:rFonts w:ascii="宋体" w:hAnsi="宋体" w:cs="宋体"/>
          <w:b/>
          <w:color w:val="auto"/>
          <w:sz w:val="30"/>
          <w:szCs w:val="30"/>
          <w:highlight w:val="none"/>
          <w:lang w:val="zh-CN"/>
        </w:rPr>
      </w:pPr>
      <w:bookmarkStart w:id="172" w:name="_Toc16316"/>
      <w:r>
        <w:rPr>
          <w:rFonts w:hint="eastAsia" w:ascii="宋体" w:hAnsi="宋体" w:cs="宋体"/>
          <w:b/>
          <w:color w:val="auto"/>
          <w:sz w:val="30"/>
          <w:szCs w:val="30"/>
          <w:highlight w:val="none"/>
        </w:rPr>
        <w:t>4.</w:t>
      </w:r>
      <w:r>
        <w:rPr>
          <w:rFonts w:hint="eastAsia" w:ascii="宋体" w:hAnsi="宋体" w:cs="宋体"/>
          <w:b/>
          <w:color w:val="auto"/>
          <w:sz w:val="30"/>
          <w:szCs w:val="30"/>
          <w:highlight w:val="none"/>
          <w:lang w:val="zh-CN"/>
        </w:rPr>
        <w:t>中小企业声明函的格式：</w:t>
      </w:r>
      <w:bookmarkEnd w:id="172"/>
    </w:p>
    <w:p w14:paraId="2333160C">
      <w:pPr>
        <w:pStyle w:val="18"/>
        <w:spacing w:line="360" w:lineRule="auto"/>
        <w:rPr>
          <w:rFonts w:ascii="宋体" w:hAnsi="宋体" w:cs="宋体"/>
          <w:color w:val="auto"/>
          <w:highlight w:val="none"/>
        </w:rPr>
      </w:pPr>
    </w:p>
    <w:p w14:paraId="15CA76B8">
      <w:pPr>
        <w:spacing w:line="360" w:lineRule="auto"/>
        <w:ind w:firstLine="3520" w:firstLineChars="800"/>
        <w:rPr>
          <w:rFonts w:ascii="宋体" w:hAnsi="宋体" w:cs="宋体"/>
          <w:color w:val="auto"/>
          <w:sz w:val="44"/>
          <w:szCs w:val="44"/>
          <w:highlight w:val="none"/>
        </w:rPr>
      </w:pPr>
      <w:r>
        <w:rPr>
          <w:rFonts w:hint="eastAsia" w:ascii="宋体" w:hAnsi="宋体" w:cs="宋体"/>
          <w:color w:val="auto"/>
          <w:sz w:val="44"/>
          <w:szCs w:val="44"/>
          <w:highlight w:val="none"/>
        </w:rPr>
        <w:t>中小企业声明函</w:t>
      </w:r>
    </w:p>
    <w:p w14:paraId="44CF4C09">
      <w:pPr>
        <w:pStyle w:val="2"/>
        <w:spacing w:after="0" w:line="360" w:lineRule="auto"/>
        <w:ind w:left="-426" w:right="142" w:firstLine="640"/>
        <w:contextualSpacing/>
        <w:rPr>
          <w:rFonts w:ascii="宋体" w:hAnsi="宋体" w:cs="宋体"/>
          <w:color w:val="auto"/>
          <w:sz w:val="24"/>
          <w:highlight w:val="none"/>
        </w:rPr>
      </w:pPr>
    </w:p>
    <w:p w14:paraId="6C29AC8D">
      <w:pPr>
        <w:pStyle w:val="2"/>
        <w:spacing w:after="0" w:line="360" w:lineRule="auto"/>
        <w:ind w:left="-426" w:right="142" w:firstLine="640"/>
        <w:contextualSpacing/>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i/>
          <w:iCs/>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i/>
          <w:iCs/>
          <w:color w:val="auto"/>
          <w:sz w:val="24"/>
          <w:highlight w:val="none"/>
          <w:u w:val="single"/>
        </w:rPr>
        <w:t>（项目名称）</w:t>
      </w:r>
      <w:r>
        <w:rPr>
          <w:rFonts w:hint="eastAsia" w:ascii="宋体" w:hAnsi="宋体" w:cs="宋体"/>
          <w:color w:val="auto"/>
          <w:sz w:val="24"/>
          <w:highlight w:val="none"/>
        </w:rPr>
        <w:t>采购活动，</w:t>
      </w:r>
      <w:r>
        <w:rPr>
          <w:rFonts w:hint="eastAsia" w:ascii="宋体" w:hAnsi="宋体" w:cs="宋体"/>
          <w:color w:val="auto"/>
          <w:kern w:val="0"/>
          <w:sz w:val="24"/>
          <w:highlight w:val="none"/>
        </w:rPr>
        <w:t>服务全部由符合政策要求的中小企业承接</w:t>
      </w:r>
      <w:r>
        <w:rPr>
          <w:rFonts w:hint="eastAsia" w:ascii="宋体" w:hAnsi="宋体" w:cs="宋体"/>
          <w:color w:val="auto"/>
          <w:sz w:val="24"/>
          <w:highlight w:val="none"/>
        </w:rPr>
        <w:t>。相关企业（含联合体中的中小企业、签订分包意向协议的中小企业）的具体情况如下：</w:t>
      </w:r>
    </w:p>
    <w:p w14:paraId="44288C3E">
      <w:pPr>
        <w:tabs>
          <w:tab w:val="left" w:pos="1384"/>
          <w:tab w:val="left" w:pos="4562"/>
          <w:tab w:val="left" w:pos="6803"/>
        </w:tabs>
        <w:spacing w:line="360" w:lineRule="auto"/>
        <w:ind w:left="-426" w:right="-58" w:firstLine="655"/>
        <w:contextualSpacing/>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标的名称</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采购文件中明确的所属行业</w:t>
      </w:r>
      <w:r>
        <w:rPr>
          <w:rFonts w:hint="eastAsia" w:ascii="宋体" w:hAnsi="宋体" w:cs="宋体"/>
          <w:color w:val="auto"/>
          <w:sz w:val="24"/>
          <w:highlight w:val="none"/>
          <w:u w:val="single"/>
        </w:rPr>
        <w:t>）</w:t>
      </w:r>
      <w:r>
        <w:rPr>
          <w:rFonts w:hint="eastAsia" w:ascii="宋体" w:hAnsi="宋体" w:cs="宋体"/>
          <w:color w:val="auto"/>
          <w:sz w:val="24"/>
          <w:highlight w:val="none"/>
        </w:rPr>
        <w:t>；</w:t>
      </w:r>
      <w:r>
        <w:rPr>
          <w:rFonts w:hint="eastAsia" w:ascii="宋体" w:hAnsi="宋体" w:cs="宋体"/>
          <w:color w:val="auto"/>
          <w:kern w:val="0"/>
          <w:sz w:val="24"/>
          <w:highlight w:val="none"/>
        </w:rPr>
        <w:t>承建（承接）企业</w:t>
      </w:r>
      <w:r>
        <w:rPr>
          <w:rFonts w:hint="eastAsia" w:ascii="宋体" w:hAnsi="宋体" w:cs="宋体"/>
          <w:color w:val="auto"/>
          <w:sz w:val="24"/>
          <w:highlight w:val="none"/>
        </w:rPr>
        <w:t>为</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企业名称</w:t>
      </w:r>
      <w:r>
        <w:rPr>
          <w:rFonts w:hint="eastAsia" w:ascii="宋体" w:hAnsi="宋体" w:cs="宋体"/>
          <w:color w:val="auto"/>
          <w:sz w:val="24"/>
          <w:highlight w:val="none"/>
          <w:u w:val="single"/>
        </w:rPr>
        <w:t>）</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中型企业、小型企业、微型企业</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7789A303">
      <w:pPr>
        <w:tabs>
          <w:tab w:val="left" w:pos="1065"/>
          <w:tab w:val="left" w:pos="6477"/>
        </w:tabs>
        <w:spacing w:line="360" w:lineRule="auto"/>
        <w:ind w:left="-426" w:right="-58" w:firstLine="655"/>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标的名称</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采购文件中明确的所属行业</w:t>
      </w:r>
      <w:r>
        <w:rPr>
          <w:rFonts w:hint="eastAsia" w:ascii="宋体" w:hAnsi="宋体" w:cs="宋体"/>
          <w:color w:val="auto"/>
          <w:sz w:val="24"/>
          <w:highlight w:val="none"/>
          <w:u w:val="single"/>
        </w:rPr>
        <w:t>）</w:t>
      </w:r>
      <w:r>
        <w:rPr>
          <w:rFonts w:hint="eastAsia" w:ascii="宋体" w:hAnsi="宋体" w:cs="宋体"/>
          <w:color w:val="auto"/>
          <w:sz w:val="24"/>
          <w:highlight w:val="none"/>
        </w:rPr>
        <w:t>；</w:t>
      </w:r>
      <w:r>
        <w:rPr>
          <w:rFonts w:hint="eastAsia" w:ascii="宋体" w:hAnsi="宋体" w:cs="宋体"/>
          <w:color w:val="auto"/>
          <w:kern w:val="0"/>
          <w:sz w:val="24"/>
          <w:highlight w:val="none"/>
        </w:rPr>
        <w:t>承建（承接）企业</w:t>
      </w:r>
      <w:r>
        <w:rPr>
          <w:rFonts w:hint="eastAsia" w:ascii="宋体" w:hAnsi="宋体" w:cs="宋体"/>
          <w:color w:val="auto"/>
          <w:sz w:val="24"/>
          <w:highlight w:val="none"/>
        </w:rPr>
        <w:t>为</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企业名称</w:t>
      </w:r>
      <w:r>
        <w:rPr>
          <w:rFonts w:hint="eastAsia" w:ascii="宋体" w:hAnsi="宋体" w:cs="宋体"/>
          <w:color w:val="auto"/>
          <w:sz w:val="24"/>
          <w:highlight w:val="none"/>
          <w:u w:val="single"/>
        </w:rPr>
        <w:t>）</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中型企业、小型企业、微型企业</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2F1DCACD">
      <w:pPr>
        <w:pStyle w:val="2"/>
        <w:spacing w:after="0" w:line="360" w:lineRule="auto"/>
        <w:ind w:left="142" w:right="142"/>
        <w:contextualSpacing/>
        <w:rPr>
          <w:rFonts w:ascii="宋体" w:hAnsi="宋体" w:cs="宋体"/>
          <w:color w:val="auto"/>
          <w:sz w:val="24"/>
          <w:highlight w:val="none"/>
        </w:rPr>
      </w:pPr>
      <w:r>
        <w:rPr>
          <w:rFonts w:hint="eastAsia" w:ascii="宋体" w:hAnsi="宋体" w:cs="宋体"/>
          <w:color w:val="auto"/>
          <w:sz w:val="24"/>
          <w:highlight w:val="none"/>
        </w:rPr>
        <w:t xml:space="preserve">…… </w:t>
      </w:r>
    </w:p>
    <w:p w14:paraId="126BA4E5">
      <w:pPr>
        <w:pStyle w:val="2"/>
        <w:spacing w:after="0" w:line="360" w:lineRule="auto"/>
        <w:ind w:left="-405" w:leftChars="-193" w:right="142" w:firstLine="453" w:firstLineChars="189"/>
        <w:contextualSpacing/>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F84B2D1">
      <w:pPr>
        <w:pStyle w:val="2"/>
        <w:spacing w:after="0" w:line="360" w:lineRule="auto"/>
        <w:ind w:left="-426" w:right="142" w:firstLine="567"/>
        <w:contextualSpacing/>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4E6E716">
      <w:pPr>
        <w:pStyle w:val="2"/>
        <w:spacing w:after="0" w:line="360" w:lineRule="auto"/>
        <w:ind w:left="3960" w:right="1808"/>
        <w:contextualSpacing/>
        <w:rPr>
          <w:rFonts w:ascii="宋体" w:hAnsi="宋体" w:cs="宋体"/>
          <w:color w:val="auto"/>
          <w:sz w:val="24"/>
          <w:highlight w:val="none"/>
        </w:rPr>
      </w:pPr>
    </w:p>
    <w:p w14:paraId="12274CD3">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r>
        <w:rPr>
          <w:rFonts w:hint="eastAsia" w:ascii="宋体" w:hAnsi="宋体" w:cs="宋体"/>
          <w:b/>
          <w:bCs/>
          <w:color w:val="auto"/>
          <w:sz w:val="24"/>
          <w:highlight w:val="none"/>
        </w:rPr>
        <w:t>或CA电子签章</w:t>
      </w:r>
      <w:r>
        <w:rPr>
          <w:rFonts w:hint="eastAsia" w:ascii="宋体" w:hAnsi="宋体" w:cs="宋体"/>
          <w:color w:val="auto"/>
          <w:kern w:val="0"/>
          <w:sz w:val="24"/>
          <w:highlight w:val="none"/>
        </w:rPr>
        <w:t>）：</w:t>
      </w:r>
    </w:p>
    <w:p w14:paraId="2177DC0B">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B16DB0F">
      <w:pPr>
        <w:pStyle w:val="2"/>
        <w:spacing w:after="0" w:line="360" w:lineRule="auto"/>
        <w:ind w:left="3960" w:right="1808"/>
        <w:contextualSpacing/>
        <w:rPr>
          <w:rFonts w:ascii="宋体" w:hAnsi="宋体" w:cs="宋体"/>
          <w:color w:val="auto"/>
          <w:highlight w:val="none"/>
        </w:rPr>
      </w:pPr>
    </w:p>
    <w:p w14:paraId="5C601B2C">
      <w:pPr>
        <w:spacing w:line="360" w:lineRule="auto"/>
        <w:ind w:firstLine="480" w:firstLineChars="200"/>
        <w:contextualSpacing/>
        <w:jc w:val="left"/>
        <w:rPr>
          <w:rFonts w:ascii="宋体" w:hAnsi="宋体" w:cs="宋体"/>
          <w:color w:val="auto"/>
          <w:kern w:val="0"/>
          <w:sz w:val="24"/>
          <w:highlight w:val="none"/>
        </w:rPr>
      </w:pPr>
      <w:r>
        <w:rPr>
          <w:rFonts w:hint="eastAsia" w:ascii="宋体" w:hAnsi="宋体" w:cs="宋体"/>
          <w:color w:val="auto"/>
          <w:sz w:val="24"/>
          <w:highlight w:val="none"/>
        </w:rPr>
        <w:t>注：享受《政府采购促进中小企业发展管理办法》（财库〔2020〕46号）规定的中小企业扶持政策的，采购人或者采购代理机构应当随成交结果公开成交供应商的《中小企业声明函》，接受社会监督。从业人员、营业收入、资产总额填报上一年度数据，无上一年度数据的新成立企业可不填报。</w:t>
      </w:r>
    </w:p>
    <w:p w14:paraId="76226F0C">
      <w:pPr>
        <w:snapToGrid w:val="0"/>
        <w:spacing w:beforeLines="50" w:after="50" w:line="360" w:lineRule="auto"/>
        <w:rPr>
          <w:rFonts w:ascii="宋体" w:hAnsi="宋体" w:cs="宋体"/>
          <w:b/>
          <w:bCs/>
          <w:color w:val="auto"/>
          <w:sz w:val="32"/>
          <w:szCs w:val="32"/>
          <w:highlight w:val="none"/>
        </w:rPr>
        <w:sectPr>
          <w:pgSz w:w="11911" w:h="16838"/>
          <w:pgMar w:top="1134" w:right="1134" w:bottom="1134" w:left="1134" w:header="720" w:footer="720" w:gutter="0"/>
          <w:cols w:space="720" w:num="1"/>
        </w:sectPr>
      </w:pPr>
    </w:p>
    <w:p w14:paraId="3DB75AD5">
      <w:pPr>
        <w:spacing w:line="360" w:lineRule="auto"/>
        <w:outlineLvl w:val="2"/>
        <w:rPr>
          <w:rFonts w:ascii="宋体" w:hAnsi="宋体" w:cs="宋体"/>
          <w:b/>
          <w:color w:val="auto"/>
          <w:sz w:val="28"/>
          <w:szCs w:val="28"/>
          <w:highlight w:val="none"/>
        </w:rPr>
      </w:pPr>
      <w:bookmarkStart w:id="173" w:name="_Toc26884"/>
      <w:r>
        <w:rPr>
          <w:rFonts w:hint="eastAsia" w:ascii="宋体" w:hAnsi="宋体" w:cs="宋体"/>
          <w:b/>
          <w:color w:val="auto"/>
          <w:sz w:val="28"/>
          <w:szCs w:val="28"/>
          <w:highlight w:val="none"/>
        </w:rPr>
        <w:t>残疾人福利性单位声明函的格式：</w:t>
      </w:r>
      <w:bookmarkEnd w:id="173"/>
    </w:p>
    <w:p w14:paraId="4EFB8AA4">
      <w:pPr>
        <w:pStyle w:val="18"/>
        <w:spacing w:line="360" w:lineRule="auto"/>
        <w:rPr>
          <w:rFonts w:ascii="宋体" w:hAnsi="宋体" w:cs="宋体"/>
          <w:color w:val="auto"/>
          <w:highlight w:val="none"/>
        </w:rPr>
      </w:pPr>
    </w:p>
    <w:p w14:paraId="685106C7">
      <w:pPr>
        <w:spacing w:line="360" w:lineRule="auto"/>
        <w:jc w:val="center"/>
        <w:rPr>
          <w:rFonts w:ascii="宋体" w:hAnsi="宋体" w:cs="宋体"/>
          <w:color w:val="auto"/>
          <w:sz w:val="44"/>
          <w:szCs w:val="44"/>
          <w:highlight w:val="none"/>
        </w:rPr>
      </w:pPr>
    </w:p>
    <w:p w14:paraId="3A7FF7B9">
      <w:pPr>
        <w:spacing w:line="360" w:lineRule="auto"/>
        <w:jc w:val="center"/>
        <w:rPr>
          <w:rFonts w:ascii="宋体" w:hAnsi="宋体" w:cs="宋体"/>
          <w:color w:val="auto"/>
          <w:sz w:val="44"/>
          <w:szCs w:val="44"/>
          <w:highlight w:val="none"/>
        </w:rPr>
      </w:pPr>
    </w:p>
    <w:p w14:paraId="1B263C33">
      <w:pPr>
        <w:spacing w:line="360" w:lineRule="auto"/>
        <w:jc w:val="center"/>
        <w:outlineLvl w:val="3"/>
        <w:rPr>
          <w:rFonts w:ascii="宋体" w:hAnsi="宋体" w:cs="宋体"/>
          <w:b/>
          <w:bCs/>
          <w:color w:val="auto"/>
          <w:sz w:val="36"/>
          <w:szCs w:val="36"/>
          <w:highlight w:val="none"/>
        </w:rPr>
      </w:pPr>
      <w:r>
        <w:rPr>
          <w:rFonts w:hint="eastAsia" w:ascii="宋体" w:hAnsi="宋体" w:cs="宋体"/>
          <w:b/>
          <w:bCs/>
          <w:color w:val="auto"/>
          <w:sz w:val="36"/>
          <w:szCs w:val="36"/>
          <w:highlight w:val="none"/>
        </w:rPr>
        <w:t>残疾人福利性单位声明函</w:t>
      </w:r>
    </w:p>
    <w:p w14:paraId="3D2C1EDE">
      <w:pPr>
        <w:spacing w:line="360" w:lineRule="auto"/>
        <w:rPr>
          <w:rFonts w:ascii="宋体" w:hAnsi="宋体" w:cs="宋体"/>
          <w:color w:val="auto"/>
          <w:sz w:val="32"/>
          <w:szCs w:val="32"/>
          <w:highlight w:val="none"/>
        </w:rPr>
      </w:pPr>
    </w:p>
    <w:p w14:paraId="5DCFA59E">
      <w:pPr>
        <w:spacing w:line="360" w:lineRule="auto"/>
        <w:ind w:firstLine="480" w:firstLineChars="200"/>
        <w:contextualSpacing/>
        <w:rPr>
          <w:rFonts w:ascii="宋体" w:hAnsi="宋体" w:cs="宋体"/>
          <w:color w:val="auto"/>
          <w:sz w:val="24"/>
          <w:highlight w:val="none"/>
        </w:rPr>
      </w:pPr>
    </w:p>
    <w:p w14:paraId="2A91FFA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E355F2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C8C8E2C">
      <w:pPr>
        <w:spacing w:line="360" w:lineRule="auto"/>
        <w:contextualSpacing/>
        <w:rPr>
          <w:rFonts w:ascii="宋体" w:hAnsi="宋体" w:cs="宋体"/>
          <w:color w:val="auto"/>
          <w:sz w:val="24"/>
          <w:highlight w:val="none"/>
        </w:rPr>
      </w:pPr>
    </w:p>
    <w:p w14:paraId="6CEF8B15">
      <w:pPr>
        <w:spacing w:line="360" w:lineRule="auto"/>
        <w:contextualSpacing/>
        <w:rPr>
          <w:rFonts w:ascii="宋体" w:hAnsi="宋体" w:cs="宋体"/>
          <w:color w:val="auto"/>
          <w:sz w:val="24"/>
          <w:highlight w:val="none"/>
        </w:rPr>
      </w:pPr>
    </w:p>
    <w:p w14:paraId="2E88ED21">
      <w:pPr>
        <w:spacing w:line="360" w:lineRule="auto"/>
        <w:contextualSpacing/>
        <w:rPr>
          <w:rFonts w:ascii="宋体" w:hAnsi="宋体" w:cs="宋体"/>
          <w:color w:val="auto"/>
          <w:sz w:val="24"/>
          <w:highlight w:val="none"/>
        </w:rPr>
      </w:pPr>
    </w:p>
    <w:p w14:paraId="19609BAD">
      <w:pPr>
        <w:spacing w:line="360" w:lineRule="auto"/>
        <w:ind w:firstLine="2400" w:firstLineChars="1000"/>
        <w:contextualSpacing/>
        <w:rPr>
          <w:rFonts w:ascii="宋体" w:hAnsi="宋体" w:cs="宋体"/>
          <w:color w:val="auto"/>
          <w:sz w:val="24"/>
          <w:highlight w:val="none"/>
        </w:rPr>
      </w:pPr>
      <w:r>
        <w:rPr>
          <w:rFonts w:hint="eastAsia" w:ascii="宋体" w:hAnsi="宋体" w:cs="宋体"/>
          <w:color w:val="auto"/>
          <w:sz w:val="24"/>
          <w:highlight w:val="none"/>
        </w:rPr>
        <w:t>供应商名称（盖公章</w:t>
      </w:r>
      <w:r>
        <w:rPr>
          <w:rFonts w:hint="eastAsia" w:ascii="宋体" w:hAnsi="宋体" w:cs="宋体"/>
          <w:b/>
          <w:bCs/>
          <w:color w:val="auto"/>
          <w:sz w:val="24"/>
          <w:highlight w:val="none"/>
        </w:rPr>
        <w:t>或CA电子签章</w:t>
      </w:r>
      <w:r>
        <w:rPr>
          <w:rFonts w:hint="eastAsia" w:ascii="宋体" w:hAnsi="宋体" w:cs="宋体"/>
          <w:color w:val="auto"/>
          <w:sz w:val="24"/>
          <w:highlight w:val="none"/>
        </w:rPr>
        <w:t>）：</w:t>
      </w:r>
    </w:p>
    <w:p w14:paraId="5F164B96">
      <w:pPr>
        <w:spacing w:line="360" w:lineRule="auto"/>
        <w:ind w:firstLine="4320" w:firstLineChars="1800"/>
        <w:contextualSpacing/>
        <w:rPr>
          <w:rFonts w:ascii="宋体" w:hAnsi="宋体" w:cs="宋体"/>
          <w:color w:val="auto"/>
          <w:sz w:val="24"/>
          <w:highlight w:val="none"/>
        </w:rPr>
      </w:pPr>
      <w:r>
        <w:rPr>
          <w:rFonts w:hint="eastAsia" w:ascii="宋体" w:hAnsi="宋体" w:cs="宋体"/>
          <w:color w:val="auto"/>
          <w:sz w:val="24"/>
          <w:highlight w:val="none"/>
        </w:rPr>
        <w:t>日  期：     年   月   日</w:t>
      </w:r>
    </w:p>
    <w:p w14:paraId="6424C16F">
      <w:pPr>
        <w:spacing w:line="360" w:lineRule="auto"/>
        <w:contextualSpacing/>
        <w:rPr>
          <w:rFonts w:ascii="宋体" w:hAnsi="宋体" w:cs="宋体"/>
          <w:color w:val="auto"/>
          <w:sz w:val="24"/>
          <w:highlight w:val="none"/>
        </w:rPr>
      </w:pPr>
    </w:p>
    <w:p w14:paraId="03406EAD">
      <w:pPr>
        <w:spacing w:line="360" w:lineRule="auto"/>
        <w:contextualSpacing/>
        <w:rPr>
          <w:rFonts w:ascii="宋体" w:hAnsi="宋体" w:cs="宋体"/>
          <w:color w:val="auto"/>
          <w:sz w:val="24"/>
          <w:highlight w:val="none"/>
        </w:rPr>
      </w:pPr>
    </w:p>
    <w:p w14:paraId="1DC68AD1">
      <w:pPr>
        <w:spacing w:line="360" w:lineRule="auto"/>
        <w:contextualSpacing/>
        <w:rPr>
          <w:rFonts w:ascii="宋体" w:hAnsi="宋体" w:cs="宋体"/>
          <w:color w:val="auto"/>
          <w:sz w:val="24"/>
          <w:highlight w:val="none"/>
        </w:rPr>
      </w:pPr>
    </w:p>
    <w:p w14:paraId="38701F5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注：请根据自己的真实情况出具《残疾人福利性单位声明函》。依法享受中小企业扶持政策的，采购人或者采购代理机构在公告成交结果时，同时公告其《残疾人福利性单位声明函》，接受社会监督。</w:t>
      </w:r>
    </w:p>
    <w:p w14:paraId="320F3763">
      <w:pPr>
        <w:autoSpaceDE w:val="0"/>
        <w:autoSpaceDN w:val="0"/>
        <w:spacing w:line="288" w:lineRule="auto"/>
        <w:ind w:firstLine="6120" w:firstLineChars="2550"/>
        <w:rPr>
          <w:rFonts w:ascii="宋体" w:hAnsi="宋体" w:cs="宋体"/>
          <w:color w:val="auto"/>
          <w:kern w:val="0"/>
          <w:sz w:val="24"/>
          <w:highlight w:val="none"/>
          <w:lang w:val="zh-CN"/>
        </w:rPr>
        <w:sectPr>
          <w:pgSz w:w="11911" w:h="16838"/>
          <w:pgMar w:top="1134" w:right="1134" w:bottom="1134" w:left="1134" w:header="720" w:footer="720" w:gutter="0"/>
          <w:cols w:space="720" w:num="1"/>
        </w:sectPr>
      </w:pPr>
      <w:r>
        <w:rPr>
          <w:rFonts w:hint="eastAsia" w:ascii="宋体" w:hAnsi="宋体" w:cs="宋体"/>
          <w:color w:val="auto"/>
          <w:sz w:val="24"/>
          <w:highlight w:val="none"/>
        </w:rPr>
        <w:br w:type="page"/>
      </w:r>
    </w:p>
    <w:p w14:paraId="3956A1B3">
      <w:pPr>
        <w:autoSpaceDE w:val="0"/>
        <w:autoSpaceDN w:val="0"/>
        <w:spacing w:line="288" w:lineRule="auto"/>
        <w:ind w:firstLine="6120" w:firstLineChars="2550"/>
        <w:rPr>
          <w:rFonts w:ascii="宋体" w:hAnsi="宋体" w:cs="宋体"/>
          <w:color w:val="auto"/>
          <w:kern w:val="0"/>
          <w:sz w:val="24"/>
          <w:highlight w:val="none"/>
          <w:lang w:val="zh-CN"/>
        </w:rPr>
        <w:sectPr>
          <w:pgSz w:w="11911" w:h="16838"/>
          <w:pgMar w:top="1134" w:right="1134" w:bottom="1134" w:left="1134" w:header="720" w:footer="720" w:gutter="0"/>
          <w:cols w:space="720" w:num="1"/>
        </w:sectPr>
      </w:pPr>
    </w:p>
    <w:p w14:paraId="6BAC7DA8">
      <w:pPr>
        <w:autoSpaceDE w:val="0"/>
        <w:autoSpaceDN w:val="0"/>
        <w:spacing w:line="360" w:lineRule="auto"/>
        <w:ind w:firstLine="6120" w:firstLineChars="2550"/>
        <w:rPr>
          <w:rFonts w:ascii="宋体" w:hAnsi="宋体" w:cs="宋体"/>
          <w:color w:val="auto"/>
          <w:kern w:val="0"/>
          <w:sz w:val="24"/>
          <w:highlight w:val="none"/>
          <w:lang w:val="zh-CN"/>
        </w:rPr>
      </w:pPr>
    </w:p>
    <w:p w14:paraId="20CBD861">
      <w:pPr>
        <w:autoSpaceDE w:val="0"/>
        <w:autoSpaceDN w:val="0"/>
        <w:spacing w:line="360" w:lineRule="auto"/>
        <w:ind w:firstLine="6120" w:firstLineChars="2550"/>
        <w:rPr>
          <w:rFonts w:ascii="宋体" w:hAnsi="宋体" w:cs="宋体"/>
          <w:color w:val="auto"/>
          <w:kern w:val="0"/>
          <w:sz w:val="24"/>
          <w:highlight w:val="none"/>
          <w:lang w:val="zh-CN"/>
        </w:rPr>
      </w:pPr>
    </w:p>
    <w:p w14:paraId="7417C7A2">
      <w:pPr>
        <w:pStyle w:val="5"/>
        <w:spacing w:line="360" w:lineRule="auto"/>
        <w:jc w:val="center"/>
        <w:rPr>
          <w:rFonts w:ascii="宋体" w:hAnsi="宋体" w:cs="宋体"/>
          <w:b w:val="0"/>
          <w:color w:val="auto"/>
          <w:highlight w:val="none"/>
        </w:rPr>
      </w:pPr>
      <w:bookmarkStart w:id="174" w:name="_Toc15951"/>
      <w:bookmarkStart w:id="175" w:name="_Toc80886944"/>
      <w:bookmarkStart w:id="176" w:name="_Toc80205940"/>
      <w:bookmarkStart w:id="177" w:name="_Toc12237"/>
      <w:bookmarkStart w:id="178" w:name="_Toc20562"/>
      <w:r>
        <w:rPr>
          <w:rFonts w:hint="eastAsia" w:ascii="宋体" w:hAnsi="宋体" w:cs="宋体"/>
          <w:b w:val="0"/>
          <w:bCs w:val="0"/>
          <w:color w:val="auto"/>
          <w:highlight w:val="none"/>
        </w:rPr>
        <w:t xml:space="preserve">第二节 </w:t>
      </w:r>
      <w:r>
        <w:rPr>
          <w:rFonts w:hint="eastAsia" w:ascii="宋体" w:hAnsi="宋体" w:cs="宋体"/>
          <w:b w:val="0"/>
          <w:color w:val="auto"/>
          <w:highlight w:val="none"/>
        </w:rPr>
        <w:t>商务技术文件格式</w:t>
      </w:r>
      <w:bookmarkEnd w:id="174"/>
      <w:bookmarkEnd w:id="175"/>
      <w:bookmarkEnd w:id="176"/>
      <w:bookmarkEnd w:id="177"/>
      <w:bookmarkEnd w:id="178"/>
    </w:p>
    <w:p w14:paraId="74385841">
      <w:pPr>
        <w:snapToGrid w:val="0"/>
        <w:spacing w:beforeLines="50" w:after="50" w:line="264" w:lineRule="auto"/>
        <w:jc w:val="left"/>
        <w:outlineLvl w:val="2"/>
        <w:rPr>
          <w:rFonts w:ascii="宋体" w:hAnsi="宋体" w:cs="宋体"/>
          <w:b/>
          <w:color w:val="auto"/>
          <w:sz w:val="32"/>
          <w:szCs w:val="32"/>
          <w:highlight w:val="none"/>
        </w:rPr>
      </w:pPr>
      <w:bookmarkStart w:id="179" w:name="_Toc16606"/>
      <w:r>
        <w:rPr>
          <w:rFonts w:hint="eastAsia" w:ascii="宋体" w:hAnsi="宋体" w:cs="宋体"/>
          <w:b/>
          <w:color w:val="auto"/>
          <w:sz w:val="28"/>
          <w:szCs w:val="28"/>
          <w:highlight w:val="none"/>
        </w:rPr>
        <w:t>1.商务技术文件封面的格式（参照此格式自拟）：</w:t>
      </w:r>
      <w:bookmarkEnd w:id="179"/>
    </w:p>
    <w:p w14:paraId="3A2BE87B">
      <w:pPr>
        <w:snapToGrid w:val="0"/>
        <w:spacing w:beforeLines="50" w:after="50" w:line="264" w:lineRule="auto"/>
        <w:rPr>
          <w:rFonts w:ascii="宋体" w:hAnsi="宋体" w:cs="宋体"/>
          <w:color w:val="auto"/>
          <w:sz w:val="24"/>
          <w:highlight w:val="none"/>
        </w:rPr>
      </w:pPr>
    </w:p>
    <w:p w14:paraId="2830E5EB">
      <w:pPr>
        <w:snapToGrid w:val="0"/>
        <w:spacing w:beforeLines="50" w:after="50" w:line="264" w:lineRule="auto"/>
        <w:ind w:firstLine="6720" w:firstLineChars="3200"/>
        <w:rPr>
          <w:rFonts w:ascii="宋体" w:hAnsi="宋体" w:cs="宋体"/>
          <w:bCs/>
          <w:color w:val="auto"/>
          <w:sz w:val="32"/>
          <w:szCs w:val="20"/>
          <w:highlight w:val="none"/>
        </w:rPr>
      </w:pPr>
      <w:r>
        <w:rPr>
          <w:rFonts w:hint="eastAsia" w:ascii="宋体" w:hAnsi="宋体" w:cs="宋体"/>
          <w:bCs/>
          <w:color w:val="auto"/>
          <w:highlight w:val="none"/>
        </w:rPr>
        <w:t>全流程电子文件</w:t>
      </w:r>
    </w:p>
    <w:p w14:paraId="38C6500B">
      <w:pPr>
        <w:snapToGrid w:val="0"/>
        <w:spacing w:beforeLines="50" w:after="50" w:line="264" w:lineRule="auto"/>
        <w:rPr>
          <w:rFonts w:ascii="宋体" w:hAnsi="宋体" w:cs="宋体"/>
          <w:color w:val="auto"/>
          <w:sz w:val="24"/>
          <w:szCs w:val="20"/>
          <w:highlight w:val="none"/>
        </w:rPr>
      </w:pPr>
    </w:p>
    <w:p w14:paraId="4B473F2F">
      <w:pPr>
        <w:snapToGrid w:val="0"/>
        <w:spacing w:beforeLines="50" w:after="50" w:line="264" w:lineRule="auto"/>
        <w:rPr>
          <w:rFonts w:ascii="宋体" w:hAnsi="宋体" w:cs="宋体"/>
          <w:color w:val="auto"/>
          <w:sz w:val="24"/>
          <w:szCs w:val="20"/>
          <w:highlight w:val="none"/>
        </w:rPr>
      </w:pPr>
    </w:p>
    <w:p w14:paraId="71CB3CFF">
      <w:pPr>
        <w:snapToGrid w:val="0"/>
        <w:spacing w:beforeLines="50" w:after="50" w:line="264" w:lineRule="auto"/>
        <w:rPr>
          <w:rFonts w:ascii="宋体" w:hAnsi="宋体" w:cs="宋体"/>
          <w:color w:val="auto"/>
          <w:sz w:val="24"/>
          <w:szCs w:val="20"/>
          <w:highlight w:val="none"/>
        </w:rPr>
      </w:pPr>
    </w:p>
    <w:p w14:paraId="0CD33E2E">
      <w:pPr>
        <w:snapToGrid w:val="0"/>
        <w:spacing w:beforeLines="50" w:after="50" w:line="264"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  务  技  术  文  件</w:t>
      </w:r>
    </w:p>
    <w:p w14:paraId="47E86AED">
      <w:pPr>
        <w:snapToGrid w:val="0"/>
        <w:spacing w:beforeLines="50" w:after="50" w:line="264" w:lineRule="auto"/>
        <w:rPr>
          <w:rFonts w:ascii="宋体" w:hAnsi="宋体" w:cs="宋体"/>
          <w:bCs/>
          <w:color w:val="auto"/>
          <w:sz w:val="24"/>
          <w:szCs w:val="20"/>
          <w:highlight w:val="none"/>
        </w:rPr>
      </w:pPr>
    </w:p>
    <w:p w14:paraId="16568D2B">
      <w:pPr>
        <w:snapToGrid w:val="0"/>
        <w:spacing w:beforeLines="50" w:after="50" w:line="264" w:lineRule="auto"/>
        <w:rPr>
          <w:rFonts w:ascii="宋体" w:hAnsi="宋体" w:cs="宋体"/>
          <w:bCs/>
          <w:color w:val="auto"/>
          <w:sz w:val="24"/>
          <w:szCs w:val="20"/>
          <w:highlight w:val="none"/>
        </w:rPr>
      </w:pPr>
    </w:p>
    <w:p w14:paraId="09DC7BA7">
      <w:pPr>
        <w:snapToGrid w:val="0"/>
        <w:spacing w:beforeLines="50" w:after="50" w:line="264" w:lineRule="auto"/>
        <w:rPr>
          <w:rFonts w:ascii="宋体" w:hAnsi="宋体" w:cs="宋体"/>
          <w:bCs/>
          <w:color w:val="auto"/>
          <w:sz w:val="24"/>
          <w:szCs w:val="20"/>
          <w:highlight w:val="none"/>
        </w:rPr>
      </w:pPr>
    </w:p>
    <w:p w14:paraId="1C849E8C">
      <w:pPr>
        <w:snapToGrid w:val="0"/>
        <w:spacing w:beforeLines="50" w:after="50" w:line="264" w:lineRule="auto"/>
        <w:rPr>
          <w:rFonts w:ascii="宋体" w:hAnsi="宋体" w:cs="宋体"/>
          <w:bCs/>
          <w:color w:val="auto"/>
          <w:sz w:val="24"/>
          <w:szCs w:val="20"/>
          <w:highlight w:val="none"/>
        </w:rPr>
      </w:pPr>
    </w:p>
    <w:p w14:paraId="45478EE2">
      <w:pPr>
        <w:snapToGrid w:val="0"/>
        <w:spacing w:beforeLines="50" w:after="50" w:line="264" w:lineRule="auto"/>
        <w:rPr>
          <w:rFonts w:ascii="宋体" w:hAnsi="宋体" w:cs="宋体"/>
          <w:bCs/>
          <w:color w:val="auto"/>
          <w:sz w:val="24"/>
          <w:szCs w:val="20"/>
          <w:highlight w:val="none"/>
        </w:rPr>
      </w:pPr>
    </w:p>
    <w:p w14:paraId="6515DB1E">
      <w:pPr>
        <w:snapToGrid w:val="0"/>
        <w:spacing w:beforeLines="50" w:after="50" w:line="264"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1041B521">
      <w:pPr>
        <w:snapToGrid w:val="0"/>
        <w:spacing w:beforeLines="50" w:after="50" w:line="264" w:lineRule="auto"/>
        <w:ind w:firstLine="720" w:firstLineChars="225"/>
        <w:rPr>
          <w:rFonts w:ascii="宋体" w:hAnsi="宋体" w:cs="宋体"/>
          <w:bCs/>
          <w:color w:val="auto"/>
          <w:sz w:val="32"/>
          <w:szCs w:val="32"/>
          <w:highlight w:val="none"/>
        </w:rPr>
      </w:pPr>
    </w:p>
    <w:p w14:paraId="26DF039D">
      <w:pPr>
        <w:snapToGrid w:val="0"/>
        <w:spacing w:beforeLines="50" w:after="50" w:line="264"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443F1788">
      <w:pPr>
        <w:snapToGrid w:val="0"/>
        <w:spacing w:beforeLines="50" w:after="50" w:line="264" w:lineRule="auto"/>
        <w:ind w:firstLine="720" w:firstLineChars="225"/>
        <w:rPr>
          <w:rFonts w:ascii="宋体" w:hAnsi="宋体" w:cs="宋体"/>
          <w:bCs/>
          <w:color w:val="auto"/>
          <w:sz w:val="32"/>
          <w:szCs w:val="32"/>
          <w:highlight w:val="none"/>
        </w:rPr>
      </w:pPr>
    </w:p>
    <w:p w14:paraId="0B0F2FD5">
      <w:pPr>
        <w:snapToGrid w:val="0"/>
        <w:spacing w:beforeLines="50" w:after="50" w:line="264"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3B0B2719">
      <w:pPr>
        <w:snapToGrid w:val="0"/>
        <w:spacing w:beforeLines="50" w:after="50" w:line="264" w:lineRule="auto"/>
        <w:ind w:firstLine="720" w:firstLineChars="225"/>
        <w:rPr>
          <w:rFonts w:ascii="宋体" w:hAnsi="宋体" w:cs="宋体"/>
          <w:bCs/>
          <w:color w:val="auto"/>
          <w:sz w:val="32"/>
          <w:szCs w:val="32"/>
          <w:highlight w:val="none"/>
        </w:rPr>
      </w:pPr>
    </w:p>
    <w:p w14:paraId="5DDAA0E3">
      <w:pPr>
        <w:pStyle w:val="10"/>
        <w:snapToGrid w:val="0"/>
        <w:spacing w:before="50" w:after="50" w:line="264"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0DA6A2CB">
      <w:pPr>
        <w:pStyle w:val="10"/>
        <w:snapToGrid w:val="0"/>
        <w:spacing w:before="50" w:after="50" w:line="264" w:lineRule="auto"/>
        <w:ind w:firstLine="720" w:firstLineChars="225"/>
        <w:rPr>
          <w:rFonts w:ascii="宋体" w:hAnsi="宋体" w:cs="宋体"/>
          <w:bCs/>
          <w:color w:val="auto"/>
          <w:sz w:val="32"/>
          <w:szCs w:val="32"/>
          <w:highlight w:val="none"/>
        </w:rPr>
      </w:pPr>
    </w:p>
    <w:p w14:paraId="67AEBB87">
      <w:pPr>
        <w:pStyle w:val="10"/>
        <w:snapToGrid w:val="0"/>
        <w:spacing w:before="50" w:after="50" w:line="264" w:lineRule="auto"/>
        <w:ind w:firstLine="720" w:firstLineChars="225"/>
        <w:rPr>
          <w:rFonts w:ascii="宋体" w:hAnsi="宋体" w:cs="宋体"/>
          <w:bCs/>
          <w:color w:val="auto"/>
          <w:sz w:val="32"/>
          <w:szCs w:val="32"/>
          <w:highlight w:val="none"/>
        </w:rPr>
      </w:pPr>
    </w:p>
    <w:p w14:paraId="7F8312DE">
      <w:pPr>
        <w:pStyle w:val="10"/>
        <w:snapToGrid w:val="0"/>
        <w:spacing w:before="50" w:after="50" w:line="264" w:lineRule="auto"/>
        <w:ind w:firstLine="1280" w:firstLineChars="400"/>
        <w:rPr>
          <w:rFonts w:ascii="宋体" w:hAnsi="宋体" w:cs="宋体"/>
          <w:bCs/>
          <w:color w:val="auto"/>
          <w:sz w:val="32"/>
          <w:szCs w:val="32"/>
          <w:highlight w:val="none"/>
        </w:rPr>
      </w:pPr>
    </w:p>
    <w:p w14:paraId="17C3206D">
      <w:pPr>
        <w:snapToGrid w:val="0"/>
        <w:spacing w:beforeLines="50" w:after="50" w:line="264"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44591B03">
      <w:pPr>
        <w:snapToGrid w:val="0"/>
        <w:spacing w:beforeLines="50" w:after="50" w:line="264" w:lineRule="auto"/>
        <w:ind w:left="142" w:firstLine="643" w:firstLineChars="200"/>
        <w:jc w:val="left"/>
        <w:rPr>
          <w:rFonts w:ascii="宋体" w:hAnsi="宋体" w:cs="宋体"/>
          <w:b/>
          <w:bCs/>
          <w:color w:val="auto"/>
          <w:sz w:val="32"/>
          <w:szCs w:val="32"/>
          <w:highlight w:val="none"/>
        </w:rPr>
        <w:sectPr>
          <w:pgSz w:w="11911" w:h="16838"/>
          <w:pgMar w:top="1134" w:right="1134" w:bottom="1134" w:left="1134" w:header="720" w:footer="720" w:gutter="0"/>
          <w:cols w:space="720" w:num="1"/>
        </w:sectPr>
      </w:pPr>
    </w:p>
    <w:p w14:paraId="08F1C5A7">
      <w:pPr>
        <w:spacing w:line="360" w:lineRule="auto"/>
        <w:ind w:right="420"/>
        <w:outlineLvl w:val="2"/>
        <w:rPr>
          <w:rFonts w:ascii="宋体" w:hAnsi="宋体" w:cs="宋体"/>
          <w:color w:val="auto"/>
          <w:sz w:val="24"/>
          <w:szCs w:val="20"/>
          <w:highlight w:val="none"/>
        </w:rPr>
      </w:pPr>
      <w:bookmarkStart w:id="180" w:name="_Toc20878"/>
      <w:r>
        <w:rPr>
          <w:rFonts w:hint="eastAsia" w:ascii="宋体" w:hAnsi="宋体" w:cs="宋体"/>
          <w:b/>
          <w:bCs/>
          <w:color w:val="auto"/>
          <w:sz w:val="28"/>
          <w:szCs w:val="28"/>
          <w:highlight w:val="none"/>
        </w:rPr>
        <w:t>2.商务技术文件目录</w:t>
      </w:r>
      <w:bookmarkEnd w:id="180"/>
    </w:p>
    <w:p w14:paraId="37204017">
      <w:pPr>
        <w:spacing w:line="360" w:lineRule="auto"/>
        <w:rPr>
          <w:rFonts w:ascii="宋体" w:hAnsi="宋体" w:cs="宋体"/>
          <w:color w:val="auto"/>
          <w:sz w:val="32"/>
          <w:szCs w:val="32"/>
          <w:highlight w:val="none"/>
        </w:rPr>
      </w:pPr>
      <w:r>
        <w:rPr>
          <w:rFonts w:hint="eastAsia" w:ascii="宋体" w:hAnsi="宋体" w:cs="宋体"/>
          <w:color w:val="auto"/>
          <w:kern w:val="0"/>
          <w:sz w:val="24"/>
          <w:highlight w:val="none"/>
        </w:rPr>
        <w:t>根据竞争性磋商文件规定及供应商提供的材料自行编写目录（部分格式后附）。</w:t>
      </w:r>
    </w:p>
    <w:p w14:paraId="7A484C18">
      <w:pPr>
        <w:spacing w:line="360" w:lineRule="auto"/>
        <w:jc w:val="left"/>
        <w:outlineLvl w:val="2"/>
        <w:rPr>
          <w:rFonts w:ascii="宋体" w:hAnsi="宋体" w:cs="宋体"/>
          <w:color w:val="auto"/>
          <w:sz w:val="28"/>
          <w:szCs w:val="28"/>
          <w:highlight w:val="none"/>
        </w:rPr>
      </w:pPr>
      <w:r>
        <w:rPr>
          <w:rFonts w:hint="eastAsia" w:ascii="宋体" w:hAnsi="宋体" w:cs="宋体"/>
          <w:color w:val="auto"/>
          <w:sz w:val="44"/>
          <w:szCs w:val="44"/>
          <w:highlight w:val="none"/>
        </w:rPr>
        <w:br w:type="page"/>
      </w:r>
      <w:bookmarkStart w:id="181" w:name="_Toc26183"/>
      <w:r>
        <w:rPr>
          <w:rFonts w:hint="eastAsia" w:ascii="宋体" w:hAnsi="宋体" w:cs="宋体"/>
          <w:b/>
          <w:color w:val="auto"/>
          <w:sz w:val="28"/>
          <w:szCs w:val="28"/>
          <w:highlight w:val="none"/>
        </w:rPr>
        <w:t>3.无串通竞标行为的承诺函的格式：</w:t>
      </w:r>
      <w:bookmarkEnd w:id="181"/>
    </w:p>
    <w:p w14:paraId="3DC31977">
      <w:pPr>
        <w:spacing w:line="288" w:lineRule="auto"/>
        <w:jc w:val="center"/>
        <w:rPr>
          <w:rFonts w:ascii="宋体" w:hAnsi="宋体" w:cs="宋体"/>
          <w:color w:val="auto"/>
          <w:sz w:val="44"/>
          <w:szCs w:val="44"/>
          <w:highlight w:val="none"/>
        </w:rPr>
      </w:pPr>
    </w:p>
    <w:p w14:paraId="6A37DD57">
      <w:pPr>
        <w:spacing w:line="288" w:lineRule="auto"/>
        <w:jc w:val="center"/>
        <w:outlineLvl w:val="3"/>
        <w:rPr>
          <w:rFonts w:ascii="宋体" w:hAnsi="宋体" w:cs="宋体"/>
          <w:b/>
          <w:bCs/>
          <w:color w:val="auto"/>
          <w:sz w:val="32"/>
          <w:szCs w:val="32"/>
          <w:highlight w:val="none"/>
        </w:rPr>
      </w:pPr>
      <w:r>
        <w:rPr>
          <w:rFonts w:hint="eastAsia" w:ascii="宋体" w:hAnsi="宋体" w:cs="宋体"/>
          <w:b/>
          <w:bCs/>
          <w:color w:val="auto"/>
          <w:sz w:val="32"/>
          <w:szCs w:val="32"/>
          <w:highlight w:val="none"/>
        </w:rPr>
        <w:t>无串通竞标行为的承诺函</w:t>
      </w:r>
    </w:p>
    <w:p w14:paraId="11A7E58F">
      <w:pPr>
        <w:spacing w:line="288" w:lineRule="auto"/>
        <w:ind w:firstLine="640" w:firstLineChars="200"/>
        <w:rPr>
          <w:rFonts w:ascii="宋体" w:hAnsi="宋体" w:cs="宋体"/>
          <w:color w:val="auto"/>
          <w:sz w:val="32"/>
          <w:szCs w:val="32"/>
          <w:highlight w:val="none"/>
        </w:rPr>
      </w:pPr>
    </w:p>
    <w:p w14:paraId="155246EA">
      <w:pPr>
        <w:spacing w:line="288" w:lineRule="auto"/>
        <w:ind w:firstLine="482" w:firstLineChars="200"/>
        <w:contextualSpacing/>
        <w:outlineLvl w:val="3"/>
        <w:rPr>
          <w:rFonts w:ascii="宋体" w:hAnsi="宋体" w:cs="宋体"/>
          <w:b/>
          <w:bCs/>
          <w:color w:val="auto"/>
          <w:sz w:val="24"/>
          <w:highlight w:val="none"/>
        </w:rPr>
      </w:pPr>
      <w:r>
        <w:rPr>
          <w:rFonts w:hint="eastAsia" w:ascii="宋体" w:hAnsi="宋体" w:cs="宋体"/>
          <w:b/>
          <w:bCs/>
          <w:color w:val="auto"/>
          <w:sz w:val="24"/>
          <w:highlight w:val="none"/>
        </w:rPr>
        <w:t>一、我方承诺无下列相互串通竞标的情形：</w:t>
      </w:r>
    </w:p>
    <w:p w14:paraId="552AF399">
      <w:pPr>
        <w:spacing w:line="288"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1.不同供应商的响应文件由同一单位或者个人编制；</w:t>
      </w:r>
      <w:r>
        <w:rPr>
          <w:rFonts w:hint="eastAsia" w:ascii="宋体" w:hAnsi="宋体" w:cs="宋体"/>
          <w:b/>
          <w:bCs/>
          <w:color w:val="auto"/>
          <w:szCs w:val="21"/>
          <w:highlight w:val="none"/>
        </w:rPr>
        <w:t xml:space="preserve">或不同供应商报名的IP地址一致的； </w:t>
      </w:r>
    </w:p>
    <w:p w14:paraId="0A9C41BE">
      <w:pPr>
        <w:spacing w:line="288"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2.不同供应商委托同一单位或者个人办理竞标事宜；</w:t>
      </w:r>
    </w:p>
    <w:p w14:paraId="365AB8D9">
      <w:pPr>
        <w:spacing w:line="288"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3.不同供应商的响应文件载明的项目管理员为同一个人；</w:t>
      </w:r>
    </w:p>
    <w:p w14:paraId="40BFB2BB">
      <w:pPr>
        <w:spacing w:line="288"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4.不</w:t>
      </w:r>
      <w:r>
        <w:rPr>
          <w:rFonts w:hint="eastAsia" w:ascii="宋体" w:hAnsi="宋体" w:cs="宋体"/>
          <w:color w:val="auto"/>
          <w:spacing w:val="-6"/>
          <w:sz w:val="24"/>
          <w:highlight w:val="none"/>
        </w:rPr>
        <w:t>同供应商的响应文件异常一致或者响应报价呈规律性差异；</w:t>
      </w:r>
    </w:p>
    <w:p w14:paraId="39F5C78A">
      <w:pPr>
        <w:spacing w:line="288"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5.不同供应商的响应文件相互混装；</w:t>
      </w:r>
    </w:p>
    <w:p w14:paraId="1FC4FFB4">
      <w:pPr>
        <w:pStyle w:val="2"/>
        <w:spacing w:line="288" w:lineRule="auto"/>
        <w:ind w:firstLine="480" w:firstLineChars="200"/>
        <w:rPr>
          <w:rFonts w:ascii="宋体" w:hAnsi="宋体" w:cs="宋体"/>
          <w:color w:val="auto"/>
          <w:highlight w:val="none"/>
        </w:rPr>
      </w:pPr>
      <w:r>
        <w:rPr>
          <w:rFonts w:hint="eastAsia" w:ascii="宋体" w:hAnsi="宋体" w:cs="宋体"/>
          <w:color w:val="auto"/>
          <w:sz w:val="24"/>
          <w:highlight w:val="none"/>
        </w:rPr>
        <w:t>6.不同供应商的磋商保证金从同一单位或者个人账户转出。</w:t>
      </w:r>
    </w:p>
    <w:p w14:paraId="2E01FC30">
      <w:pPr>
        <w:spacing w:line="288" w:lineRule="auto"/>
        <w:ind w:firstLine="482" w:firstLineChars="200"/>
        <w:contextualSpacing/>
        <w:outlineLvl w:val="3"/>
        <w:rPr>
          <w:rFonts w:ascii="宋体" w:hAnsi="宋体" w:cs="宋体"/>
          <w:b/>
          <w:bCs/>
          <w:color w:val="auto"/>
          <w:sz w:val="24"/>
          <w:highlight w:val="none"/>
        </w:rPr>
      </w:pPr>
      <w:r>
        <w:rPr>
          <w:rFonts w:hint="eastAsia" w:ascii="宋体" w:hAnsi="宋体" w:cs="宋体"/>
          <w:b/>
          <w:bCs/>
          <w:color w:val="auto"/>
          <w:sz w:val="24"/>
          <w:highlight w:val="none"/>
        </w:rPr>
        <w:t>二、我方承诺无下列恶意串通的情形：</w:t>
      </w:r>
    </w:p>
    <w:p w14:paraId="53BF819C">
      <w:pPr>
        <w:spacing w:line="288"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14:paraId="5481A56E">
      <w:pPr>
        <w:spacing w:line="288"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14:paraId="0589CAF7">
      <w:pPr>
        <w:spacing w:line="288" w:lineRule="auto"/>
        <w:ind w:firstLine="480" w:firstLineChars="200"/>
        <w:contextualSpacing/>
        <w:outlineLvl w:val="2"/>
        <w:rPr>
          <w:rFonts w:ascii="宋体" w:hAnsi="宋体" w:cs="宋体"/>
          <w:color w:val="auto"/>
          <w:sz w:val="24"/>
          <w:highlight w:val="none"/>
        </w:rPr>
      </w:pPr>
      <w:bookmarkStart w:id="182" w:name="_Toc23661"/>
      <w:r>
        <w:rPr>
          <w:rFonts w:hint="eastAsia" w:ascii="宋体" w:hAnsi="宋体" w:cs="宋体"/>
          <w:color w:val="auto"/>
          <w:sz w:val="24"/>
          <w:highlight w:val="none"/>
        </w:rPr>
        <w:t>3.供</w:t>
      </w:r>
      <w:r>
        <w:rPr>
          <w:rFonts w:hint="eastAsia" w:ascii="宋体" w:hAnsi="宋体" w:cs="宋体"/>
          <w:color w:val="auto"/>
          <w:spacing w:val="-6"/>
          <w:sz w:val="24"/>
          <w:highlight w:val="none"/>
        </w:rPr>
        <w:t>应商之间协商报价、技术方案等响应文件的实质性内容；</w:t>
      </w:r>
      <w:bookmarkEnd w:id="182"/>
    </w:p>
    <w:p w14:paraId="1DB0CF2F">
      <w:pPr>
        <w:spacing w:line="288"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14:paraId="3AB9EF87">
      <w:pPr>
        <w:spacing w:line="288"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1FC2A513">
      <w:pPr>
        <w:spacing w:line="288"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14:paraId="5413704D">
      <w:pPr>
        <w:spacing w:line="288"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14:paraId="6BB9BD33">
      <w:pPr>
        <w:spacing w:line="288" w:lineRule="auto"/>
        <w:ind w:firstLine="480" w:firstLineChars="200"/>
        <w:contextualSpacing/>
        <w:rPr>
          <w:rFonts w:ascii="宋体" w:hAnsi="宋体" w:cs="宋体"/>
          <w:color w:val="auto"/>
          <w:sz w:val="24"/>
          <w:highlight w:val="none"/>
        </w:rPr>
      </w:pPr>
    </w:p>
    <w:p w14:paraId="3330E651">
      <w:pPr>
        <w:spacing w:line="288"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以上情形一经核查属实，接受政府采购监管部门对我方认定存在围标串标行为，我方愿意承担一切后果，并不再寻求任何旨在减轻或者免除法律责任的辩解。</w:t>
      </w:r>
    </w:p>
    <w:p w14:paraId="694BB42E">
      <w:pPr>
        <w:pStyle w:val="18"/>
        <w:spacing w:line="288" w:lineRule="auto"/>
        <w:rPr>
          <w:rFonts w:ascii="宋体" w:hAnsi="宋体" w:cs="宋体"/>
          <w:b/>
          <w:bCs/>
          <w:color w:val="auto"/>
          <w:sz w:val="24"/>
          <w:highlight w:val="none"/>
        </w:rPr>
      </w:pPr>
    </w:p>
    <w:p w14:paraId="6A0A2742">
      <w:pPr>
        <w:pStyle w:val="18"/>
        <w:spacing w:line="288" w:lineRule="auto"/>
        <w:rPr>
          <w:rFonts w:ascii="宋体" w:hAnsi="宋体" w:cs="宋体"/>
          <w:b/>
          <w:bCs/>
          <w:color w:val="auto"/>
          <w:sz w:val="24"/>
          <w:highlight w:val="none"/>
        </w:rPr>
      </w:pPr>
    </w:p>
    <w:p w14:paraId="33EBA4F5">
      <w:pPr>
        <w:autoSpaceDE w:val="0"/>
        <w:autoSpaceDN w:val="0"/>
        <w:spacing w:line="288"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r>
        <w:rPr>
          <w:rFonts w:hint="eastAsia" w:ascii="宋体" w:hAnsi="宋体" w:cs="宋体"/>
          <w:b/>
          <w:bCs/>
          <w:color w:val="auto"/>
          <w:sz w:val="24"/>
          <w:highlight w:val="none"/>
        </w:rPr>
        <w:t>或CA电子签章</w:t>
      </w:r>
      <w:r>
        <w:rPr>
          <w:rFonts w:hint="eastAsia" w:ascii="宋体" w:hAnsi="宋体" w:cs="宋体"/>
          <w:color w:val="auto"/>
          <w:kern w:val="0"/>
          <w:sz w:val="24"/>
          <w:highlight w:val="none"/>
        </w:rPr>
        <w:t>）：</w:t>
      </w:r>
    </w:p>
    <w:p w14:paraId="252862C7">
      <w:pPr>
        <w:spacing w:line="288" w:lineRule="auto"/>
        <w:ind w:firstLine="5040" w:firstLineChars="2100"/>
        <w:jc w:val="left"/>
        <w:rPr>
          <w:rFonts w:ascii="宋体" w:hAnsi="宋体" w:cs="宋体"/>
          <w:b/>
          <w:bCs/>
          <w:color w:val="auto"/>
          <w:sz w:val="28"/>
          <w:szCs w:val="28"/>
          <w:highlight w:val="none"/>
        </w:rPr>
      </w:pPr>
      <w:r>
        <w:rPr>
          <w:rFonts w:hint="eastAsia" w:ascii="宋体" w:hAnsi="宋体" w:cs="宋体"/>
          <w:color w:val="auto"/>
          <w:kern w:val="0"/>
          <w:sz w:val="24"/>
          <w:highlight w:val="none"/>
          <w:lang w:val="zh-CN"/>
        </w:rPr>
        <w:t xml:space="preserve">日期：  年  月   日   </w:t>
      </w:r>
      <w:r>
        <w:rPr>
          <w:rFonts w:hint="eastAsia" w:ascii="宋体" w:hAnsi="宋体" w:cs="宋体"/>
          <w:b/>
          <w:bCs/>
          <w:color w:val="auto"/>
          <w:sz w:val="32"/>
          <w:szCs w:val="32"/>
          <w:highlight w:val="none"/>
        </w:rPr>
        <w:br w:type="page"/>
      </w:r>
      <w:r>
        <w:rPr>
          <w:rFonts w:hint="eastAsia" w:ascii="宋体" w:hAnsi="宋体" w:cs="宋体"/>
          <w:b/>
          <w:bCs/>
          <w:color w:val="auto"/>
          <w:sz w:val="28"/>
          <w:szCs w:val="28"/>
          <w:highlight w:val="none"/>
        </w:rPr>
        <w:t>4.法定代表人身份证明的格式：</w:t>
      </w:r>
    </w:p>
    <w:p w14:paraId="3BA9C2BA">
      <w:pPr>
        <w:spacing w:line="360" w:lineRule="auto"/>
        <w:jc w:val="center"/>
        <w:rPr>
          <w:rFonts w:ascii="宋体" w:hAnsi="宋体" w:cs="宋体"/>
          <w:color w:val="auto"/>
          <w:sz w:val="32"/>
          <w:szCs w:val="32"/>
          <w:highlight w:val="none"/>
        </w:rPr>
      </w:pPr>
      <w:r>
        <w:rPr>
          <w:rFonts w:hint="eastAsia" w:ascii="宋体" w:hAnsi="宋体" w:cs="宋体"/>
          <w:bCs/>
          <w:color w:val="auto"/>
          <w:sz w:val="32"/>
          <w:szCs w:val="32"/>
          <w:highlight w:val="none"/>
        </w:rPr>
        <w:t>法定代表人身份证明</w:t>
      </w:r>
    </w:p>
    <w:p w14:paraId="36684B3A">
      <w:pPr>
        <w:spacing w:line="360" w:lineRule="auto"/>
        <w:ind w:left="540"/>
        <w:contextualSpacing/>
        <w:rPr>
          <w:rFonts w:ascii="宋体" w:hAnsi="宋体" w:cs="宋体"/>
          <w:color w:val="auto"/>
          <w:sz w:val="32"/>
          <w:szCs w:val="32"/>
          <w:highlight w:val="none"/>
        </w:rPr>
      </w:pPr>
    </w:p>
    <w:p w14:paraId="16B0AD6A">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供应商名称：</w:t>
      </w:r>
    </w:p>
    <w:p w14:paraId="64F52359">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地    址：</w:t>
      </w:r>
    </w:p>
    <w:p w14:paraId="09DB9C89">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姓    名：性     别：</w:t>
      </w:r>
    </w:p>
    <w:p w14:paraId="7491DD72">
      <w:pPr>
        <w:spacing w:line="360" w:lineRule="auto"/>
        <w:ind w:left="540"/>
        <w:contextualSpacing/>
        <w:rPr>
          <w:rFonts w:ascii="宋体" w:hAnsi="宋体" w:cs="宋体"/>
          <w:color w:val="auto"/>
          <w:sz w:val="24"/>
          <w:highlight w:val="none"/>
          <w:u w:val="single"/>
        </w:rPr>
      </w:pPr>
      <w:r>
        <w:rPr>
          <w:rFonts w:hint="eastAsia" w:ascii="宋体" w:hAnsi="宋体" w:cs="宋体"/>
          <w:color w:val="auto"/>
          <w:sz w:val="24"/>
          <w:highlight w:val="none"/>
        </w:rPr>
        <w:t>年    龄：职     务：</w:t>
      </w:r>
    </w:p>
    <w:p w14:paraId="4CCDAFC4">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身份证号码：</w:t>
      </w:r>
    </w:p>
    <w:p w14:paraId="20F642D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14:paraId="1552C5BC">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特此证明。</w:t>
      </w:r>
    </w:p>
    <w:p w14:paraId="4C4A1F8E">
      <w:pPr>
        <w:spacing w:line="360" w:lineRule="auto"/>
        <w:ind w:left="540"/>
        <w:contextualSpacing/>
        <w:rPr>
          <w:rFonts w:ascii="宋体" w:hAnsi="宋体" w:cs="宋体"/>
          <w:color w:val="auto"/>
          <w:sz w:val="24"/>
          <w:highlight w:val="none"/>
        </w:rPr>
      </w:pPr>
    </w:p>
    <w:p w14:paraId="2EB6F304">
      <w:pPr>
        <w:spacing w:line="360" w:lineRule="auto"/>
        <w:ind w:left="540"/>
        <w:contextualSpacing/>
        <w:rPr>
          <w:rFonts w:ascii="宋体" w:hAnsi="宋体" w:cs="宋体"/>
          <w:color w:val="auto"/>
          <w:sz w:val="24"/>
          <w:highlight w:val="none"/>
        </w:rPr>
      </w:pPr>
    </w:p>
    <w:p w14:paraId="06E9F9F1">
      <w:pPr>
        <w:spacing w:line="360" w:lineRule="auto"/>
        <w:ind w:left="540"/>
        <w:contextualSpacing/>
        <w:rPr>
          <w:rFonts w:ascii="宋体" w:hAnsi="宋体" w:cs="宋体"/>
          <w:color w:val="auto"/>
          <w:sz w:val="24"/>
          <w:highlight w:val="none"/>
        </w:rPr>
      </w:pPr>
    </w:p>
    <w:p w14:paraId="624B4BEF">
      <w:pPr>
        <w:spacing w:line="360" w:lineRule="auto"/>
        <w:ind w:left="540"/>
        <w:contextualSpacing/>
        <w:outlineLvl w:val="3"/>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381DCCC1">
      <w:pPr>
        <w:spacing w:line="360" w:lineRule="auto"/>
        <w:ind w:left="540"/>
        <w:contextualSpacing/>
        <w:rPr>
          <w:rFonts w:ascii="宋体" w:hAnsi="宋体" w:cs="宋体"/>
          <w:color w:val="auto"/>
          <w:sz w:val="24"/>
          <w:highlight w:val="none"/>
        </w:rPr>
      </w:pPr>
    </w:p>
    <w:p w14:paraId="6F73F63B">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r>
        <w:rPr>
          <w:rFonts w:hint="eastAsia" w:ascii="宋体" w:hAnsi="宋体" w:cs="宋体"/>
          <w:b/>
          <w:bCs/>
          <w:color w:val="auto"/>
          <w:sz w:val="24"/>
          <w:highlight w:val="none"/>
        </w:rPr>
        <w:t>或CA电子签章</w:t>
      </w:r>
      <w:r>
        <w:rPr>
          <w:rFonts w:hint="eastAsia" w:ascii="宋体" w:hAnsi="宋体" w:cs="宋体"/>
          <w:color w:val="auto"/>
          <w:kern w:val="0"/>
          <w:sz w:val="24"/>
          <w:highlight w:val="none"/>
        </w:rPr>
        <w:t>）：</w:t>
      </w:r>
    </w:p>
    <w:p w14:paraId="280AF474">
      <w:pPr>
        <w:spacing w:line="360" w:lineRule="auto"/>
        <w:contextualSpacing/>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5FE903F9">
      <w:pPr>
        <w:spacing w:line="360" w:lineRule="auto"/>
        <w:contextualSpacing/>
        <w:jc w:val="left"/>
        <w:rPr>
          <w:rFonts w:ascii="宋体" w:hAnsi="宋体" w:cs="宋体"/>
          <w:color w:val="auto"/>
          <w:sz w:val="24"/>
          <w:highlight w:val="none"/>
        </w:rPr>
      </w:pPr>
    </w:p>
    <w:p w14:paraId="6EF15DEA">
      <w:pPr>
        <w:spacing w:line="360" w:lineRule="auto"/>
        <w:contextualSpacing/>
        <w:jc w:val="left"/>
        <w:rPr>
          <w:rFonts w:ascii="宋体" w:hAnsi="宋体" w:cs="宋体"/>
          <w:color w:val="auto"/>
          <w:sz w:val="24"/>
          <w:highlight w:val="none"/>
        </w:rPr>
      </w:pPr>
    </w:p>
    <w:p w14:paraId="5AAA206F">
      <w:p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注：</w:t>
      </w:r>
    </w:p>
    <w:p w14:paraId="39510545">
      <w:pPr>
        <w:spacing w:line="360" w:lineRule="auto"/>
        <w:ind w:firstLine="420" w:firstLineChars="200"/>
        <w:contextualSpacing/>
        <w:jc w:val="left"/>
        <w:outlineLvl w:val="2"/>
        <w:rPr>
          <w:rFonts w:ascii="宋体" w:hAnsi="宋体" w:cs="宋体"/>
          <w:color w:val="auto"/>
          <w:szCs w:val="21"/>
          <w:highlight w:val="none"/>
        </w:rPr>
      </w:pPr>
      <w:bookmarkStart w:id="183" w:name="_Toc762"/>
      <w:r>
        <w:rPr>
          <w:rFonts w:hint="eastAsia" w:ascii="宋体" w:hAnsi="宋体" w:cs="宋体"/>
          <w:color w:val="auto"/>
          <w:szCs w:val="21"/>
          <w:highlight w:val="none"/>
        </w:rPr>
        <w:t>1.自然人竞标的无需提供，联合体竞标的只需牵头人出具。</w:t>
      </w:r>
      <w:bookmarkEnd w:id="183"/>
    </w:p>
    <w:p w14:paraId="74F50922">
      <w:pPr>
        <w:spacing w:line="360" w:lineRule="auto"/>
        <w:ind w:firstLine="420" w:firstLineChars="200"/>
        <w:contextualSpacing/>
        <w:jc w:val="left"/>
        <w:rPr>
          <w:rFonts w:ascii="宋体" w:hAnsi="宋体" w:cs="宋体"/>
          <w:color w:val="auto"/>
          <w:szCs w:val="21"/>
          <w:highlight w:val="none"/>
        </w:rPr>
        <w:sectPr>
          <w:pgSz w:w="11911" w:h="16838"/>
          <w:pgMar w:top="1134" w:right="1134" w:bottom="1134" w:left="1134" w:header="720" w:footer="720" w:gutter="0"/>
          <w:cols w:space="720" w:num="1"/>
        </w:sectPr>
      </w:pPr>
      <w:r>
        <w:rPr>
          <w:rFonts w:hint="eastAsia" w:ascii="宋体" w:hAnsi="宋体" w:cs="宋体"/>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6"/>
        <w:tblpPr w:leftFromText="180" w:rightFromText="180" w:vertAnchor="text" w:horzAnchor="margin"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55377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vAlign w:val="top"/>
          </w:tcPr>
          <w:p w14:paraId="613E1692">
            <w:pPr>
              <w:spacing w:line="360" w:lineRule="auto"/>
              <w:rPr>
                <w:rFonts w:ascii="宋体" w:hAnsi="宋体" w:cs="宋体"/>
                <w:b/>
                <w:color w:val="auto"/>
                <w:sz w:val="24"/>
                <w:highlight w:val="none"/>
              </w:rPr>
            </w:pPr>
          </w:p>
          <w:p w14:paraId="1428DC00">
            <w:pPr>
              <w:spacing w:line="360" w:lineRule="auto"/>
              <w:rPr>
                <w:rFonts w:ascii="宋体" w:hAnsi="宋体" w:cs="宋体"/>
                <w:b/>
                <w:color w:val="auto"/>
                <w:sz w:val="24"/>
                <w:highlight w:val="none"/>
              </w:rPr>
            </w:pPr>
            <w:r>
              <w:rPr>
                <w:rFonts w:hint="eastAsia" w:ascii="宋体" w:hAnsi="宋体" w:cs="宋体"/>
                <w:b/>
                <w:color w:val="auto"/>
                <w:sz w:val="24"/>
                <w:highlight w:val="none"/>
              </w:rPr>
              <w:t>法定代表人身份证复印件粘贴处（正、反面）</w:t>
            </w:r>
          </w:p>
        </w:tc>
      </w:tr>
    </w:tbl>
    <w:p w14:paraId="30593DA5">
      <w:pPr>
        <w:spacing w:line="360" w:lineRule="auto"/>
        <w:ind w:firstLine="482" w:firstLineChars="200"/>
        <w:contextualSpacing/>
        <w:jc w:val="left"/>
        <w:rPr>
          <w:rFonts w:ascii="宋体" w:hAnsi="宋体" w:cs="宋体"/>
          <w:b/>
          <w:color w:val="auto"/>
          <w:sz w:val="32"/>
          <w:szCs w:val="32"/>
          <w:highlight w:val="none"/>
        </w:rPr>
      </w:pPr>
      <w:r>
        <w:rPr>
          <w:rFonts w:hint="eastAsia" w:ascii="宋体" w:hAnsi="宋体" w:cs="宋体"/>
          <w:b/>
          <w:color w:val="auto"/>
          <w:sz w:val="24"/>
          <w:highlight w:val="none"/>
        </w:rPr>
        <w:t>附件：</w:t>
      </w:r>
    </w:p>
    <w:p w14:paraId="77D3A3B7">
      <w:pPr>
        <w:adjustRightInd w:val="0"/>
        <w:snapToGrid w:val="0"/>
        <w:spacing w:line="360" w:lineRule="auto"/>
        <w:jc w:val="left"/>
        <w:rPr>
          <w:rFonts w:ascii="宋体" w:hAnsi="宋体" w:cs="宋体"/>
          <w:b/>
          <w:color w:val="auto"/>
          <w:szCs w:val="21"/>
          <w:highlight w:val="none"/>
        </w:rPr>
      </w:pPr>
    </w:p>
    <w:p w14:paraId="129CBB87">
      <w:pPr>
        <w:spacing w:line="360" w:lineRule="auto"/>
        <w:ind w:firstLine="880"/>
        <w:jc w:val="left"/>
        <w:rPr>
          <w:rFonts w:ascii="宋体" w:hAnsi="宋体" w:cs="宋体"/>
          <w:color w:val="auto"/>
          <w:szCs w:val="21"/>
          <w:highlight w:val="none"/>
        </w:rPr>
      </w:pPr>
    </w:p>
    <w:p w14:paraId="3CC3DD49">
      <w:pPr>
        <w:spacing w:line="360" w:lineRule="auto"/>
        <w:ind w:firstLine="880"/>
        <w:jc w:val="left"/>
        <w:rPr>
          <w:rFonts w:ascii="宋体" w:hAnsi="宋体" w:cs="宋体"/>
          <w:color w:val="auto"/>
          <w:szCs w:val="21"/>
          <w:highlight w:val="none"/>
        </w:rPr>
      </w:pPr>
    </w:p>
    <w:p w14:paraId="2E3BFBCE">
      <w:pPr>
        <w:spacing w:line="360" w:lineRule="auto"/>
        <w:ind w:firstLine="880"/>
        <w:jc w:val="left"/>
        <w:rPr>
          <w:rFonts w:ascii="宋体" w:hAnsi="宋体" w:cs="宋体"/>
          <w:color w:val="auto"/>
          <w:szCs w:val="21"/>
          <w:highlight w:val="none"/>
        </w:rPr>
      </w:pPr>
    </w:p>
    <w:p w14:paraId="79F0E569">
      <w:pPr>
        <w:spacing w:line="360" w:lineRule="auto"/>
        <w:ind w:firstLine="880"/>
        <w:jc w:val="left"/>
        <w:rPr>
          <w:rFonts w:ascii="宋体" w:hAnsi="宋体" w:cs="宋体"/>
          <w:color w:val="auto"/>
          <w:szCs w:val="21"/>
          <w:highlight w:val="none"/>
        </w:rPr>
      </w:pPr>
    </w:p>
    <w:p w14:paraId="0CBACF7B">
      <w:pPr>
        <w:spacing w:line="360" w:lineRule="auto"/>
        <w:ind w:firstLine="880"/>
        <w:jc w:val="left"/>
        <w:rPr>
          <w:rFonts w:ascii="宋体" w:hAnsi="宋体" w:cs="宋体"/>
          <w:color w:val="auto"/>
          <w:szCs w:val="21"/>
          <w:highlight w:val="none"/>
        </w:rPr>
      </w:pPr>
    </w:p>
    <w:p w14:paraId="374FE432">
      <w:pPr>
        <w:spacing w:line="360" w:lineRule="auto"/>
        <w:ind w:firstLine="880"/>
        <w:jc w:val="left"/>
        <w:rPr>
          <w:rFonts w:ascii="宋体" w:hAnsi="宋体" w:cs="宋体"/>
          <w:color w:val="auto"/>
          <w:szCs w:val="21"/>
          <w:highlight w:val="none"/>
        </w:rPr>
      </w:pPr>
    </w:p>
    <w:p w14:paraId="50A4F708">
      <w:pPr>
        <w:spacing w:line="360" w:lineRule="auto"/>
        <w:ind w:firstLine="880"/>
        <w:jc w:val="left"/>
        <w:rPr>
          <w:rFonts w:ascii="宋体" w:hAnsi="宋体" w:cs="宋体"/>
          <w:color w:val="auto"/>
          <w:szCs w:val="21"/>
          <w:highlight w:val="none"/>
        </w:rPr>
      </w:pPr>
    </w:p>
    <w:p w14:paraId="5092704C">
      <w:pPr>
        <w:spacing w:line="360" w:lineRule="auto"/>
        <w:ind w:firstLine="880"/>
        <w:jc w:val="left"/>
        <w:rPr>
          <w:rFonts w:ascii="宋体" w:hAnsi="宋体" w:cs="宋体"/>
          <w:color w:val="auto"/>
          <w:szCs w:val="21"/>
          <w:highlight w:val="none"/>
        </w:rPr>
      </w:pPr>
    </w:p>
    <w:p w14:paraId="6BE2FD9C">
      <w:pPr>
        <w:spacing w:line="360" w:lineRule="auto"/>
        <w:ind w:firstLine="880"/>
        <w:jc w:val="left"/>
        <w:rPr>
          <w:rFonts w:ascii="宋体" w:hAnsi="宋体" w:cs="宋体"/>
          <w:color w:val="auto"/>
          <w:szCs w:val="21"/>
          <w:highlight w:val="none"/>
        </w:rPr>
      </w:pPr>
    </w:p>
    <w:p w14:paraId="3166D905">
      <w:pPr>
        <w:spacing w:line="360" w:lineRule="auto"/>
        <w:ind w:firstLine="880"/>
        <w:jc w:val="left"/>
        <w:rPr>
          <w:rFonts w:ascii="宋体" w:hAnsi="宋体" w:cs="宋体"/>
          <w:color w:val="auto"/>
          <w:szCs w:val="21"/>
          <w:highlight w:val="none"/>
        </w:rPr>
      </w:pPr>
    </w:p>
    <w:p w14:paraId="6C4867B4">
      <w:pPr>
        <w:spacing w:line="360" w:lineRule="auto"/>
        <w:ind w:firstLine="880"/>
        <w:jc w:val="left"/>
        <w:rPr>
          <w:rFonts w:ascii="宋体" w:hAnsi="宋体" w:cs="宋体"/>
          <w:color w:val="auto"/>
          <w:szCs w:val="21"/>
          <w:highlight w:val="none"/>
        </w:rPr>
      </w:pPr>
    </w:p>
    <w:p w14:paraId="41B4C1B4">
      <w:pPr>
        <w:spacing w:line="360" w:lineRule="auto"/>
        <w:ind w:firstLine="880"/>
        <w:jc w:val="left"/>
        <w:rPr>
          <w:rFonts w:ascii="宋体" w:hAnsi="宋体" w:cs="宋体"/>
          <w:color w:val="auto"/>
          <w:szCs w:val="21"/>
          <w:highlight w:val="none"/>
        </w:rPr>
      </w:pPr>
    </w:p>
    <w:p w14:paraId="53A26EC9">
      <w:pPr>
        <w:spacing w:line="360" w:lineRule="auto"/>
        <w:ind w:firstLine="880"/>
        <w:jc w:val="left"/>
        <w:rPr>
          <w:rFonts w:ascii="宋体" w:hAnsi="宋体" w:cs="宋体"/>
          <w:color w:val="auto"/>
          <w:szCs w:val="21"/>
          <w:highlight w:val="none"/>
        </w:rPr>
      </w:pPr>
    </w:p>
    <w:p w14:paraId="61EB63D7">
      <w:pPr>
        <w:spacing w:line="360" w:lineRule="auto"/>
        <w:ind w:firstLine="880"/>
        <w:jc w:val="left"/>
        <w:rPr>
          <w:rFonts w:ascii="宋体" w:hAnsi="宋体" w:cs="宋体"/>
          <w:color w:val="auto"/>
          <w:szCs w:val="21"/>
          <w:highlight w:val="none"/>
        </w:rPr>
      </w:pPr>
    </w:p>
    <w:p w14:paraId="661CCF76">
      <w:pPr>
        <w:spacing w:line="360" w:lineRule="auto"/>
        <w:ind w:firstLine="880"/>
        <w:jc w:val="left"/>
        <w:rPr>
          <w:rFonts w:ascii="宋体" w:hAnsi="宋体" w:cs="宋体"/>
          <w:color w:val="auto"/>
          <w:szCs w:val="21"/>
          <w:highlight w:val="none"/>
        </w:rPr>
      </w:pPr>
    </w:p>
    <w:p w14:paraId="2955E5D5">
      <w:pPr>
        <w:spacing w:line="360" w:lineRule="auto"/>
        <w:ind w:firstLine="880"/>
        <w:jc w:val="left"/>
        <w:rPr>
          <w:rFonts w:ascii="宋体" w:hAnsi="宋体" w:cs="宋体"/>
          <w:color w:val="auto"/>
          <w:szCs w:val="21"/>
          <w:highlight w:val="none"/>
        </w:rPr>
      </w:pPr>
    </w:p>
    <w:p w14:paraId="370F8471">
      <w:pPr>
        <w:spacing w:line="360" w:lineRule="auto"/>
        <w:ind w:firstLine="880"/>
        <w:jc w:val="left"/>
        <w:rPr>
          <w:rFonts w:ascii="宋体" w:hAnsi="宋体" w:cs="宋体"/>
          <w:color w:val="auto"/>
          <w:szCs w:val="21"/>
          <w:highlight w:val="none"/>
        </w:rPr>
      </w:pPr>
    </w:p>
    <w:p w14:paraId="4EC7DB87">
      <w:pPr>
        <w:spacing w:line="360" w:lineRule="auto"/>
        <w:ind w:firstLine="880"/>
        <w:jc w:val="left"/>
        <w:rPr>
          <w:rFonts w:ascii="宋体" w:hAnsi="宋体" w:cs="宋体"/>
          <w:color w:val="auto"/>
          <w:szCs w:val="21"/>
          <w:highlight w:val="none"/>
        </w:rPr>
      </w:pPr>
    </w:p>
    <w:p w14:paraId="1DF95151">
      <w:pPr>
        <w:spacing w:line="360" w:lineRule="auto"/>
        <w:jc w:val="left"/>
        <w:outlineLvl w:val="2"/>
        <w:rPr>
          <w:rFonts w:ascii="宋体" w:hAnsi="宋体" w:cs="宋体"/>
          <w:bCs/>
          <w:color w:val="auto"/>
          <w:sz w:val="44"/>
          <w:szCs w:val="44"/>
          <w:highlight w:val="none"/>
        </w:rPr>
      </w:pPr>
      <w:r>
        <w:rPr>
          <w:rFonts w:hint="eastAsia" w:ascii="宋体" w:hAnsi="宋体" w:cs="宋体"/>
          <w:color w:val="auto"/>
          <w:sz w:val="44"/>
          <w:szCs w:val="44"/>
          <w:highlight w:val="none"/>
        </w:rPr>
        <w:br w:type="page"/>
      </w:r>
      <w:bookmarkStart w:id="184" w:name="_Toc17034"/>
      <w:r>
        <w:rPr>
          <w:rFonts w:hint="eastAsia" w:ascii="宋体" w:hAnsi="宋体" w:cs="宋体"/>
          <w:b/>
          <w:bCs/>
          <w:color w:val="auto"/>
          <w:sz w:val="28"/>
          <w:szCs w:val="28"/>
          <w:highlight w:val="none"/>
        </w:rPr>
        <w:t>5.法定代表人授权委托书的格式：</w:t>
      </w:r>
      <w:bookmarkEnd w:id="184"/>
    </w:p>
    <w:p w14:paraId="7A8ABBD8">
      <w:pPr>
        <w:spacing w:line="360" w:lineRule="auto"/>
        <w:jc w:val="center"/>
        <w:rPr>
          <w:rFonts w:ascii="宋体" w:hAnsi="宋体" w:cs="宋体"/>
          <w:color w:val="auto"/>
          <w:sz w:val="44"/>
          <w:szCs w:val="44"/>
          <w:highlight w:val="none"/>
        </w:rPr>
      </w:pPr>
    </w:p>
    <w:p w14:paraId="3A0B7341">
      <w:pPr>
        <w:spacing w:line="360" w:lineRule="auto"/>
        <w:jc w:val="center"/>
        <w:outlineLvl w:val="3"/>
        <w:rPr>
          <w:rFonts w:ascii="宋体" w:hAnsi="宋体" w:cs="宋体"/>
          <w:color w:val="auto"/>
          <w:sz w:val="32"/>
          <w:szCs w:val="32"/>
          <w:highlight w:val="none"/>
        </w:rPr>
      </w:pPr>
      <w:r>
        <w:rPr>
          <w:rFonts w:hint="eastAsia" w:ascii="宋体" w:hAnsi="宋体" w:cs="宋体"/>
          <w:color w:val="auto"/>
          <w:sz w:val="32"/>
          <w:szCs w:val="32"/>
          <w:highlight w:val="none"/>
        </w:rPr>
        <w:t>授权委托书（非联合体竞标格式）</w:t>
      </w:r>
    </w:p>
    <w:p w14:paraId="61ED6DDD">
      <w:pPr>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（如有委托时）</w:t>
      </w:r>
    </w:p>
    <w:p w14:paraId="349FBC2A">
      <w:pPr>
        <w:spacing w:line="360" w:lineRule="auto"/>
        <w:rPr>
          <w:rFonts w:ascii="宋体" w:hAnsi="宋体" w:cs="宋体"/>
          <w:color w:val="auto"/>
          <w:sz w:val="32"/>
          <w:szCs w:val="32"/>
          <w:highlight w:val="none"/>
        </w:rPr>
      </w:pPr>
    </w:p>
    <w:p w14:paraId="175623F0">
      <w:pPr>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4A1BA2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i/>
          <w:iCs/>
          <w:color w:val="auto"/>
          <w:sz w:val="24"/>
          <w:highlight w:val="none"/>
          <w:u w:val="single"/>
        </w:rPr>
        <w:t>（姓名）</w:t>
      </w:r>
      <w:r>
        <w:rPr>
          <w:rFonts w:hint="eastAsia" w:ascii="宋体" w:hAnsi="宋体" w:cs="宋体"/>
          <w:color w:val="auto"/>
          <w:sz w:val="24"/>
          <w:highlight w:val="none"/>
        </w:rPr>
        <w:t>系</w:t>
      </w:r>
      <w:r>
        <w:rPr>
          <w:rFonts w:hint="eastAsia" w:ascii="宋体" w:hAnsi="宋体" w:cs="宋体"/>
          <w:i/>
          <w:iCs/>
          <w:color w:val="auto"/>
          <w:sz w:val="24"/>
          <w:highlight w:val="none"/>
          <w:u w:val="single"/>
        </w:rPr>
        <w:t>（供应商名称）</w:t>
      </w:r>
      <w:r>
        <w:rPr>
          <w:rFonts w:hint="eastAsia" w:ascii="宋体" w:hAnsi="宋体" w:cs="宋体"/>
          <w:color w:val="auto"/>
          <w:sz w:val="24"/>
          <w:highlight w:val="none"/>
        </w:rPr>
        <w:t>的（</w:t>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w:t>
      </w:r>
      <w:r>
        <w:rPr>
          <w:rFonts w:hint="eastAsia" w:ascii="宋体" w:hAnsi="宋体" w:cs="宋体"/>
          <w:i/>
          <w:iCs/>
          <w:color w:val="auto"/>
          <w:sz w:val="24"/>
          <w:highlight w:val="none"/>
          <w:u w:val="single"/>
        </w:rPr>
        <w:t>（姓名）</w:t>
      </w:r>
      <w:r>
        <w:rPr>
          <w:rFonts w:hint="eastAsia" w:ascii="宋体" w:hAnsi="宋体" w:cs="宋体"/>
          <w:color w:val="auto"/>
          <w:sz w:val="24"/>
          <w:highlight w:val="none"/>
        </w:rPr>
        <w:t>以我方的名义参加</w:t>
      </w:r>
      <w:r>
        <w:rPr>
          <w:rFonts w:hint="eastAsia" w:ascii="宋体" w:hAnsi="宋体" w:cs="宋体"/>
          <w:i/>
          <w:iCs/>
          <w:color w:val="auto"/>
          <w:sz w:val="24"/>
          <w:highlight w:val="none"/>
          <w:u w:val="single"/>
        </w:rPr>
        <w:t>（项目名称）</w:t>
      </w:r>
      <w:r>
        <w:rPr>
          <w:rFonts w:hint="eastAsia" w:ascii="宋体" w:hAnsi="宋体" w:cs="宋体"/>
          <w:color w:val="auto"/>
          <w:sz w:val="24"/>
          <w:highlight w:val="none"/>
        </w:rPr>
        <w:t>项目的竞标活动，并代表我方全权办理针对上述项目的所有采购程序和环节的具体事务和签署相关文件。</w:t>
      </w:r>
    </w:p>
    <w:p w14:paraId="0E72C22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14:paraId="207D51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78D44E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68B735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附：委托代理人有效身份证正反面复印件</w:t>
      </w:r>
    </w:p>
    <w:p w14:paraId="6020F8A8">
      <w:pPr>
        <w:spacing w:line="360" w:lineRule="auto"/>
        <w:rPr>
          <w:rFonts w:ascii="宋体" w:hAnsi="宋体" w:cs="宋体"/>
          <w:color w:val="auto"/>
          <w:sz w:val="24"/>
          <w:highlight w:val="none"/>
        </w:rPr>
      </w:pPr>
    </w:p>
    <w:p w14:paraId="206C0C3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委托代理人（签字）：         法定代表人（签字或盖章）：                    </w:t>
      </w:r>
    </w:p>
    <w:p w14:paraId="7CFEEAC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委托代理人身份证号码：                              </w:t>
      </w:r>
    </w:p>
    <w:p w14:paraId="73454B88">
      <w:pPr>
        <w:spacing w:line="360" w:lineRule="auto"/>
        <w:rPr>
          <w:rFonts w:ascii="宋体" w:hAnsi="宋体" w:cs="宋体"/>
          <w:color w:val="auto"/>
          <w:sz w:val="24"/>
          <w:highlight w:val="none"/>
        </w:rPr>
      </w:pPr>
    </w:p>
    <w:p w14:paraId="43CA965B">
      <w:pPr>
        <w:spacing w:line="360" w:lineRule="auto"/>
        <w:rPr>
          <w:rFonts w:ascii="宋体" w:hAnsi="宋体" w:cs="宋体"/>
          <w:color w:val="auto"/>
          <w:sz w:val="24"/>
          <w:highlight w:val="none"/>
        </w:rPr>
      </w:pPr>
      <w:r>
        <w:rPr>
          <w:rFonts w:hint="eastAsia" w:ascii="宋体" w:hAnsi="宋体" w:cs="宋体"/>
          <w:color w:val="auto"/>
          <w:kern w:val="0"/>
          <w:sz w:val="24"/>
          <w:highlight w:val="none"/>
        </w:rPr>
        <w:t>供应商名称（盖公章</w:t>
      </w:r>
      <w:r>
        <w:rPr>
          <w:rFonts w:hint="eastAsia" w:ascii="宋体" w:hAnsi="宋体" w:cs="宋体"/>
          <w:b/>
          <w:bCs/>
          <w:color w:val="auto"/>
          <w:sz w:val="24"/>
          <w:highlight w:val="none"/>
        </w:rPr>
        <w:t>或CA电子签章</w:t>
      </w:r>
      <w:r>
        <w:rPr>
          <w:rFonts w:hint="eastAsia" w:ascii="宋体" w:hAnsi="宋体" w:cs="宋体"/>
          <w:color w:val="auto"/>
          <w:kern w:val="0"/>
          <w:sz w:val="24"/>
          <w:highlight w:val="none"/>
        </w:rPr>
        <w:t>）：</w:t>
      </w:r>
    </w:p>
    <w:p w14:paraId="6B34D769">
      <w:pPr>
        <w:spacing w:line="360" w:lineRule="auto"/>
        <w:contextualSpacing/>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396AB1EC">
      <w:pPr>
        <w:spacing w:line="360" w:lineRule="auto"/>
        <w:rPr>
          <w:rFonts w:ascii="宋体" w:hAnsi="宋体" w:cs="宋体"/>
          <w:color w:val="auto"/>
          <w:sz w:val="24"/>
          <w:highlight w:val="none"/>
        </w:rPr>
      </w:pPr>
    </w:p>
    <w:p w14:paraId="74C9AF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p>
    <w:p w14:paraId="3D622E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法定代表人和委托代理人必须在授权委托书上签字，</w:t>
      </w:r>
      <w:r>
        <w:rPr>
          <w:rFonts w:hint="eastAsia" w:ascii="宋体" w:hAnsi="宋体" w:cs="宋体"/>
          <w:b/>
          <w:color w:val="auto"/>
          <w:szCs w:val="21"/>
          <w:highlight w:val="none"/>
        </w:rPr>
        <w:t>否则其响应文件按无效响应处理。</w:t>
      </w:r>
    </w:p>
    <w:p w14:paraId="07EF2AA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F65D54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 法人、其他组织竞标时“我方”是指“我单位”，自然人竞标时“我方”是指“本人”。</w:t>
      </w:r>
    </w:p>
    <w:p w14:paraId="240608E2">
      <w:pPr>
        <w:spacing w:line="360" w:lineRule="auto"/>
        <w:jc w:val="center"/>
        <w:rPr>
          <w:rFonts w:ascii="宋体" w:hAnsi="宋体" w:cs="宋体"/>
          <w:b/>
          <w:bCs/>
          <w:color w:val="auto"/>
          <w:sz w:val="32"/>
          <w:szCs w:val="32"/>
          <w:highlight w:val="none"/>
        </w:rPr>
      </w:pPr>
      <w:r>
        <w:rPr>
          <w:rFonts w:hint="eastAsia" w:ascii="宋体" w:hAnsi="宋体" w:cs="宋体"/>
          <w:color w:val="auto"/>
          <w:szCs w:val="21"/>
          <w:highlight w:val="none"/>
        </w:rPr>
        <w:br w:type="page"/>
      </w:r>
      <w:r>
        <w:rPr>
          <w:rFonts w:hint="eastAsia" w:ascii="宋体" w:hAnsi="宋体" w:cs="宋体"/>
          <w:b/>
          <w:bCs/>
          <w:color w:val="auto"/>
          <w:sz w:val="32"/>
          <w:szCs w:val="32"/>
          <w:highlight w:val="none"/>
        </w:rPr>
        <w:t>授权委托书（联合体竞标格式）</w:t>
      </w:r>
    </w:p>
    <w:p w14:paraId="7D85690C">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（如有委托时）</w:t>
      </w:r>
    </w:p>
    <w:p w14:paraId="17B33A91">
      <w:pPr>
        <w:spacing w:line="360" w:lineRule="auto"/>
        <w:jc w:val="center"/>
        <w:rPr>
          <w:rFonts w:ascii="宋体" w:hAnsi="宋体" w:cs="宋体"/>
          <w:color w:val="auto"/>
          <w:sz w:val="44"/>
          <w:szCs w:val="44"/>
          <w:highlight w:val="none"/>
        </w:rPr>
      </w:pPr>
    </w:p>
    <w:p w14:paraId="4F352AE6">
      <w:pPr>
        <w:spacing w:line="360" w:lineRule="auto"/>
        <w:jc w:val="center"/>
        <w:rPr>
          <w:rFonts w:ascii="宋体" w:hAnsi="宋体" w:cs="宋体"/>
          <w:color w:val="auto"/>
          <w:sz w:val="32"/>
          <w:szCs w:val="32"/>
          <w:highlight w:val="none"/>
        </w:rPr>
      </w:pPr>
    </w:p>
    <w:p w14:paraId="5DDCBE1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本授权委托书声明：根据（牵头人名称）与（联合体其他成员名称）签订的《联合体竞标协议书》的内容，（牵头人名称）的法定代表人</w:t>
      </w:r>
      <w:r>
        <w:rPr>
          <w:rFonts w:hint="eastAsia" w:ascii="宋体" w:hAnsi="宋体" w:cs="宋体"/>
          <w:i/>
          <w:iCs/>
          <w:color w:val="auto"/>
          <w:sz w:val="24"/>
          <w:highlight w:val="none"/>
          <w:u w:val="single"/>
        </w:rPr>
        <w:t>（姓名）</w:t>
      </w:r>
      <w:r>
        <w:rPr>
          <w:rFonts w:hint="eastAsia" w:ascii="宋体" w:hAnsi="宋体" w:cs="宋体"/>
          <w:color w:val="auto"/>
          <w:sz w:val="24"/>
          <w:highlight w:val="none"/>
        </w:rPr>
        <w:t>现授权</w:t>
      </w:r>
      <w:r>
        <w:rPr>
          <w:rFonts w:hint="eastAsia" w:ascii="宋体" w:hAnsi="宋体" w:cs="宋体"/>
          <w:i/>
          <w:iCs/>
          <w:color w:val="auto"/>
          <w:sz w:val="24"/>
          <w:highlight w:val="none"/>
          <w:u w:val="single"/>
        </w:rPr>
        <w:t xml:space="preserve"> （姓名）</w:t>
      </w:r>
      <w:r>
        <w:rPr>
          <w:rFonts w:hint="eastAsia" w:ascii="宋体" w:hAnsi="宋体" w:cs="宋体"/>
          <w:color w:val="auto"/>
          <w:sz w:val="24"/>
          <w:highlight w:val="none"/>
        </w:rPr>
        <w:t>为联合委托代理人，并代表我方全权办理针对上述项目的所有采购程序和环节的具体事务和签署相关文件。</w:t>
      </w:r>
    </w:p>
    <w:p w14:paraId="40312B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我方对委托代理人的签字事项负全部责任。</w:t>
      </w:r>
    </w:p>
    <w:p w14:paraId="1DF879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38B122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125981D4">
      <w:pPr>
        <w:spacing w:line="360" w:lineRule="auto"/>
        <w:rPr>
          <w:rFonts w:ascii="宋体" w:hAnsi="宋体" w:cs="宋体"/>
          <w:color w:val="auto"/>
          <w:sz w:val="24"/>
          <w:highlight w:val="none"/>
        </w:rPr>
      </w:pPr>
    </w:p>
    <w:p w14:paraId="3FC4980D">
      <w:pPr>
        <w:spacing w:line="360" w:lineRule="auto"/>
        <w:ind w:firstLine="1560" w:firstLineChars="650"/>
        <w:rPr>
          <w:rFonts w:ascii="宋体" w:hAnsi="宋体" w:cs="宋体"/>
          <w:color w:val="auto"/>
          <w:sz w:val="24"/>
          <w:highlight w:val="none"/>
        </w:rPr>
      </w:pPr>
      <w:r>
        <w:rPr>
          <w:rFonts w:hint="eastAsia" w:ascii="宋体" w:hAnsi="宋体" w:cs="宋体"/>
          <w:color w:val="auto"/>
          <w:sz w:val="24"/>
          <w:highlight w:val="none"/>
        </w:rPr>
        <w:t>牵头人法定代表人（签字）：</w:t>
      </w:r>
    </w:p>
    <w:p w14:paraId="57C039D4">
      <w:pPr>
        <w:spacing w:line="360" w:lineRule="auto"/>
        <w:ind w:firstLine="3120" w:firstLineChars="1300"/>
        <w:rPr>
          <w:rFonts w:ascii="宋体" w:hAnsi="宋体" w:cs="宋体"/>
          <w:color w:val="auto"/>
          <w:sz w:val="24"/>
          <w:highlight w:val="none"/>
        </w:rPr>
      </w:pPr>
      <w:r>
        <w:rPr>
          <w:rFonts w:hint="eastAsia" w:ascii="宋体" w:hAnsi="宋体" w:cs="宋体"/>
          <w:color w:val="auto"/>
          <w:sz w:val="24"/>
          <w:highlight w:val="none"/>
        </w:rPr>
        <w:t>牵头人名称（盖公章）：</w:t>
      </w:r>
    </w:p>
    <w:p w14:paraId="592E174A">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日期：    年   月   日</w:t>
      </w:r>
    </w:p>
    <w:p w14:paraId="1DD184F0">
      <w:pPr>
        <w:spacing w:line="360" w:lineRule="auto"/>
        <w:rPr>
          <w:rFonts w:ascii="宋体" w:hAnsi="宋体" w:cs="宋体"/>
          <w:color w:val="auto"/>
          <w:sz w:val="24"/>
          <w:highlight w:val="none"/>
        </w:rPr>
      </w:pPr>
    </w:p>
    <w:p w14:paraId="29547B7E">
      <w:pPr>
        <w:spacing w:line="360" w:lineRule="auto"/>
        <w:ind w:firstLine="3120" w:firstLineChars="1300"/>
        <w:rPr>
          <w:rFonts w:ascii="宋体" w:hAnsi="宋体" w:cs="宋体"/>
          <w:color w:val="auto"/>
          <w:sz w:val="24"/>
          <w:highlight w:val="none"/>
        </w:rPr>
      </w:pPr>
      <w:r>
        <w:rPr>
          <w:rFonts w:hint="eastAsia" w:ascii="宋体" w:hAnsi="宋体" w:cs="宋体"/>
          <w:color w:val="auto"/>
          <w:sz w:val="24"/>
          <w:highlight w:val="none"/>
        </w:rPr>
        <w:t>委托代理人（签字）：</w:t>
      </w:r>
    </w:p>
    <w:p w14:paraId="59ECD7F2">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日期：    年   月   日</w:t>
      </w:r>
    </w:p>
    <w:p w14:paraId="75AA7DF7">
      <w:pPr>
        <w:spacing w:line="360" w:lineRule="auto"/>
        <w:rPr>
          <w:rFonts w:ascii="宋体" w:hAnsi="宋体" w:cs="宋体"/>
          <w:color w:val="auto"/>
          <w:sz w:val="24"/>
          <w:highlight w:val="none"/>
        </w:rPr>
      </w:pPr>
    </w:p>
    <w:p w14:paraId="0EF594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p>
    <w:p w14:paraId="012660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法定代表人和委托代理人必须在授权委托书上签字，</w:t>
      </w:r>
      <w:r>
        <w:rPr>
          <w:rFonts w:hint="eastAsia" w:ascii="宋体" w:hAnsi="宋体" w:cs="宋体"/>
          <w:b/>
          <w:color w:val="auto"/>
          <w:szCs w:val="21"/>
          <w:highlight w:val="none"/>
        </w:rPr>
        <w:t>否则其响应文件按无效响应处理。</w:t>
      </w:r>
    </w:p>
    <w:p w14:paraId="7D583388">
      <w:pPr>
        <w:spacing w:line="360" w:lineRule="auto"/>
        <w:ind w:firstLine="420" w:firstLineChars="200"/>
        <w:jc w:val="left"/>
        <w:outlineLvl w:val="2"/>
        <w:rPr>
          <w:rFonts w:ascii="宋体" w:hAnsi="宋体" w:cs="宋体"/>
          <w:color w:val="auto"/>
          <w:szCs w:val="21"/>
          <w:highlight w:val="none"/>
        </w:rPr>
      </w:pPr>
      <w:bookmarkStart w:id="185" w:name="_Toc16293"/>
      <w:r>
        <w:rPr>
          <w:rFonts w:hint="eastAsia" w:ascii="宋体" w:hAnsi="宋体" w:cs="宋体"/>
          <w:color w:val="auto"/>
          <w:szCs w:val="21"/>
          <w:highlight w:val="none"/>
        </w:rPr>
        <w:t>2.本授权委托书应由联合体牵头人的法定代表人按上述规定签署。</w:t>
      </w:r>
      <w:bookmarkEnd w:id="185"/>
    </w:p>
    <w:p w14:paraId="50C94E7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525A2DF">
      <w:pPr>
        <w:spacing w:line="360" w:lineRule="auto"/>
        <w:ind w:firstLine="420" w:firstLineChars="200"/>
        <w:jc w:val="left"/>
        <w:rPr>
          <w:rFonts w:ascii="宋体" w:hAnsi="宋体" w:cs="宋体"/>
          <w:color w:val="auto"/>
          <w:sz w:val="24"/>
          <w:highlight w:val="none"/>
        </w:rPr>
      </w:pPr>
      <w:r>
        <w:rPr>
          <w:rFonts w:hint="eastAsia" w:ascii="宋体" w:hAnsi="宋体" w:cs="宋体"/>
          <w:color w:val="auto"/>
          <w:szCs w:val="21"/>
          <w:highlight w:val="none"/>
        </w:rPr>
        <w:t>4.法人、其他组织竞标时“我方”是指“我单位”，自然人竞标时“我方”是指“本人”。</w:t>
      </w:r>
    </w:p>
    <w:p w14:paraId="235339F2">
      <w:pPr>
        <w:spacing w:line="360" w:lineRule="auto"/>
        <w:ind w:firstLine="420" w:firstLineChars="200"/>
        <w:jc w:val="left"/>
        <w:rPr>
          <w:rFonts w:ascii="宋体" w:hAnsi="宋体" w:cs="宋体"/>
          <w:color w:val="auto"/>
          <w:szCs w:val="21"/>
          <w:highlight w:val="none"/>
        </w:rPr>
      </w:pPr>
    </w:p>
    <w:p w14:paraId="1F276E1A">
      <w:pPr>
        <w:spacing w:line="360" w:lineRule="auto"/>
        <w:jc w:val="left"/>
        <w:outlineLvl w:val="2"/>
        <w:rPr>
          <w:rFonts w:ascii="宋体" w:hAnsi="宋体" w:cs="宋体"/>
          <w:b/>
          <w:color w:val="auto"/>
          <w:sz w:val="30"/>
          <w:szCs w:val="30"/>
          <w:highlight w:val="none"/>
        </w:rPr>
      </w:pPr>
      <w:r>
        <w:rPr>
          <w:rFonts w:hint="eastAsia" w:ascii="宋体" w:hAnsi="宋体" w:cs="宋体"/>
          <w:color w:val="auto"/>
          <w:sz w:val="32"/>
          <w:szCs w:val="32"/>
          <w:highlight w:val="none"/>
        </w:rPr>
        <w:br w:type="page"/>
      </w:r>
      <w:bookmarkStart w:id="186" w:name="_Toc21663"/>
      <w:r>
        <w:rPr>
          <w:rFonts w:hint="eastAsia" w:ascii="宋体" w:hAnsi="宋体" w:cs="宋体"/>
          <w:b/>
          <w:color w:val="auto"/>
          <w:sz w:val="28"/>
          <w:szCs w:val="28"/>
          <w:highlight w:val="none"/>
        </w:rPr>
        <w:t>6.商务条款偏离表的格式：</w:t>
      </w:r>
      <w:bookmarkEnd w:id="186"/>
    </w:p>
    <w:p w14:paraId="6031B369">
      <w:pPr>
        <w:pStyle w:val="18"/>
        <w:spacing w:line="360" w:lineRule="auto"/>
        <w:rPr>
          <w:rFonts w:ascii="宋体" w:hAnsi="宋体" w:cs="宋体"/>
          <w:color w:val="auto"/>
          <w:highlight w:val="none"/>
        </w:rPr>
      </w:pPr>
    </w:p>
    <w:p w14:paraId="43A2550E">
      <w:pPr>
        <w:spacing w:line="360"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商务条款偏离表</w:t>
      </w:r>
    </w:p>
    <w:p w14:paraId="455C2E75">
      <w:pPr>
        <w:spacing w:line="360" w:lineRule="auto"/>
        <w:rPr>
          <w:rFonts w:ascii="宋体" w:hAnsi="宋体" w:cs="宋体"/>
          <w:color w:val="auto"/>
          <w:sz w:val="32"/>
          <w:szCs w:val="32"/>
          <w:highlight w:val="none"/>
        </w:rPr>
      </w:pPr>
    </w:p>
    <w:p w14:paraId="361D27F6">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项目名称：</w:t>
      </w:r>
    </w:p>
    <w:p w14:paraId="1390AD85">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项目编号：</w:t>
      </w:r>
    </w:p>
    <w:p w14:paraId="27763964">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所竞分标（如有则填写，无分标时填写“无”或者留空）：</w:t>
      </w:r>
    </w:p>
    <w:tbl>
      <w:tblPr>
        <w:tblStyle w:val="26"/>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79D6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1" w:type="dxa"/>
            <w:tcBorders>
              <w:top w:val="single" w:color="auto" w:sz="4" w:space="0"/>
              <w:left w:val="single" w:color="auto" w:sz="4" w:space="0"/>
              <w:bottom w:val="single" w:color="auto" w:sz="4" w:space="0"/>
              <w:right w:val="single" w:color="auto" w:sz="4" w:space="0"/>
            </w:tcBorders>
            <w:noWrap/>
            <w:vAlign w:val="center"/>
          </w:tcPr>
          <w:p w14:paraId="368B688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ign w:val="center"/>
          </w:tcPr>
          <w:p w14:paraId="1CEBCB8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竞争性磋商文件的商务条款</w:t>
            </w:r>
          </w:p>
        </w:tc>
        <w:tc>
          <w:tcPr>
            <w:tcW w:w="3589" w:type="dxa"/>
            <w:tcBorders>
              <w:top w:val="single" w:color="auto" w:sz="4" w:space="0"/>
              <w:left w:val="single" w:color="auto" w:sz="4" w:space="0"/>
              <w:bottom w:val="single" w:color="auto" w:sz="4" w:space="0"/>
              <w:right w:val="single" w:color="auto" w:sz="4" w:space="0"/>
            </w:tcBorders>
            <w:noWrap/>
            <w:vAlign w:val="center"/>
          </w:tcPr>
          <w:p w14:paraId="6CAB261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响应文件响应的商务条款</w:t>
            </w:r>
          </w:p>
        </w:tc>
        <w:tc>
          <w:tcPr>
            <w:tcW w:w="1274" w:type="dxa"/>
            <w:tcBorders>
              <w:top w:val="single" w:color="auto" w:sz="4" w:space="0"/>
              <w:left w:val="single" w:color="auto" w:sz="4" w:space="0"/>
              <w:bottom w:val="single" w:color="auto" w:sz="4" w:space="0"/>
              <w:right w:val="single" w:color="auto" w:sz="4" w:space="0"/>
            </w:tcBorders>
            <w:noWrap/>
            <w:vAlign w:val="center"/>
          </w:tcPr>
          <w:p w14:paraId="7122F07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2759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ign w:val="top"/>
          </w:tcPr>
          <w:p w14:paraId="0F343A93">
            <w:pPr>
              <w:spacing w:line="360" w:lineRule="auto"/>
              <w:rPr>
                <w:rFonts w:ascii="宋体" w:hAnsi="宋体" w:cs="宋体"/>
                <w:color w:val="auto"/>
                <w:szCs w:val="21"/>
                <w:highlight w:val="none"/>
              </w:rPr>
            </w:pPr>
            <w:r>
              <w:rPr>
                <w:rFonts w:hint="eastAsia" w:ascii="宋体" w:hAnsi="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ign w:val="top"/>
          </w:tcPr>
          <w:p w14:paraId="3AFD6E18">
            <w:pPr>
              <w:spacing w:line="360" w:lineRule="auto"/>
              <w:rPr>
                <w:rFonts w:ascii="宋体" w:hAnsi="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noWrap/>
            <w:vAlign w:val="top"/>
          </w:tcPr>
          <w:p w14:paraId="247E24AC">
            <w:pPr>
              <w:spacing w:line="360" w:lineRule="auto"/>
              <w:rPr>
                <w:rFonts w:ascii="宋体" w:hAnsi="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ign w:val="top"/>
          </w:tcPr>
          <w:p w14:paraId="678FF4DF">
            <w:pPr>
              <w:spacing w:line="360" w:lineRule="auto"/>
              <w:rPr>
                <w:rFonts w:ascii="宋体" w:hAnsi="宋体" w:cs="宋体"/>
                <w:color w:val="auto"/>
                <w:szCs w:val="21"/>
                <w:highlight w:val="none"/>
              </w:rPr>
            </w:pPr>
          </w:p>
        </w:tc>
      </w:tr>
      <w:tr w14:paraId="4542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ign w:val="top"/>
          </w:tcPr>
          <w:p w14:paraId="1A3160D6">
            <w:pPr>
              <w:spacing w:line="360" w:lineRule="auto"/>
              <w:rPr>
                <w:rFonts w:ascii="宋体" w:hAnsi="宋体" w:cs="宋体"/>
                <w:color w:val="auto"/>
                <w:szCs w:val="21"/>
                <w:highlight w:val="none"/>
              </w:rPr>
            </w:pPr>
            <w:r>
              <w:rPr>
                <w:rFonts w:hint="eastAsia" w:ascii="宋体" w:hAnsi="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ign w:val="top"/>
          </w:tcPr>
          <w:p w14:paraId="5B0595A5">
            <w:pPr>
              <w:spacing w:line="360" w:lineRule="auto"/>
              <w:rPr>
                <w:rFonts w:ascii="宋体" w:hAnsi="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noWrap/>
            <w:vAlign w:val="top"/>
          </w:tcPr>
          <w:p w14:paraId="536007BA">
            <w:pPr>
              <w:spacing w:line="360" w:lineRule="auto"/>
              <w:rPr>
                <w:rFonts w:ascii="宋体" w:hAnsi="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ign w:val="top"/>
          </w:tcPr>
          <w:p w14:paraId="29338FAE">
            <w:pPr>
              <w:spacing w:line="360" w:lineRule="auto"/>
              <w:rPr>
                <w:rFonts w:ascii="宋体" w:hAnsi="宋体" w:cs="宋体"/>
                <w:color w:val="auto"/>
                <w:szCs w:val="21"/>
                <w:highlight w:val="none"/>
              </w:rPr>
            </w:pPr>
          </w:p>
        </w:tc>
      </w:tr>
      <w:tr w14:paraId="7068B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ign w:val="top"/>
          </w:tcPr>
          <w:p w14:paraId="36C7E5B4">
            <w:pPr>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ign w:val="top"/>
          </w:tcPr>
          <w:p w14:paraId="56F7B376">
            <w:pPr>
              <w:spacing w:line="360" w:lineRule="auto"/>
              <w:rPr>
                <w:rFonts w:ascii="宋体" w:hAnsi="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noWrap/>
            <w:vAlign w:val="top"/>
          </w:tcPr>
          <w:p w14:paraId="23F70FB2">
            <w:pPr>
              <w:spacing w:line="360" w:lineRule="auto"/>
              <w:rPr>
                <w:rFonts w:ascii="宋体" w:hAnsi="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ign w:val="top"/>
          </w:tcPr>
          <w:p w14:paraId="7ECCD396">
            <w:pPr>
              <w:spacing w:line="360" w:lineRule="auto"/>
              <w:rPr>
                <w:rFonts w:ascii="宋体" w:hAnsi="宋体" w:cs="宋体"/>
                <w:color w:val="auto"/>
                <w:szCs w:val="21"/>
                <w:highlight w:val="none"/>
              </w:rPr>
            </w:pPr>
          </w:p>
        </w:tc>
      </w:tr>
    </w:tbl>
    <w:p w14:paraId="4A489484">
      <w:pPr>
        <w:pStyle w:val="13"/>
        <w:spacing w:line="360" w:lineRule="auto"/>
        <w:ind w:firstLine="0" w:firstLineChars="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3AD32BDF">
      <w:pPr>
        <w:pStyle w:val="13"/>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1.应对照磋商文件“第二章 采购需求”中的商务条款逐条作出明确响应，并作出偏离说明。</w:t>
      </w:r>
    </w:p>
    <w:p w14:paraId="5FE74931">
      <w:pPr>
        <w:pStyle w:val="13"/>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2.供应商应根据自身的承诺，对照磋商文件要求，在“偏离说明”中注明“正偏离”或者“负偏离”或者“无偏离”。既不属于“正偏离”也不属于“负偏离”即为“无偏离”。 当响应文件的商务内容低于竞争性磋商文件要求时，供应商应当如实写明“负偏离”。</w:t>
      </w:r>
    </w:p>
    <w:p w14:paraId="257132DB">
      <w:pPr>
        <w:spacing w:line="360" w:lineRule="auto"/>
        <w:ind w:firstLine="480" w:firstLineChars="200"/>
        <w:outlineLvl w:val="2"/>
        <w:rPr>
          <w:rFonts w:ascii="宋体" w:hAnsi="宋体" w:cs="宋体"/>
          <w:color w:val="auto"/>
          <w:kern w:val="0"/>
          <w:sz w:val="24"/>
          <w:highlight w:val="none"/>
        </w:rPr>
      </w:pPr>
      <w:bookmarkStart w:id="187" w:name="_Toc29119"/>
      <w:r>
        <w:rPr>
          <w:rFonts w:hint="eastAsia" w:ascii="宋体" w:hAnsi="宋体" w:cs="宋体"/>
          <w:color w:val="auto"/>
          <w:kern w:val="0"/>
          <w:sz w:val="24"/>
          <w:highlight w:val="none"/>
        </w:rPr>
        <w:t>3.表格内容均需按要求填写，不得留空，</w:t>
      </w:r>
      <w:r>
        <w:rPr>
          <w:rFonts w:hint="eastAsia" w:ascii="宋体" w:hAnsi="宋体" w:cs="宋体"/>
          <w:b/>
          <w:bCs/>
          <w:color w:val="auto"/>
          <w:kern w:val="0"/>
          <w:sz w:val="24"/>
          <w:highlight w:val="none"/>
        </w:rPr>
        <w:t>否则按竞标无效处理。</w:t>
      </w:r>
      <w:bookmarkEnd w:id="187"/>
    </w:p>
    <w:p w14:paraId="076084A1">
      <w:pPr>
        <w:spacing w:line="360" w:lineRule="auto"/>
        <w:ind w:firstLine="480" w:firstLineChars="200"/>
        <w:contextualSpacing/>
        <w:rPr>
          <w:rFonts w:ascii="宋体" w:hAnsi="宋体" w:cs="宋体"/>
          <w:color w:val="auto"/>
          <w:kern w:val="0"/>
          <w:sz w:val="24"/>
          <w:highlight w:val="none"/>
        </w:rPr>
      </w:pPr>
    </w:p>
    <w:p w14:paraId="4FF4FD69">
      <w:pPr>
        <w:spacing w:line="360" w:lineRule="auto"/>
        <w:ind w:firstLine="3840" w:firstLineChars="1600"/>
        <w:rPr>
          <w:rFonts w:ascii="宋体" w:hAnsi="宋体" w:cs="宋体"/>
          <w:color w:val="auto"/>
          <w:sz w:val="24"/>
          <w:highlight w:val="none"/>
        </w:rPr>
      </w:pPr>
      <w:r>
        <w:rPr>
          <w:rFonts w:hint="eastAsia" w:ascii="宋体" w:hAnsi="宋体" w:cs="宋体"/>
          <w:color w:val="auto"/>
          <w:kern w:val="0"/>
          <w:sz w:val="24"/>
          <w:highlight w:val="none"/>
        </w:rPr>
        <w:t>供应商名称（盖公章</w:t>
      </w:r>
      <w:r>
        <w:rPr>
          <w:rFonts w:hint="eastAsia" w:ascii="宋体" w:hAnsi="宋体" w:cs="宋体"/>
          <w:b/>
          <w:bCs/>
          <w:color w:val="auto"/>
          <w:sz w:val="24"/>
          <w:highlight w:val="none"/>
        </w:rPr>
        <w:t>或CA电子签章</w:t>
      </w:r>
      <w:r>
        <w:rPr>
          <w:rFonts w:hint="eastAsia" w:ascii="宋体" w:hAnsi="宋体" w:cs="宋体"/>
          <w:color w:val="auto"/>
          <w:kern w:val="0"/>
          <w:sz w:val="24"/>
          <w:highlight w:val="none"/>
        </w:rPr>
        <w:t>）：</w:t>
      </w:r>
    </w:p>
    <w:p w14:paraId="44B0AFD7">
      <w:pPr>
        <w:spacing w:line="360" w:lineRule="auto"/>
        <w:contextualSpacing/>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13913A38">
      <w:pPr>
        <w:snapToGrid w:val="0"/>
        <w:spacing w:line="360" w:lineRule="auto"/>
        <w:ind w:firstLine="602" w:firstLineChars="200"/>
        <w:rPr>
          <w:rFonts w:ascii="宋体" w:hAnsi="宋体" w:cs="宋体"/>
          <w:b/>
          <w:color w:val="auto"/>
          <w:sz w:val="30"/>
          <w:szCs w:val="30"/>
          <w:highlight w:val="none"/>
        </w:rPr>
      </w:pPr>
    </w:p>
    <w:p w14:paraId="47A1840B">
      <w:pPr>
        <w:snapToGrid w:val="0"/>
        <w:spacing w:line="360" w:lineRule="auto"/>
        <w:ind w:firstLine="602" w:firstLineChars="200"/>
        <w:rPr>
          <w:rFonts w:ascii="宋体" w:hAnsi="宋体" w:cs="宋体"/>
          <w:b/>
          <w:color w:val="auto"/>
          <w:sz w:val="30"/>
          <w:szCs w:val="30"/>
          <w:highlight w:val="none"/>
        </w:rPr>
      </w:pPr>
    </w:p>
    <w:p w14:paraId="031C0E98">
      <w:pPr>
        <w:pStyle w:val="18"/>
        <w:spacing w:line="360" w:lineRule="auto"/>
        <w:rPr>
          <w:rFonts w:ascii="宋体" w:hAnsi="宋体" w:cs="宋体"/>
          <w:color w:val="auto"/>
          <w:highlight w:val="none"/>
        </w:rPr>
      </w:pPr>
    </w:p>
    <w:p w14:paraId="46CE0E41">
      <w:pPr>
        <w:snapToGrid w:val="0"/>
        <w:spacing w:line="360" w:lineRule="auto"/>
        <w:ind w:firstLine="602" w:firstLineChars="200"/>
        <w:rPr>
          <w:rFonts w:ascii="宋体" w:hAnsi="宋体" w:cs="宋体"/>
          <w:b/>
          <w:color w:val="auto"/>
          <w:sz w:val="30"/>
          <w:szCs w:val="30"/>
          <w:highlight w:val="none"/>
        </w:rPr>
      </w:pPr>
    </w:p>
    <w:p w14:paraId="0B9FA5D4">
      <w:pPr>
        <w:pStyle w:val="21"/>
        <w:snapToGrid w:val="0"/>
        <w:spacing w:line="360" w:lineRule="auto"/>
        <w:ind w:left="562" w:hanging="562"/>
        <w:outlineLvl w:val="2"/>
        <w:rPr>
          <w:rFonts w:ascii="宋体" w:hAnsi="宋体" w:cs="宋体"/>
          <w:i/>
          <w:iCs/>
          <w:color w:val="auto"/>
          <w:sz w:val="24"/>
          <w:highlight w:val="none"/>
        </w:rPr>
      </w:pPr>
      <w:bookmarkStart w:id="188" w:name="_Toc17253"/>
      <w:r>
        <w:rPr>
          <w:rFonts w:hint="eastAsia" w:ascii="宋体" w:hAnsi="宋体" w:cs="宋体"/>
          <w:b/>
          <w:color w:val="auto"/>
          <w:sz w:val="28"/>
          <w:szCs w:val="28"/>
          <w:highlight w:val="none"/>
        </w:rPr>
        <w:t>7.供应商类似的业绩证明文件</w:t>
      </w:r>
      <w:r>
        <w:rPr>
          <w:rFonts w:hint="eastAsia" w:ascii="宋体" w:hAnsi="宋体" w:cs="宋体"/>
          <w:b/>
          <w:bCs/>
          <w:color w:val="auto"/>
          <w:sz w:val="30"/>
          <w:szCs w:val="30"/>
          <w:highlight w:val="none"/>
        </w:rPr>
        <w:t>（如有要求）：</w:t>
      </w:r>
      <w:bookmarkEnd w:id="188"/>
    </w:p>
    <w:p w14:paraId="4C39CB8C">
      <w:pPr>
        <w:spacing w:line="360" w:lineRule="auto"/>
        <w:ind w:firstLine="2880" w:firstLineChars="900"/>
        <w:contextualSpacing/>
        <w:rPr>
          <w:rFonts w:ascii="宋体" w:hAnsi="宋体" w:cs="宋体"/>
          <w:color w:val="auto"/>
          <w:sz w:val="32"/>
          <w:szCs w:val="32"/>
          <w:highlight w:val="none"/>
        </w:rPr>
      </w:pPr>
    </w:p>
    <w:tbl>
      <w:tblPr>
        <w:tblStyle w:val="26"/>
        <w:tblpPr w:leftFromText="180" w:rightFromText="180" w:vertAnchor="page" w:horzAnchor="page" w:tblpX="1087" w:tblpY="4677"/>
        <w:tblW w:w="103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3"/>
        <w:gridCol w:w="2164"/>
        <w:gridCol w:w="1134"/>
        <w:gridCol w:w="2131"/>
        <w:gridCol w:w="2117"/>
        <w:gridCol w:w="1705"/>
      </w:tblGrid>
      <w:tr w14:paraId="4AAB2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63" w:type="dxa"/>
            <w:vMerge w:val="restart"/>
            <w:tcBorders>
              <w:top w:val="single" w:color="auto" w:sz="4" w:space="0"/>
              <w:left w:val="single" w:color="auto" w:sz="4" w:space="0"/>
              <w:bottom w:val="single" w:color="auto" w:sz="4" w:space="0"/>
              <w:right w:val="single" w:color="auto" w:sz="4" w:space="0"/>
            </w:tcBorders>
            <w:noWrap/>
            <w:vAlign w:val="center"/>
          </w:tcPr>
          <w:p w14:paraId="7C394FA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2164" w:type="dxa"/>
            <w:vMerge w:val="restart"/>
            <w:tcBorders>
              <w:top w:val="single" w:color="auto" w:sz="4" w:space="0"/>
              <w:left w:val="single" w:color="auto" w:sz="4" w:space="0"/>
              <w:bottom w:val="single" w:color="auto" w:sz="4" w:space="0"/>
              <w:right w:val="single" w:color="auto" w:sz="4" w:space="0"/>
            </w:tcBorders>
            <w:noWrap/>
            <w:vAlign w:val="center"/>
          </w:tcPr>
          <w:p w14:paraId="7507121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ign w:val="center"/>
          </w:tcPr>
          <w:p w14:paraId="3FFCDC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w:t>
            </w:r>
          </w:p>
          <w:p w14:paraId="178F15C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金额</w:t>
            </w:r>
          </w:p>
          <w:p w14:paraId="05CCC6C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（万元）</w:t>
            </w:r>
          </w:p>
        </w:tc>
        <w:tc>
          <w:tcPr>
            <w:tcW w:w="4248" w:type="dxa"/>
            <w:gridSpan w:val="2"/>
            <w:tcBorders>
              <w:top w:val="single" w:color="auto" w:sz="4" w:space="0"/>
              <w:left w:val="single" w:color="auto" w:sz="4" w:space="0"/>
              <w:bottom w:val="single" w:color="auto" w:sz="4" w:space="0"/>
              <w:right w:val="single" w:color="auto" w:sz="4" w:space="0"/>
            </w:tcBorders>
            <w:noWrap/>
            <w:vAlign w:val="center"/>
          </w:tcPr>
          <w:p w14:paraId="788FFFC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附件在响应文件中页码</w:t>
            </w:r>
          </w:p>
        </w:tc>
        <w:tc>
          <w:tcPr>
            <w:tcW w:w="1705" w:type="dxa"/>
            <w:vMerge w:val="restart"/>
            <w:tcBorders>
              <w:top w:val="single" w:color="auto" w:sz="4" w:space="0"/>
              <w:left w:val="single" w:color="auto" w:sz="4" w:space="0"/>
              <w:bottom w:val="single" w:color="auto" w:sz="4" w:space="0"/>
              <w:right w:val="single" w:color="auto" w:sz="4" w:space="0"/>
            </w:tcBorders>
            <w:noWrap/>
            <w:vAlign w:val="center"/>
          </w:tcPr>
          <w:p w14:paraId="3C1F081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采购人联系人及联系电话</w:t>
            </w:r>
          </w:p>
        </w:tc>
      </w:tr>
      <w:tr w14:paraId="0A341F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063" w:type="dxa"/>
            <w:vMerge w:val="continue"/>
            <w:tcBorders>
              <w:top w:val="single" w:color="auto" w:sz="4" w:space="0"/>
              <w:left w:val="single" w:color="auto" w:sz="4" w:space="0"/>
              <w:bottom w:val="single" w:color="auto" w:sz="4" w:space="0"/>
              <w:right w:val="single" w:color="auto" w:sz="4" w:space="0"/>
            </w:tcBorders>
            <w:noWrap/>
            <w:vAlign w:val="center"/>
          </w:tcPr>
          <w:p w14:paraId="7941D3CC">
            <w:pPr>
              <w:spacing w:line="360" w:lineRule="auto"/>
              <w:jc w:val="left"/>
              <w:rPr>
                <w:rFonts w:ascii="宋体" w:hAnsi="宋体" w:cs="宋体"/>
                <w:color w:val="auto"/>
                <w:sz w:val="24"/>
                <w:highlight w:val="none"/>
              </w:rPr>
            </w:pPr>
          </w:p>
        </w:tc>
        <w:tc>
          <w:tcPr>
            <w:tcW w:w="2164" w:type="dxa"/>
            <w:vMerge w:val="continue"/>
            <w:tcBorders>
              <w:top w:val="single" w:color="auto" w:sz="4" w:space="0"/>
              <w:left w:val="single" w:color="auto" w:sz="4" w:space="0"/>
              <w:bottom w:val="single" w:color="auto" w:sz="4" w:space="0"/>
              <w:right w:val="single" w:color="auto" w:sz="4" w:space="0"/>
            </w:tcBorders>
            <w:noWrap/>
            <w:vAlign w:val="center"/>
          </w:tcPr>
          <w:p w14:paraId="7C0566A6">
            <w:pPr>
              <w:spacing w:line="360" w:lineRule="auto"/>
              <w:jc w:val="left"/>
              <w:rPr>
                <w:rFonts w:ascii="宋体" w:hAnsi="宋体" w:cs="宋体"/>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ign w:val="center"/>
          </w:tcPr>
          <w:p w14:paraId="628F490F">
            <w:pPr>
              <w:spacing w:line="360" w:lineRule="auto"/>
              <w:jc w:val="left"/>
              <w:rPr>
                <w:rFonts w:ascii="宋体" w:hAnsi="宋体" w:cs="宋体"/>
                <w:color w:val="auto"/>
                <w:sz w:val="24"/>
                <w:highlight w:val="none"/>
              </w:rPr>
            </w:pPr>
          </w:p>
        </w:tc>
        <w:tc>
          <w:tcPr>
            <w:tcW w:w="2131" w:type="dxa"/>
            <w:tcBorders>
              <w:top w:val="single" w:color="auto" w:sz="4" w:space="0"/>
              <w:left w:val="single" w:color="auto" w:sz="4" w:space="0"/>
              <w:bottom w:val="single" w:color="auto" w:sz="4" w:space="0"/>
              <w:right w:val="single" w:color="auto" w:sz="4" w:space="0"/>
            </w:tcBorders>
            <w:noWrap/>
            <w:vAlign w:val="center"/>
          </w:tcPr>
          <w:p w14:paraId="32ED271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任务下达书或中标/成交通知书或合同</w:t>
            </w:r>
          </w:p>
        </w:tc>
        <w:tc>
          <w:tcPr>
            <w:tcW w:w="2117" w:type="dxa"/>
            <w:tcBorders>
              <w:top w:val="single" w:color="auto" w:sz="4" w:space="0"/>
              <w:left w:val="single" w:color="auto" w:sz="4" w:space="0"/>
              <w:bottom w:val="single" w:color="auto" w:sz="4" w:space="0"/>
              <w:right w:val="single" w:color="auto" w:sz="4" w:space="0"/>
            </w:tcBorders>
            <w:noWrap/>
            <w:vAlign w:val="center"/>
          </w:tcPr>
          <w:p w14:paraId="1AF5FCC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验收材料（论证意见或验收意见或验收报告）</w:t>
            </w:r>
          </w:p>
          <w:p w14:paraId="5C2BBB18">
            <w:pPr>
              <w:snapToGrid w:val="0"/>
              <w:spacing w:line="360" w:lineRule="auto"/>
              <w:jc w:val="center"/>
              <w:rPr>
                <w:rFonts w:ascii="宋体" w:hAnsi="宋体" w:cs="宋体"/>
                <w:color w:val="auto"/>
                <w:sz w:val="24"/>
                <w:highlight w:val="none"/>
              </w:rPr>
            </w:pPr>
          </w:p>
        </w:tc>
        <w:tc>
          <w:tcPr>
            <w:tcW w:w="1705" w:type="dxa"/>
            <w:vMerge w:val="continue"/>
            <w:tcBorders>
              <w:top w:val="single" w:color="auto" w:sz="4" w:space="0"/>
              <w:left w:val="single" w:color="auto" w:sz="4" w:space="0"/>
              <w:bottom w:val="single" w:color="auto" w:sz="4" w:space="0"/>
              <w:right w:val="single" w:color="auto" w:sz="4" w:space="0"/>
            </w:tcBorders>
            <w:noWrap/>
            <w:vAlign w:val="center"/>
          </w:tcPr>
          <w:p w14:paraId="1DB8DB4B">
            <w:pPr>
              <w:spacing w:line="360" w:lineRule="auto"/>
              <w:jc w:val="left"/>
              <w:rPr>
                <w:rFonts w:ascii="宋体" w:hAnsi="宋体" w:cs="宋体"/>
                <w:color w:val="auto"/>
                <w:sz w:val="24"/>
                <w:highlight w:val="none"/>
              </w:rPr>
            </w:pPr>
          </w:p>
        </w:tc>
      </w:tr>
      <w:tr w14:paraId="63067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63" w:type="dxa"/>
            <w:tcBorders>
              <w:top w:val="single" w:color="auto" w:sz="4" w:space="0"/>
              <w:left w:val="single" w:color="auto" w:sz="4" w:space="0"/>
              <w:bottom w:val="single" w:color="auto" w:sz="4" w:space="0"/>
              <w:right w:val="single" w:color="auto" w:sz="4" w:space="0"/>
            </w:tcBorders>
            <w:noWrap/>
            <w:vAlign w:val="top"/>
          </w:tcPr>
          <w:p w14:paraId="7966BB84">
            <w:pPr>
              <w:snapToGrid w:val="0"/>
              <w:spacing w:line="360" w:lineRule="auto"/>
              <w:jc w:val="left"/>
              <w:rPr>
                <w:rFonts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noWrap/>
            <w:vAlign w:val="top"/>
          </w:tcPr>
          <w:p w14:paraId="297565ED">
            <w:pPr>
              <w:snapToGrid w:val="0"/>
              <w:spacing w:line="360" w:lineRule="auto"/>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top"/>
          </w:tcPr>
          <w:p w14:paraId="68A9A05F">
            <w:pPr>
              <w:snapToGrid w:val="0"/>
              <w:spacing w:line="360" w:lineRule="auto"/>
              <w:jc w:val="left"/>
              <w:rPr>
                <w:rFonts w:ascii="宋体" w:hAnsi="宋体" w:cs="宋体"/>
                <w:color w:val="auto"/>
                <w:sz w:val="24"/>
                <w:highlight w:val="none"/>
              </w:rPr>
            </w:pPr>
          </w:p>
        </w:tc>
        <w:tc>
          <w:tcPr>
            <w:tcW w:w="2131" w:type="dxa"/>
            <w:tcBorders>
              <w:top w:val="single" w:color="auto" w:sz="4" w:space="0"/>
              <w:left w:val="single" w:color="auto" w:sz="4" w:space="0"/>
              <w:bottom w:val="single" w:color="auto" w:sz="4" w:space="0"/>
              <w:right w:val="single" w:color="auto" w:sz="4" w:space="0"/>
            </w:tcBorders>
            <w:noWrap/>
            <w:vAlign w:val="top"/>
          </w:tcPr>
          <w:p w14:paraId="728D4158">
            <w:pPr>
              <w:snapToGrid w:val="0"/>
              <w:spacing w:line="360" w:lineRule="auto"/>
              <w:jc w:val="left"/>
              <w:rPr>
                <w:rFonts w:ascii="宋体" w:hAnsi="宋体" w:cs="宋体"/>
                <w:color w:val="auto"/>
                <w:sz w:val="24"/>
                <w:highlight w:val="none"/>
              </w:rPr>
            </w:pPr>
          </w:p>
        </w:tc>
        <w:tc>
          <w:tcPr>
            <w:tcW w:w="2117" w:type="dxa"/>
            <w:tcBorders>
              <w:top w:val="single" w:color="auto" w:sz="4" w:space="0"/>
              <w:left w:val="single" w:color="auto" w:sz="4" w:space="0"/>
              <w:bottom w:val="single" w:color="auto" w:sz="4" w:space="0"/>
              <w:right w:val="single" w:color="auto" w:sz="4" w:space="0"/>
            </w:tcBorders>
            <w:noWrap/>
            <w:vAlign w:val="top"/>
          </w:tcPr>
          <w:p w14:paraId="32099F27">
            <w:pPr>
              <w:snapToGrid w:val="0"/>
              <w:spacing w:line="360" w:lineRule="auto"/>
              <w:jc w:val="left"/>
              <w:rPr>
                <w:rFonts w:ascii="宋体" w:hAnsi="宋体" w:cs="宋体"/>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noWrap/>
            <w:vAlign w:val="top"/>
          </w:tcPr>
          <w:p w14:paraId="4B2D9C45">
            <w:pPr>
              <w:snapToGrid w:val="0"/>
              <w:spacing w:line="360" w:lineRule="auto"/>
              <w:jc w:val="left"/>
              <w:rPr>
                <w:rFonts w:ascii="宋体" w:hAnsi="宋体" w:cs="宋体"/>
                <w:color w:val="auto"/>
                <w:sz w:val="24"/>
                <w:highlight w:val="none"/>
              </w:rPr>
            </w:pPr>
          </w:p>
        </w:tc>
      </w:tr>
      <w:tr w14:paraId="41423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noWrap/>
            <w:vAlign w:val="top"/>
          </w:tcPr>
          <w:p w14:paraId="1C91782E">
            <w:pPr>
              <w:snapToGrid w:val="0"/>
              <w:spacing w:before="50" w:afterLines="50" w:line="360" w:lineRule="auto"/>
              <w:jc w:val="left"/>
              <w:rPr>
                <w:rFonts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noWrap/>
            <w:vAlign w:val="top"/>
          </w:tcPr>
          <w:p w14:paraId="0C45D7AA">
            <w:pPr>
              <w:snapToGrid w:val="0"/>
              <w:spacing w:before="50" w:afterLines="50" w:line="360" w:lineRule="auto"/>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top"/>
          </w:tcPr>
          <w:p w14:paraId="6870BD6F">
            <w:pPr>
              <w:snapToGrid w:val="0"/>
              <w:spacing w:before="50" w:afterLines="50" w:line="360" w:lineRule="auto"/>
              <w:jc w:val="left"/>
              <w:rPr>
                <w:rFonts w:ascii="宋体" w:hAnsi="宋体" w:cs="宋体"/>
                <w:color w:val="auto"/>
                <w:sz w:val="24"/>
                <w:highlight w:val="none"/>
              </w:rPr>
            </w:pPr>
          </w:p>
        </w:tc>
        <w:tc>
          <w:tcPr>
            <w:tcW w:w="2131" w:type="dxa"/>
            <w:tcBorders>
              <w:top w:val="single" w:color="auto" w:sz="4" w:space="0"/>
              <w:left w:val="single" w:color="auto" w:sz="4" w:space="0"/>
              <w:bottom w:val="single" w:color="auto" w:sz="4" w:space="0"/>
              <w:right w:val="single" w:color="auto" w:sz="4" w:space="0"/>
            </w:tcBorders>
            <w:noWrap/>
            <w:vAlign w:val="top"/>
          </w:tcPr>
          <w:p w14:paraId="7E2FE2EF">
            <w:pPr>
              <w:snapToGrid w:val="0"/>
              <w:spacing w:before="50" w:afterLines="50" w:line="360" w:lineRule="auto"/>
              <w:jc w:val="left"/>
              <w:rPr>
                <w:rFonts w:ascii="宋体" w:hAnsi="宋体" w:cs="宋体"/>
                <w:color w:val="auto"/>
                <w:sz w:val="24"/>
                <w:highlight w:val="none"/>
              </w:rPr>
            </w:pPr>
          </w:p>
        </w:tc>
        <w:tc>
          <w:tcPr>
            <w:tcW w:w="2117" w:type="dxa"/>
            <w:tcBorders>
              <w:top w:val="single" w:color="auto" w:sz="4" w:space="0"/>
              <w:left w:val="single" w:color="auto" w:sz="4" w:space="0"/>
              <w:bottom w:val="single" w:color="auto" w:sz="4" w:space="0"/>
              <w:right w:val="single" w:color="auto" w:sz="4" w:space="0"/>
            </w:tcBorders>
            <w:noWrap/>
            <w:vAlign w:val="top"/>
          </w:tcPr>
          <w:p w14:paraId="6B1A2CD3">
            <w:pPr>
              <w:snapToGrid w:val="0"/>
              <w:spacing w:before="50" w:afterLines="50" w:line="360" w:lineRule="auto"/>
              <w:jc w:val="left"/>
              <w:rPr>
                <w:rFonts w:ascii="宋体" w:hAnsi="宋体" w:cs="宋体"/>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noWrap/>
            <w:vAlign w:val="top"/>
          </w:tcPr>
          <w:p w14:paraId="47FF17CD">
            <w:pPr>
              <w:snapToGrid w:val="0"/>
              <w:spacing w:before="50" w:afterLines="50" w:line="360" w:lineRule="auto"/>
              <w:jc w:val="left"/>
              <w:rPr>
                <w:rFonts w:ascii="宋体" w:hAnsi="宋体" w:cs="宋体"/>
                <w:color w:val="auto"/>
                <w:sz w:val="24"/>
                <w:highlight w:val="none"/>
              </w:rPr>
            </w:pPr>
          </w:p>
        </w:tc>
      </w:tr>
      <w:tr w14:paraId="0D1ECE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063" w:type="dxa"/>
            <w:tcBorders>
              <w:top w:val="single" w:color="auto" w:sz="4" w:space="0"/>
              <w:left w:val="single" w:color="auto" w:sz="4" w:space="0"/>
              <w:bottom w:val="single" w:color="auto" w:sz="4" w:space="0"/>
              <w:right w:val="single" w:color="auto" w:sz="4" w:space="0"/>
            </w:tcBorders>
            <w:noWrap/>
            <w:vAlign w:val="top"/>
          </w:tcPr>
          <w:p w14:paraId="06BAB66D">
            <w:pPr>
              <w:snapToGrid w:val="0"/>
              <w:spacing w:before="50" w:afterLines="50" w:line="360" w:lineRule="auto"/>
              <w:jc w:val="left"/>
              <w:rPr>
                <w:rFonts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noWrap/>
            <w:vAlign w:val="top"/>
          </w:tcPr>
          <w:p w14:paraId="2740E0DE">
            <w:pPr>
              <w:snapToGrid w:val="0"/>
              <w:spacing w:before="50" w:afterLines="50" w:line="360" w:lineRule="auto"/>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top"/>
          </w:tcPr>
          <w:p w14:paraId="2A7A6298">
            <w:pPr>
              <w:snapToGrid w:val="0"/>
              <w:spacing w:before="50" w:afterLines="50" w:line="360" w:lineRule="auto"/>
              <w:jc w:val="left"/>
              <w:rPr>
                <w:rFonts w:ascii="宋体" w:hAnsi="宋体" w:cs="宋体"/>
                <w:color w:val="auto"/>
                <w:sz w:val="24"/>
                <w:highlight w:val="none"/>
              </w:rPr>
            </w:pPr>
          </w:p>
        </w:tc>
        <w:tc>
          <w:tcPr>
            <w:tcW w:w="2131" w:type="dxa"/>
            <w:tcBorders>
              <w:top w:val="single" w:color="auto" w:sz="4" w:space="0"/>
              <w:left w:val="single" w:color="auto" w:sz="4" w:space="0"/>
              <w:bottom w:val="single" w:color="auto" w:sz="4" w:space="0"/>
              <w:right w:val="single" w:color="auto" w:sz="4" w:space="0"/>
            </w:tcBorders>
            <w:noWrap/>
            <w:vAlign w:val="top"/>
          </w:tcPr>
          <w:p w14:paraId="1FD3F5AC">
            <w:pPr>
              <w:snapToGrid w:val="0"/>
              <w:spacing w:before="50" w:afterLines="50" w:line="360" w:lineRule="auto"/>
              <w:jc w:val="left"/>
              <w:rPr>
                <w:rFonts w:ascii="宋体" w:hAnsi="宋体" w:cs="宋体"/>
                <w:color w:val="auto"/>
                <w:sz w:val="24"/>
                <w:highlight w:val="none"/>
              </w:rPr>
            </w:pPr>
          </w:p>
        </w:tc>
        <w:tc>
          <w:tcPr>
            <w:tcW w:w="2117" w:type="dxa"/>
            <w:tcBorders>
              <w:top w:val="single" w:color="auto" w:sz="4" w:space="0"/>
              <w:left w:val="single" w:color="auto" w:sz="4" w:space="0"/>
              <w:bottom w:val="single" w:color="auto" w:sz="4" w:space="0"/>
              <w:right w:val="single" w:color="auto" w:sz="4" w:space="0"/>
            </w:tcBorders>
            <w:noWrap/>
            <w:vAlign w:val="top"/>
          </w:tcPr>
          <w:p w14:paraId="5C40F9AE">
            <w:pPr>
              <w:snapToGrid w:val="0"/>
              <w:spacing w:before="50" w:afterLines="50" w:line="360" w:lineRule="auto"/>
              <w:jc w:val="left"/>
              <w:rPr>
                <w:rFonts w:ascii="宋体" w:hAnsi="宋体" w:cs="宋体"/>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noWrap/>
            <w:vAlign w:val="top"/>
          </w:tcPr>
          <w:p w14:paraId="1DC4C611">
            <w:pPr>
              <w:snapToGrid w:val="0"/>
              <w:spacing w:before="50" w:afterLines="50" w:line="360" w:lineRule="auto"/>
              <w:jc w:val="left"/>
              <w:rPr>
                <w:rFonts w:ascii="宋体" w:hAnsi="宋体" w:cs="宋体"/>
                <w:color w:val="auto"/>
                <w:sz w:val="24"/>
                <w:highlight w:val="none"/>
              </w:rPr>
            </w:pPr>
          </w:p>
        </w:tc>
      </w:tr>
      <w:tr w14:paraId="6BF3A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noWrap/>
            <w:vAlign w:val="top"/>
          </w:tcPr>
          <w:p w14:paraId="66102BC6">
            <w:pPr>
              <w:snapToGrid w:val="0"/>
              <w:spacing w:before="50" w:afterLines="50" w:line="360" w:lineRule="auto"/>
              <w:jc w:val="left"/>
              <w:rPr>
                <w:rFonts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noWrap/>
            <w:vAlign w:val="top"/>
          </w:tcPr>
          <w:p w14:paraId="0810DF8C">
            <w:pPr>
              <w:snapToGrid w:val="0"/>
              <w:spacing w:before="50" w:afterLines="50" w:line="360" w:lineRule="auto"/>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top"/>
          </w:tcPr>
          <w:p w14:paraId="7A80DD8F">
            <w:pPr>
              <w:snapToGrid w:val="0"/>
              <w:spacing w:before="50" w:afterLines="50" w:line="360" w:lineRule="auto"/>
              <w:jc w:val="left"/>
              <w:rPr>
                <w:rFonts w:ascii="宋体" w:hAnsi="宋体" w:cs="宋体"/>
                <w:color w:val="auto"/>
                <w:sz w:val="24"/>
                <w:highlight w:val="none"/>
              </w:rPr>
            </w:pPr>
          </w:p>
        </w:tc>
        <w:tc>
          <w:tcPr>
            <w:tcW w:w="2131" w:type="dxa"/>
            <w:tcBorders>
              <w:top w:val="single" w:color="auto" w:sz="4" w:space="0"/>
              <w:left w:val="single" w:color="auto" w:sz="4" w:space="0"/>
              <w:bottom w:val="single" w:color="auto" w:sz="4" w:space="0"/>
              <w:right w:val="single" w:color="auto" w:sz="4" w:space="0"/>
            </w:tcBorders>
            <w:noWrap/>
            <w:vAlign w:val="top"/>
          </w:tcPr>
          <w:p w14:paraId="0C690EDA">
            <w:pPr>
              <w:snapToGrid w:val="0"/>
              <w:spacing w:before="50" w:afterLines="50" w:line="360" w:lineRule="auto"/>
              <w:jc w:val="left"/>
              <w:rPr>
                <w:rFonts w:ascii="宋体" w:hAnsi="宋体" w:cs="宋体"/>
                <w:color w:val="auto"/>
                <w:sz w:val="24"/>
                <w:highlight w:val="none"/>
              </w:rPr>
            </w:pPr>
          </w:p>
        </w:tc>
        <w:tc>
          <w:tcPr>
            <w:tcW w:w="2117" w:type="dxa"/>
            <w:tcBorders>
              <w:top w:val="single" w:color="auto" w:sz="4" w:space="0"/>
              <w:left w:val="single" w:color="auto" w:sz="4" w:space="0"/>
              <w:bottom w:val="single" w:color="auto" w:sz="4" w:space="0"/>
              <w:right w:val="single" w:color="auto" w:sz="4" w:space="0"/>
            </w:tcBorders>
            <w:noWrap/>
            <w:vAlign w:val="top"/>
          </w:tcPr>
          <w:p w14:paraId="4C6972A5">
            <w:pPr>
              <w:snapToGrid w:val="0"/>
              <w:spacing w:before="50" w:afterLines="50" w:line="360" w:lineRule="auto"/>
              <w:jc w:val="left"/>
              <w:rPr>
                <w:rFonts w:ascii="宋体" w:hAnsi="宋体" w:cs="宋体"/>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noWrap/>
            <w:vAlign w:val="top"/>
          </w:tcPr>
          <w:p w14:paraId="6CA278A5">
            <w:pPr>
              <w:snapToGrid w:val="0"/>
              <w:spacing w:before="50" w:afterLines="50" w:line="360" w:lineRule="auto"/>
              <w:jc w:val="left"/>
              <w:rPr>
                <w:rFonts w:ascii="宋体" w:hAnsi="宋体" w:cs="宋体"/>
                <w:color w:val="auto"/>
                <w:sz w:val="24"/>
                <w:highlight w:val="none"/>
              </w:rPr>
            </w:pPr>
          </w:p>
        </w:tc>
      </w:tr>
      <w:tr w14:paraId="51C42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noWrap/>
            <w:vAlign w:val="top"/>
          </w:tcPr>
          <w:p w14:paraId="24170977">
            <w:pPr>
              <w:snapToGrid w:val="0"/>
              <w:spacing w:before="50" w:afterLines="50" w:line="360" w:lineRule="auto"/>
              <w:jc w:val="left"/>
              <w:rPr>
                <w:rFonts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noWrap/>
            <w:vAlign w:val="top"/>
          </w:tcPr>
          <w:p w14:paraId="123D2B87">
            <w:pPr>
              <w:snapToGrid w:val="0"/>
              <w:spacing w:before="50" w:afterLines="50" w:line="360" w:lineRule="auto"/>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top"/>
          </w:tcPr>
          <w:p w14:paraId="1DE81AB7">
            <w:pPr>
              <w:snapToGrid w:val="0"/>
              <w:spacing w:before="50" w:afterLines="50" w:line="360" w:lineRule="auto"/>
              <w:jc w:val="left"/>
              <w:rPr>
                <w:rFonts w:ascii="宋体" w:hAnsi="宋体" w:cs="宋体"/>
                <w:color w:val="auto"/>
                <w:sz w:val="24"/>
                <w:highlight w:val="none"/>
              </w:rPr>
            </w:pPr>
          </w:p>
        </w:tc>
        <w:tc>
          <w:tcPr>
            <w:tcW w:w="2131" w:type="dxa"/>
            <w:tcBorders>
              <w:top w:val="single" w:color="auto" w:sz="4" w:space="0"/>
              <w:left w:val="single" w:color="auto" w:sz="4" w:space="0"/>
              <w:bottom w:val="single" w:color="auto" w:sz="4" w:space="0"/>
              <w:right w:val="single" w:color="auto" w:sz="4" w:space="0"/>
            </w:tcBorders>
            <w:noWrap/>
            <w:vAlign w:val="top"/>
          </w:tcPr>
          <w:p w14:paraId="3BF91AE0">
            <w:pPr>
              <w:snapToGrid w:val="0"/>
              <w:spacing w:before="50" w:afterLines="50" w:line="360" w:lineRule="auto"/>
              <w:jc w:val="left"/>
              <w:rPr>
                <w:rFonts w:ascii="宋体" w:hAnsi="宋体" w:cs="宋体"/>
                <w:color w:val="auto"/>
                <w:sz w:val="24"/>
                <w:highlight w:val="none"/>
              </w:rPr>
            </w:pPr>
          </w:p>
        </w:tc>
        <w:tc>
          <w:tcPr>
            <w:tcW w:w="2117" w:type="dxa"/>
            <w:tcBorders>
              <w:top w:val="single" w:color="auto" w:sz="4" w:space="0"/>
              <w:left w:val="single" w:color="auto" w:sz="4" w:space="0"/>
              <w:bottom w:val="single" w:color="auto" w:sz="4" w:space="0"/>
              <w:right w:val="single" w:color="auto" w:sz="4" w:space="0"/>
            </w:tcBorders>
            <w:noWrap/>
            <w:vAlign w:val="top"/>
          </w:tcPr>
          <w:p w14:paraId="2A77FCE9">
            <w:pPr>
              <w:snapToGrid w:val="0"/>
              <w:spacing w:before="50" w:afterLines="50" w:line="360" w:lineRule="auto"/>
              <w:jc w:val="left"/>
              <w:rPr>
                <w:rFonts w:ascii="宋体" w:hAnsi="宋体" w:cs="宋体"/>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noWrap/>
            <w:vAlign w:val="top"/>
          </w:tcPr>
          <w:p w14:paraId="7078C9C6">
            <w:pPr>
              <w:snapToGrid w:val="0"/>
              <w:spacing w:before="50" w:afterLines="50" w:line="360" w:lineRule="auto"/>
              <w:jc w:val="left"/>
              <w:rPr>
                <w:rFonts w:ascii="宋体" w:hAnsi="宋体" w:cs="宋体"/>
                <w:color w:val="auto"/>
                <w:sz w:val="24"/>
                <w:highlight w:val="none"/>
              </w:rPr>
            </w:pPr>
          </w:p>
        </w:tc>
      </w:tr>
    </w:tbl>
    <w:p w14:paraId="33D462DE">
      <w:pPr>
        <w:spacing w:line="360" w:lineRule="auto"/>
        <w:ind w:firstLine="2880" w:firstLineChars="900"/>
        <w:contextualSpacing/>
        <w:outlineLvl w:val="3"/>
        <w:rPr>
          <w:rFonts w:ascii="宋体" w:hAnsi="宋体" w:cs="宋体"/>
          <w:color w:val="auto"/>
          <w:sz w:val="32"/>
          <w:szCs w:val="32"/>
          <w:highlight w:val="none"/>
        </w:rPr>
      </w:pPr>
      <w:r>
        <w:rPr>
          <w:rFonts w:hint="eastAsia" w:ascii="宋体" w:hAnsi="宋体" w:cs="宋体"/>
          <w:color w:val="auto"/>
          <w:sz w:val="32"/>
          <w:szCs w:val="32"/>
          <w:highlight w:val="none"/>
        </w:rPr>
        <w:t>类似项目的业绩一览表</w:t>
      </w:r>
    </w:p>
    <w:p w14:paraId="3BF4D647">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所竞分标（如有则填写，无分标时填写“无”或者留空）：</w:t>
      </w:r>
    </w:p>
    <w:p w14:paraId="4FB505F3">
      <w:pPr>
        <w:snapToGrid w:val="0"/>
        <w:spacing w:line="360" w:lineRule="auto"/>
        <w:ind w:firstLine="4935" w:firstLineChars="2350"/>
        <w:rPr>
          <w:rFonts w:ascii="宋体" w:hAnsi="宋体" w:cs="宋体"/>
          <w:color w:val="auto"/>
          <w:szCs w:val="21"/>
          <w:highlight w:val="none"/>
        </w:rPr>
      </w:pPr>
    </w:p>
    <w:p w14:paraId="509BC273">
      <w:pPr>
        <w:snapToGrid w:val="0"/>
        <w:spacing w:line="360" w:lineRule="auto"/>
        <w:rPr>
          <w:rFonts w:ascii="宋体" w:hAnsi="宋体" w:cs="宋体"/>
          <w:color w:val="auto"/>
          <w:szCs w:val="21"/>
          <w:highlight w:val="none"/>
        </w:rPr>
      </w:pPr>
      <w:r>
        <w:rPr>
          <w:rFonts w:hint="eastAsia" w:ascii="宋体" w:hAnsi="宋体" w:cs="宋体"/>
          <w:color w:val="auto"/>
          <w:sz w:val="24"/>
          <w:szCs w:val="20"/>
          <w:highlight w:val="none"/>
        </w:rPr>
        <w:t>注：在填写时，如本表格不适合供应商的实际情况，可参照本表格式自行制表填写，并附上相关证明材料</w:t>
      </w:r>
      <w:r>
        <w:rPr>
          <w:rFonts w:hint="eastAsia" w:ascii="宋体" w:hAnsi="宋体" w:cs="宋体"/>
          <w:color w:val="auto"/>
          <w:highlight w:val="none"/>
        </w:rPr>
        <w:t>。</w:t>
      </w:r>
    </w:p>
    <w:p w14:paraId="5E735183">
      <w:pPr>
        <w:snapToGrid w:val="0"/>
        <w:spacing w:line="360" w:lineRule="auto"/>
        <w:rPr>
          <w:rFonts w:ascii="宋体" w:hAnsi="宋体" w:cs="宋体"/>
          <w:color w:val="auto"/>
          <w:szCs w:val="21"/>
          <w:highlight w:val="none"/>
        </w:rPr>
      </w:pPr>
    </w:p>
    <w:p w14:paraId="0353991B">
      <w:pPr>
        <w:snapToGrid w:val="0"/>
        <w:spacing w:line="360" w:lineRule="auto"/>
        <w:rPr>
          <w:rFonts w:ascii="宋体" w:hAnsi="宋体" w:cs="宋体"/>
          <w:color w:val="auto"/>
          <w:szCs w:val="21"/>
          <w:highlight w:val="none"/>
        </w:rPr>
      </w:pPr>
    </w:p>
    <w:p w14:paraId="1A159CF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供应商名称(盖公章</w:t>
      </w:r>
      <w:r>
        <w:rPr>
          <w:rFonts w:hint="eastAsia" w:ascii="宋体" w:hAnsi="宋体" w:cs="宋体"/>
          <w:b/>
          <w:bCs/>
          <w:color w:val="auto"/>
          <w:sz w:val="24"/>
          <w:highlight w:val="none"/>
        </w:rPr>
        <w:t>或CA电子签章</w:t>
      </w:r>
      <w:r>
        <w:rPr>
          <w:rFonts w:hint="eastAsia" w:ascii="宋体" w:hAnsi="宋体" w:cs="宋体"/>
          <w:color w:val="auto"/>
          <w:kern w:val="0"/>
          <w:sz w:val="24"/>
          <w:highlight w:val="none"/>
          <w:lang w:val="zh-CN"/>
        </w:rPr>
        <w:t>)：</w:t>
      </w:r>
    </w:p>
    <w:p w14:paraId="6EA1F083">
      <w:pPr>
        <w:spacing w:line="360" w:lineRule="auto"/>
        <w:jc w:val="center"/>
        <w:rPr>
          <w:rFonts w:ascii="宋体" w:hAnsi="宋体" w:cs="宋体"/>
          <w:color w:val="auto"/>
          <w:sz w:val="32"/>
          <w:szCs w:val="32"/>
          <w:highlight w:val="none"/>
        </w:rPr>
        <w:sectPr>
          <w:pgSz w:w="11911" w:h="16838"/>
          <w:pgMar w:top="1134" w:right="1134" w:bottom="1134" w:left="1134" w:header="720" w:footer="720" w:gutter="0"/>
          <w:cols w:space="720" w:num="1"/>
        </w:sect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14:paraId="09DE91D8">
      <w:pPr>
        <w:snapToGrid w:val="0"/>
        <w:spacing w:line="360" w:lineRule="auto"/>
        <w:outlineLvl w:val="2"/>
        <w:rPr>
          <w:rFonts w:ascii="宋体" w:hAnsi="宋体" w:cs="宋体"/>
          <w:color w:val="auto"/>
          <w:sz w:val="28"/>
          <w:szCs w:val="28"/>
          <w:highlight w:val="none"/>
        </w:rPr>
      </w:pPr>
      <w:bookmarkStart w:id="189" w:name="_Toc23502"/>
      <w:r>
        <w:rPr>
          <w:rFonts w:hint="eastAsia" w:ascii="宋体" w:hAnsi="宋体" w:cs="宋体"/>
          <w:b/>
          <w:color w:val="auto"/>
          <w:sz w:val="28"/>
          <w:szCs w:val="28"/>
          <w:highlight w:val="none"/>
        </w:rPr>
        <w:t>8.服务需求偏离表的格式：</w:t>
      </w:r>
      <w:bookmarkEnd w:id="189"/>
    </w:p>
    <w:p w14:paraId="2F9627E0">
      <w:pPr>
        <w:spacing w:line="360"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t>服务需求偏离表</w:t>
      </w:r>
    </w:p>
    <w:p w14:paraId="3C6C5361">
      <w:pPr>
        <w:spacing w:line="360" w:lineRule="auto"/>
        <w:jc w:val="center"/>
        <w:outlineLvl w:val="3"/>
        <w:rPr>
          <w:rFonts w:ascii="宋体" w:hAnsi="宋体" w:cs="宋体"/>
          <w:b/>
          <w:color w:val="auto"/>
          <w:sz w:val="32"/>
          <w:szCs w:val="32"/>
          <w:highlight w:val="none"/>
        </w:rPr>
      </w:pPr>
      <w:r>
        <w:rPr>
          <w:rFonts w:hint="eastAsia" w:ascii="宋体" w:hAnsi="宋体" w:cs="宋体"/>
          <w:bCs/>
          <w:color w:val="auto"/>
          <w:sz w:val="44"/>
          <w:szCs w:val="44"/>
          <w:highlight w:val="none"/>
        </w:rPr>
        <w:t>(注：按采购需求具体条款修改)</w:t>
      </w:r>
    </w:p>
    <w:p w14:paraId="7E021DC2">
      <w:pPr>
        <w:spacing w:line="360" w:lineRule="auto"/>
        <w:contextualSpacing/>
        <w:jc w:val="left"/>
        <w:rPr>
          <w:rFonts w:ascii="宋体" w:hAnsi="宋体" w:cs="宋体"/>
          <w:color w:val="auto"/>
          <w:sz w:val="24"/>
          <w:highlight w:val="none"/>
        </w:rPr>
      </w:pPr>
    </w:p>
    <w:p w14:paraId="24C09C44">
      <w:pPr>
        <w:spacing w:line="360" w:lineRule="auto"/>
        <w:ind w:firstLine="720" w:firstLineChars="300"/>
        <w:contextualSpacing/>
        <w:rPr>
          <w:rFonts w:ascii="宋体" w:hAnsi="宋体" w:cs="宋体"/>
          <w:color w:val="auto"/>
          <w:sz w:val="24"/>
          <w:highlight w:val="none"/>
          <w:u w:val="single"/>
        </w:rPr>
      </w:pPr>
      <w:r>
        <w:rPr>
          <w:rFonts w:hint="eastAsia" w:ascii="宋体" w:hAnsi="宋体" w:cs="宋体"/>
          <w:color w:val="auto"/>
          <w:sz w:val="24"/>
          <w:highlight w:val="none"/>
        </w:rPr>
        <w:t>项目名称：</w:t>
      </w:r>
    </w:p>
    <w:p w14:paraId="1941D9AE">
      <w:pPr>
        <w:spacing w:line="360" w:lineRule="auto"/>
        <w:ind w:firstLine="720" w:firstLineChars="300"/>
        <w:contextualSpacing/>
        <w:rPr>
          <w:rFonts w:ascii="宋体" w:hAnsi="宋体" w:cs="宋体"/>
          <w:color w:val="auto"/>
          <w:sz w:val="24"/>
          <w:highlight w:val="none"/>
        </w:rPr>
      </w:pPr>
      <w:r>
        <w:rPr>
          <w:rFonts w:hint="eastAsia" w:ascii="宋体" w:hAnsi="宋体" w:cs="宋体"/>
          <w:color w:val="auto"/>
          <w:sz w:val="24"/>
          <w:highlight w:val="none"/>
        </w:rPr>
        <w:t>项目编号：</w:t>
      </w:r>
    </w:p>
    <w:p w14:paraId="41112BF8">
      <w:pPr>
        <w:spacing w:line="360" w:lineRule="auto"/>
        <w:ind w:firstLine="720" w:firstLineChars="300"/>
        <w:contextualSpacing/>
        <w:rPr>
          <w:rFonts w:ascii="宋体" w:hAnsi="宋体" w:cs="宋体"/>
          <w:color w:val="auto"/>
          <w:sz w:val="24"/>
          <w:highlight w:val="none"/>
          <w:u w:val="single"/>
        </w:rPr>
      </w:pPr>
      <w:r>
        <w:rPr>
          <w:rFonts w:hint="eastAsia" w:ascii="宋体" w:hAnsi="宋体" w:cs="宋体"/>
          <w:color w:val="auto"/>
          <w:sz w:val="24"/>
          <w:highlight w:val="none"/>
        </w:rPr>
        <w:t>所竞分标（如有则填写，无分标时填写“无”或者留空）：</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175"/>
        <w:gridCol w:w="2118"/>
        <w:gridCol w:w="2944"/>
        <w:gridCol w:w="1095"/>
      </w:tblGrid>
      <w:tr w14:paraId="3DDF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54" w:type="dxa"/>
            <w:tcBorders>
              <w:top w:val="single" w:color="auto" w:sz="4" w:space="0"/>
              <w:left w:val="single" w:color="auto" w:sz="4" w:space="0"/>
              <w:bottom w:val="single" w:color="auto" w:sz="4" w:space="0"/>
              <w:right w:val="single" w:color="auto" w:sz="4" w:space="0"/>
            </w:tcBorders>
            <w:noWrap/>
            <w:vAlign w:val="center"/>
          </w:tcPr>
          <w:p w14:paraId="0F2C9B52">
            <w:pPr>
              <w:spacing w:line="360" w:lineRule="auto"/>
              <w:rPr>
                <w:rFonts w:ascii="宋体" w:hAnsi="宋体" w:cs="宋体"/>
                <w:color w:val="auto"/>
                <w:szCs w:val="21"/>
                <w:highlight w:val="none"/>
              </w:rPr>
            </w:pPr>
            <w:r>
              <w:rPr>
                <w:rFonts w:hint="eastAsia" w:ascii="宋体" w:hAnsi="宋体" w:cs="宋体"/>
                <w:color w:val="auto"/>
                <w:szCs w:val="21"/>
                <w:highlight w:val="none"/>
              </w:rPr>
              <w:t>项号</w:t>
            </w:r>
          </w:p>
        </w:tc>
        <w:tc>
          <w:tcPr>
            <w:tcW w:w="1175" w:type="dxa"/>
            <w:tcBorders>
              <w:top w:val="single" w:color="auto" w:sz="4" w:space="0"/>
              <w:left w:val="single" w:color="auto" w:sz="4" w:space="0"/>
              <w:bottom w:val="single" w:color="auto" w:sz="4" w:space="0"/>
              <w:right w:val="single" w:color="auto" w:sz="4" w:space="0"/>
            </w:tcBorders>
            <w:noWrap/>
            <w:vAlign w:val="center"/>
          </w:tcPr>
          <w:p w14:paraId="08BB337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2118" w:type="dxa"/>
            <w:tcBorders>
              <w:top w:val="single" w:color="auto" w:sz="4" w:space="0"/>
              <w:left w:val="single" w:color="auto" w:sz="4" w:space="0"/>
              <w:bottom w:val="single" w:color="auto" w:sz="4" w:space="0"/>
              <w:right w:val="single" w:color="auto" w:sz="4" w:space="0"/>
            </w:tcBorders>
            <w:noWrap/>
            <w:vAlign w:val="center"/>
          </w:tcPr>
          <w:p w14:paraId="20BCF74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竞争性磋商文件采购需求中的</w:t>
            </w:r>
            <w:r>
              <w:rPr>
                <w:rFonts w:hint="eastAsia"/>
                <w:color w:val="auto"/>
                <w:highlight w:val="none"/>
              </w:rPr>
              <w:t>服务内容</w:t>
            </w:r>
          </w:p>
        </w:tc>
        <w:tc>
          <w:tcPr>
            <w:tcW w:w="2944" w:type="dxa"/>
            <w:tcBorders>
              <w:top w:val="single" w:color="auto" w:sz="4" w:space="0"/>
              <w:left w:val="single" w:color="auto" w:sz="4" w:space="0"/>
              <w:bottom w:val="single" w:color="auto" w:sz="4" w:space="0"/>
              <w:right w:val="single" w:color="auto" w:sz="4" w:space="0"/>
            </w:tcBorders>
            <w:noWrap/>
            <w:vAlign w:val="center"/>
          </w:tcPr>
          <w:p w14:paraId="33291E4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响应文件响应的</w:t>
            </w:r>
            <w:r>
              <w:rPr>
                <w:rFonts w:hint="eastAsia"/>
                <w:color w:val="auto"/>
                <w:highlight w:val="none"/>
              </w:rPr>
              <w:t>服务内容</w:t>
            </w:r>
          </w:p>
        </w:tc>
        <w:tc>
          <w:tcPr>
            <w:tcW w:w="1095" w:type="dxa"/>
            <w:tcBorders>
              <w:top w:val="single" w:color="auto" w:sz="4" w:space="0"/>
              <w:left w:val="single" w:color="auto" w:sz="4" w:space="0"/>
              <w:bottom w:val="single" w:color="auto" w:sz="4" w:space="0"/>
              <w:right w:val="single" w:color="auto" w:sz="4" w:space="0"/>
            </w:tcBorders>
            <w:noWrap/>
            <w:vAlign w:val="center"/>
          </w:tcPr>
          <w:p w14:paraId="3B3D1F12">
            <w:pPr>
              <w:spacing w:line="360" w:lineRule="auto"/>
              <w:rPr>
                <w:rFonts w:ascii="宋体" w:hAnsi="宋体" w:cs="宋体"/>
                <w:color w:val="auto"/>
                <w:szCs w:val="21"/>
                <w:highlight w:val="none"/>
              </w:rPr>
            </w:pPr>
            <w:r>
              <w:rPr>
                <w:rFonts w:hint="eastAsia" w:ascii="宋体" w:hAnsi="宋体" w:cs="宋体"/>
                <w:color w:val="auto"/>
                <w:szCs w:val="21"/>
                <w:highlight w:val="none"/>
              </w:rPr>
              <w:t>偏离说明</w:t>
            </w:r>
          </w:p>
        </w:tc>
      </w:tr>
      <w:tr w14:paraId="7643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noWrap/>
            <w:vAlign w:val="center"/>
          </w:tcPr>
          <w:p w14:paraId="3B46568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175" w:type="dxa"/>
            <w:tcBorders>
              <w:top w:val="single" w:color="auto" w:sz="4" w:space="0"/>
              <w:left w:val="single" w:color="auto" w:sz="4" w:space="0"/>
              <w:bottom w:val="single" w:color="auto" w:sz="4" w:space="0"/>
              <w:right w:val="single" w:color="auto" w:sz="4" w:space="0"/>
            </w:tcBorders>
            <w:noWrap/>
            <w:vAlign w:val="center"/>
          </w:tcPr>
          <w:p w14:paraId="33CFDC9F">
            <w:pPr>
              <w:spacing w:line="360" w:lineRule="auto"/>
              <w:rPr>
                <w:rFonts w:ascii="宋体" w:hAnsi="宋体" w:cs="宋体"/>
                <w:color w:val="auto"/>
                <w:szCs w:val="21"/>
                <w:highlight w:val="none"/>
              </w:rPr>
            </w:pPr>
          </w:p>
        </w:tc>
        <w:tc>
          <w:tcPr>
            <w:tcW w:w="2118" w:type="dxa"/>
            <w:tcBorders>
              <w:top w:val="single" w:color="auto" w:sz="4" w:space="0"/>
              <w:left w:val="single" w:color="auto" w:sz="4" w:space="0"/>
              <w:bottom w:val="single" w:color="auto" w:sz="4" w:space="0"/>
              <w:right w:val="single" w:color="auto" w:sz="4" w:space="0"/>
            </w:tcBorders>
            <w:noWrap/>
            <w:vAlign w:val="center"/>
          </w:tcPr>
          <w:p w14:paraId="0E14E5C2">
            <w:pPr>
              <w:spacing w:line="360" w:lineRule="auto"/>
              <w:rPr>
                <w:rFonts w:ascii="宋体" w:hAnsi="宋体" w:cs="宋体"/>
                <w:color w:val="auto"/>
                <w:szCs w:val="21"/>
                <w:highlight w:val="none"/>
              </w:rPr>
            </w:pPr>
          </w:p>
        </w:tc>
        <w:tc>
          <w:tcPr>
            <w:tcW w:w="2944" w:type="dxa"/>
            <w:tcBorders>
              <w:top w:val="single" w:color="auto" w:sz="4" w:space="0"/>
              <w:left w:val="single" w:color="auto" w:sz="4" w:space="0"/>
              <w:bottom w:val="single" w:color="auto" w:sz="4" w:space="0"/>
              <w:right w:val="single" w:color="auto" w:sz="4" w:space="0"/>
            </w:tcBorders>
            <w:noWrap/>
            <w:vAlign w:val="center"/>
          </w:tcPr>
          <w:p w14:paraId="31E687FB">
            <w:pPr>
              <w:spacing w:line="360" w:lineRule="auto"/>
              <w:rPr>
                <w:rFonts w:ascii="宋体" w:hAnsi="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42B58CF7">
            <w:pPr>
              <w:spacing w:line="360" w:lineRule="auto"/>
              <w:rPr>
                <w:rFonts w:ascii="宋体" w:hAnsi="宋体" w:cs="宋体"/>
                <w:color w:val="auto"/>
                <w:szCs w:val="21"/>
                <w:highlight w:val="none"/>
              </w:rPr>
            </w:pPr>
          </w:p>
        </w:tc>
      </w:tr>
      <w:tr w14:paraId="5723F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noWrap/>
            <w:vAlign w:val="center"/>
          </w:tcPr>
          <w:p w14:paraId="5E5E2CD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175" w:type="dxa"/>
            <w:tcBorders>
              <w:top w:val="single" w:color="auto" w:sz="4" w:space="0"/>
              <w:left w:val="single" w:color="auto" w:sz="4" w:space="0"/>
              <w:bottom w:val="single" w:color="auto" w:sz="4" w:space="0"/>
              <w:right w:val="single" w:color="auto" w:sz="4" w:space="0"/>
            </w:tcBorders>
            <w:noWrap/>
            <w:vAlign w:val="center"/>
          </w:tcPr>
          <w:p w14:paraId="2B1DF7EC">
            <w:pPr>
              <w:spacing w:line="360" w:lineRule="auto"/>
              <w:rPr>
                <w:rFonts w:ascii="宋体" w:hAnsi="宋体" w:cs="宋体"/>
                <w:color w:val="auto"/>
                <w:szCs w:val="21"/>
                <w:highlight w:val="none"/>
              </w:rPr>
            </w:pPr>
          </w:p>
        </w:tc>
        <w:tc>
          <w:tcPr>
            <w:tcW w:w="2118" w:type="dxa"/>
            <w:tcBorders>
              <w:top w:val="single" w:color="auto" w:sz="4" w:space="0"/>
              <w:left w:val="single" w:color="auto" w:sz="4" w:space="0"/>
              <w:bottom w:val="single" w:color="auto" w:sz="4" w:space="0"/>
              <w:right w:val="single" w:color="auto" w:sz="4" w:space="0"/>
            </w:tcBorders>
            <w:noWrap/>
            <w:vAlign w:val="center"/>
          </w:tcPr>
          <w:p w14:paraId="642DA547">
            <w:pPr>
              <w:spacing w:line="360" w:lineRule="auto"/>
              <w:rPr>
                <w:rFonts w:ascii="宋体" w:hAnsi="宋体" w:cs="宋体"/>
                <w:color w:val="auto"/>
                <w:szCs w:val="21"/>
                <w:highlight w:val="none"/>
              </w:rPr>
            </w:pPr>
          </w:p>
        </w:tc>
        <w:tc>
          <w:tcPr>
            <w:tcW w:w="2944" w:type="dxa"/>
            <w:tcBorders>
              <w:top w:val="single" w:color="auto" w:sz="4" w:space="0"/>
              <w:left w:val="single" w:color="auto" w:sz="4" w:space="0"/>
              <w:bottom w:val="single" w:color="auto" w:sz="4" w:space="0"/>
              <w:right w:val="single" w:color="auto" w:sz="4" w:space="0"/>
            </w:tcBorders>
            <w:noWrap/>
            <w:vAlign w:val="center"/>
          </w:tcPr>
          <w:p w14:paraId="4FE78A54">
            <w:pPr>
              <w:spacing w:line="360" w:lineRule="auto"/>
              <w:rPr>
                <w:rFonts w:ascii="宋体" w:hAnsi="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25F17946">
            <w:pPr>
              <w:spacing w:line="360" w:lineRule="auto"/>
              <w:rPr>
                <w:rFonts w:ascii="宋体" w:hAnsi="宋体" w:cs="宋体"/>
                <w:color w:val="auto"/>
                <w:szCs w:val="21"/>
                <w:highlight w:val="none"/>
              </w:rPr>
            </w:pPr>
          </w:p>
        </w:tc>
      </w:tr>
      <w:tr w14:paraId="68261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noWrap/>
            <w:vAlign w:val="center"/>
          </w:tcPr>
          <w:p w14:paraId="7FE5E74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1175" w:type="dxa"/>
            <w:tcBorders>
              <w:top w:val="single" w:color="auto" w:sz="4" w:space="0"/>
              <w:left w:val="single" w:color="auto" w:sz="4" w:space="0"/>
              <w:bottom w:val="single" w:color="auto" w:sz="4" w:space="0"/>
              <w:right w:val="single" w:color="auto" w:sz="4" w:space="0"/>
            </w:tcBorders>
            <w:noWrap/>
            <w:vAlign w:val="center"/>
          </w:tcPr>
          <w:p w14:paraId="35746600">
            <w:pPr>
              <w:spacing w:line="360" w:lineRule="auto"/>
              <w:rPr>
                <w:rFonts w:ascii="宋体" w:hAnsi="宋体" w:cs="宋体"/>
                <w:color w:val="auto"/>
                <w:szCs w:val="21"/>
                <w:highlight w:val="none"/>
              </w:rPr>
            </w:pPr>
          </w:p>
        </w:tc>
        <w:tc>
          <w:tcPr>
            <w:tcW w:w="2118" w:type="dxa"/>
            <w:tcBorders>
              <w:top w:val="single" w:color="auto" w:sz="4" w:space="0"/>
              <w:left w:val="single" w:color="auto" w:sz="4" w:space="0"/>
              <w:bottom w:val="single" w:color="auto" w:sz="4" w:space="0"/>
              <w:right w:val="single" w:color="auto" w:sz="4" w:space="0"/>
            </w:tcBorders>
            <w:noWrap/>
            <w:vAlign w:val="center"/>
          </w:tcPr>
          <w:p w14:paraId="5D6C0707">
            <w:pPr>
              <w:spacing w:line="360" w:lineRule="auto"/>
              <w:rPr>
                <w:rFonts w:ascii="宋体" w:hAnsi="宋体" w:cs="宋体"/>
                <w:color w:val="auto"/>
                <w:szCs w:val="21"/>
                <w:highlight w:val="none"/>
              </w:rPr>
            </w:pPr>
          </w:p>
        </w:tc>
        <w:tc>
          <w:tcPr>
            <w:tcW w:w="2944" w:type="dxa"/>
            <w:tcBorders>
              <w:top w:val="single" w:color="auto" w:sz="4" w:space="0"/>
              <w:left w:val="single" w:color="auto" w:sz="4" w:space="0"/>
              <w:bottom w:val="single" w:color="auto" w:sz="4" w:space="0"/>
              <w:right w:val="single" w:color="auto" w:sz="4" w:space="0"/>
            </w:tcBorders>
            <w:noWrap/>
            <w:vAlign w:val="center"/>
          </w:tcPr>
          <w:p w14:paraId="2B4700FC">
            <w:pPr>
              <w:spacing w:line="360" w:lineRule="auto"/>
              <w:rPr>
                <w:rFonts w:ascii="宋体" w:hAnsi="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6A361070">
            <w:pPr>
              <w:spacing w:line="360" w:lineRule="auto"/>
              <w:rPr>
                <w:rFonts w:ascii="宋体" w:hAnsi="宋体" w:cs="宋体"/>
                <w:color w:val="auto"/>
                <w:szCs w:val="21"/>
                <w:highlight w:val="none"/>
              </w:rPr>
            </w:pPr>
          </w:p>
        </w:tc>
      </w:tr>
    </w:tbl>
    <w:p w14:paraId="43806E1C">
      <w:pPr>
        <w:pStyle w:val="12"/>
        <w:spacing w:after="0" w:line="360" w:lineRule="auto"/>
        <w:contextualSpacing/>
        <w:rPr>
          <w:rFonts w:ascii="宋体" w:hAnsi="宋体" w:cs="宋体"/>
          <w:color w:val="auto"/>
          <w:kern w:val="0"/>
          <w:sz w:val="24"/>
          <w:szCs w:val="24"/>
          <w:highlight w:val="none"/>
        </w:rPr>
      </w:pPr>
    </w:p>
    <w:p w14:paraId="0DAF60C8">
      <w:pPr>
        <w:pStyle w:val="12"/>
        <w:spacing w:after="0" w:line="360" w:lineRule="auto"/>
        <w:ind w:firstLine="420" w:firstLineChars="20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注：</w:t>
      </w:r>
    </w:p>
    <w:p w14:paraId="06AB16F7">
      <w:pPr>
        <w:pStyle w:val="12"/>
        <w:spacing w:after="0" w:line="360" w:lineRule="auto"/>
        <w:ind w:firstLine="420" w:firstLineChars="20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1.说明：应对照磋商文件“第二章</w:t>
      </w:r>
      <w:r>
        <w:rPr>
          <w:rFonts w:hint="eastAsia" w:ascii="宋体" w:hAnsi="宋体" w:cs="宋体"/>
          <w:bCs/>
          <w:color w:val="auto"/>
          <w:sz w:val="21"/>
          <w:szCs w:val="21"/>
          <w:highlight w:val="none"/>
        </w:rPr>
        <w:t>采购需求</w:t>
      </w:r>
      <w:r>
        <w:rPr>
          <w:rFonts w:hint="eastAsia" w:ascii="宋体" w:hAnsi="宋体" w:cs="宋体"/>
          <w:color w:val="auto"/>
          <w:kern w:val="0"/>
          <w:sz w:val="21"/>
          <w:szCs w:val="21"/>
          <w:highlight w:val="none"/>
        </w:rPr>
        <w:t>”中“需求一览表”的服务内容条款逐条作出明确响应，并作出偏离说明。</w:t>
      </w:r>
    </w:p>
    <w:p w14:paraId="64694168">
      <w:pPr>
        <w:pStyle w:val="13"/>
        <w:spacing w:line="360" w:lineRule="auto"/>
        <w:ind w:firstLine="420" w:firstLineChars="2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2.供应商应根据自身的承诺，对照磋商文件要求，在“偏离说明”中注明“正偏离”或者“负偏离”或者“无偏离”。既不属于“正偏离”也不属于“负偏离”即为“无偏离”。 当响应文件的服务内容低于竞争性磋商文件要求时，供应商应当如实写明“负偏离”。</w:t>
      </w:r>
    </w:p>
    <w:p w14:paraId="3F737EC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3.表格内容均需按要求填写并盖公章，不得留空，</w:t>
      </w:r>
      <w:r>
        <w:rPr>
          <w:rFonts w:hint="eastAsia" w:ascii="宋体" w:hAnsi="宋体" w:cs="宋体"/>
          <w:b/>
          <w:bCs/>
          <w:color w:val="auto"/>
          <w:kern w:val="0"/>
          <w:szCs w:val="21"/>
          <w:highlight w:val="none"/>
        </w:rPr>
        <w:t>否则按竞标无效处理。</w:t>
      </w:r>
    </w:p>
    <w:p w14:paraId="37C8E643">
      <w:pPr>
        <w:pStyle w:val="13"/>
        <w:spacing w:line="360" w:lineRule="auto"/>
        <w:ind w:firstLine="420" w:firstLineChars="200"/>
        <w:contextualSpacing/>
        <w:rPr>
          <w:rFonts w:ascii="宋体" w:hAnsi="宋体" w:eastAsia="宋体" w:cs="宋体"/>
          <w:color w:val="auto"/>
          <w:sz w:val="21"/>
          <w:szCs w:val="21"/>
          <w:highlight w:val="none"/>
        </w:rPr>
      </w:pPr>
    </w:p>
    <w:p w14:paraId="441FF443">
      <w:pPr>
        <w:snapToGrid w:val="0"/>
        <w:spacing w:line="360" w:lineRule="auto"/>
        <w:rPr>
          <w:rFonts w:ascii="宋体" w:hAnsi="宋体" w:cs="宋体"/>
          <w:b/>
          <w:color w:val="auto"/>
          <w:sz w:val="30"/>
          <w:szCs w:val="30"/>
          <w:highlight w:val="none"/>
        </w:rPr>
      </w:pPr>
    </w:p>
    <w:p w14:paraId="4FBD000A">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r>
        <w:rPr>
          <w:rFonts w:hint="eastAsia" w:ascii="宋体" w:hAnsi="宋体" w:cs="宋体"/>
          <w:b/>
          <w:bCs/>
          <w:color w:val="auto"/>
          <w:sz w:val="24"/>
          <w:highlight w:val="none"/>
        </w:rPr>
        <w:t>或CA电子签章</w:t>
      </w:r>
      <w:r>
        <w:rPr>
          <w:rFonts w:hint="eastAsia" w:ascii="宋体" w:hAnsi="宋体" w:cs="宋体"/>
          <w:color w:val="auto"/>
          <w:kern w:val="0"/>
          <w:sz w:val="24"/>
          <w:highlight w:val="none"/>
        </w:rPr>
        <w:t>）：</w:t>
      </w:r>
    </w:p>
    <w:p w14:paraId="59A0CDF6">
      <w:pPr>
        <w:autoSpaceDE w:val="0"/>
        <w:autoSpaceDN w:val="0"/>
        <w:spacing w:line="360" w:lineRule="auto"/>
        <w:ind w:firstLine="6480" w:firstLineChars="270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1D4CB049">
      <w:pPr>
        <w:adjustRightInd w:val="0"/>
        <w:snapToGrid w:val="0"/>
        <w:spacing w:line="360" w:lineRule="auto"/>
        <w:jc w:val="center"/>
        <w:rPr>
          <w:rFonts w:ascii="宋体" w:hAnsi="宋体" w:cs="宋体"/>
          <w:bCs/>
          <w:color w:val="auto"/>
          <w:sz w:val="44"/>
          <w:szCs w:val="44"/>
          <w:highlight w:val="none"/>
        </w:rPr>
      </w:pPr>
    </w:p>
    <w:p w14:paraId="73EA1EB2">
      <w:pPr>
        <w:snapToGrid w:val="0"/>
        <w:spacing w:line="360" w:lineRule="auto"/>
        <w:rPr>
          <w:rFonts w:ascii="宋体" w:hAnsi="宋体" w:cs="宋体"/>
          <w:b/>
          <w:color w:val="auto"/>
          <w:sz w:val="28"/>
          <w:szCs w:val="28"/>
          <w:highlight w:val="none"/>
        </w:rPr>
      </w:pPr>
    </w:p>
    <w:p w14:paraId="54752FD0">
      <w:pPr>
        <w:snapToGrid w:val="0"/>
        <w:spacing w:line="360" w:lineRule="auto"/>
        <w:outlineLvl w:val="2"/>
        <w:rPr>
          <w:rFonts w:ascii="宋体" w:hAnsi="宋体" w:cs="宋体"/>
          <w:b/>
          <w:color w:val="auto"/>
          <w:sz w:val="28"/>
          <w:szCs w:val="28"/>
          <w:highlight w:val="none"/>
        </w:rPr>
      </w:pPr>
      <w:bookmarkStart w:id="190" w:name="_Toc4407"/>
      <w:r>
        <w:rPr>
          <w:rFonts w:hint="eastAsia" w:ascii="宋体" w:hAnsi="宋体" w:cs="宋体"/>
          <w:b/>
          <w:color w:val="auto"/>
          <w:sz w:val="28"/>
          <w:szCs w:val="28"/>
          <w:highlight w:val="none"/>
        </w:rPr>
        <w:t>9.</w:t>
      </w:r>
      <w:bookmarkEnd w:id="190"/>
      <w:r>
        <w:rPr>
          <w:rFonts w:hint="eastAsia" w:ascii="宋体" w:hAnsi="宋体" w:cs="宋体"/>
          <w:b/>
          <w:color w:val="auto"/>
          <w:sz w:val="28"/>
          <w:szCs w:val="28"/>
          <w:highlight w:val="none"/>
        </w:rPr>
        <w:t>技术方案</w:t>
      </w:r>
    </w:p>
    <w:p w14:paraId="6A71AE28">
      <w:pPr>
        <w:autoSpaceDE w:val="0"/>
        <w:autoSpaceDN w:val="0"/>
        <w:spacing w:line="360" w:lineRule="auto"/>
        <w:outlineLvl w:val="3"/>
        <w:rPr>
          <w:rFonts w:ascii="宋体" w:hAnsi="宋体" w:cs="宋体"/>
          <w:color w:val="auto"/>
          <w:sz w:val="24"/>
          <w:highlight w:val="none"/>
        </w:rPr>
      </w:pPr>
      <w:r>
        <w:rPr>
          <w:rFonts w:hint="eastAsia" w:ascii="宋体" w:hAnsi="宋体" w:cs="宋体"/>
          <w:color w:val="auto"/>
          <w:sz w:val="24"/>
          <w:highlight w:val="none"/>
        </w:rPr>
        <w:t>（由供应商根据采购需求及采购文件要求编制）</w:t>
      </w:r>
    </w:p>
    <w:p w14:paraId="38232669">
      <w:pPr>
        <w:spacing w:line="360" w:lineRule="auto"/>
        <w:rPr>
          <w:rFonts w:ascii="宋体" w:hAnsi="宋体" w:cs="宋体"/>
          <w:b/>
          <w:bCs/>
          <w:color w:val="auto"/>
          <w:kern w:val="0"/>
          <w:sz w:val="24"/>
          <w:highlight w:val="none"/>
          <w:lang w:val="zh-CN"/>
        </w:rPr>
      </w:pPr>
    </w:p>
    <w:p w14:paraId="5C8C3E9E">
      <w:pPr>
        <w:spacing w:line="360" w:lineRule="auto"/>
        <w:rPr>
          <w:rFonts w:ascii="宋体" w:hAnsi="宋体" w:cs="宋体"/>
          <w:color w:val="auto"/>
          <w:sz w:val="32"/>
          <w:szCs w:val="32"/>
          <w:highlight w:val="none"/>
        </w:rPr>
      </w:pPr>
    </w:p>
    <w:p w14:paraId="0E9EB2B3">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r>
        <w:rPr>
          <w:rFonts w:hint="eastAsia" w:ascii="宋体" w:hAnsi="宋体" w:cs="宋体"/>
          <w:b/>
          <w:bCs/>
          <w:color w:val="auto"/>
          <w:sz w:val="24"/>
          <w:highlight w:val="none"/>
        </w:rPr>
        <w:t>或CA电子签章</w:t>
      </w:r>
      <w:r>
        <w:rPr>
          <w:rFonts w:hint="eastAsia" w:ascii="宋体" w:hAnsi="宋体" w:cs="宋体"/>
          <w:color w:val="auto"/>
          <w:kern w:val="0"/>
          <w:sz w:val="24"/>
          <w:highlight w:val="none"/>
        </w:rPr>
        <w:t>）：</w:t>
      </w:r>
    </w:p>
    <w:p w14:paraId="53089049">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2D98BC2">
      <w:pPr>
        <w:numPr>
          <w:ilvl w:val="0"/>
          <w:numId w:val="3"/>
        </w:numPr>
        <w:autoSpaceDE w:val="0"/>
        <w:autoSpaceDN w:val="0"/>
        <w:spacing w:line="360" w:lineRule="auto"/>
        <w:outlineLvl w:val="2"/>
        <w:rPr>
          <w:rFonts w:hint="eastAsia" w:ascii="宋体" w:hAnsi="宋体" w:cs="宋体"/>
          <w:b/>
          <w:color w:val="auto"/>
          <w:sz w:val="28"/>
          <w:szCs w:val="28"/>
          <w:highlight w:val="none"/>
        </w:rPr>
      </w:pPr>
      <w:r>
        <w:rPr>
          <w:rFonts w:hint="eastAsia" w:ascii="宋体" w:hAnsi="宋体" w:cs="宋体"/>
          <w:color w:val="auto"/>
          <w:kern w:val="0"/>
          <w:sz w:val="24"/>
          <w:highlight w:val="none"/>
          <w:lang w:val="zh-CN"/>
        </w:rPr>
        <w:br w:type="page"/>
      </w:r>
      <w:bookmarkStart w:id="191" w:name="_Toc16645"/>
      <w:r>
        <w:rPr>
          <w:rFonts w:hint="eastAsia" w:ascii="宋体" w:hAnsi="宋体" w:cs="宋体"/>
          <w:b/>
          <w:color w:val="auto"/>
          <w:sz w:val="28"/>
          <w:szCs w:val="28"/>
          <w:highlight w:val="none"/>
        </w:rPr>
        <w:t>服务方案</w:t>
      </w:r>
      <w:bookmarkEnd w:id="191"/>
    </w:p>
    <w:p w14:paraId="6A868E1F">
      <w:pPr>
        <w:pStyle w:val="20"/>
        <w:widowControl w:val="0"/>
        <w:numPr>
          <w:ilvl w:val="0"/>
          <w:numId w:val="0"/>
        </w:numPr>
        <w:jc w:val="both"/>
        <w:rPr>
          <w:color w:val="auto"/>
          <w:highlight w:val="none"/>
        </w:rPr>
      </w:pPr>
    </w:p>
    <w:p w14:paraId="16588E3F">
      <w:pPr>
        <w:rPr>
          <w:color w:val="auto"/>
          <w:highlight w:val="none"/>
        </w:rPr>
      </w:pPr>
    </w:p>
    <w:p w14:paraId="778C0045">
      <w:pPr>
        <w:pStyle w:val="20"/>
        <w:rPr>
          <w:color w:val="auto"/>
          <w:highlight w:val="none"/>
        </w:rPr>
      </w:pPr>
    </w:p>
    <w:p w14:paraId="61BCB0D1">
      <w:pPr>
        <w:rPr>
          <w:color w:val="auto"/>
          <w:highlight w:val="none"/>
        </w:rPr>
      </w:pPr>
    </w:p>
    <w:p w14:paraId="46957BFB">
      <w:pPr>
        <w:pStyle w:val="20"/>
        <w:rPr>
          <w:color w:val="auto"/>
          <w:highlight w:val="none"/>
        </w:rPr>
      </w:pPr>
    </w:p>
    <w:p w14:paraId="1C0F1F3B">
      <w:pPr>
        <w:rPr>
          <w:color w:val="auto"/>
          <w:highlight w:val="none"/>
        </w:rPr>
      </w:pPr>
    </w:p>
    <w:p w14:paraId="08093F60">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r>
        <w:rPr>
          <w:rFonts w:hint="eastAsia" w:ascii="宋体" w:hAnsi="宋体" w:cs="宋体"/>
          <w:b/>
          <w:bCs/>
          <w:color w:val="auto"/>
          <w:sz w:val="24"/>
          <w:highlight w:val="none"/>
        </w:rPr>
        <w:t>或CA电子签章</w:t>
      </w:r>
      <w:r>
        <w:rPr>
          <w:rFonts w:hint="eastAsia" w:ascii="宋体" w:hAnsi="宋体" w:cs="宋体"/>
          <w:color w:val="auto"/>
          <w:kern w:val="0"/>
          <w:sz w:val="24"/>
          <w:highlight w:val="none"/>
        </w:rPr>
        <w:t>）：</w:t>
      </w:r>
    </w:p>
    <w:p w14:paraId="1BEDC774">
      <w:pPr>
        <w:autoSpaceDE w:val="0"/>
        <w:autoSpaceDN w:val="0"/>
        <w:spacing w:line="360" w:lineRule="auto"/>
        <w:ind w:firstLine="6480" w:firstLineChars="2700"/>
        <w:rPr>
          <w:rFonts w:ascii="宋体" w:hAnsi="宋体" w:cs="宋体"/>
          <w:b/>
          <w:color w:val="auto"/>
          <w:sz w:val="28"/>
          <w:szCs w:val="28"/>
          <w:highlight w:val="none"/>
        </w:rPr>
      </w:pPr>
      <w:r>
        <w:rPr>
          <w:rFonts w:hint="eastAsia" w:ascii="宋体" w:hAnsi="宋体" w:cs="宋体"/>
          <w:color w:val="auto"/>
          <w:kern w:val="0"/>
          <w:sz w:val="24"/>
          <w:highlight w:val="none"/>
          <w:lang w:val="zh-CN"/>
        </w:rPr>
        <w:t>日期：  年  月   日</w:t>
      </w:r>
      <w:r>
        <w:rPr>
          <w:rFonts w:hint="eastAsia" w:ascii="宋体" w:hAnsi="宋体" w:cs="宋体"/>
          <w:b/>
          <w:color w:val="auto"/>
          <w:sz w:val="28"/>
          <w:szCs w:val="28"/>
          <w:highlight w:val="none"/>
        </w:rPr>
        <w:br w:type="page"/>
      </w:r>
      <w:bookmarkStart w:id="192" w:name="_Toc28391"/>
      <w:r>
        <w:rPr>
          <w:rFonts w:hint="eastAsia" w:ascii="宋体" w:hAnsi="宋体" w:cs="宋体"/>
          <w:b/>
          <w:color w:val="auto"/>
          <w:sz w:val="28"/>
          <w:szCs w:val="28"/>
          <w:highlight w:val="none"/>
        </w:rPr>
        <w:t>11.项目实施人员一览表（如有要求）</w:t>
      </w:r>
      <w:bookmarkEnd w:id="192"/>
    </w:p>
    <w:p w14:paraId="17F8C360">
      <w:pPr>
        <w:spacing w:line="360" w:lineRule="auto"/>
        <w:jc w:val="center"/>
        <w:outlineLvl w:val="1"/>
        <w:rPr>
          <w:rFonts w:ascii="宋体" w:hAnsi="宋体" w:cs="宋体"/>
          <w:color w:val="auto"/>
          <w:sz w:val="24"/>
          <w:highlight w:val="none"/>
        </w:rPr>
      </w:pPr>
      <w:bookmarkStart w:id="193" w:name="_Toc850"/>
      <w:r>
        <w:rPr>
          <w:rFonts w:hint="eastAsia" w:ascii="宋体" w:hAnsi="宋体" w:cs="宋体"/>
          <w:color w:val="auto"/>
          <w:sz w:val="24"/>
          <w:highlight w:val="none"/>
        </w:rPr>
        <w:t>（由供应商根据采购需求及采购文件要求编制）</w:t>
      </w:r>
      <w:bookmarkEnd w:id="193"/>
    </w:p>
    <w:p w14:paraId="067A2AEB">
      <w:pPr>
        <w:pStyle w:val="18"/>
        <w:spacing w:line="360" w:lineRule="auto"/>
        <w:rPr>
          <w:rFonts w:ascii="宋体" w:hAnsi="宋体" w:cs="宋体"/>
          <w:color w:val="auto"/>
          <w:highlight w:val="none"/>
        </w:rPr>
      </w:pPr>
    </w:p>
    <w:p w14:paraId="7F4E009F">
      <w:pPr>
        <w:spacing w:line="360" w:lineRule="auto"/>
        <w:rPr>
          <w:rFonts w:ascii="宋体" w:hAnsi="宋体" w:cs="宋体"/>
          <w:color w:val="auto"/>
          <w:kern w:val="0"/>
          <w:sz w:val="24"/>
          <w:highlight w:val="none"/>
        </w:rPr>
      </w:pPr>
      <w:r>
        <w:rPr>
          <w:rFonts w:hint="eastAsia" w:ascii="宋体" w:hAnsi="宋体" w:cs="宋体"/>
          <w:color w:val="auto"/>
          <w:sz w:val="24"/>
          <w:highlight w:val="none"/>
        </w:rPr>
        <w:t>所竞分标（如有则填写，无分标时填写“无”或者留空）：</w:t>
      </w:r>
    </w:p>
    <w:p w14:paraId="319A10FE">
      <w:pPr>
        <w:keepNext/>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附表A:本项目的项目负责人情况表</w:t>
      </w:r>
    </w:p>
    <w:tbl>
      <w:tblPr>
        <w:tblStyle w:val="26"/>
        <w:tblW w:w="0" w:type="auto"/>
        <w:tblInd w:w="0" w:type="dxa"/>
        <w:tblLayout w:type="fixed"/>
        <w:tblCellMar>
          <w:top w:w="0" w:type="dxa"/>
          <w:left w:w="108" w:type="dxa"/>
          <w:bottom w:w="0" w:type="dxa"/>
          <w:right w:w="108" w:type="dxa"/>
        </w:tblCellMar>
      </w:tblPr>
      <w:tblGrid>
        <w:gridCol w:w="2061"/>
        <w:gridCol w:w="1287"/>
        <w:gridCol w:w="1260"/>
        <w:gridCol w:w="4147"/>
      </w:tblGrid>
      <w:tr w14:paraId="34847558">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4AE8678">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ign w:val="center"/>
          </w:tcPr>
          <w:p w14:paraId="4AACFFC5">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ign w:val="center"/>
          </w:tcPr>
          <w:p w14:paraId="654C138F">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ign w:val="center"/>
          </w:tcPr>
          <w:p w14:paraId="67960F0F">
            <w:pPr>
              <w:autoSpaceDE w:val="0"/>
              <w:autoSpaceDN w:val="0"/>
              <w:spacing w:line="360" w:lineRule="auto"/>
              <w:rPr>
                <w:rFonts w:ascii="宋体" w:hAnsi="宋体" w:cs="宋体"/>
                <w:color w:val="auto"/>
                <w:sz w:val="24"/>
                <w:highlight w:val="none"/>
              </w:rPr>
            </w:pPr>
          </w:p>
        </w:tc>
      </w:tr>
      <w:tr w14:paraId="52320966">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BF55B71">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ign w:val="center"/>
          </w:tcPr>
          <w:p w14:paraId="78B8FE3A">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ign w:val="center"/>
          </w:tcPr>
          <w:p w14:paraId="56773F9C">
            <w:pPr>
              <w:autoSpaceDE w:val="0"/>
              <w:autoSpaceDN w:val="0"/>
              <w:spacing w:line="360" w:lineRule="auto"/>
              <w:jc w:val="center"/>
              <w:rPr>
                <w:rFonts w:ascii="宋体" w:hAnsi="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ign w:val="center"/>
          </w:tcPr>
          <w:p w14:paraId="5C2CF606">
            <w:pPr>
              <w:autoSpaceDE w:val="0"/>
              <w:autoSpaceDN w:val="0"/>
              <w:spacing w:line="360" w:lineRule="auto"/>
              <w:jc w:val="center"/>
              <w:rPr>
                <w:rFonts w:ascii="宋体" w:hAnsi="宋体" w:cs="宋体"/>
                <w:color w:val="auto"/>
                <w:sz w:val="24"/>
                <w:highlight w:val="none"/>
              </w:rPr>
            </w:pPr>
          </w:p>
        </w:tc>
      </w:tr>
      <w:tr w14:paraId="362A6AD5">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A603486">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ign w:val="center"/>
          </w:tcPr>
          <w:p w14:paraId="0525E1EB">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ign w:val="center"/>
          </w:tcPr>
          <w:p w14:paraId="10B7FD1C">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40B04A46">
            <w:pPr>
              <w:autoSpaceDE w:val="0"/>
              <w:autoSpaceDN w:val="0"/>
              <w:spacing w:line="360" w:lineRule="auto"/>
              <w:jc w:val="center"/>
              <w:rPr>
                <w:rFonts w:ascii="宋体" w:hAnsi="宋体" w:cs="宋体"/>
                <w:color w:val="auto"/>
                <w:sz w:val="24"/>
                <w:highlight w:val="none"/>
              </w:rPr>
            </w:pPr>
          </w:p>
        </w:tc>
      </w:tr>
      <w:tr w14:paraId="011CBF0E">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ign w:val="center"/>
          </w:tcPr>
          <w:p w14:paraId="3528A1C6">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noWrap/>
            <w:vAlign w:val="center"/>
          </w:tcPr>
          <w:p w14:paraId="1F583759">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ign w:val="center"/>
          </w:tcPr>
          <w:p w14:paraId="374E6E78">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067F86F1">
            <w:pPr>
              <w:autoSpaceDE w:val="0"/>
              <w:autoSpaceDN w:val="0"/>
              <w:spacing w:line="360" w:lineRule="auto"/>
              <w:jc w:val="center"/>
              <w:rPr>
                <w:rFonts w:ascii="宋体" w:hAnsi="宋体" w:cs="宋体"/>
                <w:color w:val="auto"/>
                <w:sz w:val="24"/>
                <w:highlight w:val="none"/>
              </w:rPr>
            </w:pPr>
          </w:p>
        </w:tc>
      </w:tr>
      <w:tr w14:paraId="5D60C09E">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ign w:val="center"/>
          </w:tcPr>
          <w:p w14:paraId="5769143A">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noWrap/>
            <w:vAlign w:val="center"/>
          </w:tcPr>
          <w:p w14:paraId="7D7B9010">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ign w:val="center"/>
          </w:tcPr>
          <w:p w14:paraId="590DB39A">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05BD4522">
            <w:pPr>
              <w:autoSpaceDE w:val="0"/>
              <w:autoSpaceDN w:val="0"/>
              <w:spacing w:line="360" w:lineRule="auto"/>
              <w:jc w:val="center"/>
              <w:rPr>
                <w:rFonts w:ascii="宋体" w:hAnsi="宋体" w:cs="宋体"/>
                <w:color w:val="auto"/>
                <w:sz w:val="24"/>
                <w:highlight w:val="none"/>
              </w:rPr>
            </w:pPr>
          </w:p>
        </w:tc>
      </w:tr>
      <w:tr w14:paraId="2AB3CE76">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ign w:val="center"/>
          </w:tcPr>
          <w:p w14:paraId="36D60FB6">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noWrap/>
            <w:vAlign w:val="center"/>
          </w:tcPr>
          <w:p w14:paraId="0FBE77B7">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ign w:val="center"/>
          </w:tcPr>
          <w:p w14:paraId="00FE5791">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363B4F72">
            <w:pPr>
              <w:autoSpaceDE w:val="0"/>
              <w:autoSpaceDN w:val="0"/>
              <w:spacing w:line="360" w:lineRule="auto"/>
              <w:jc w:val="center"/>
              <w:rPr>
                <w:rFonts w:ascii="宋体" w:hAnsi="宋体" w:cs="宋体"/>
                <w:color w:val="auto"/>
                <w:sz w:val="24"/>
                <w:highlight w:val="none"/>
              </w:rPr>
            </w:pPr>
          </w:p>
        </w:tc>
      </w:tr>
      <w:tr w14:paraId="5559ECDF">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ign w:val="center"/>
          </w:tcPr>
          <w:p w14:paraId="3A4237B5">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noWrap/>
            <w:vAlign w:val="center"/>
          </w:tcPr>
          <w:p w14:paraId="3866D626">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ign w:val="center"/>
          </w:tcPr>
          <w:p w14:paraId="01F842E0">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6BFA58EA">
            <w:pPr>
              <w:autoSpaceDE w:val="0"/>
              <w:autoSpaceDN w:val="0"/>
              <w:spacing w:line="360" w:lineRule="auto"/>
              <w:jc w:val="center"/>
              <w:rPr>
                <w:rFonts w:ascii="宋体" w:hAnsi="宋体" w:cs="宋体"/>
                <w:color w:val="auto"/>
                <w:sz w:val="24"/>
                <w:highlight w:val="none"/>
              </w:rPr>
            </w:pPr>
          </w:p>
        </w:tc>
      </w:tr>
      <w:tr w14:paraId="10FAD53B">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ign w:val="center"/>
          </w:tcPr>
          <w:p w14:paraId="6E9D865C">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noWrap/>
            <w:vAlign w:val="center"/>
          </w:tcPr>
          <w:p w14:paraId="11F9C343">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ign w:val="center"/>
          </w:tcPr>
          <w:p w14:paraId="1C115C4D">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2B5BE7AD">
            <w:pPr>
              <w:autoSpaceDE w:val="0"/>
              <w:autoSpaceDN w:val="0"/>
              <w:spacing w:line="360" w:lineRule="auto"/>
              <w:jc w:val="center"/>
              <w:rPr>
                <w:rFonts w:ascii="宋体" w:hAnsi="宋体" w:cs="宋体"/>
                <w:color w:val="auto"/>
                <w:sz w:val="24"/>
                <w:highlight w:val="none"/>
              </w:rPr>
            </w:pPr>
          </w:p>
        </w:tc>
      </w:tr>
      <w:tr w14:paraId="527E02C4">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ign w:val="center"/>
          </w:tcPr>
          <w:p w14:paraId="1BA22ECD">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noWrap/>
            <w:vAlign w:val="center"/>
          </w:tcPr>
          <w:p w14:paraId="182525DD">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ign w:val="center"/>
          </w:tcPr>
          <w:p w14:paraId="64F5030D">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2E413D0B">
            <w:pPr>
              <w:autoSpaceDE w:val="0"/>
              <w:autoSpaceDN w:val="0"/>
              <w:spacing w:line="360" w:lineRule="auto"/>
              <w:jc w:val="center"/>
              <w:rPr>
                <w:rFonts w:ascii="宋体" w:hAnsi="宋体" w:cs="宋体"/>
                <w:color w:val="auto"/>
                <w:sz w:val="24"/>
                <w:highlight w:val="none"/>
              </w:rPr>
            </w:pPr>
          </w:p>
        </w:tc>
      </w:tr>
      <w:tr w14:paraId="40644058">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F2E231E">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ign w:val="center"/>
          </w:tcPr>
          <w:p w14:paraId="79C5C355">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ign w:val="center"/>
          </w:tcPr>
          <w:p w14:paraId="0BAE5C66">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3F00C59C">
            <w:pPr>
              <w:autoSpaceDE w:val="0"/>
              <w:autoSpaceDN w:val="0"/>
              <w:spacing w:line="360" w:lineRule="auto"/>
              <w:jc w:val="center"/>
              <w:rPr>
                <w:rFonts w:ascii="宋体" w:hAnsi="宋体" w:cs="宋体"/>
                <w:color w:val="auto"/>
                <w:sz w:val="24"/>
                <w:highlight w:val="none"/>
              </w:rPr>
            </w:pPr>
          </w:p>
        </w:tc>
      </w:tr>
    </w:tbl>
    <w:p w14:paraId="1F1BEC5D">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注：供应商可参照上述的格式自行编制，并注明所在响应技术文件页码。</w:t>
      </w:r>
    </w:p>
    <w:p w14:paraId="16AB5C33">
      <w:pPr>
        <w:autoSpaceDE w:val="0"/>
        <w:autoSpaceDN w:val="0"/>
        <w:spacing w:line="360" w:lineRule="auto"/>
        <w:rPr>
          <w:rFonts w:ascii="宋体" w:hAnsi="宋体" w:cs="宋体"/>
          <w:b/>
          <w:color w:val="auto"/>
          <w:sz w:val="24"/>
          <w:highlight w:val="none"/>
        </w:rPr>
      </w:pPr>
    </w:p>
    <w:p w14:paraId="284E2DCC">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附表B:本项目的项目小组人员情况表</w:t>
      </w:r>
    </w:p>
    <w:tbl>
      <w:tblPr>
        <w:tblStyle w:val="26"/>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65C8BEC5">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ign w:val="center"/>
          </w:tcPr>
          <w:p w14:paraId="55EE78E1">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noWrap/>
            <w:vAlign w:val="center"/>
          </w:tcPr>
          <w:p w14:paraId="3F4627DF">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ign w:val="center"/>
          </w:tcPr>
          <w:p w14:paraId="4D80325A">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noWrap/>
            <w:vAlign w:val="center"/>
          </w:tcPr>
          <w:p w14:paraId="7A309258">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noWrap/>
            <w:vAlign w:val="center"/>
          </w:tcPr>
          <w:p w14:paraId="2C2EE356">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p w14:paraId="09087A0F">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ign w:val="center"/>
          </w:tcPr>
          <w:p w14:paraId="2462D026">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p w14:paraId="480DA504">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ign w:val="center"/>
          </w:tcPr>
          <w:p w14:paraId="1219166A">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p w14:paraId="65D15A36">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noWrap/>
            <w:vAlign w:val="center"/>
          </w:tcPr>
          <w:p w14:paraId="0FB3B659">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ign w:val="center"/>
          </w:tcPr>
          <w:p w14:paraId="4276B606">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noWrap/>
            <w:vAlign w:val="center"/>
          </w:tcPr>
          <w:p w14:paraId="6EA6069E">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参与本项目的到位情况</w:t>
            </w:r>
          </w:p>
        </w:tc>
      </w:tr>
      <w:tr w14:paraId="345AD37E">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ign w:val="top"/>
          </w:tcPr>
          <w:p w14:paraId="5FC30431">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ign w:val="top"/>
          </w:tcPr>
          <w:p w14:paraId="13E53461">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ign w:val="top"/>
          </w:tcPr>
          <w:p w14:paraId="207B028D">
            <w:pPr>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ign w:val="top"/>
          </w:tcPr>
          <w:p w14:paraId="57778DC0">
            <w:pPr>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ign w:val="top"/>
          </w:tcPr>
          <w:p w14:paraId="53A1F26B">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ign w:val="top"/>
          </w:tcPr>
          <w:p w14:paraId="17F110F8">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ign w:val="top"/>
          </w:tcPr>
          <w:p w14:paraId="037FEAAD">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ign w:val="top"/>
          </w:tcPr>
          <w:p w14:paraId="1136148A">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ign w:val="top"/>
          </w:tcPr>
          <w:p w14:paraId="5D2A2F16">
            <w:pPr>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ign w:val="top"/>
          </w:tcPr>
          <w:p w14:paraId="3615CCE0">
            <w:pPr>
              <w:autoSpaceDE w:val="0"/>
              <w:autoSpaceDN w:val="0"/>
              <w:spacing w:line="360" w:lineRule="auto"/>
              <w:rPr>
                <w:rFonts w:ascii="宋体" w:hAnsi="宋体" w:cs="宋体"/>
                <w:color w:val="auto"/>
                <w:sz w:val="24"/>
                <w:highlight w:val="none"/>
              </w:rPr>
            </w:pPr>
          </w:p>
        </w:tc>
      </w:tr>
      <w:tr w14:paraId="3EC8ECD6">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ign w:val="top"/>
          </w:tcPr>
          <w:p w14:paraId="72C6812B">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ign w:val="top"/>
          </w:tcPr>
          <w:p w14:paraId="03B8428D">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ign w:val="top"/>
          </w:tcPr>
          <w:p w14:paraId="48B96495">
            <w:pPr>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ign w:val="top"/>
          </w:tcPr>
          <w:p w14:paraId="2D99430C">
            <w:pPr>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ign w:val="top"/>
          </w:tcPr>
          <w:p w14:paraId="109F0258">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ign w:val="top"/>
          </w:tcPr>
          <w:p w14:paraId="60C51DE6">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ign w:val="top"/>
          </w:tcPr>
          <w:p w14:paraId="6AFFC322">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ign w:val="top"/>
          </w:tcPr>
          <w:p w14:paraId="54DD64C6">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ign w:val="top"/>
          </w:tcPr>
          <w:p w14:paraId="2A0F3B44">
            <w:pPr>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ign w:val="top"/>
          </w:tcPr>
          <w:p w14:paraId="63C74B5C">
            <w:pPr>
              <w:autoSpaceDE w:val="0"/>
              <w:autoSpaceDN w:val="0"/>
              <w:spacing w:line="360" w:lineRule="auto"/>
              <w:rPr>
                <w:rFonts w:ascii="宋体" w:hAnsi="宋体" w:cs="宋体"/>
                <w:color w:val="auto"/>
                <w:sz w:val="24"/>
                <w:highlight w:val="none"/>
              </w:rPr>
            </w:pPr>
          </w:p>
        </w:tc>
      </w:tr>
    </w:tbl>
    <w:p w14:paraId="2ACA26A0">
      <w:pPr>
        <w:spacing w:line="360" w:lineRule="auto"/>
        <w:rPr>
          <w:rFonts w:ascii="宋体" w:hAnsi="宋体" w:cs="宋体"/>
          <w:b/>
          <w:bCs/>
          <w:color w:val="auto"/>
          <w:sz w:val="24"/>
          <w:highlight w:val="none"/>
        </w:rPr>
      </w:pPr>
      <w:r>
        <w:rPr>
          <w:rFonts w:hint="eastAsia" w:ascii="宋体" w:hAnsi="宋体" w:cs="宋体"/>
          <w:b/>
          <w:color w:val="auto"/>
          <w:sz w:val="24"/>
          <w:highlight w:val="none"/>
        </w:rPr>
        <w:t>注：供应商可参照上述的格式自行编制，并注明所在响应技术文件页码。</w:t>
      </w:r>
    </w:p>
    <w:p w14:paraId="2C64DDC3">
      <w:pPr>
        <w:snapToGrid w:val="0"/>
        <w:spacing w:line="360" w:lineRule="auto"/>
        <w:ind w:firstLine="602" w:firstLineChars="200"/>
        <w:rPr>
          <w:rFonts w:ascii="宋体" w:hAnsi="宋体" w:cs="宋体"/>
          <w:b/>
          <w:color w:val="auto"/>
          <w:sz w:val="30"/>
          <w:szCs w:val="30"/>
          <w:highlight w:val="none"/>
        </w:rPr>
      </w:pPr>
    </w:p>
    <w:p w14:paraId="74EB8840">
      <w:pPr>
        <w:autoSpaceDE w:val="0"/>
        <w:autoSpaceDN w:val="0"/>
        <w:spacing w:line="360" w:lineRule="auto"/>
        <w:ind w:firstLine="6505" w:firstLineChars="2700"/>
        <w:rPr>
          <w:rFonts w:ascii="宋体" w:hAnsi="宋体" w:cs="宋体"/>
          <w:b/>
          <w:bCs/>
          <w:color w:val="auto"/>
          <w:sz w:val="24"/>
          <w:highlight w:val="none"/>
        </w:rPr>
      </w:pPr>
    </w:p>
    <w:p w14:paraId="496DF3A8">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r>
        <w:rPr>
          <w:rFonts w:hint="eastAsia" w:ascii="宋体" w:hAnsi="宋体" w:cs="宋体"/>
          <w:b/>
          <w:bCs/>
          <w:color w:val="auto"/>
          <w:sz w:val="24"/>
          <w:highlight w:val="none"/>
        </w:rPr>
        <w:t>或CA电子签章</w:t>
      </w:r>
      <w:r>
        <w:rPr>
          <w:rFonts w:hint="eastAsia" w:ascii="宋体" w:hAnsi="宋体" w:cs="宋体"/>
          <w:color w:val="auto"/>
          <w:kern w:val="0"/>
          <w:sz w:val="24"/>
          <w:highlight w:val="none"/>
        </w:rPr>
        <w:t>）：</w:t>
      </w:r>
    </w:p>
    <w:p w14:paraId="441BDEE0">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19D8CCD">
      <w:pPr>
        <w:autoSpaceDE w:val="0"/>
        <w:autoSpaceDN w:val="0"/>
        <w:spacing w:line="360" w:lineRule="auto"/>
        <w:ind w:firstLine="6480" w:firstLineChars="2700"/>
        <w:rPr>
          <w:rFonts w:ascii="宋体" w:hAnsi="宋体" w:cs="宋体"/>
          <w:color w:val="auto"/>
          <w:kern w:val="0"/>
          <w:sz w:val="24"/>
          <w:highlight w:val="none"/>
          <w:lang w:val="zh-CN"/>
        </w:rPr>
      </w:pPr>
    </w:p>
    <w:p w14:paraId="724E447A">
      <w:pPr>
        <w:autoSpaceDE w:val="0"/>
        <w:autoSpaceDN w:val="0"/>
        <w:spacing w:line="360" w:lineRule="auto"/>
        <w:ind w:firstLine="8132" w:firstLineChars="2700"/>
        <w:rPr>
          <w:rFonts w:ascii="宋体" w:hAnsi="宋体" w:cs="宋体"/>
          <w:b/>
          <w:bCs/>
          <w:color w:val="auto"/>
          <w:sz w:val="24"/>
          <w:highlight w:val="none"/>
        </w:rPr>
      </w:pPr>
      <w:r>
        <w:rPr>
          <w:rFonts w:hint="eastAsia" w:ascii="宋体" w:hAnsi="宋体" w:cs="宋体"/>
          <w:b/>
          <w:color w:val="auto"/>
          <w:sz w:val="30"/>
          <w:szCs w:val="30"/>
          <w:highlight w:val="none"/>
        </w:rPr>
        <w:br w:type="page"/>
      </w:r>
    </w:p>
    <w:p w14:paraId="0955E6A3">
      <w:pPr>
        <w:pStyle w:val="5"/>
        <w:spacing w:line="360" w:lineRule="auto"/>
        <w:jc w:val="center"/>
        <w:rPr>
          <w:rFonts w:ascii="宋体" w:hAnsi="宋体" w:cs="宋体"/>
          <w:color w:val="auto"/>
          <w:highlight w:val="none"/>
        </w:rPr>
      </w:pPr>
      <w:bookmarkStart w:id="194" w:name="_Toc80886945"/>
      <w:bookmarkStart w:id="195" w:name="_Toc13506"/>
      <w:bookmarkStart w:id="196" w:name="_Toc80205941"/>
      <w:bookmarkStart w:id="197" w:name="_Toc12611"/>
      <w:bookmarkStart w:id="198" w:name="_Toc31035"/>
      <w:r>
        <w:rPr>
          <w:rFonts w:hint="eastAsia" w:ascii="宋体" w:hAnsi="宋体" w:cs="宋体"/>
          <w:color w:val="auto"/>
          <w:highlight w:val="none"/>
        </w:rPr>
        <w:t>第三节 报价文件格式</w:t>
      </w:r>
      <w:bookmarkEnd w:id="194"/>
      <w:bookmarkEnd w:id="195"/>
      <w:bookmarkEnd w:id="196"/>
      <w:bookmarkEnd w:id="197"/>
      <w:bookmarkEnd w:id="198"/>
    </w:p>
    <w:p w14:paraId="568D2552">
      <w:pPr>
        <w:pStyle w:val="18"/>
        <w:spacing w:line="288" w:lineRule="auto"/>
        <w:outlineLvl w:val="2"/>
        <w:rPr>
          <w:rFonts w:ascii="宋体" w:hAnsi="宋体" w:cs="宋体"/>
          <w:color w:val="auto"/>
          <w:highlight w:val="none"/>
          <w:lang w:val="zh-CN"/>
        </w:rPr>
      </w:pPr>
      <w:bookmarkStart w:id="199" w:name="_Toc32654"/>
      <w:r>
        <w:rPr>
          <w:rFonts w:hint="eastAsia" w:ascii="宋体" w:hAnsi="宋体" w:cs="宋体"/>
          <w:b/>
          <w:bCs/>
          <w:color w:val="auto"/>
          <w:sz w:val="28"/>
          <w:szCs w:val="28"/>
          <w:highlight w:val="none"/>
        </w:rPr>
        <w:t>1.报价文件封面的格式</w:t>
      </w:r>
      <w:r>
        <w:rPr>
          <w:rFonts w:hint="eastAsia" w:ascii="宋体" w:hAnsi="宋体" w:cs="宋体"/>
          <w:b/>
          <w:color w:val="auto"/>
          <w:sz w:val="28"/>
          <w:szCs w:val="28"/>
          <w:highlight w:val="none"/>
        </w:rPr>
        <w:t>（参照此格式自拟）</w:t>
      </w:r>
      <w:r>
        <w:rPr>
          <w:rFonts w:hint="eastAsia" w:ascii="宋体" w:hAnsi="宋体" w:cs="宋体"/>
          <w:b/>
          <w:bCs/>
          <w:color w:val="auto"/>
          <w:sz w:val="28"/>
          <w:szCs w:val="28"/>
          <w:highlight w:val="none"/>
        </w:rPr>
        <w:t>：</w:t>
      </w:r>
      <w:bookmarkEnd w:id="199"/>
    </w:p>
    <w:p w14:paraId="14710AB8">
      <w:pPr>
        <w:snapToGrid w:val="0"/>
        <w:spacing w:beforeLines="50" w:after="50" w:line="288" w:lineRule="auto"/>
        <w:rPr>
          <w:rFonts w:ascii="宋体" w:hAnsi="宋体" w:cs="宋体"/>
          <w:color w:val="auto"/>
          <w:sz w:val="24"/>
          <w:highlight w:val="none"/>
        </w:rPr>
      </w:pPr>
    </w:p>
    <w:p w14:paraId="64B40560">
      <w:pPr>
        <w:snapToGrid w:val="0"/>
        <w:spacing w:beforeLines="50" w:after="50" w:line="288" w:lineRule="auto"/>
        <w:ind w:firstLine="6720" w:firstLineChars="3200"/>
        <w:rPr>
          <w:rFonts w:ascii="宋体" w:hAnsi="宋体" w:cs="宋体"/>
          <w:bCs/>
          <w:color w:val="auto"/>
          <w:sz w:val="32"/>
          <w:szCs w:val="20"/>
          <w:highlight w:val="none"/>
        </w:rPr>
      </w:pPr>
      <w:r>
        <w:rPr>
          <w:rFonts w:hint="eastAsia" w:ascii="宋体" w:hAnsi="宋体" w:cs="宋体"/>
          <w:bCs/>
          <w:color w:val="auto"/>
          <w:highlight w:val="none"/>
        </w:rPr>
        <w:t>全流程电子文件</w:t>
      </w:r>
    </w:p>
    <w:p w14:paraId="0514FDFF">
      <w:pPr>
        <w:snapToGrid w:val="0"/>
        <w:spacing w:beforeLines="50" w:after="50" w:line="288" w:lineRule="auto"/>
        <w:rPr>
          <w:rFonts w:ascii="宋体" w:hAnsi="宋体" w:cs="宋体"/>
          <w:color w:val="auto"/>
          <w:sz w:val="24"/>
          <w:szCs w:val="20"/>
          <w:highlight w:val="none"/>
        </w:rPr>
      </w:pPr>
    </w:p>
    <w:p w14:paraId="68C77B3D">
      <w:pPr>
        <w:snapToGrid w:val="0"/>
        <w:spacing w:beforeLines="50" w:after="50" w:line="288" w:lineRule="auto"/>
        <w:rPr>
          <w:rFonts w:ascii="宋体" w:hAnsi="宋体" w:cs="宋体"/>
          <w:color w:val="auto"/>
          <w:sz w:val="24"/>
          <w:szCs w:val="20"/>
          <w:highlight w:val="none"/>
        </w:rPr>
      </w:pPr>
    </w:p>
    <w:p w14:paraId="18240460">
      <w:pPr>
        <w:snapToGrid w:val="0"/>
        <w:spacing w:beforeLines="50" w:after="50" w:line="288" w:lineRule="auto"/>
        <w:rPr>
          <w:rFonts w:ascii="宋体" w:hAnsi="宋体" w:cs="宋体"/>
          <w:color w:val="auto"/>
          <w:sz w:val="24"/>
          <w:szCs w:val="20"/>
          <w:highlight w:val="none"/>
        </w:rPr>
      </w:pPr>
    </w:p>
    <w:p w14:paraId="62583019">
      <w:pPr>
        <w:snapToGrid w:val="0"/>
        <w:spacing w:beforeLines="50" w:after="50" w:line="288"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报  价  文  件</w:t>
      </w:r>
    </w:p>
    <w:p w14:paraId="0409B35A">
      <w:pPr>
        <w:snapToGrid w:val="0"/>
        <w:spacing w:beforeLines="50" w:after="50" w:line="288" w:lineRule="auto"/>
        <w:rPr>
          <w:rFonts w:ascii="宋体" w:hAnsi="宋体" w:cs="宋体"/>
          <w:bCs/>
          <w:color w:val="auto"/>
          <w:sz w:val="24"/>
          <w:szCs w:val="20"/>
          <w:highlight w:val="none"/>
        </w:rPr>
      </w:pPr>
    </w:p>
    <w:p w14:paraId="5FB9782B">
      <w:pPr>
        <w:snapToGrid w:val="0"/>
        <w:spacing w:beforeLines="50" w:after="50" w:line="288" w:lineRule="auto"/>
        <w:rPr>
          <w:rFonts w:ascii="宋体" w:hAnsi="宋体" w:cs="宋体"/>
          <w:bCs/>
          <w:color w:val="auto"/>
          <w:sz w:val="24"/>
          <w:szCs w:val="20"/>
          <w:highlight w:val="none"/>
        </w:rPr>
      </w:pPr>
    </w:p>
    <w:p w14:paraId="096CD394">
      <w:pPr>
        <w:snapToGrid w:val="0"/>
        <w:spacing w:beforeLines="50" w:after="50" w:line="288" w:lineRule="auto"/>
        <w:rPr>
          <w:rFonts w:ascii="宋体" w:hAnsi="宋体" w:cs="宋体"/>
          <w:bCs/>
          <w:color w:val="auto"/>
          <w:sz w:val="24"/>
          <w:szCs w:val="20"/>
          <w:highlight w:val="none"/>
        </w:rPr>
      </w:pPr>
    </w:p>
    <w:p w14:paraId="0B4B05F1">
      <w:pPr>
        <w:snapToGrid w:val="0"/>
        <w:spacing w:beforeLines="50" w:after="50" w:line="288" w:lineRule="auto"/>
        <w:rPr>
          <w:rFonts w:ascii="宋体" w:hAnsi="宋体" w:cs="宋体"/>
          <w:bCs/>
          <w:color w:val="auto"/>
          <w:sz w:val="24"/>
          <w:szCs w:val="20"/>
          <w:highlight w:val="none"/>
        </w:rPr>
      </w:pPr>
    </w:p>
    <w:p w14:paraId="29ADE24B">
      <w:pPr>
        <w:snapToGrid w:val="0"/>
        <w:spacing w:beforeLines="50" w:after="50" w:line="288" w:lineRule="auto"/>
        <w:rPr>
          <w:rFonts w:ascii="宋体" w:hAnsi="宋体" w:cs="宋体"/>
          <w:bCs/>
          <w:color w:val="auto"/>
          <w:sz w:val="24"/>
          <w:szCs w:val="20"/>
          <w:highlight w:val="none"/>
        </w:rPr>
      </w:pPr>
    </w:p>
    <w:p w14:paraId="3D8918E1">
      <w:pPr>
        <w:snapToGrid w:val="0"/>
        <w:spacing w:beforeLines="50" w:after="50" w:line="288"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2F598345">
      <w:pPr>
        <w:snapToGrid w:val="0"/>
        <w:spacing w:beforeLines="50" w:after="50" w:line="288" w:lineRule="auto"/>
        <w:ind w:firstLine="720" w:firstLineChars="225"/>
        <w:rPr>
          <w:rFonts w:ascii="宋体" w:hAnsi="宋体" w:cs="宋体"/>
          <w:bCs/>
          <w:color w:val="auto"/>
          <w:sz w:val="32"/>
          <w:szCs w:val="32"/>
          <w:highlight w:val="none"/>
        </w:rPr>
      </w:pPr>
    </w:p>
    <w:p w14:paraId="57281361">
      <w:pPr>
        <w:snapToGrid w:val="0"/>
        <w:spacing w:beforeLines="50" w:after="50" w:line="288"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536EB22F">
      <w:pPr>
        <w:snapToGrid w:val="0"/>
        <w:spacing w:beforeLines="50" w:after="50" w:line="288" w:lineRule="auto"/>
        <w:ind w:firstLine="720" w:firstLineChars="225"/>
        <w:rPr>
          <w:rFonts w:ascii="宋体" w:hAnsi="宋体" w:cs="宋体"/>
          <w:bCs/>
          <w:color w:val="auto"/>
          <w:sz w:val="32"/>
          <w:szCs w:val="32"/>
          <w:highlight w:val="none"/>
        </w:rPr>
      </w:pPr>
    </w:p>
    <w:p w14:paraId="7D6232A2">
      <w:pPr>
        <w:snapToGrid w:val="0"/>
        <w:spacing w:beforeLines="50" w:after="50" w:line="288"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332BE0BC">
      <w:pPr>
        <w:snapToGrid w:val="0"/>
        <w:spacing w:beforeLines="50" w:after="50" w:line="288" w:lineRule="auto"/>
        <w:ind w:firstLine="720" w:firstLineChars="225"/>
        <w:rPr>
          <w:rFonts w:ascii="宋体" w:hAnsi="宋体" w:cs="宋体"/>
          <w:bCs/>
          <w:color w:val="auto"/>
          <w:sz w:val="32"/>
          <w:szCs w:val="32"/>
          <w:highlight w:val="none"/>
        </w:rPr>
      </w:pPr>
    </w:p>
    <w:p w14:paraId="17594D7F">
      <w:pPr>
        <w:pStyle w:val="10"/>
        <w:snapToGrid w:val="0"/>
        <w:spacing w:before="50" w:after="50" w:line="288"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195FDDDA">
      <w:pPr>
        <w:pStyle w:val="10"/>
        <w:snapToGrid w:val="0"/>
        <w:spacing w:before="50" w:after="50" w:line="288" w:lineRule="auto"/>
        <w:ind w:firstLine="720" w:firstLineChars="225"/>
        <w:rPr>
          <w:rFonts w:ascii="宋体" w:hAnsi="宋体" w:cs="宋体"/>
          <w:bCs/>
          <w:color w:val="auto"/>
          <w:sz w:val="32"/>
          <w:szCs w:val="32"/>
          <w:highlight w:val="none"/>
        </w:rPr>
      </w:pPr>
    </w:p>
    <w:p w14:paraId="625B20BB">
      <w:pPr>
        <w:pStyle w:val="10"/>
        <w:snapToGrid w:val="0"/>
        <w:spacing w:before="50" w:after="50" w:line="288" w:lineRule="auto"/>
        <w:ind w:firstLine="720" w:firstLineChars="225"/>
        <w:rPr>
          <w:rFonts w:ascii="宋体" w:hAnsi="宋体" w:cs="宋体"/>
          <w:bCs/>
          <w:color w:val="auto"/>
          <w:sz w:val="32"/>
          <w:szCs w:val="32"/>
          <w:highlight w:val="none"/>
        </w:rPr>
      </w:pPr>
    </w:p>
    <w:p w14:paraId="1123498A">
      <w:pPr>
        <w:pStyle w:val="10"/>
        <w:snapToGrid w:val="0"/>
        <w:spacing w:before="50" w:after="50" w:line="288" w:lineRule="auto"/>
        <w:ind w:firstLine="1280" w:firstLineChars="400"/>
        <w:rPr>
          <w:rFonts w:ascii="宋体" w:hAnsi="宋体" w:cs="宋体"/>
          <w:bCs/>
          <w:color w:val="auto"/>
          <w:sz w:val="32"/>
          <w:szCs w:val="32"/>
          <w:highlight w:val="none"/>
        </w:rPr>
      </w:pPr>
    </w:p>
    <w:p w14:paraId="0D002DF9">
      <w:pPr>
        <w:snapToGrid w:val="0"/>
        <w:spacing w:beforeLines="50" w:after="50" w:line="288"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04355461">
      <w:pPr>
        <w:snapToGrid w:val="0"/>
        <w:spacing w:beforeLines="50" w:after="50" w:line="360" w:lineRule="auto"/>
        <w:outlineLvl w:val="2"/>
        <w:rPr>
          <w:rFonts w:ascii="宋体" w:hAnsi="宋体" w:cs="宋体"/>
          <w:color w:val="auto"/>
          <w:sz w:val="28"/>
          <w:szCs w:val="28"/>
          <w:highlight w:val="none"/>
        </w:rPr>
      </w:pPr>
      <w:r>
        <w:rPr>
          <w:rFonts w:hint="eastAsia" w:ascii="宋体" w:hAnsi="宋体" w:cs="宋体"/>
          <w:color w:val="auto"/>
          <w:sz w:val="24"/>
          <w:highlight w:val="none"/>
        </w:rPr>
        <w:br w:type="page"/>
      </w:r>
      <w:bookmarkStart w:id="200" w:name="_Toc16450"/>
      <w:r>
        <w:rPr>
          <w:rFonts w:hint="eastAsia" w:ascii="宋体" w:hAnsi="宋体" w:cs="宋体"/>
          <w:b/>
          <w:color w:val="auto"/>
          <w:sz w:val="28"/>
          <w:szCs w:val="28"/>
          <w:highlight w:val="none"/>
        </w:rPr>
        <w:t>2.</w:t>
      </w:r>
      <w:r>
        <w:rPr>
          <w:rFonts w:hint="eastAsia" w:ascii="宋体" w:hAnsi="宋体" w:cs="宋体"/>
          <w:b/>
          <w:bCs/>
          <w:color w:val="auto"/>
          <w:sz w:val="28"/>
          <w:szCs w:val="28"/>
          <w:highlight w:val="none"/>
        </w:rPr>
        <w:t>报价文件目录</w:t>
      </w:r>
      <w:bookmarkEnd w:id="200"/>
    </w:p>
    <w:p w14:paraId="79CA35FE">
      <w:pPr>
        <w:snapToGrid w:val="0"/>
        <w:spacing w:before="50" w:afterLines="50" w:line="360" w:lineRule="auto"/>
        <w:rPr>
          <w:rFonts w:ascii="宋体" w:hAnsi="宋体" w:cs="宋体"/>
          <w:b/>
          <w:color w:val="auto"/>
          <w:sz w:val="28"/>
          <w:szCs w:val="28"/>
          <w:highlight w:val="none"/>
        </w:rPr>
      </w:pPr>
      <w:r>
        <w:rPr>
          <w:rFonts w:hint="eastAsia" w:ascii="宋体" w:hAnsi="宋体" w:cs="宋体"/>
          <w:color w:val="auto"/>
          <w:sz w:val="28"/>
          <w:szCs w:val="28"/>
          <w:highlight w:val="none"/>
        </w:rPr>
        <w:t>根据竞争性磋商文件规定及供应商提供的材料自行编写目录</w:t>
      </w:r>
      <w:r>
        <w:rPr>
          <w:rFonts w:hint="eastAsia" w:ascii="宋体" w:hAnsi="宋体" w:cs="宋体"/>
          <w:color w:val="auto"/>
          <w:kern w:val="0"/>
          <w:sz w:val="28"/>
          <w:szCs w:val="28"/>
          <w:highlight w:val="none"/>
        </w:rPr>
        <w:t>（部分格式后附）</w:t>
      </w:r>
      <w:r>
        <w:rPr>
          <w:rFonts w:hint="eastAsia" w:ascii="宋体" w:hAnsi="宋体" w:cs="宋体"/>
          <w:color w:val="auto"/>
          <w:sz w:val="28"/>
          <w:szCs w:val="28"/>
          <w:highlight w:val="none"/>
        </w:rPr>
        <w:t>。</w:t>
      </w:r>
    </w:p>
    <w:p w14:paraId="55DACDBA">
      <w:pPr>
        <w:spacing w:line="360" w:lineRule="auto"/>
        <w:rPr>
          <w:rFonts w:ascii="宋体" w:hAnsi="宋体" w:cs="宋体"/>
          <w:color w:val="auto"/>
          <w:sz w:val="24"/>
          <w:highlight w:val="none"/>
        </w:rPr>
      </w:pPr>
    </w:p>
    <w:p w14:paraId="74F96C23">
      <w:pPr>
        <w:snapToGrid w:val="0"/>
        <w:spacing w:beforeLines="50" w:after="50" w:line="360" w:lineRule="auto"/>
        <w:ind w:left="142" w:firstLine="640" w:firstLineChars="200"/>
        <w:rPr>
          <w:rFonts w:ascii="宋体" w:hAnsi="宋体" w:cs="宋体"/>
          <w:color w:val="auto"/>
          <w:sz w:val="32"/>
          <w:szCs w:val="32"/>
          <w:highlight w:val="none"/>
        </w:rPr>
      </w:pPr>
    </w:p>
    <w:p w14:paraId="0FD7B8C1">
      <w:pPr>
        <w:snapToGrid w:val="0"/>
        <w:spacing w:beforeLines="50" w:after="50" w:line="360" w:lineRule="auto"/>
        <w:jc w:val="left"/>
        <w:outlineLvl w:val="2"/>
        <w:rPr>
          <w:rFonts w:ascii="宋体" w:hAnsi="宋体" w:cs="宋体"/>
          <w:color w:val="auto"/>
          <w:sz w:val="24"/>
          <w:highlight w:val="none"/>
        </w:rPr>
      </w:pPr>
      <w:r>
        <w:rPr>
          <w:rFonts w:hint="eastAsia" w:ascii="宋体" w:hAnsi="宋体" w:cs="宋体"/>
          <w:color w:val="auto"/>
          <w:sz w:val="24"/>
          <w:highlight w:val="none"/>
        </w:rPr>
        <w:br w:type="page"/>
      </w:r>
      <w:bookmarkStart w:id="201" w:name="_Toc8076"/>
      <w:r>
        <w:rPr>
          <w:rFonts w:hint="eastAsia" w:ascii="宋体" w:hAnsi="宋体" w:cs="宋体"/>
          <w:b/>
          <w:color w:val="auto"/>
          <w:sz w:val="28"/>
          <w:szCs w:val="28"/>
          <w:highlight w:val="none"/>
        </w:rPr>
        <w:t>3.</w:t>
      </w:r>
      <w:r>
        <w:rPr>
          <w:rFonts w:hint="eastAsia" w:ascii="宋体" w:hAnsi="宋体" w:cs="宋体"/>
          <w:b/>
          <w:color w:val="auto"/>
          <w:sz w:val="28"/>
          <w:szCs w:val="28"/>
          <w:highlight w:val="none"/>
          <w:lang w:val="zh-CN"/>
        </w:rPr>
        <w:t>响应函的格式：</w:t>
      </w:r>
      <w:bookmarkEnd w:id="201"/>
    </w:p>
    <w:p w14:paraId="42717DAF">
      <w:pPr>
        <w:spacing w:line="360" w:lineRule="auto"/>
        <w:jc w:val="center"/>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响应函</w:t>
      </w:r>
    </w:p>
    <w:p w14:paraId="23D0DD92">
      <w:pPr>
        <w:spacing w:line="360" w:lineRule="auto"/>
        <w:rPr>
          <w:rFonts w:ascii="宋体" w:hAnsi="宋体" w:cs="宋体"/>
          <w:color w:val="auto"/>
          <w:kern w:val="0"/>
          <w:sz w:val="32"/>
          <w:szCs w:val="21"/>
          <w:highlight w:val="none"/>
        </w:rPr>
      </w:pPr>
    </w:p>
    <w:p w14:paraId="79174078">
      <w:pPr>
        <w:spacing w:line="360" w:lineRule="auto"/>
        <w:rPr>
          <w:rFonts w:ascii="宋体" w:hAnsi="宋体" w:cs="宋体"/>
          <w:color w:val="auto"/>
          <w:kern w:val="0"/>
          <w:sz w:val="20"/>
          <w:szCs w:val="21"/>
          <w:highlight w:val="none"/>
        </w:rPr>
      </w:pPr>
      <w:r>
        <w:rPr>
          <w:rFonts w:hint="eastAsia" w:ascii="宋体" w:hAnsi="宋体" w:cs="宋体"/>
          <w:color w:val="auto"/>
          <w:kern w:val="0"/>
          <w:sz w:val="20"/>
          <w:szCs w:val="21"/>
          <w:highlight w:val="none"/>
        </w:rPr>
        <w:t>致：（采购代理机构名称）</w:t>
      </w:r>
    </w:p>
    <w:p w14:paraId="5AA9E032">
      <w:pPr>
        <w:spacing w:line="360" w:lineRule="auto"/>
        <w:ind w:firstLine="400" w:firstLineChars="200"/>
        <w:rPr>
          <w:rFonts w:ascii="宋体" w:hAnsi="宋体" w:cs="宋体"/>
          <w:color w:val="auto"/>
          <w:kern w:val="0"/>
          <w:sz w:val="20"/>
          <w:szCs w:val="21"/>
          <w:highlight w:val="none"/>
        </w:rPr>
      </w:pPr>
    </w:p>
    <w:p w14:paraId="34C8000A">
      <w:pPr>
        <w:spacing w:line="360" w:lineRule="auto"/>
        <w:ind w:firstLine="400" w:firstLineChars="200"/>
        <w:rPr>
          <w:rFonts w:ascii="宋体" w:hAnsi="宋体" w:cs="宋体"/>
          <w:color w:val="auto"/>
          <w:kern w:val="0"/>
          <w:sz w:val="20"/>
          <w:szCs w:val="21"/>
          <w:highlight w:val="none"/>
        </w:rPr>
      </w:pPr>
      <w:r>
        <w:rPr>
          <w:rFonts w:hint="eastAsia" w:ascii="宋体" w:hAnsi="宋体" w:cs="宋体"/>
          <w:color w:val="auto"/>
          <w:kern w:val="0"/>
          <w:sz w:val="20"/>
          <w:szCs w:val="21"/>
          <w:highlight w:val="none"/>
        </w:rPr>
        <w:t xml:space="preserve">我方已仔细阅读了贵方组织的项目（项目编号：）的竞争性磋商文件的全部内容，现正式递交下述文件参加贵方组织的本次政府采购活动： </w:t>
      </w:r>
    </w:p>
    <w:p w14:paraId="28583AB4">
      <w:pPr>
        <w:spacing w:line="360" w:lineRule="auto"/>
        <w:ind w:firstLine="400" w:firstLineChars="200"/>
        <w:rPr>
          <w:rFonts w:ascii="宋体" w:hAnsi="宋体" w:cs="宋体"/>
          <w:color w:val="auto"/>
          <w:kern w:val="0"/>
          <w:sz w:val="20"/>
          <w:szCs w:val="21"/>
          <w:highlight w:val="none"/>
        </w:rPr>
      </w:pPr>
      <w:r>
        <w:rPr>
          <w:rFonts w:hint="eastAsia" w:ascii="宋体" w:hAnsi="宋体" w:cs="宋体"/>
          <w:color w:val="auto"/>
          <w:kern w:val="0"/>
          <w:sz w:val="20"/>
          <w:szCs w:val="21"/>
          <w:highlight w:val="none"/>
        </w:rPr>
        <w:t>一、首次报价文件电子版（包含按“第三章 供应商须知”提交的全部文件）；</w:t>
      </w:r>
    </w:p>
    <w:p w14:paraId="0DF56A78">
      <w:pPr>
        <w:spacing w:line="360" w:lineRule="auto"/>
        <w:ind w:firstLine="400" w:firstLineChars="200"/>
        <w:rPr>
          <w:rFonts w:ascii="宋体" w:hAnsi="宋体" w:cs="宋体"/>
          <w:color w:val="auto"/>
          <w:kern w:val="0"/>
          <w:sz w:val="20"/>
          <w:szCs w:val="21"/>
          <w:highlight w:val="none"/>
        </w:rPr>
      </w:pPr>
      <w:r>
        <w:rPr>
          <w:rFonts w:hint="eastAsia" w:ascii="宋体" w:hAnsi="宋体" w:cs="宋体"/>
          <w:color w:val="auto"/>
          <w:kern w:val="0"/>
          <w:sz w:val="20"/>
          <w:szCs w:val="21"/>
          <w:highlight w:val="none"/>
        </w:rPr>
        <w:t>二、技术文件电子版（包含按“第三章 供应商须知”提交的全部文件）；商务文件电子版（包含按“第三章 供应商须知”提交的全部文件）；</w:t>
      </w:r>
    </w:p>
    <w:p w14:paraId="709429FE">
      <w:pPr>
        <w:spacing w:line="360" w:lineRule="auto"/>
        <w:ind w:firstLine="400" w:firstLineChars="200"/>
        <w:rPr>
          <w:rFonts w:ascii="宋体" w:hAnsi="宋体" w:cs="宋体"/>
          <w:color w:val="auto"/>
          <w:kern w:val="0"/>
          <w:sz w:val="20"/>
          <w:szCs w:val="21"/>
          <w:highlight w:val="none"/>
        </w:rPr>
      </w:pPr>
      <w:r>
        <w:rPr>
          <w:rFonts w:hint="eastAsia" w:ascii="宋体" w:hAnsi="宋体" w:cs="宋体"/>
          <w:color w:val="auto"/>
          <w:kern w:val="0"/>
          <w:sz w:val="20"/>
          <w:szCs w:val="21"/>
          <w:highlight w:val="none"/>
        </w:rPr>
        <w:t>三、资格证明文件电子版（包含按“第三章供应商须知”提交的全部文件）。</w:t>
      </w:r>
    </w:p>
    <w:p w14:paraId="7E4B7DF3">
      <w:pPr>
        <w:spacing w:line="360" w:lineRule="auto"/>
        <w:ind w:firstLine="400" w:firstLineChars="200"/>
        <w:rPr>
          <w:rFonts w:ascii="宋体" w:hAnsi="宋体" w:cs="宋体"/>
          <w:color w:val="auto"/>
          <w:kern w:val="0"/>
          <w:sz w:val="20"/>
          <w:szCs w:val="21"/>
          <w:highlight w:val="none"/>
        </w:rPr>
      </w:pPr>
      <w:r>
        <w:rPr>
          <w:rFonts w:hint="eastAsia" w:ascii="宋体" w:hAnsi="宋体" w:cs="宋体"/>
          <w:color w:val="auto"/>
          <w:kern w:val="0"/>
          <w:sz w:val="20"/>
          <w:szCs w:val="21"/>
          <w:highlight w:val="none"/>
        </w:rPr>
        <w:t>据此函，我方兹宣布：</w:t>
      </w:r>
    </w:p>
    <w:p w14:paraId="5834BD92">
      <w:pPr>
        <w:spacing w:line="360" w:lineRule="auto"/>
        <w:ind w:firstLine="482"/>
        <w:rPr>
          <w:rFonts w:ascii="宋体" w:hAnsi="宋体" w:cs="宋体"/>
          <w:color w:val="auto"/>
          <w:kern w:val="0"/>
          <w:sz w:val="20"/>
          <w:szCs w:val="21"/>
          <w:highlight w:val="none"/>
        </w:rPr>
      </w:pPr>
      <w:r>
        <w:rPr>
          <w:rFonts w:hint="eastAsia" w:ascii="宋体" w:hAnsi="宋体" w:cs="宋体"/>
          <w:color w:val="auto"/>
          <w:kern w:val="0"/>
          <w:sz w:val="20"/>
          <w:szCs w:val="21"/>
          <w:highlight w:val="none"/>
        </w:rPr>
        <w:t>1、我方愿意以磋商时提交的报价表中的竞标总报价，在承诺的服务成果完成期限内提供本项目竞争性磋商文件第二章“采购需求”中相应的采购内容，具体详见报价表。</w:t>
      </w:r>
    </w:p>
    <w:p w14:paraId="71C10394">
      <w:pPr>
        <w:spacing w:line="360" w:lineRule="auto"/>
        <w:ind w:firstLine="482"/>
        <w:rPr>
          <w:rFonts w:ascii="宋体" w:hAnsi="宋体" w:cs="宋体"/>
          <w:color w:val="auto"/>
          <w:kern w:val="0"/>
          <w:sz w:val="20"/>
          <w:szCs w:val="21"/>
          <w:highlight w:val="none"/>
        </w:rPr>
      </w:pPr>
      <w:r>
        <w:rPr>
          <w:rFonts w:hint="eastAsia" w:ascii="宋体" w:hAnsi="宋体" w:cs="宋体"/>
          <w:color w:val="auto"/>
          <w:kern w:val="0"/>
          <w:sz w:val="20"/>
          <w:szCs w:val="21"/>
          <w:highlight w:val="none"/>
        </w:rPr>
        <w:t>2、我方同意自本项目竞争性磋商文件采购公告规定的提交响应文件截止时间起遵循本响应函，并承诺在“第三章 供应商须知”规定的竞标有效期内不修改、撤销响应文件。</w:t>
      </w:r>
    </w:p>
    <w:p w14:paraId="59966EAF">
      <w:pPr>
        <w:spacing w:line="360" w:lineRule="auto"/>
        <w:ind w:firstLine="482"/>
        <w:rPr>
          <w:rFonts w:ascii="宋体" w:hAnsi="宋体" w:cs="宋体"/>
          <w:color w:val="auto"/>
          <w:kern w:val="0"/>
          <w:sz w:val="20"/>
          <w:szCs w:val="21"/>
          <w:highlight w:val="none"/>
        </w:rPr>
      </w:pPr>
      <w:r>
        <w:rPr>
          <w:rFonts w:hint="eastAsia" w:ascii="宋体" w:hAnsi="宋体" w:cs="宋体"/>
          <w:color w:val="auto"/>
          <w:kern w:val="0"/>
          <w:sz w:val="20"/>
          <w:szCs w:val="21"/>
          <w:highlight w:val="none"/>
        </w:rPr>
        <w:t>3、我方在此声明，所递交的响应文件及有关资料内容完整、真实和准确。</w:t>
      </w:r>
    </w:p>
    <w:p w14:paraId="2D190D75">
      <w:pPr>
        <w:spacing w:line="360" w:lineRule="auto"/>
        <w:ind w:firstLine="482"/>
        <w:rPr>
          <w:rFonts w:ascii="宋体" w:hAnsi="宋体" w:cs="宋体"/>
          <w:color w:val="auto"/>
          <w:kern w:val="0"/>
          <w:sz w:val="20"/>
          <w:szCs w:val="21"/>
          <w:highlight w:val="none"/>
        </w:rPr>
      </w:pPr>
      <w:r>
        <w:rPr>
          <w:rFonts w:hint="eastAsia" w:ascii="宋体" w:hAnsi="宋体" w:cs="宋体"/>
          <w:color w:val="auto"/>
          <w:kern w:val="0"/>
          <w:sz w:val="20"/>
          <w:szCs w:val="21"/>
          <w:highlight w:val="none"/>
        </w:rPr>
        <w:t>4、如本项目采购内容涉及须符合国家强制规定的，我方承诺我方本次竞标均符合国家有关强制规定。</w:t>
      </w:r>
    </w:p>
    <w:p w14:paraId="4E2F02F9">
      <w:pPr>
        <w:spacing w:line="360" w:lineRule="auto"/>
        <w:ind w:firstLine="482"/>
        <w:rPr>
          <w:rFonts w:ascii="宋体" w:hAnsi="宋体" w:cs="宋体"/>
          <w:color w:val="auto"/>
          <w:kern w:val="0"/>
          <w:sz w:val="20"/>
          <w:szCs w:val="21"/>
          <w:highlight w:val="none"/>
        </w:rPr>
      </w:pPr>
      <w:r>
        <w:rPr>
          <w:rFonts w:hint="eastAsia" w:ascii="宋体" w:hAnsi="宋体" w:cs="宋体"/>
          <w:color w:val="auto"/>
          <w:kern w:val="0"/>
          <w:sz w:val="20"/>
          <w:szCs w:val="21"/>
          <w:highlight w:val="none"/>
        </w:rPr>
        <w:t>5、如我方成交，我方承诺在收到成交通知书后，在成交通知书规定的期限内，根据竞争性磋商文件、我方的响应文件及有关澄清承诺书的要求按第六章“合同文本”与采购人订立书面合同，并按照合同约定承担完成合同的责任和义务。</w:t>
      </w:r>
    </w:p>
    <w:p w14:paraId="5BE7260D">
      <w:pPr>
        <w:spacing w:line="360" w:lineRule="auto"/>
        <w:ind w:firstLine="482"/>
        <w:rPr>
          <w:rFonts w:ascii="宋体" w:hAnsi="宋体" w:cs="宋体"/>
          <w:color w:val="auto"/>
          <w:kern w:val="0"/>
          <w:sz w:val="20"/>
          <w:szCs w:val="21"/>
          <w:highlight w:val="none"/>
        </w:rPr>
      </w:pPr>
      <w:r>
        <w:rPr>
          <w:rFonts w:hint="eastAsia" w:ascii="宋体" w:hAnsi="宋体" w:cs="宋体"/>
          <w:color w:val="auto"/>
          <w:kern w:val="0"/>
          <w:sz w:val="20"/>
          <w:szCs w:val="21"/>
          <w:highlight w:val="none"/>
        </w:rPr>
        <w:t>6、我方已详细审核竞争性磋商文件，我方知道必须放弃提出含糊不清或误解问题的权利。</w:t>
      </w:r>
    </w:p>
    <w:p w14:paraId="28F35E0C">
      <w:pPr>
        <w:spacing w:line="360" w:lineRule="auto"/>
        <w:ind w:firstLine="482"/>
        <w:rPr>
          <w:rFonts w:ascii="宋体" w:hAnsi="宋体" w:cs="宋体"/>
          <w:color w:val="auto"/>
          <w:kern w:val="0"/>
          <w:sz w:val="20"/>
          <w:szCs w:val="21"/>
          <w:highlight w:val="none"/>
        </w:rPr>
      </w:pPr>
      <w:r>
        <w:rPr>
          <w:rFonts w:hint="eastAsia" w:ascii="宋体" w:hAnsi="宋体" w:cs="宋体"/>
          <w:color w:val="auto"/>
          <w:kern w:val="0"/>
          <w:sz w:val="20"/>
          <w:szCs w:val="21"/>
          <w:highlight w:val="none"/>
        </w:rPr>
        <w:t>7、我方承诺满足竞争性磋商文件第六章“合同文本”的条款，承担完成合同的责任和义务。</w:t>
      </w:r>
    </w:p>
    <w:p w14:paraId="1D796DC1">
      <w:pPr>
        <w:spacing w:line="360" w:lineRule="auto"/>
        <w:ind w:firstLine="482"/>
        <w:rPr>
          <w:rFonts w:ascii="宋体" w:hAnsi="宋体" w:cs="宋体"/>
          <w:color w:val="auto"/>
          <w:kern w:val="0"/>
          <w:sz w:val="20"/>
          <w:szCs w:val="21"/>
          <w:highlight w:val="none"/>
        </w:rPr>
      </w:pPr>
      <w:r>
        <w:rPr>
          <w:rFonts w:hint="eastAsia" w:ascii="宋体" w:hAnsi="宋体" w:cs="宋体"/>
          <w:color w:val="auto"/>
          <w:kern w:val="0"/>
          <w:sz w:val="20"/>
          <w:szCs w:val="21"/>
          <w:highlight w:val="none"/>
        </w:rPr>
        <w:t>8、我方同意应贵方要求提供与本竞标有关的任何数据或资料。若贵方需要，我方愿意提供我方作出的一切承诺的证明材料。</w:t>
      </w:r>
    </w:p>
    <w:p w14:paraId="224BED9E">
      <w:pPr>
        <w:spacing w:line="360" w:lineRule="auto"/>
        <w:ind w:firstLine="482"/>
        <w:rPr>
          <w:rFonts w:ascii="宋体" w:hAnsi="宋体" w:cs="宋体"/>
          <w:color w:val="auto"/>
          <w:kern w:val="0"/>
          <w:sz w:val="20"/>
          <w:szCs w:val="21"/>
          <w:highlight w:val="none"/>
        </w:rPr>
      </w:pPr>
      <w:r>
        <w:rPr>
          <w:rFonts w:hint="eastAsia" w:ascii="宋体" w:hAnsi="宋体" w:cs="宋体"/>
          <w:color w:val="auto"/>
          <w:kern w:val="0"/>
          <w:sz w:val="20"/>
          <w:szCs w:val="21"/>
          <w:highlight w:val="none"/>
        </w:rPr>
        <w:t>9、我方完全理解贵方不一定接受响应报价最低的供应商为成交供应商的行为。</w:t>
      </w:r>
    </w:p>
    <w:p w14:paraId="368E381B">
      <w:pPr>
        <w:spacing w:line="360" w:lineRule="auto"/>
        <w:ind w:firstLine="482"/>
        <w:rPr>
          <w:rFonts w:ascii="宋体" w:hAnsi="宋体" w:cs="宋体"/>
          <w:color w:val="auto"/>
          <w:kern w:val="0"/>
          <w:sz w:val="20"/>
          <w:szCs w:val="21"/>
          <w:highlight w:val="none"/>
        </w:rPr>
      </w:pPr>
      <w:r>
        <w:rPr>
          <w:rFonts w:hint="eastAsia" w:ascii="宋体" w:hAnsi="宋体" w:cs="宋体"/>
          <w:color w:val="auto"/>
          <w:kern w:val="0"/>
          <w:sz w:val="20"/>
          <w:szCs w:val="21"/>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0D9F405">
      <w:pPr>
        <w:numPr>
          <w:ilvl w:val="0"/>
          <w:numId w:val="4"/>
        </w:numPr>
        <w:tabs>
          <w:tab w:val="left" w:pos="945"/>
        </w:tabs>
        <w:spacing w:line="360" w:lineRule="auto"/>
        <w:rPr>
          <w:rFonts w:ascii="宋体" w:hAnsi="宋体" w:cs="宋体"/>
          <w:color w:val="auto"/>
          <w:kern w:val="0"/>
          <w:sz w:val="20"/>
          <w:szCs w:val="21"/>
          <w:highlight w:val="none"/>
        </w:rPr>
      </w:pPr>
      <w:r>
        <w:rPr>
          <w:rFonts w:hint="eastAsia" w:ascii="宋体" w:hAnsi="宋体" w:cs="宋体"/>
          <w:color w:val="auto"/>
          <w:kern w:val="0"/>
          <w:sz w:val="20"/>
          <w:szCs w:val="21"/>
          <w:highlight w:val="none"/>
        </w:rPr>
        <w:t>提供虚假材料谋取中标、成交的；</w:t>
      </w:r>
    </w:p>
    <w:p w14:paraId="18280AF5">
      <w:pPr>
        <w:numPr>
          <w:ilvl w:val="0"/>
          <w:numId w:val="4"/>
        </w:numPr>
        <w:tabs>
          <w:tab w:val="left" w:pos="945"/>
        </w:tabs>
        <w:spacing w:line="360" w:lineRule="auto"/>
        <w:rPr>
          <w:rFonts w:ascii="宋体" w:hAnsi="宋体" w:cs="宋体"/>
          <w:color w:val="auto"/>
          <w:kern w:val="0"/>
          <w:sz w:val="20"/>
          <w:szCs w:val="21"/>
          <w:highlight w:val="none"/>
        </w:rPr>
      </w:pPr>
      <w:r>
        <w:rPr>
          <w:rFonts w:hint="eastAsia" w:ascii="宋体" w:hAnsi="宋体" w:cs="宋体"/>
          <w:color w:val="auto"/>
          <w:kern w:val="0"/>
          <w:sz w:val="20"/>
          <w:szCs w:val="21"/>
          <w:highlight w:val="none"/>
        </w:rPr>
        <w:t>采取不正当手段诋毁、排挤其他供应商的；</w:t>
      </w:r>
    </w:p>
    <w:p w14:paraId="27F490D9">
      <w:pPr>
        <w:numPr>
          <w:ilvl w:val="0"/>
          <w:numId w:val="4"/>
        </w:numPr>
        <w:tabs>
          <w:tab w:val="left" w:pos="945"/>
        </w:tabs>
        <w:spacing w:line="360" w:lineRule="auto"/>
        <w:rPr>
          <w:rFonts w:ascii="宋体" w:hAnsi="宋体" w:cs="宋体"/>
          <w:color w:val="auto"/>
          <w:kern w:val="0"/>
          <w:sz w:val="20"/>
          <w:szCs w:val="21"/>
          <w:highlight w:val="none"/>
        </w:rPr>
      </w:pPr>
      <w:r>
        <w:rPr>
          <w:rFonts w:hint="eastAsia" w:ascii="宋体" w:hAnsi="宋体" w:cs="宋体"/>
          <w:color w:val="auto"/>
          <w:kern w:val="0"/>
          <w:sz w:val="20"/>
          <w:szCs w:val="21"/>
          <w:highlight w:val="none"/>
        </w:rPr>
        <w:t>与采购人、其他供应商或者采购代理机构恶意串通的；</w:t>
      </w:r>
    </w:p>
    <w:p w14:paraId="209B04A8">
      <w:pPr>
        <w:numPr>
          <w:ilvl w:val="0"/>
          <w:numId w:val="4"/>
        </w:numPr>
        <w:tabs>
          <w:tab w:val="left" w:pos="945"/>
        </w:tabs>
        <w:spacing w:line="360" w:lineRule="auto"/>
        <w:rPr>
          <w:rFonts w:ascii="宋体" w:hAnsi="宋体" w:cs="宋体"/>
          <w:color w:val="auto"/>
          <w:kern w:val="0"/>
          <w:sz w:val="20"/>
          <w:szCs w:val="21"/>
          <w:highlight w:val="none"/>
        </w:rPr>
      </w:pPr>
      <w:r>
        <w:rPr>
          <w:rFonts w:hint="eastAsia" w:ascii="宋体" w:hAnsi="宋体" w:cs="宋体"/>
          <w:color w:val="auto"/>
          <w:kern w:val="0"/>
          <w:sz w:val="20"/>
          <w:szCs w:val="21"/>
          <w:highlight w:val="none"/>
        </w:rPr>
        <w:t>向采购人、采购代理机构行贿或者提供其他不正当利益的；</w:t>
      </w:r>
    </w:p>
    <w:p w14:paraId="2ADE520F">
      <w:pPr>
        <w:numPr>
          <w:ilvl w:val="0"/>
          <w:numId w:val="4"/>
        </w:numPr>
        <w:tabs>
          <w:tab w:val="left" w:pos="945"/>
        </w:tabs>
        <w:spacing w:line="360" w:lineRule="auto"/>
        <w:rPr>
          <w:rFonts w:ascii="宋体" w:hAnsi="宋体" w:cs="宋体"/>
          <w:color w:val="auto"/>
          <w:kern w:val="0"/>
          <w:sz w:val="20"/>
          <w:szCs w:val="21"/>
          <w:highlight w:val="none"/>
        </w:rPr>
      </w:pPr>
      <w:r>
        <w:rPr>
          <w:rFonts w:hint="eastAsia" w:ascii="宋体" w:hAnsi="宋体" w:cs="宋体"/>
          <w:color w:val="auto"/>
          <w:kern w:val="0"/>
          <w:sz w:val="20"/>
          <w:szCs w:val="21"/>
          <w:highlight w:val="none"/>
        </w:rPr>
        <w:t>在采购过程中与采购人进行协商磋商的；</w:t>
      </w:r>
    </w:p>
    <w:p w14:paraId="52457D4D">
      <w:pPr>
        <w:numPr>
          <w:ilvl w:val="0"/>
          <w:numId w:val="4"/>
        </w:numPr>
        <w:tabs>
          <w:tab w:val="left" w:pos="945"/>
        </w:tabs>
        <w:spacing w:line="360" w:lineRule="auto"/>
        <w:rPr>
          <w:rFonts w:ascii="宋体" w:hAnsi="宋体" w:cs="宋体"/>
          <w:color w:val="auto"/>
          <w:kern w:val="0"/>
          <w:sz w:val="20"/>
          <w:szCs w:val="21"/>
          <w:highlight w:val="none"/>
        </w:rPr>
      </w:pPr>
      <w:r>
        <w:rPr>
          <w:rFonts w:hint="eastAsia" w:ascii="宋体" w:hAnsi="宋体" w:cs="宋体"/>
          <w:color w:val="auto"/>
          <w:kern w:val="0"/>
          <w:sz w:val="20"/>
          <w:szCs w:val="21"/>
          <w:highlight w:val="none"/>
        </w:rPr>
        <w:t>拒绝有关部门监督检查或提供虚假情况的。</w:t>
      </w:r>
    </w:p>
    <w:p w14:paraId="46636DDD">
      <w:pPr>
        <w:spacing w:line="360" w:lineRule="auto"/>
        <w:ind w:firstLine="420"/>
        <w:rPr>
          <w:rFonts w:ascii="宋体" w:hAnsi="宋体" w:cs="宋体"/>
          <w:b/>
          <w:bCs/>
          <w:color w:val="auto"/>
          <w:kern w:val="0"/>
          <w:szCs w:val="21"/>
          <w:highlight w:val="none"/>
        </w:rPr>
      </w:pPr>
      <w:r>
        <w:rPr>
          <w:rFonts w:hint="eastAsia" w:ascii="宋体" w:hAnsi="宋体" w:cs="宋体"/>
          <w:color w:val="auto"/>
          <w:kern w:val="0"/>
          <w:sz w:val="20"/>
          <w:szCs w:val="20"/>
          <w:highlight w:val="none"/>
        </w:rPr>
        <w:t>11、</w:t>
      </w:r>
      <w:r>
        <w:rPr>
          <w:rFonts w:hint="eastAsia" w:ascii="宋体" w:hAnsi="宋体" w:cs="宋体"/>
          <w:color w:val="auto"/>
          <w:highlight w:val="none"/>
        </w:rPr>
        <w:t>以上事项如有虚假或者隐瞒，我方愿意承担一切后果，并不再寻求任何旨在减轻或者免除法律责任的辩解。</w:t>
      </w:r>
    </w:p>
    <w:p w14:paraId="13A20578">
      <w:pPr>
        <w:spacing w:line="360" w:lineRule="auto"/>
        <w:ind w:firstLine="420"/>
        <w:outlineLvl w:val="2"/>
        <w:rPr>
          <w:rFonts w:ascii="宋体" w:hAnsi="宋体" w:cs="宋体"/>
          <w:b/>
          <w:bCs/>
          <w:color w:val="auto"/>
          <w:kern w:val="0"/>
          <w:szCs w:val="21"/>
          <w:highlight w:val="none"/>
        </w:rPr>
      </w:pPr>
      <w:bookmarkStart w:id="202" w:name="_Toc20338"/>
      <w:r>
        <w:rPr>
          <w:rFonts w:hint="eastAsia" w:ascii="宋体" w:hAnsi="宋体" w:cs="宋体"/>
          <w:b/>
          <w:bCs/>
          <w:color w:val="auto"/>
          <w:kern w:val="0"/>
          <w:szCs w:val="21"/>
          <w:highlight w:val="none"/>
        </w:rPr>
        <w:t>12、与本磋商有关的一切正式往来信函请寄：</w:t>
      </w:r>
      <w:bookmarkEnd w:id="202"/>
    </w:p>
    <w:p w14:paraId="44FFD8CB">
      <w:pPr>
        <w:spacing w:line="360" w:lineRule="auto"/>
        <w:ind w:firstLine="420"/>
        <w:rPr>
          <w:rFonts w:ascii="宋体" w:hAnsi="宋体" w:cs="宋体"/>
          <w:color w:val="auto"/>
          <w:kern w:val="0"/>
          <w:sz w:val="20"/>
          <w:szCs w:val="21"/>
          <w:highlight w:val="none"/>
        </w:rPr>
      </w:pPr>
      <w:r>
        <w:rPr>
          <w:rFonts w:hint="eastAsia" w:ascii="宋体" w:hAnsi="宋体" w:cs="宋体"/>
          <w:color w:val="auto"/>
          <w:kern w:val="0"/>
          <w:sz w:val="20"/>
          <w:szCs w:val="21"/>
          <w:highlight w:val="none"/>
        </w:rPr>
        <w:t>地址：</w:t>
      </w:r>
    </w:p>
    <w:p w14:paraId="4E679BF0">
      <w:pPr>
        <w:spacing w:line="360" w:lineRule="auto"/>
        <w:ind w:firstLine="420"/>
        <w:rPr>
          <w:rFonts w:ascii="宋体" w:hAnsi="宋体" w:cs="宋体"/>
          <w:color w:val="auto"/>
          <w:kern w:val="0"/>
          <w:sz w:val="20"/>
          <w:szCs w:val="21"/>
          <w:highlight w:val="none"/>
          <w:u w:val="single"/>
        </w:rPr>
      </w:pPr>
      <w:r>
        <w:rPr>
          <w:rFonts w:hint="eastAsia" w:ascii="宋体" w:hAnsi="宋体" w:cs="宋体"/>
          <w:color w:val="auto"/>
          <w:kern w:val="0"/>
          <w:sz w:val="20"/>
          <w:szCs w:val="21"/>
          <w:highlight w:val="none"/>
        </w:rPr>
        <w:t>电话：</w:t>
      </w:r>
      <w:r>
        <w:rPr>
          <w:rFonts w:hint="eastAsia" w:ascii="宋体" w:hAnsi="宋体" w:cs="宋体"/>
          <w:color w:val="auto"/>
          <w:kern w:val="0"/>
          <w:sz w:val="20"/>
          <w:szCs w:val="21"/>
          <w:highlight w:val="none"/>
          <w:u w:val="single"/>
        </w:rPr>
        <w:t xml:space="preserve">                                      　　　　　　　　　</w:t>
      </w:r>
    </w:p>
    <w:p w14:paraId="54F5042F">
      <w:pPr>
        <w:spacing w:line="360" w:lineRule="auto"/>
        <w:ind w:firstLine="420"/>
        <w:rPr>
          <w:rFonts w:ascii="宋体" w:hAnsi="宋体" w:cs="宋体"/>
          <w:color w:val="auto"/>
          <w:kern w:val="0"/>
          <w:sz w:val="20"/>
          <w:szCs w:val="21"/>
          <w:highlight w:val="none"/>
          <w:u w:val="single"/>
        </w:rPr>
      </w:pPr>
      <w:r>
        <w:rPr>
          <w:rFonts w:hint="eastAsia" w:ascii="宋体" w:hAnsi="宋体" w:cs="宋体"/>
          <w:color w:val="auto"/>
          <w:kern w:val="0"/>
          <w:sz w:val="20"/>
          <w:szCs w:val="21"/>
          <w:highlight w:val="none"/>
        </w:rPr>
        <w:t>传真：</w:t>
      </w:r>
      <w:r>
        <w:rPr>
          <w:rFonts w:hint="eastAsia" w:ascii="宋体" w:hAnsi="宋体" w:cs="宋体"/>
          <w:color w:val="auto"/>
          <w:kern w:val="0"/>
          <w:sz w:val="20"/>
          <w:szCs w:val="21"/>
          <w:highlight w:val="none"/>
          <w:u w:val="single"/>
        </w:rPr>
        <w:t>　　　　　　　　　　　　　　　　　　　　　　　　　　　　</w:t>
      </w:r>
    </w:p>
    <w:p w14:paraId="0DC27E2B">
      <w:pPr>
        <w:spacing w:line="360" w:lineRule="auto"/>
        <w:ind w:firstLine="420"/>
        <w:rPr>
          <w:rFonts w:ascii="宋体" w:hAnsi="宋体" w:cs="宋体"/>
          <w:color w:val="auto"/>
          <w:highlight w:val="none"/>
        </w:rPr>
      </w:pPr>
      <w:r>
        <w:rPr>
          <w:rFonts w:hint="eastAsia" w:ascii="宋体" w:hAnsi="宋体" w:cs="宋体"/>
          <w:color w:val="auto"/>
          <w:kern w:val="0"/>
          <w:sz w:val="20"/>
          <w:szCs w:val="21"/>
          <w:highlight w:val="none"/>
        </w:rPr>
        <w:t>电子邮箱：</w:t>
      </w:r>
      <w:r>
        <w:rPr>
          <w:rFonts w:hint="eastAsia" w:ascii="宋体" w:hAnsi="宋体" w:cs="宋体"/>
          <w:color w:val="auto"/>
          <w:kern w:val="0"/>
          <w:sz w:val="20"/>
          <w:szCs w:val="21"/>
          <w:highlight w:val="none"/>
          <w:u w:val="single"/>
        </w:rPr>
        <w:t>　　　　　　　　　　　　　　　　　　　　　　　　　　</w:t>
      </w:r>
    </w:p>
    <w:p w14:paraId="5BFD2889">
      <w:pPr>
        <w:spacing w:line="360" w:lineRule="auto"/>
        <w:ind w:firstLine="420"/>
        <w:rPr>
          <w:rFonts w:ascii="宋体" w:hAnsi="宋体" w:cs="宋体"/>
          <w:color w:val="auto"/>
          <w:kern w:val="0"/>
          <w:sz w:val="20"/>
          <w:szCs w:val="21"/>
          <w:highlight w:val="none"/>
          <w:u w:val="single"/>
        </w:rPr>
      </w:pPr>
      <w:r>
        <w:rPr>
          <w:rFonts w:hint="eastAsia" w:ascii="宋体" w:hAnsi="宋体" w:cs="宋体"/>
          <w:color w:val="auto"/>
          <w:kern w:val="0"/>
          <w:sz w:val="20"/>
          <w:szCs w:val="21"/>
          <w:highlight w:val="none"/>
        </w:rPr>
        <w:t>邮政编码：</w:t>
      </w:r>
    </w:p>
    <w:p w14:paraId="37C3CC05">
      <w:pPr>
        <w:spacing w:line="360" w:lineRule="auto"/>
        <w:ind w:firstLine="420"/>
        <w:rPr>
          <w:rFonts w:ascii="宋体" w:hAnsi="宋体" w:cs="宋体"/>
          <w:color w:val="auto"/>
          <w:kern w:val="0"/>
          <w:sz w:val="20"/>
          <w:szCs w:val="21"/>
          <w:highlight w:val="none"/>
          <w:u w:val="single"/>
        </w:rPr>
      </w:pPr>
      <w:r>
        <w:rPr>
          <w:rFonts w:hint="eastAsia" w:ascii="宋体" w:hAnsi="宋体" w:cs="宋体"/>
          <w:color w:val="auto"/>
          <w:kern w:val="0"/>
          <w:sz w:val="20"/>
          <w:szCs w:val="21"/>
          <w:highlight w:val="none"/>
        </w:rPr>
        <w:t>开户名称：</w:t>
      </w:r>
    </w:p>
    <w:p w14:paraId="3C43E18D">
      <w:pPr>
        <w:spacing w:line="360" w:lineRule="auto"/>
        <w:ind w:firstLine="420"/>
        <w:rPr>
          <w:rFonts w:ascii="宋体" w:hAnsi="宋体" w:cs="宋体"/>
          <w:color w:val="auto"/>
          <w:kern w:val="0"/>
          <w:sz w:val="20"/>
          <w:szCs w:val="21"/>
          <w:highlight w:val="none"/>
          <w:u w:val="single"/>
        </w:rPr>
      </w:pPr>
      <w:r>
        <w:rPr>
          <w:rFonts w:hint="eastAsia" w:ascii="宋体" w:hAnsi="宋体" w:cs="宋体"/>
          <w:color w:val="auto"/>
          <w:kern w:val="0"/>
          <w:sz w:val="20"/>
          <w:szCs w:val="21"/>
          <w:highlight w:val="none"/>
        </w:rPr>
        <w:t>开户银行：</w:t>
      </w:r>
    </w:p>
    <w:p w14:paraId="2394E505">
      <w:pPr>
        <w:spacing w:line="360" w:lineRule="auto"/>
        <w:ind w:firstLine="420"/>
        <w:rPr>
          <w:rFonts w:ascii="宋体" w:hAnsi="宋体" w:cs="宋体"/>
          <w:color w:val="auto"/>
          <w:kern w:val="0"/>
          <w:sz w:val="20"/>
          <w:szCs w:val="21"/>
          <w:highlight w:val="none"/>
          <w:u w:val="single"/>
        </w:rPr>
      </w:pPr>
      <w:r>
        <w:rPr>
          <w:rFonts w:hint="eastAsia" w:ascii="宋体" w:hAnsi="宋体" w:cs="宋体"/>
          <w:color w:val="auto"/>
          <w:kern w:val="0"/>
          <w:sz w:val="20"/>
          <w:szCs w:val="21"/>
          <w:highlight w:val="none"/>
        </w:rPr>
        <w:t>银行账号：</w:t>
      </w:r>
    </w:p>
    <w:p w14:paraId="08DF30C5">
      <w:pPr>
        <w:pStyle w:val="14"/>
        <w:tabs>
          <w:tab w:val="left" w:pos="939"/>
        </w:tabs>
        <w:spacing w:line="360" w:lineRule="auto"/>
        <w:ind w:left="141" w:leftChars="67" w:firstLine="315" w:firstLineChars="150"/>
        <w:rPr>
          <w:rFonts w:ascii="宋体" w:hAnsi="宋体" w:cs="宋体"/>
          <w:color w:val="auto"/>
          <w:szCs w:val="21"/>
          <w:highlight w:val="none"/>
        </w:rPr>
      </w:pPr>
      <w:r>
        <w:rPr>
          <w:rFonts w:hint="eastAsia" w:ascii="宋体" w:hAnsi="宋体" w:cs="宋体"/>
          <w:color w:val="auto"/>
          <w:szCs w:val="21"/>
          <w:highlight w:val="none"/>
        </w:rPr>
        <w:t>特此承诺。</w:t>
      </w:r>
    </w:p>
    <w:p w14:paraId="56DE9191">
      <w:pPr>
        <w:spacing w:line="360" w:lineRule="auto"/>
        <w:contextualSpacing/>
        <w:jc w:val="left"/>
        <w:rPr>
          <w:rFonts w:ascii="宋体" w:hAnsi="宋体" w:cs="宋体"/>
          <w:color w:val="auto"/>
          <w:szCs w:val="21"/>
          <w:highlight w:val="none"/>
        </w:rPr>
      </w:pPr>
    </w:p>
    <w:p w14:paraId="0073B645">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r>
        <w:rPr>
          <w:rFonts w:hint="eastAsia" w:ascii="宋体" w:hAnsi="宋体" w:cs="宋体"/>
          <w:b/>
          <w:bCs/>
          <w:color w:val="auto"/>
          <w:sz w:val="24"/>
          <w:highlight w:val="none"/>
        </w:rPr>
        <w:t>或CA电子签章</w:t>
      </w:r>
      <w:r>
        <w:rPr>
          <w:rFonts w:hint="eastAsia" w:ascii="宋体" w:hAnsi="宋体" w:cs="宋体"/>
          <w:color w:val="auto"/>
          <w:kern w:val="0"/>
          <w:sz w:val="24"/>
          <w:highlight w:val="none"/>
        </w:rPr>
        <w:t>）：</w:t>
      </w:r>
    </w:p>
    <w:p w14:paraId="42CE9F0E">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83E704C">
      <w:pPr>
        <w:spacing w:line="360" w:lineRule="auto"/>
        <w:rPr>
          <w:rFonts w:ascii="宋体" w:hAnsi="宋体" w:cs="宋体"/>
          <w:b/>
          <w:color w:val="auto"/>
          <w:sz w:val="28"/>
          <w:szCs w:val="28"/>
          <w:highlight w:val="none"/>
        </w:rPr>
      </w:pPr>
    </w:p>
    <w:p w14:paraId="5EE916F7">
      <w:pPr>
        <w:spacing w:line="360" w:lineRule="auto"/>
        <w:outlineLvl w:val="2"/>
        <w:rPr>
          <w:rFonts w:ascii="宋体" w:hAnsi="宋体" w:cs="宋体"/>
          <w:b/>
          <w:color w:val="auto"/>
          <w:sz w:val="30"/>
          <w:szCs w:val="30"/>
          <w:highlight w:val="none"/>
          <w:lang w:val="zh-CN"/>
        </w:rPr>
      </w:pPr>
      <w:r>
        <w:rPr>
          <w:rFonts w:hint="eastAsia" w:ascii="宋体" w:hAnsi="宋体" w:cs="宋体"/>
          <w:b/>
          <w:color w:val="auto"/>
          <w:sz w:val="28"/>
          <w:szCs w:val="28"/>
          <w:highlight w:val="none"/>
        </w:rPr>
        <w:br w:type="page"/>
      </w:r>
      <w:bookmarkStart w:id="203" w:name="_Toc161"/>
      <w:r>
        <w:rPr>
          <w:rFonts w:hint="eastAsia" w:ascii="宋体" w:hAnsi="宋体" w:cs="宋体"/>
          <w:b/>
          <w:color w:val="auto"/>
          <w:sz w:val="28"/>
          <w:szCs w:val="28"/>
          <w:highlight w:val="none"/>
        </w:rPr>
        <w:t>4.</w:t>
      </w:r>
      <w:r>
        <w:rPr>
          <w:rFonts w:hint="eastAsia" w:ascii="宋体" w:hAnsi="宋体" w:cs="宋体"/>
          <w:b/>
          <w:color w:val="auto"/>
          <w:sz w:val="28"/>
          <w:szCs w:val="28"/>
          <w:highlight w:val="none"/>
          <w:lang w:val="zh-CN"/>
        </w:rPr>
        <w:t>响应报价表的格式：</w:t>
      </w:r>
      <w:bookmarkEnd w:id="203"/>
    </w:p>
    <w:p w14:paraId="0BA6BC91">
      <w:pPr>
        <w:spacing w:line="360" w:lineRule="auto"/>
        <w:ind w:firstLine="420" w:firstLineChars="200"/>
        <w:rPr>
          <w:rFonts w:ascii="宋体" w:hAnsi="宋体" w:cs="宋体"/>
          <w:color w:val="auto"/>
          <w:highlight w:val="none"/>
        </w:rPr>
      </w:pPr>
    </w:p>
    <w:p w14:paraId="5A1A231C">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响应报价表</w:t>
      </w:r>
    </w:p>
    <w:p w14:paraId="23C000AD">
      <w:pPr>
        <w:snapToGrid w:val="0"/>
        <w:spacing w:before="50" w:after="50" w:line="360" w:lineRule="auto"/>
        <w:rPr>
          <w:rFonts w:ascii="宋体" w:hAnsi="宋体" w:cs="宋体"/>
          <w:color w:val="auto"/>
          <w:sz w:val="24"/>
          <w:highlight w:val="none"/>
        </w:rPr>
      </w:pPr>
    </w:p>
    <w:p w14:paraId="6BDE3DCE">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项目名称：</w:t>
      </w:r>
    </w:p>
    <w:p w14:paraId="7D1C87B5">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项目编号：</w:t>
      </w:r>
    </w:p>
    <w:p w14:paraId="6A7F8939">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所竞分标（如有则填写，无分标时填写“无”或者留空）：</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1168"/>
        <w:gridCol w:w="746"/>
      </w:tblGrid>
      <w:tr w14:paraId="7ADD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ign w:val="center"/>
          </w:tcPr>
          <w:p w14:paraId="388F4A59">
            <w:pPr>
              <w:spacing w:line="360" w:lineRule="auto"/>
              <w:rPr>
                <w:rFonts w:ascii="宋体" w:hAnsi="宋体" w:cs="宋体"/>
                <w:color w:val="auto"/>
                <w:szCs w:val="22"/>
                <w:highlight w:val="none"/>
              </w:rPr>
            </w:pPr>
            <w:r>
              <w:rPr>
                <w:rFonts w:hint="eastAsia" w:ascii="宋体" w:hAnsi="宋体" w:cs="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noWrap/>
            <w:vAlign w:val="center"/>
          </w:tcPr>
          <w:p w14:paraId="6BC614CC">
            <w:pPr>
              <w:spacing w:line="360" w:lineRule="auto"/>
              <w:rPr>
                <w:rFonts w:ascii="宋体" w:hAnsi="宋体" w:cs="宋体"/>
                <w:color w:val="auto"/>
                <w:szCs w:val="22"/>
                <w:highlight w:val="none"/>
              </w:rPr>
            </w:pPr>
            <w:r>
              <w:rPr>
                <w:rFonts w:hint="eastAsia" w:ascii="宋体" w:hAnsi="宋体" w:cs="宋体"/>
                <w:color w:val="auto"/>
                <w:szCs w:val="22"/>
                <w:highlight w:val="none"/>
              </w:rPr>
              <w:t>标的名称</w:t>
            </w:r>
          </w:p>
        </w:tc>
        <w:tc>
          <w:tcPr>
            <w:tcW w:w="2064" w:type="dxa"/>
            <w:tcBorders>
              <w:top w:val="single" w:color="auto" w:sz="4" w:space="0"/>
              <w:left w:val="single" w:color="auto" w:sz="4" w:space="0"/>
              <w:bottom w:val="single" w:color="auto" w:sz="4" w:space="0"/>
              <w:right w:val="single" w:color="auto" w:sz="4" w:space="0"/>
            </w:tcBorders>
            <w:noWrap/>
            <w:vAlign w:val="center"/>
          </w:tcPr>
          <w:p w14:paraId="35E2A7D8">
            <w:pPr>
              <w:spacing w:line="360" w:lineRule="auto"/>
              <w:jc w:val="center"/>
              <w:rPr>
                <w:rFonts w:ascii="宋体" w:hAnsi="宋体" w:cs="宋体"/>
                <w:color w:val="auto"/>
                <w:szCs w:val="22"/>
                <w:highlight w:val="none"/>
              </w:rPr>
            </w:pPr>
            <w:r>
              <w:rPr>
                <w:rFonts w:hint="eastAsia" w:ascii="宋体" w:hAnsi="宋体" w:cs="宋体"/>
                <w:color w:val="auto"/>
                <w:szCs w:val="22"/>
                <w:highlight w:val="none"/>
              </w:rPr>
              <w:t>服务内容</w:t>
            </w:r>
          </w:p>
        </w:tc>
        <w:tc>
          <w:tcPr>
            <w:tcW w:w="1080" w:type="dxa"/>
            <w:tcBorders>
              <w:top w:val="single" w:color="auto" w:sz="4" w:space="0"/>
              <w:left w:val="single" w:color="auto" w:sz="4" w:space="0"/>
              <w:bottom w:val="single" w:color="auto" w:sz="4" w:space="0"/>
              <w:right w:val="single" w:color="auto" w:sz="4" w:space="0"/>
            </w:tcBorders>
            <w:noWrap/>
            <w:vAlign w:val="center"/>
          </w:tcPr>
          <w:p w14:paraId="371DC934">
            <w:pPr>
              <w:spacing w:line="360" w:lineRule="auto"/>
              <w:jc w:val="center"/>
              <w:rPr>
                <w:rFonts w:ascii="宋体" w:hAnsi="宋体" w:cs="宋体"/>
                <w:color w:val="auto"/>
                <w:szCs w:val="22"/>
                <w:highlight w:val="none"/>
              </w:rPr>
            </w:pPr>
            <w:r>
              <w:rPr>
                <w:rFonts w:hint="eastAsia" w:ascii="宋体" w:hAnsi="宋体" w:cs="宋体"/>
                <w:color w:val="auto"/>
                <w:szCs w:val="22"/>
                <w:highlight w:val="none"/>
              </w:rPr>
              <w:t>数量及 单位①</w:t>
            </w:r>
          </w:p>
        </w:tc>
        <w:tc>
          <w:tcPr>
            <w:tcW w:w="1260" w:type="dxa"/>
            <w:tcBorders>
              <w:top w:val="single" w:color="auto" w:sz="4" w:space="0"/>
              <w:left w:val="single" w:color="auto" w:sz="4" w:space="0"/>
              <w:bottom w:val="single" w:color="auto" w:sz="4" w:space="0"/>
              <w:right w:val="single" w:color="auto" w:sz="4" w:space="0"/>
            </w:tcBorders>
            <w:noWrap/>
            <w:vAlign w:val="center"/>
          </w:tcPr>
          <w:p w14:paraId="343CEF57">
            <w:pPr>
              <w:spacing w:line="360" w:lineRule="auto"/>
              <w:jc w:val="center"/>
              <w:rPr>
                <w:rFonts w:ascii="宋体" w:hAnsi="宋体" w:cs="宋体"/>
                <w:color w:val="auto"/>
                <w:szCs w:val="22"/>
                <w:highlight w:val="none"/>
              </w:rPr>
            </w:pPr>
            <w:r>
              <w:rPr>
                <w:rFonts w:hint="eastAsia" w:ascii="宋体" w:hAnsi="宋体" w:cs="宋体"/>
                <w:color w:val="auto"/>
                <w:szCs w:val="22"/>
                <w:highlight w:val="none"/>
              </w:rPr>
              <w:t>单价(元)②</w:t>
            </w:r>
          </w:p>
        </w:tc>
        <w:tc>
          <w:tcPr>
            <w:tcW w:w="1516" w:type="dxa"/>
            <w:tcBorders>
              <w:top w:val="single" w:color="auto" w:sz="4" w:space="0"/>
              <w:left w:val="single" w:color="auto" w:sz="4" w:space="0"/>
              <w:bottom w:val="single" w:color="auto" w:sz="4" w:space="0"/>
              <w:right w:val="single" w:color="auto" w:sz="4" w:space="0"/>
            </w:tcBorders>
            <w:noWrap/>
            <w:vAlign w:val="center"/>
          </w:tcPr>
          <w:p w14:paraId="02AEF32F">
            <w:pPr>
              <w:spacing w:line="360" w:lineRule="auto"/>
              <w:rPr>
                <w:rFonts w:ascii="宋体" w:hAnsi="宋体" w:cs="宋体"/>
                <w:color w:val="auto"/>
                <w:szCs w:val="22"/>
                <w:highlight w:val="none"/>
              </w:rPr>
            </w:pPr>
            <w:r>
              <w:rPr>
                <w:rFonts w:hint="eastAsia" w:ascii="宋体" w:hAnsi="宋体" w:cs="宋体"/>
                <w:color w:val="auto"/>
                <w:szCs w:val="22"/>
                <w:highlight w:val="none"/>
              </w:rPr>
              <w:t>单项合价（元）</w:t>
            </w:r>
          </w:p>
          <w:p w14:paraId="2F62DB19">
            <w:pPr>
              <w:spacing w:line="360" w:lineRule="auto"/>
              <w:rPr>
                <w:rFonts w:ascii="宋体" w:hAnsi="宋体" w:cs="宋体"/>
                <w:color w:val="auto"/>
                <w:szCs w:val="22"/>
                <w:highlight w:val="none"/>
              </w:rPr>
            </w:pPr>
            <w:r>
              <w:rPr>
                <w:rFonts w:hint="eastAsia" w:ascii="宋体" w:hAnsi="宋体" w:cs="宋体"/>
                <w:color w:val="auto"/>
                <w:szCs w:val="22"/>
                <w:highlight w:val="none"/>
              </w:rPr>
              <w:t>③＝①×②</w:t>
            </w:r>
          </w:p>
        </w:tc>
        <w:tc>
          <w:tcPr>
            <w:tcW w:w="1168" w:type="dxa"/>
            <w:tcBorders>
              <w:top w:val="single" w:color="auto" w:sz="4" w:space="0"/>
              <w:left w:val="single" w:color="auto" w:sz="4" w:space="0"/>
              <w:bottom w:val="single" w:color="auto" w:sz="4" w:space="0"/>
              <w:right w:val="single" w:color="auto" w:sz="4" w:space="0"/>
            </w:tcBorders>
            <w:noWrap/>
            <w:vAlign w:val="top"/>
          </w:tcPr>
          <w:p w14:paraId="0E8B9C18">
            <w:pPr>
              <w:spacing w:line="360" w:lineRule="auto"/>
              <w:jc w:val="center"/>
              <w:rPr>
                <w:rFonts w:ascii="宋体" w:hAnsi="宋体" w:cs="宋体"/>
                <w:color w:val="auto"/>
                <w:szCs w:val="22"/>
                <w:highlight w:val="none"/>
              </w:rPr>
            </w:pPr>
            <w:r>
              <w:rPr>
                <w:rFonts w:hint="eastAsia" w:ascii="宋体" w:hAnsi="宋体" w:cs="宋体"/>
                <w:color w:val="auto"/>
                <w:szCs w:val="22"/>
                <w:highlight w:val="none"/>
              </w:rPr>
              <w:t>服务成果完成期限</w:t>
            </w:r>
          </w:p>
        </w:tc>
        <w:tc>
          <w:tcPr>
            <w:tcW w:w="746" w:type="dxa"/>
            <w:tcBorders>
              <w:top w:val="single" w:color="auto" w:sz="4" w:space="0"/>
              <w:left w:val="single" w:color="auto" w:sz="4" w:space="0"/>
              <w:bottom w:val="single" w:color="auto" w:sz="4" w:space="0"/>
              <w:right w:val="single" w:color="auto" w:sz="4" w:space="0"/>
            </w:tcBorders>
            <w:noWrap/>
            <w:vAlign w:val="center"/>
          </w:tcPr>
          <w:p w14:paraId="28317CA7">
            <w:pPr>
              <w:spacing w:line="360" w:lineRule="auto"/>
              <w:jc w:val="center"/>
              <w:rPr>
                <w:rFonts w:ascii="宋体" w:hAnsi="宋体" w:cs="宋体"/>
                <w:color w:val="auto"/>
                <w:szCs w:val="22"/>
                <w:highlight w:val="none"/>
              </w:rPr>
            </w:pPr>
            <w:r>
              <w:rPr>
                <w:rFonts w:hint="eastAsia" w:ascii="宋体" w:hAnsi="宋体" w:cs="宋体"/>
                <w:color w:val="auto"/>
                <w:szCs w:val="22"/>
                <w:highlight w:val="none"/>
              </w:rPr>
              <w:t>备注</w:t>
            </w:r>
          </w:p>
        </w:tc>
      </w:tr>
      <w:tr w14:paraId="3039A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19" w:type="dxa"/>
            <w:tcBorders>
              <w:top w:val="single" w:color="auto" w:sz="4" w:space="0"/>
              <w:left w:val="single" w:color="auto" w:sz="4" w:space="0"/>
              <w:bottom w:val="single" w:color="auto" w:sz="4" w:space="0"/>
              <w:right w:val="single" w:color="auto" w:sz="4" w:space="0"/>
            </w:tcBorders>
            <w:noWrap/>
            <w:vAlign w:val="center"/>
          </w:tcPr>
          <w:p w14:paraId="74C63112">
            <w:pPr>
              <w:spacing w:line="360" w:lineRule="auto"/>
              <w:jc w:val="center"/>
              <w:rPr>
                <w:rFonts w:ascii="宋体" w:hAnsi="宋体" w:cs="宋体"/>
                <w:color w:val="auto"/>
                <w:szCs w:val="22"/>
                <w:highlight w:val="none"/>
              </w:rPr>
            </w:pPr>
            <w:r>
              <w:rPr>
                <w:rFonts w:hint="eastAsia" w:ascii="宋体" w:hAnsi="宋体" w:cs="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noWrap/>
            <w:vAlign w:val="center"/>
          </w:tcPr>
          <w:p w14:paraId="108B4F41">
            <w:pPr>
              <w:spacing w:line="360" w:lineRule="auto"/>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ign w:val="center"/>
          </w:tcPr>
          <w:p w14:paraId="6F822DEA">
            <w:pPr>
              <w:spacing w:line="360" w:lineRule="auto"/>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4F7FFC99">
            <w:pPr>
              <w:spacing w:line="360" w:lineRule="auto"/>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054E91AA">
            <w:pPr>
              <w:spacing w:line="360" w:lineRule="auto"/>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ign w:val="center"/>
          </w:tcPr>
          <w:p w14:paraId="746F0802">
            <w:pPr>
              <w:spacing w:line="360" w:lineRule="auto"/>
              <w:rPr>
                <w:rFonts w:ascii="宋体" w:hAnsi="宋体" w:cs="宋体"/>
                <w:color w:val="auto"/>
                <w:szCs w:val="22"/>
                <w:highlight w:val="none"/>
              </w:rPr>
            </w:pPr>
          </w:p>
        </w:tc>
        <w:tc>
          <w:tcPr>
            <w:tcW w:w="1168" w:type="dxa"/>
            <w:tcBorders>
              <w:top w:val="single" w:color="auto" w:sz="4" w:space="0"/>
              <w:left w:val="single" w:color="auto" w:sz="4" w:space="0"/>
              <w:bottom w:val="single" w:color="auto" w:sz="4" w:space="0"/>
              <w:right w:val="single" w:color="auto" w:sz="4" w:space="0"/>
            </w:tcBorders>
            <w:noWrap/>
            <w:vAlign w:val="top"/>
          </w:tcPr>
          <w:p w14:paraId="2338223E">
            <w:pPr>
              <w:spacing w:line="360" w:lineRule="auto"/>
              <w:rPr>
                <w:rFonts w:ascii="宋体" w:hAnsi="宋体" w:cs="宋体"/>
                <w:color w:val="auto"/>
                <w:szCs w:val="22"/>
                <w:highlight w:val="none"/>
              </w:rPr>
            </w:pPr>
          </w:p>
        </w:tc>
        <w:tc>
          <w:tcPr>
            <w:tcW w:w="746" w:type="dxa"/>
            <w:tcBorders>
              <w:top w:val="single" w:color="auto" w:sz="4" w:space="0"/>
              <w:left w:val="single" w:color="auto" w:sz="4" w:space="0"/>
              <w:bottom w:val="single" w:color="auto" w:sz="4" w:space="0"/>
              <w:right w:val="single" w:color="auto" w:sz="4" w:space="0"/>
            </w:tcBorders>
            <w:noWrap/>
            <w:vAlign w:val="center"/>
          </w:tcPr>
          <w:p w14:paraId="3474D9D6">
            <w:pPr>
              <w:spacing w:line="360" w:lineRule="auto"/>
              <w:rPr>
                <w:rFonts w:ascii="宋体" w:hAnsi="宋体" w:cs="宋体"/>
                <w:color w:val="auto"/>
                <w:szCs w:val="22"/>
                <w:highlight w:val="none"/>
              </w:rPr>
            </w:pPr>
          </w:p>
        </w:tc>
      </w:tr>
      <w:tr w14:paraId="7425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19" w:type="dxa"/>
            <w:tcBorders>
              <w:top w:val="single" w:color="auto" w:sz="4" w:space="0"/>
              <w:left w:val="single" w:color="auto" w:sz="4" w:space="0"/>
              <w:bottom w:val="single" w:color="auto" w:sz="4" w:space="0"/>
              <w:right w:val="single" w:color="auto" w:sz="4" w:space="0"/>
            </w:tcBorders>
            <w:noWrap/>
            <w:vAlign w:val="center"/>
          </w:tcPr>
          <w:p w14:paraId="2A2B0EE9">
            <w:pPr>
              <w:spacing w:line="360" w:lineRule="auto"/>
              <w:jc w:val="center"/>
              <w:rPr>
                <w:rFonts w:ascii="宋体" w:hAnsi="宋体" w:cs="宋体"/>
                <w:color w:val="auto"/>
                <w:szCs w:val="22"/>
                <w:highlight w:val="none"/>
              </w:rPr>
            </w:pPr>
            <w:r>
              <w:rPr>
                <w:rFonts w:hint="eastAsia" w:ascii="宋体" w:hAnsi="宋体" w:cs="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noWrap/>
            <w:vAlign w:val="center"/>
          </w:tcPr>
          <w:p w14:paraId="3CBF6929">
            <w:pPr>
              <w:spacing w:line="360" w:lineRule="auto"/>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ign w:val="center"/>
          </w:tcPr>
          <w:p w14:paraId="6A583B28">
            <w:pPr>
              <w:spacing w:line="360" w:lineRule="auto"/>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41A79FF6">
            <w:pPr>
              <w:spacing w:line="360" w:lineRule="auto"/>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5B992805">
            <w:pPr>
              <w:spacing w:line="360" w:lineRule="auto"/>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ign w:val="center"/>
          </w:tcPr>
          <w:p w14:paraId="42BDDF3C">
            <w:pPr>
              <w:spacing w:line="360" w:lineRule="auto"/>
              <w:rPr>
                <w:rFonts w:ascii="宋体" w:hAnsi="宋体" w:cs="宋体"/>
                <w:color w:val="auto"/>
                <w:szCs w:val="22"/>
                <w:highlight w:val="none"/>
              </w:rPr>
            </w:pPr>
          </w:p>
        </w:tc>
        <w:tc>
          <w:tcPr>
            <w:tcW w:w="1168" w:type="dxa"/>
            <w:tcBorders>
              <w:top w:val="single" w:color="auto" w:sz="4" w:space="0"/>
              <w:left w:val="single" w:color="auto" w:sz="4" w:space="0"/>
              <w:bottom w:val="single" w:color="auto" w:sz="4" w:space="0"/>
              <w:right w:val="single" w:color="auto" w:sz="4" w:space="0"/>
            </w:tcBorders>
            <w:noWrap/>
            <w:vAlign w:val="top"/>
          </w:tcPr>
          <w:p w14:paraId="4F6AE484">
            <w:pPr>
              <w:spacing w:line="360" w:lineRule="auto"/>
              <w:rPr>
                <w:rFonts w:ascii="宋体" w:hAnsi="宋体" w:cs="宋体"/>
                <w:color w:val="auto"/>
                <w:szCs w:val="22"/>
                <w:highlight w:val="none"/>
              </w:rPr>
            </w:pPr>
          </w:p>
        </w:tc>
        <w:tc>
          <w:tcPr>
            <w:tcW w:w="746" w:type="dxa"/>
            <w:tcBorders>
              <w:top w:val="single" w:color="auto" w:sz="4" w:space="0"/>
              <w:left w:val="single" w:color="auto" w:sz="4" w:space="0"/>
              <w:bottom w:val="single" w:color="auto" w:sz="4" w:space="0"/>
              <w:right w:val="single" w:color="auto" w:sz="4" w:space="0"/>
            </w:tcBorders>
            <w:noWrap/>
            <w:vAlign w:val="center"/>
          </w:tcPr>
          <w:p w14:paraId="00CC175E">
            <w:pPr>
              <w:spacing w:line="360" w:lineRule="auto"/>
              <w:rPr>
                <w:rFonts w:ascii="宋体" w:hAnsi="宋体" w:cs="宋体"/>
                <w:color w:val="auto"/>
                <w:szCs w:val="22"/>
                <w:highlight w:val="none"/>
              </w:rPr>
            </w:pPr>
          </w:p>
        </w:tc>
      </w:tr>
      <w:tr w14:paraId="1C8A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19" w:type="dxa"/>
            <w:tcBorders>
              <w:top w:val="single" w:color="auto" w:sz="4" w:space="0"/>
              <w:left w:val="single" w:color="auto" w:sz="4" w:space="0"/>
              <w:bottom w:val="single" w:color="auto" w:sz="4" w:space="0"/>
              <w:right w:val="single" w:color="auto" w:sz="4" w:space="0"/>
            </w:tcBorders>
            <w:noWrap/>
            <w:vAlign w:val="center"/>
          </w:tcPr>
          <w:p w14:paraId="51398097">
            <w:pPr>
              <w:spacing w:line="360" w:lineRule="auto"/>
              <w:jc w:val="center"/>
              <w:rPr>
                <w:rFonts w:ascii="宋体" w:hAnsi="宋体" w:cs="宋体"/>
                <w:color w:val="auto"/>
                <w:szCs w:val="22"/>
                <w:highlight w:val="none"/>
              </w:rPr>
            </w:pPr>
            <w:r>
              <w:rPr>
                <w:rFonts w:hint="eastAsia" w:ascii="宋体" w:hAnsi="宋体" w:cs="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noWrap/>
            <w:vAlign w:val="center"/>
          </w:tcPr>
          <w:p w14:paraId="49F3DBA5">
            <w:pPr>
              <w:spacing w:line="360" w:lineRule="auto"/>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ign w:val="center"/>
          </w:tcPr>
          <w:p w14:paraId="014CF8E4">
            <w:pPr>
              <w:spacing w:line="360" w:lineRule="auto"/>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50560847">
            <w:pPr>
              <w:spacing w:line="360" w:lineRule="auto"/>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646509F7">
            <w:pPr>
              <w:spacing w:line="360" w:lineRule="auto"/>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ign w:val="center"/>
          </w:tcPr>
          <w:p w14:paraId="50CEEF95">
            <w:pPr>
              <w:spacing w:line="360" w:lineRule="auto"/>
              <w:rPr>
                <w:rFonts w:ascii="宋体" w:hAnsi="宋体" w:cs="宋体"/>
                <w:color w:val="auto"/>
                <w:szCs w:val="22"/>
                <w:highlight w:val="none"/>
              </w:rPr>
            </w:pPr>
          </w:p>
        </w:tc>
        <w:tc>
          <w:tcPr>
            <w:tcW w:w="1168" w:type="dxa"/>
            <w:tcBorders>
              <w:top w:val="single" w:color="auto" w:sz="4" w:space="0"/>
              <w:left w:val="single" w:color="auto" w:sz="4" w:space="0"/>
              <w:bottom w:val="single" w:color="auto" w:sz="4" w:space="0"/>
              <w:right w:val="single" w:color="auto" w:sz="4" w:space="0"/>
            </w:tcBorders>
            <w:noWrap/>
            <w:vAlign w:val="top"/>
          </w:tcPr>
          <w:p w14:paraId="44829593">
            <w:pPr>
              <w:spacing w:line="360" w:lineRule="auto"/>
              <w:rPr>
                <w:rFonts w:ascii="宋体" w:hAnsi="宋体" w:cs="宋体"/>
                <w:color w:val="auto"/>
                <w:szCs w:val="22"/>
                <w:highlight w:val="none"/>
              </w:rPr>
            </w:pPr>
          </w:p>
        </w:tc>
        <w:tc>
          <w:tcPr>
            <w:tcW w:w="746" w:type="dxa"/>
            <w:tcBorders>
              <w:top w:val="single" w:color="auto" w:sz="4" w:space="0"/>
              <w:left w:val="single" w:color="auto" w:sz="4" w:space="0"/>
              <w:bottom w:val="single" w:color="auto" w:sz="4" w:space="0"/>
              <w:right w:val="single" w:color="auto" w:sz="4" w:space="0"/>
            </w:tcBorders>
            <w:noWrap/>
            <w:vAlign w:val="center"/>
          </w:tcPr>
          <w:p w14:paraId="3CF6883E">
            <w:pPr>
              <w:spacing w:line="360" w:lineRule="auto"/>
              <w:rPr>
                <w:rFonts w:ascii="宋体" w:hAnsi="宋体" w:cs="宋体"/>
                <w:color w:val="auto"/>
                <w:szCs w:val="22"/>
                <w:highlight w:val="none"/>
              </w:rPr>
            </w:pPr>
          </w:p>
        </w:tc>
      </w:tr>
      <w:tr w14:paraId="5AC6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ign w:val="center"/>
          </w:tcPr>
          <w:p w14:paraId="603E11C8">
            <w:pPr>
              <w:spacing w:line="360" w:lineRule="auto"/>
              <w:rPr>
                <w:rFonts w:ascii="宋体" w:hAnsi="宋体" w:cs="宋体"/>
                <w:color w:val="auto"/>
                <w:szCs w:val="22"/>
                <w:highlight w:val="none"/>
              </w:rPr>
            </w:pPr>
            <w:r>
              <w:rPr>
                <w:rFonts w:hint="eastAsia" w:ascii="宋体" w:hAnsi="宋体" w:cs="宋体"/>
                <w:color w:val="auto"/>
                <w:szCs w:val="22"/>
                <w:highlight w:val="none"/>
              </w:rPr>
              <w:t>竞标总报价（包含税费等所有费用）：</w:t>
            </w:r>
            <w:r>
              <w:rPr>
                <w:rFonts w:hint="eastAsia" w:ascii="宋体" w:hAnsi="宋体" w:cs="宋体"/>
                <w:color w:val="auto"/>
                <w:szCs w:val="22"/>
                <w:highlight w:val="none"/>
                <w:u w:val="single"/>
              </w:rPr>
              <w:t>（大写）人民币       （小写）¥</w:t>
            </w:r>
          </w:p>
        </w:tc>
      </w:tr>
      <w:tr w14:paraId="0C4CC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ign w:val="center"/>
          </w:tcPr>
          <w:p w14:paraId="419D4B5A">
            <w:pPr>
              <w:spacing w:line="360" w:lineRule="auto"/>
              <w:rPr>
                <w:rFonts w:ascii="宋体" w:hAnsi="宋体" w:cs="宋体"/>
                <w:color w:val="auto"/>
                <w:szCs w:val="22"/>
                <w:highlight w:val="none"/>
              </w:rPr>
            </w:pPr>
            <w:r>
              <w:rPr>
                <w:rFonts w:hint="eastAsia" w:ascii="宋体" w:hAnsi="宋体" w:cs="宋体"/>
                <w:color w:val="auto"/>
                <w:szCs w:val="22"/>
                <w:highlight w:val="none"/>
              </w:rPr>
              <w:t>优惠及其它：</w:t>
            </w:r>
            <w:r>
              <w:rPr>
                <w:rFonts w:hint="eastAsia" w:ascii="宋体" w:hAnsi="宋体" w:cs="宋体"/>
                <w:i/>
                <w:iCs/>
                <w:color w:val="auto"/>
                <w:highlight w:val="none"/>
              </w:rPr>
              <w:t>（如没有填写无）</w:t>
            </w:r>
          </w:p>
        </w:tc>
      </w:tr>
    </w:tbl>
    <w:p w14:paraId="313A69B9">
      <w:pPr>
        <w:snapToGrid w:val="0"/>
        <w:spacing w:before="50" w:after="50"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注： </w:t>
      </w:r>
    </w:p>
    <w:p w14:paraId="00BFF558">
      <w:pPr>
        <w:snapToGrid w:val="0"/>
        <w:spacing w:before="50" w:after="50"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1、供应商需按本表格式填写，不得自行更改，也不得留空（</w:t>
      </w:r>
      <w:r>
        <w:rPr>
          <w:rFonts w:hint="eastAsia" w:ascii="宋体" w:hAnsi="宋体" w:cs="宋体"/>
          <w:color w:val="auto"/>
          <w:szCs w:val="21"/>
          <w:highlight w:val="none"/>
        </w:rPr>
        <w:t>备注除外</w:t>
      </w:r>
      <w:r>
        <w:rPr>
          <w:rFonts w:hint="eastAsia" w:ascii="宋体" w:hAnsi="宋体" w:cs="宋体"/>
          <w:color w:val="auto"/>
          <w:kern w:val="0"/>
          <w:szCs w:val="21"/>
          <w:highlight w:val="none"/>
          <w:lang w:val="zh-CN"/>
        </w:rPr>
        <w:t>）, 如有多分标，按分标分别提供响应报价表，</w:t>
      </w:r>
      <w:r>
        <w:rPr>
          <w:rFonts w:hint="eastAsia" w:ascii="宋体" w:hAnsi="宋体" w:cs="宋体"/>
          <w:b/>
          <w:color w:val="auto"/>
          <w:kern w:val="0"/>
          <w:szCs w:val="21"/>
          <w:highlight w:val="none"/>
          <w:lang w:val="zh-CN"/>
        </w:rPr>
        <w:t>否则其响应按无效响应处理。</w:t>
      </w:r>
    </w:p>
    <w:p w14:paraId="35AB3388">
      <w:pPr>
        <w:snapToGrid w:val="0"/>
        <w:spacing w:before="50" w:after="50" w:line="360" w:lineRule="auto"/>
        <w:ind w:firstLine="420" w:firstLineChars="200"/>
        <w:jc w:val="left"/>
        <w:rPr>
          <w:rFonts w:ascii="宋体" w:hAnsi="宋体" w:cs="宋体"/>
          <w:b/>
          <w:color w:val="auto"/>
          <w:kern w:val="0"/>
          <w:szCs w:val="21"/>
          <w:highlight w:val="none"/>
          <w:lang w:val="zh-CN"/>
        </w:rPr>
      </w:pPr>
      <w:r>
        <w:rPr>
          <w:rFonts w:hint="eastAsia" w:ascii="宋体" w:hAnsi="宋体" w:cs="宋体"/>
          <w:color w:val="auto"/>
          <w:kern w:val="0"/>
          <w:szCs w:val="21"/>
          <w:highlight w:val="none"/>
          <w:lang w:val="zh-CN"/>
        </w:rPr>
        <w:t>2、如为联合体响应的，“供应商名称”处必须列明联合体各方名称，并标注联合体牵头人名称，且盖章处须加盖联合体各方公章，</w:t>
      </w:r>
      <w:r>
        <w:rPr>
          <w:rFonts w:hint="eastAsia" w:ascii="宋体" w:hAnsi="宋体" w:cs="宋体"/>
          <w:b/>
          <w:color w:val="auto"/>
          <w:kern w:val="0"/>
          <w:szCs w:val="21"/>
          <w:highlight w:val="none"/>
          <w:lang w:val="zh-CN"/>
        </w:rPr>
        <w:t>否则其响应按无效响应处理。</w:t>
      </w:r>
    </w:p>
    <w:p w14:paraId="08CC3A47">
      <w:pPr>
        <w:snapToGrid w:val="0"/>
        <w:spacing w:before="50" w:after="50" w:line="360" w:lineRule="auto"/>
        <w:ind w:firstLine="420" w:firstLineChars="200"/>
        <w:jc w:val="left"/>
        <w:rPr>
          <w:rFonts w:ascii="宋体" w:hAnsi="宋体" w:cs="宋体"/>
          <w:b/>
          <w:color w:val="auto"/>
          <w:kern w:val="0"/>
          <w:szCs w:val="21"/>
          <w:highlight w:val="none"/>
          <w:lang w:val="zh-CN"/>
        </w:rPr>
      </w:pPr>
      <w:r>
        <w:rPr>
          <w:rFonts w:hint="eastAsia" w:ascii="宋体" w:hAnsi="宋体" w:cs="宋体"/>
          <w:color w:val="auto"/>
          <w:kern w:val="0"/>
          <w:szCs w:val="21"/>
          <w:highlight w:val="none"/>
          <w:lang w:val="zh-CN"/>
        </w:rPr>
        <w:t>3、</w:t>
      </w:r>
      <w:r>
        <w:rPr>
          <w:rFonts w:hint="eastAsia" w:ascii="宋体" w:hAnsi="宋体" w:cs="宋体"/>
          <w:color w:val="auto"/>
          <w:kern w:val="0"/>
          <w:szCs w:val="21"/>
          <w:highlight w:val="none"/>
        </w:rPr>
        <w:t>请</w:t>
      </w:r>
      <w:r>
        <w:rPr>
          <w:rFonts w:hint="eastAsia" w:ascii="宋体" w:hAnsi="宋体" w:cs="宋体"/>
          <w:color w:val="auto"/>
          <w:szCs w:val="21"/>
          <w:highlight w:val="none"/>
        </w:rPr>
        <w:t>根据所竞服务内容，逐条对应本项目竞争性磋商文件“第二章采购需求”中“服务要求”的内容详细填写相应的具体内容。</w:t>
      </w:r>
    </w:p>
    <w:p w14:paraId="5A13F334">
      <w:pPr>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4、特别提示：采购代理机构将对项目名称和项目编号，成交供应商名称、地址和成交金额，主要成交标的的名称、服务范围、服务要求、服务时间、服务标准等予以公示。</w:t>
      </w:r>
    </w:p>
    <w:p w14:paraId="073E6120">
      <w:pPr>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5、符合采购文件中列明的可享受中小企业扶持政策的供应商，请填写中小企业声明函。</w:t>
      </w:r>
    </w:p>
    <w:p w14:paraId="0C8D6B34">
      <w:pPr>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rPr>
        <w:t>6、</w:t>
      </w:r>
      <w:r>
        <w:rPr>
          <w:rFonts w:hint="eastAsia" w:ascii="宋体" w:hAnsi="宋体" w:cs="宋体"/>
          <w:color w:val="auto"/>
          <w:kern w:val="0"/>
          <w:szCs w:val="21"/>
          <w:highlight w:val="none"/>
          <w:lang w:val="zh-CN"/>
        </w:rPr>
        <w:t>供应商提供的中小企业声明函内容不实的，属于提供虚假材料谋取中标、成交，依照《中华人民共和国政府采购法》等国家有关规定追究相应责任。</w:t>
      </w:r>
    </w:p>
    <w:p w14:paraId="39FF73E5">
      <w:pPr>
        <w:autoSpaceDE w:val="0"/>
        <w:autoSpaceDN w:val="0"/>
        <w:spacing w:line="360" w:lineRule="auto"/>
        <w:ind w:left="4335" w:leftChars="1950" w:hanging="240" w:hangingChars="100"/>
        <w:rPr>
          <w:rFonts w:ascii="宋体" w:hAnsi="宋体" w:cs="宋体"/>
          <w:color w:val="auto"/>
          <w:kern w:val="0"/>
          <w:sz w:val="24"/>
          <w:highlight w:val="none"/>
        </w:rPr>
      </w:pPr>
    </w:p>
    <w:p w14:paraId="122063C3">
      <w:pPr>
        <w:pStyle w:val="2"/>
        <w:spacing w:line="360" w:lineRule="auto"/>
        <w:rPr>
          <w:rFonts w:ascii="宋体" w:hAnsi="宋体" w:cs="宋体"/>
          <w:color w:val="auto"/>
          <w:highlight w:val="none"/>
        </w:rPr>
      </w:pPr>
    </w:p>
    <w:p w14:paraId="7F6434A3">
      <w:pPr>
        <w:autoSpaceDE w:val="0"/>
        <w:autoSpaceDN w:val="0"/>
        <w:spacing w:line="360" w:lineRule="auto"/>
        <w:ind w:firstLine="4560" w:firstLineChars="19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r>
        <w:rPr>
          <w:rFonts w:hint="eastAsia" w:ascii="宋体" w:hAnsi="宋体" w:cs="宋体"/>
          <w:b/>
          <w:bCs/>
          <w:color w:val="auto"/>
          <w:sz w:val="24"/>
          <w:highlight w:val="none"/>
        </w:rPr>
        <w:t>或CA电子签章</w:t>
      </w:r>
      <w:r>
        <w:rPr>
          <w:rFonts w:hint="eastAsia" w:ascii="宋体" w:hAnsi="宋体" w:cs="宋体"/>
          <w:color w:val="auto"/>
          <w:kern w:val="0"/>
          <w:sz w:val="24"/>
          <w:highlight w:val="none"/>
        </w:rPr>
        <w:t>）：</w:t>
      </w:r>
    </w:p>
    <w:p w14:paraId="18576C64">
      <w:pPr>
        <w:spacing w:line="360" w:lineRule="auto"/>
        <w:ind w:firstLine="6360" w:firstLineChars="2650"/>
        <w:rPr>
          <w:rFonts w:ascii="宋体" w:hAnsi="宋体" w:cs="宋体"/>
          <w:color w:val="auto"/>
          <w:kern w:val="0"/>
          <w:sz w:val="24"/>
          <w:szCs w:val="21"/>
          <w:highlight w:val="none"/>
          <w:lang w:val="zh-CN"/>
        </w:rPr>
      </w:pPr>
      <w:r>
        <w:rPr>
          <w:rFonts w:hint="eastAsia" w:ascii="宋体" w:hAnsi="宋体" w:cs="宋体"/>
          <w:color w:val="auto"/>
          <w:kern w:val="0"/>
          <w:sz w:val="24"/>
          <w:szCs w:val="21"/>
          <w:highlight w:val="none"/>
          <w:lang w:val="zh-CN"/>
        </w:rPr>
        <w:t>日期：  年  月   日</w:t>
      </w:r>
    </w:p>
    <w:p w14:paraId="065D9238">
      <w:pPr>
        <w:spacing w:line="360" w:lineRule="auto"/>
        <w:ind w:firstLine="6360" w:firstLineChars="2650"/>
        <w:rPr>
          <w:rFonts w:ascii="宋体" w:hAnsi="宋体" w:cs="宋体"/>
          <w:color w:val="auto"/>
          <w:sz w:val="24"/>
          <w:highlight w:val="none"/>
          <w:lang w:val="zh-CN"/>
        </w:rPr>
        <w:sectPr>
          <w:pgSz w:w="11911" w:h="16838"/>
          <w:pgMar w:top="1134" w:right="1134" w:bottom="1134" w:left="1134" w:header="720" w:footer="720" w:gutter="0"/>
          <w:cols w:space="720" w:num="1"/>
        </w:sectPr>
      </w:pPr>
    </w:p>
    <w:p w14:paraId="438B97F0">
      <w:pPr>
        <w:pStyle w:val="5"/>
        <w:spacing w:line="360" w:lineRule="auto"/>
        <w:jc w:val="center"/>
        <w:rPr>
          <w:rFonts w:ascii="宋体" w:hAnsi="宋体" w:cs="宋体"/>
          <w:b w:val="0"/>
          <w:color w:val="auto"/>
          <w:highlight w:val="none"/>
        </w:rPr>
      </w:pPr>
      <w:bookmarkStart w:id="204" w:name="_Toc80886946"/>
      <w:bookmarkStart w:id="205" w:name="_Toc13936"/>
      <w:bookmarkStart w:id="206" w:name="_Toc80205942"/>
      <w:bookmarkStart w:id="207" w:name="_Toc10611"/>
      <w:bookmarkStart w:id="208" w:name="_Toc18482"/>
      <w:r>
        <w:rPr>
          <w:rFonts w:hint="eastAsia" w:ascii="宋体" w:hAnsi="宋体" w:cs="宋体"/>
          <w:color w:val="auto"/>
          <w:highlight w:val="none"/>
        </w:rPr>
        <w:t>第四节 其他文书、文件格式</w:t>
      </w:r>
      <w:bookmarkEnd w:id="204"/>
      <w:bookmarkEnd w:id="205"/>
      <w:bookmarkEnd w:id="206"/>
      <w:bookmarkEnd w:id="207"/>
      <w:bookmarkEnd w:id="208"/>
    </w:p>
    <w:p w14:paraId="271C8EAD">
      <w:pPr>
        <w:widowControl/>
        <w:shd w:val="clear" w:color="auto" w:fill="FFFFFF"/>
        <w:spacing w:line="360" w:lineRule="auto"/>
        <w:outlineLvl w:val="2"/>
        <w:rPr>
          <w:rFonts w:ascii="宋体" w:hAnsi="宋体" w:cs="宋体"/>
          <w:color w:val="auto"/>
          <w:kern w:val="0"/>
          <w:sz w:val="28"/>
          <w:szCs w:val="28"/>
          <w:highlight w:val="none"/>
        </w:rPr>
      </w:pPr>
      <w:bookmarkStart w:id="209" w:name="_Toc23859"/>
      <w:r>
        <w:rPr>
          <w:rFonts w:hint="eastAsia" w:ascii="宋体" w:hAnsi="宋体" w:cs="宋体"/>
          <w:color w:val="auto"/>
          <w:sz w:val="28"/>
          <w:szCs w:val="28"/>
          <w:highlight w:val="none"/>
        </w:rPr>
        <w:t>1.</w:t>
      </w:r>
      <w:r>
        <w:rPr>
          <w:rFonts w:hint="eastAsia" w:ascii="宋体" w:hAnsi="宋体" w:cs="宋体"/>
          <w:color w:val="auto"/>
          <w:kern w:val="0"/>
          <w:sz w:val="28"/>
          <w:szCs w:val="28"/>
          <w:highlight w:val="none"/>
        </w:rPr>
        <w:t>广西壮族自治区政府采购项目合同验收书的格式：</w:t>
      </w:r>
      <w:bookmarkEnd w:id="209"/>
    </w:p>
    <w:p w14:paraId="2236755B">
      <w:pPr>
        <w:ind w:firstLine="480" w:firstLineChars="200"/>
        <w:contextualSpacing/>
        <w:rPr>
          <w:rFonts w:ascii="宋体" w:hAnsi="宋体" w:cs="宋体"/>
          <w:color w:val="auto"/>
          <w:sz w:val="24"/>
          <w:highlight w:val="none"/>
        </w:rPr>
      </w:pPr>
    </w:p>
    <w:p w14:paraId="0E4B1CE8">
      <w:pPr>
        <w:widowControl/>
        <w:shd w:val="clear" w:color="auto" w:fill="FFFFFF"/>
        <w:jc w:val="center"/>
        <w:outlineLvl w:val="0"/>
        <w:rPr>
          <w:rFonts w:ascii="宋体" w:hAnsi="宋体" w:cs="宋体"/>
          <w:color w:val="auto"/>
          <w:kern w:val="0"/>
          <w:sz w:val="32"/>
          <w:szCs w:val="32"/>
          <w:highlight w:val="none"/>
        </w:rPr>
      </w:pPr>
      <w:bookmarkStart w:id="210" w:name="_Toc21308"/>
      <w:r>
        <w:rPr>
          <w:rFonts w:hint="eastAsia" w:ascii="宋体" w:hAnsi="宋体" w:cs="宋体"/>
          <w:b/>
          <w:bCs/>
          <w:color w:val="auto"/>
          <w:kern w:val="0"/>
          <w:sz w:val="32"/>
          <w:szCs w:val="32"/>
          <w:highlight w:val="none"/>
        </w:rPr>
        <w:t>广西壮族自治区政府采购项目合同验收书</w:t>
      </w:r>
      <w:bookmarkEnd w:id="210"/>
    </w:p>
    <w:p w14:paraId="789106E7">
      <w:pPr>
        <w:widowControl/>
        <w:shd w:val="clear" w:color="auto" w:fill="FFFFFF"/>
        <w:jc w:val="center"/>
        <w:rPr>
          <w:rFonts w:ascii="宋体" w:hAnsi="宋体" w:cs="宋体"/>
          <w:color w:val="auto"/>
          <w:kern w:val="0"/>
          <w:sz w:val="32"/>
          <w:szCs w:val="32"/>
          <w:highlight w:val="none"/>
        </w:rPr>
      </w:pPr>
    </w:p>
    <w:p w14:paraId="68A9E582">
      <w:pPr>
        <w:widowControl/>
        <w:shd w:val="clear" w:color="auto" w:fill="FFFFFF"/>
        <w:snapToGrid w:val="0"/>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政府采购项目成交供应商（</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提供的货物（或者工程、服务）进行了验收，验收情况如下：</w:t>
      </w:r>
    </w:p>
    <w:tbl>
      <w:tblPr>
        <w:tblStyle w:val="26"/>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5CC24820">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ign w:val="center"/>
          </w:tcPr>
          <w:p w14:paraId="168377D4">
            <w:pPr>
              <w:widowControl/>
              <w:snapToGrid w:val="0"/>
              <w:spacing w:before="100" w:beforeAutospacing="1" w:after="100" w:afterAutospacing="1"/>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noWrap/>
            <w:vAlign w:val="center"/>
          </w:tcPr>
          <w:p w14:paraId="0DAE5C70">
            <w:pPr>
              <w:widowControl/>
              <w:snapToGrid w:val="0"/>
              <w:spacing w:before="100" w:beforeAutospacing="1" w:after="100" w:afterAutospacing="1"/>
              <w:jc w:val="center"/>
              <w:rPr>
                <w:rFonts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14:paraId="14ACB9D7">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ign w:val="center"/>
          </w:tcPr>
          <w:p w14:paraId="6AFC139F">
            <w:pPr>
              <w:widowControl/>
              <w:snapToGrid w:val="0"/>
              <w:spacing w:before="100" w:beforeAutospacing="1" w:after="100" w:afterAutospacing="1"/>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noWrap/>
            <w:vAlign w:val="center"/>
          </w:tcPr>
          <w:p w14:paraId="343A28F6">
            <w:pPr>
              <w:widowControl/>
              <w:snapToGrid w:val="0"/>
              <w:spacing w:before="100" w:beforeAutospacing="1" w:after="100" w:afterAutospacing="1"/>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noWrap/>
            <w:vAlign w:val="center"/>
          </w:tcPr>
          <w:p w14:paraId="4042B56F">
            <w:pPr>
              <w:widowControl/>
              <w:snapToGrid w:val="0"/>
              <w:spacing w:before="100" w:beforeAutospacing="1" w:after="100" w:afterAutospacing="1"/>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ign w:val="center"/>
          </w:tcPr>
          <w:p w14:paraId="4DBD2497">
            <w:pPr>
              <w:widowControl/>
              <w:snapToGrid w:val="0"/>
              <w:spacing w:before="100" w:beforeAutospacing="1" w:after="100" w:afterAutospacing="1"/>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428" w:type="dxa"/>
            <w:tcBorders>
              <w:top w:val="nil"/>
              <w:left w:val="nil"/>
              <w:bottom w:val="single" w:color="auto" w:sz="8" w:space="0"/>
              <w:right w:val="single" w:color="auto" w:sz="8" w:space="0"/>
            </w:tcBorders>
            <w:noWrap/>
            <w:vAlign w:val="center"/>
          </w:tcPr>
          <w:p w14:paraId="55878823">
            <w:pPr>
              <w:widowControl/>
              <w:snapToGrid w:val="0"/>
              <w:spacing w:before="100" w:beforeAutospacing="1" w:after="100" w:afterAutospacing="1"/>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金额</w:t>
            </w:r>
          </w:p>
        </w:tc>
      </w:tr>
      <w:tr w14:paraId="3C95C124">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ign w:val="center"/>
          </w:tcPr>
          <w:p w14:paraId="5DEFCBDB">
            <w:pPr>
              <w:widowControl/>
              <w:spacing w:before="100" w:beforeAutospacing="1" w:after="100" w:afterAutospacing="1"/>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noWrap/>
            <w:vAlign w:val="center"/>
          </w:tcPr>
          <w:p w14:paraId="339549C5">
            <w:pPr>
              <w:widowControl/>
              <w:spacing w:before="100" w:beforeAutospacing="1" w:after="100" w:afterAutospacing="1"/>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ign w:val="center"/>
          </w:tcPr>
          <w:p w14:paraId="494273D0">
            <w:pPr>
              <w:widowControl/>
              <w:spacing w:before="100" w:beforeAutospacing="1" w:after="100" w:afterAutospacing="1"/>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ign w:val="center"/>
          </w:tcPr>
          <w:p w14:paraId="2DE10C0D">
            <w:pPr>
              <w:widowControl/>
              <w:spacing w:before="100" w:beforeAutospacing="1" w:after="100" w:afterAutospacing="1"/>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noWrap/>
            <w:vAlign w:val="center"/>
          </w:tcPr>
          <w:p w14:paraId="577E4CEE">
            <w:pPr>
              <w:widowControl/>
              <w:spacing w:before="100" w:beforeAutospacing="1" w:after="100" w:afterAutospacing="1"/>
              <w:jc w:val="center"/>
              <w:rPr>
                <w:rFonts w:ascii="宋体" w:hAnsi="宋体" w:cs="宋体"/>
                <w:color w:val="auto"/>
                <w:kern w:val="0"/>
                <w:szCs w:val="21"/>
                <w:highlight w:val="none"/>
              </w:rPr>
            </w:pPr>
          </w:p>
        </w:tc>
      </w:tr>
      <w:tr w14:paraId="53BA67FB">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ign w:val="center"/>
          </w:tcPr>
          <w:p w14:paraId="5250B562">
            <w:pPr>
              <w:widowControl/>
              <w:spacing w:before="100" w:beforeAutospacing="1" w:after="100" w:afterAutospacing="1"/>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noWrap/>
            <w:vAlign w:val="center"/>
          </w:tcPr>
          <w:p w14:paraId="5A67236D">
            <w:pPr>
              <w:widowControl/>
              <w:spacing w:before="100" w:beforeAutospacing="1" w:after="100" w:afterAutospacing="1"/>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ign w:val="center"/>
          </w:tcPr>
          <w:p w14:paraId="6149C8EF">
            <w:pPr>
              <w:widowControl/>
              <w:spacing w:before="100" w:beforeAutospacing="1" w:after="100" w:afterAutospacing="1"/>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ign w:val="center"/>
          </w:tcPr>
          <w:p w14:paraId="7DE4655E">
            <w:pPr>
              <w:widowControl/>
              <w:spacing w:before="100" w:beforeAutospacing="1" w:after="100" w:afterAutospacing="1"/>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noWrap/>
            <w:vAlign w:val="center"/>
          </w:tcPr>
          <w:p w14:paraId="1F753EF0">
            <w:pPr>
              <w:widowControl/>
              <w:spacing w:before="100" w:beforeAutospacing="1" w:after="100" w:afterAutospacing="1"/>
              <w:jc w:val="center"/>
              <w:rPr>
                <w:rFonts w:ascii="宋体" w:hAnsi="宋体" w:cs="宋体"/>
                <w:color w:val="auto"/>
                <w:kern w:val="0"/>
                <w:szCs w:val="21"/>
                <w:highlight w:val="none"/>
              </w:rPr>
            </w:pPr>
          </w:p>
        </w:tc>
      </w:tr>
      <w:tr w14:paraId="471A5B4F">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ign w:val="center"/>
          </w:tcPr>
          <w:p w14:paraId="60838BDC">
            <w:pPr>
              <w:widowControl/>
              <w:spacing w:before="100" w:beforeAutospacing="1" w:after="100" w:afterAutospacing="1"/>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noWrap/>
            <w:vAlign w:val="center"/>
          </w:tcPr>
          <w:p w14:paraId="135C2289">
            <w:pPr>
              <w:widowControl/>
              <w:spacing w:before="100" w:beforeAutospacing="1" w:after="100" w:afterAutospacing="1"/>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ign w:val="center"/>
          </w:tcPr>
          <w:p w14:paraId="38CB2D64">
            <w:pPr>
              <w:widowControl/>
              <w:spacing w:before="100" w:beforeAutospacing="1" w:after="100" w:afterAutospacing="1"/>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ign w:val="center"/>
          </w:tcPr>
          <w:p w14:paraId="55EB57CB">
            <w:pPr>
              <w:widowControl/>
              <w:spacing w:before="100" w:beforeAutospacing="1" w:after="100" w:afterAutospacing="1"/>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noWrap/>
            <w:vAlign w:val="center"/>
          </w:tcPr>
          <w:p w14:paraId="55F43222">
            <w:pPr>
              <w:widowControl/>
              <w:spacing w:before="100" w:beforeAutospacing="1" w:after="100" w:afterAutospacing="1"/>
              <w:jc w:val="center"/>
              <w:rPr>
                <w:rFonts w:ascii="宋体" w:hAnsi="宋体" w:cs="宋体"/>
                <w:color w:val="auto"/>
                <w:kern w:val="0"/>
                <w:szCs w:val="21"/>
                <w:highlight w:val="none"/>
              </w:rPr>
            </w:pPr>
          </w:p>
        </w:tc>
      </w:tr>
      <w:tr w14:paraId="0A9EA22F">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ign w:val="center"/>
          </w:tcPr>
          <w:p w14:paraId="3D439039">
            <w:pPr>
              <w:widowControl/>
              <w:snapToGrid w:val="0"/>
              <w:spacing w:before="100" w:beforeAutospacing="1" w:after="100" w:afterAutospacing="1"/>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ign w:val="center"/>
          </w:tcPr>
          <w:p w14:paraId="65604A64">
            <w:pPr>
              <w:widowControl/>
              <w:spacing w:before="100" w:beforeAutospacing="1" w:after="100" w:afterAutospacing="1"/>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noWrap/>
            <w:vAlign w:val="center"/>
          </w:tcPr>
          <w:p w14:paraId="33589697">
            <w:pPr>
              <w:widowControl/>
              <w:spacing w:before="100" w:beforeAutospacing="1" w:after="100" w:afterAutospacing="1"/>
              <w:jc w:val="center"/>
              <w:rPr>
                <w:rFonts w:ascii="宋体" w:hAnsi="宋体" w:cs="宋体"/>
                <w:color w:val="auto"/>
                <w:kern w:val="0"/>
                <w:szCs w:val="21"/>
                <w:highlight w:val="none"/>
              </w:rPr>
            </w:pPr>
          </w:p>
        </w:tc>
      </w:tr>
      <w:tr w14:paraId="4CA739E2">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ign w:val="center"/>
          </w:tcPr>
          <w:p w14:paraId="16B98BF7">
            <w:pPr>
              <w:widowControl/>
              <w:snapToGrid w:val="0"/>
              <w:spacing w:before="100" w:beforeAutospacing="1" w:after="100" w:afterAutospacing="1"/>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14:paraId="2279D431">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ign w:val="center"/>
          </w:tcPr>
          <w:p w14:paraId="7C0E9B30">
            <w:pPr>
              <w:widowControl/>
              <w:snapToGrid w:val="0"/>
              <w:spacing w:before="100" w:beforeAutospacing="1" w:after="100" w:afterAutospacing="1"/>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noWrap/>
            <w:vAlign w:val="center"/>
          </w:tcPr>
          <w:p w14:paraId="7B9F2013">
            <w:pPr>
              <w:widowControl/>
              <w:spacing w:before="100" w:beforeAutospacing="1" w:after="100" w:afterAutospacing="1"/>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ign w:val="center"/>
          </w:tcPr>
          <w:p w14:paraId="3DB917FC">
            <w:pPr>
              <w:widowControl/>
              <w:snapToGrid w:val="0"/>
              <w:spacing w:before="100" w:beforeAutospacing="1" w:after="100" w:afterAutospacing="1"/>
              <w:ind w:firstLine="46"/>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noWrap/>
            <w:vAlign w:val="center"/>
          </w:tcPr>
          <w:p w14:paraId="4B1EDD23">
            <w:pPr>
              <w:widowControl/>
              <w:spacing w:before="100" w:beforeAutospacing="1" w:after="100" w:afterAutospacing="1"/>
              <w:jc w:val="center"/>
              <w:rPr>
                <w:rFonts w:ascii="宋体" w:hAnsi="宋体" w:cs="宋体"/>
                <w:color w:val="auto"/>
                <w:kern w:val="0"/>
                <w:szCs w:val="21"/>
                <w:highlight w:val="none"/>
              </w:rPr>
            </w:pPr>
          </w:p>
        </w:tc>
      </w:tr>
      <w:tr w14:paraId="7A07B41F">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7C21F15">
            <w:pPr>
              <w:widowControl/>
              <w:snapToGrid w:val="0"/>
              <w:spacing w:before="100" w:beforeAutospacing="1" w:after="100" w:afterAutospacing="1"/>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noWrap/>
            <w:tcMar>
              <w:top w:w="0" w:type="dxa"/>
              <w:left w:w="108" w:type="dxa"/>
              <w:bottom w:w="0" w:type="dxa"/>
              <w:right w:w="108" w:type="dxa"/>
            </w:tcMar>
            <w:vAlign w:val="center"/>
          </w:tcPr>
          <w:p w14:paraId="0F7BFC81">
            <w:pPr>
              <w:widowControl/>
              <w:snapToGrid w:val="0"/>
              <w:spacing w:before="100" w:beforeAutospacing="1" w:after="100" w:afterAutospacing="1"/>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0F2170B4">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D2C37B6">
            <w:pPr>
              <w:widowControl/>
              <w:spacing w:before="100" w:beforeAutospacing="1" w:after="100" w:afterAutospacing="1"/>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noWrap/>
            <w:vAlign w:val="center"/>
          </w:tcPr>
          <w:p w14:paraId="72B1BE92">
            <w:pPr>
              <w:widowControl/>
              <w:spacing w:before="100" w:beforeAutospacing="1" w:after="100" w:afterAutospacing="1"/>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14:paraId="61EAB7A3">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ign w:val="center"/>
          </w:tcPr>
          <w:p w14:paraId="53DF7107">
            <w:pPr>
              <w:widowControl/>
              <w:jc w:val="left"/>
              <w:rPr>
                <w:rFonts w:ascii="宋体" w:hAnsi="宋体" w:cs="宋体"/>
                <w:color w:val="auto"/>
                <w:kern w:val="0"/>
                <w:szCs w:val="21"/>
                <w:highlight w:val="none"/>
              </w:rPr>
            </w:pPr>
          </w:p>
        </w:tc>
        <w:tc>
          <w:tcPr>
            <w:tcW w:w="6816" w:type="dxa"/>
            <w:gridSpan w:val="7"/>
            <w:tcBorders>
              <w:top w:val="nil"/>
              <w:left w:val="nil"/>
              <w:bottom w:val="single" w:color="auto" w:sz="8" w:space="0"/>
              <w:right w:val="single" w:color="auto" w:sz="8" w:space="0"/>
            </w:tcBorders>
            <w:noWrap/>
            <w:vAlign w:val="center"/>
          </w:tcPr>
          <w:p w14:paraId="418907B4">
            <w:pPr>
              <w:widowControl/>
              <w:spacing w:before="100" w:beforeAutospacing="1" w:after="100" w:afterAutospacing="1"/>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095BE44A">
            <w:pPr>
              <w:widowControl/>
              <w:spacing w:before="100" w:beforeAutospacing="1" w:after="100" w:afterAutospacing="1"/>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签字：</w:t>
            </w:r>
          </w:p>
        </w:tc>
      </w:tr>
      <w:tr w14:paraId="09F0EDFE">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AB57304">
            <w:pPr>
              <w:widowControl/>
              <w:spacing w:before="100" w:beforeAutospacing="1" w:after="100" w:afterAutospacing="1"/>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005254F4">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E4D843D">
            <w:pPr>
              <w:widowControl/>
              <w:spacing w:before="100" w:beforeAutospacing="1" w:after="100" w:afterAutospacing="1"/>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监督人员或者其他相关人员签字：</w:t>
            </w:r>
          </w:p>
          <w:p w14:paraId="48C78649">
            <w:pPr>
              <w:widowControl/>
              <w:spacing w:before="100" w:beforeAutospacing="1" w:after="100" w:afterAutospacing="1"/>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或者受邀机构的意见（盖章）：</w:t>
            </w:r>
          </w:p>
        </w:tc>
      </w:tr>
      <w:tr w14:paraId="0AF69EFD">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single" w:color="auto" w:sz="4" w:space="0"/>
            </w:tcBorders>
            <w:noWrap/>
            <w:tcMar>
              <w:top w:w="0" w:type="dxa"/>
              <w:left w:w="108" w:type="dxa"/>
              <w:bottom w:w="0" w:type="dxa"/>
              <w:right w:w="108" w:type="dxa"/>
            </w:tcMar>
            <w:vAlign w:val="center"/>
          </w:tcPr>
          <w:p w14:paraId="7212F987">
            <w:pPr>
              <w:widowControl/>
              <w:spacing w:before="100" w:beforeAutospacing="1" w:after="100" w:afterAutospacing="1"/>
              <w:jc w:val="left"/>
              <w:rPr>
                <w:rFonts w:ascii="宋体" w:hAnsi="宋体" w:cs="宋体"/>
                <w:color w:val="auto"/>
                <w:kern w:val="0"/>
                <w:szCs w:val="21"/>
                <w:highlight w:val="none"/>
              </w:rPr>
            </w:pPr>
            <w:r>
              <w:rPr>
                <w:rFonts w:hint="eastAsia" w:ascii="宋体" w:hAnsi="宋体" w:cs="宋体"/>
                <w:color w:val="auto"/>
                <w:kern w:val="0"/>
                <w:szCs w:val="21"/>
                <w:highlight w:val="none"/>
              </w:rPr>
              <w:t>成交供应商负责人签字或者盖章：</w:t>
            </w:r>
          </w:p>
          <w:p w14:paraId="1E2955EB">
            <w:pPr>
              <w:widowControl/>
              <w:spacing w:before="100" w:beforeAutospacing="1" w:after="100" w:afterAutospacing="1"/>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联系电话：                </w:t>
            </w:r>
          </w:p>
          <w:p w14:paraId="2B5292AD">
            <w:pPr>
              <w:widowControl/>
              <w:spacing w:before="100" w:beforeAutospacing="1" w:after="100" w:afterAutospacing="1"/>
              <w:ind w:firstLine="2730" w:firstLineChars="1300"/>
              <w:jc w:val="left"/>
              <w:rPr>
                <w:rFonts w:ascii="宋体" w:hAnsi="宋体" w:cs="宋体"/>
                <w:color w:val="auto"/>
                <w:kern w:val="0"/>
                <w:szCs w:val="21"/>
                <w:highlight w:val="none"/>
              </w:rPr>
            </w:pPr>
            <w:r>
              <w:rPr>
                <w:rFonts w:hint="eastAsia" w:ascii="宋体" w:hAnsi="宋体" w:cs="宋体"/>
                <w:color w:val="auto"/>
                <w:kern w:val="0"/>
                <w:szCs w:val="21"/>
                <w:highlight w:val="none"/>
              </w:rPr>
              <w:t>年  月  日</w:t>
            </w:r>
          </w:p>
        </w:tc>
        <w:tc>
          <w:tcPr>
            <w:tcW w:w="4293" w:type="dxa"/>
            <w:gridSpan w:val="4"/>
            <w:tcBorders>
              <w:top w:val="nil"/>
              <w:left w:val="single" w:color="auto" w:sz="4" w:space="0"/>
              <w:bottom w:val="single" w:color="auto" w:sz="8" w:space="0"/>
              <w:right w:val="single" w:color="auto" w:sz="8" w:space="0"/>
            </w:tcBorders>
            <w:noWrap/>
            <w:vAlign w:val="center"/>
          </w:tcPr>
          <w:p w14:paraId="5140A3A2">
            <w:pPr>
              <w:widowControl/>
              <w:spacing w:before="100" w:beforeAutospacing="1" w:after="100" w:afterAutospacing="1"/>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采购人或者受托机构的意见（盖章）：</w:t>
            </w:r>
          </w:p>
          <w:p w14:paraId="27161F00">
            <w:pPr>
              <w:widowControl/>
              <w:spacing w:before="100" w:beforeAutospacing="1" w:after="100" w:afterAutospacing="1"/>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联系电话：               </w:t>
            </w:r>
          </w:p>
          <w:p w14:paraId="5AB0AA62">
            <w:pPr>
              <w:widowControl/>
              <w:spacing w:before="100" w:beforeAutospacing="1" w:after="100" w:afterAutospacing="1"/>
              <w:ind w:firstLine="2310" w:firstLineChars="11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tc>
      </w:tr>
    </w:tbl>
    <w:p w14:paraId="0E1E7380">
      <w:pPr>
        <w:pStyle w:val="2"/>
        <w:spacing w:line="360" w:lineRule="auto"/>
        <w:ind w:left="1" w:firstLine="2" w:firstLineChars="1"/>
        <w:rPr>
          <w:rFonts w:ascii="宋体" w:hAnsi="宋体" w:cs="宋体"/>
          <w:color w:val="auto"/>
          <w:sz w:val="24"/>
          <w:highlight w:val="none"/>
        </w:rPr>
      </w:pPr>
      <w:r>
        <w:rPr>
          <w:rFonts w:hint="eastAsia" w:ascii="宋体" w:hAnsi="宋体" w:cs="宋体"/>
          <w:color w:val="auto"/>
          <w:highlight w:val="none"/>
        </w:rPr>
        <w:br w:type="page"/>
      </w:r>
    </w:p>
    <w:p w14:paraId="11E0437A">
      <w:pPr>
        <w:spacing w:line="360" w:lineRule="auto"/>
        <w:jc w:val="center"/>
        <w:rPr>
          <w:rFonts w:ascii="宋体" w:hAnsi="宋体" w:cs="宋体"/>
          <w:color w:val="auto"/>
          <w:sz w:val="24"/>
          <w:highlight w:val="none"/>
        </w:rPr>
      </w:pPr>
    </w:p>
    <w:p w14:paraId="6EC245B3">
      <w:pPr>
        <w:spacing w:line="360" w:lineRule="auto"/>
        <w:jc w:val="center"/>
        <w:rPr>
          <w:rFonts w:ascii="宋体" w:hAnsi="宋体" w:cs="宋体"/>
          <w:color w:val="auto"/>
          <w:sz w:val="24"/>
          <w:highlight w:val="none"/>
        </w:rPr>
      </w:pPr>
    </w:p>
    <w:p w14:paraId="0901500A">
      <w:pPr>
        <w:spacing w:line="360" w:lineRule="auto"/>
        <w:jc w:val="center"/>
        <w:rPr>
          <w:rFonts w:ascii="宋体" w:hAnsi="宋体" w:cs="宋体"/>
          <w:color w:val="auto"/>
          <w:sz w:val="24"/>
          <w:highlight w:val="none"/>
        </w:rPr>
      </w:pPr>
    </w:p>
    <w:p w14:paraId="319F46A4">
      <w:pPr>
        <w:spacing w:line="360" w:lineRule="auto"/>
        <w:jc w:val="center"/>
        <w:rPr>
          <w:rFonts w:ascii="宋体" w:hAnsi="宋体" w:cs="宋体"/>
          <w:color w:val="auto"/>
          <w:sz w:val="24"/>
          <w:highlight w:val="none"/>
        </w:rPr>
      </w:pPr>
    </w:p>
    <w:p w14:paraId="301C95BD">
      <w:pPr>
        <w:spacing w:line="360" w:lineRule="auto"/>
        <w:jc w:val="center"/>
        <w:rPr>
          <w:rFonts w:ascii="宋体" w:hAnsi="宋体" w:cs="宋体"/>
          <w:color w:val="auto"/>
          <w:sz w:val="24"/>
          <w:highlight w:val="none"/>
        </w:rPr>
      </w:pPr>
    </w:p>
    <w:p w14:paraId="7074B6CF">
      <w:pPr>
        <w:spacing w:line="360" w:lineRule="auto"/>
        <w:jc w:val="center"/>
        <w:rPr>
          <w:rFonts w:ascii="宋体" w:hAnsi="宋体" w:cs="宋体"/>
          <w:color w:val="auto"/>
          <w:sz w:val="24"/>
          <w:highlight w:val="none"/>
        </w:rPr>
      </w:pPr>
    </w:p>
    <w:p w14:paraId="25CCDF8F">
      <w:pPr>
        <w:spacing w:line="360" w:lineRule="auto"/>
        <w:jc w:val="center"/>
        <w:rPr>
          <w:rFonts w:ascii="宋体" w:hAnsi="宋体" w:cs="宋体"/>
          <w:color w:val="auto"/>
          <w:sz w:val="24"/>
          <w:highlight w:val="none"/>
        </w:rPr>
      </w:pPr>
    </w:p>
    <w:p w14:paraId="08E71EA1">
      <w:pPr>
        <w:pStyle w:val="4"/>
        <w:spacing w:line="360" w:lineRule="auto"/>
        <w:jc w:val="center"/>
        <w:rPr>
          <w:rFonts w:ascii="宋体" w:hAnsi="宋体" w:cs="宋体"/>
          <w:b w:val="0"/>
          <w:bCs w:val="0"/>
          <w:color w:val="auto"/>
          <w:highlight w:val="none"/>
        </w:rPr>
      </w:pPr>
      <w:bookmarkStart w:id="211" w:name="_Toc9343"/>
      <w:bookmarkStart w:id="212" w:name="_Toc15154"/>
      <w:bookmarkStart w:id="213" w:name="_Toc15161"/>
      <w:bookmarkStart w:id="214" w:name="_Toc18676"/>
      <w:bookmarkStart w:id="215" w:name="_Toc4005"/>
      <w:bookmarkStart w:id="216" w:name="_Toc20818"/>
      <w:bookmarkStart w:id="217" w:name="_Toc80886947"/>
      <w:bookmarkStart w:id="218" w:name="_Toc24786"/>
      <w:bookmarkStart w:id="219" w:name="_Toc12748"/>
      <w:r>
        <w:rPr>
          <w:rFonts w:hint="eastAsia" w:ascii="宋体" w:hAnsi="宋体" w:cs="宋体"/>
          <w:b w:val="0"/>
          <w:bCs w:val="0"/>
          <w:color w:val="auto"/>
          <w:highlight w:val="none"/>
        </w:rPr>
        <w:t>第六章  合同文本</w:t>
      </w:r>
      <w:bookmarkEnd w:id="211"/>
      <w:bookmarkEnd w:id="212"/>
      <w:bookmarkEnd w:id="213"/>
      <w:bookmarkEnd w:id="214"/>
      <w:bookmarkEnd w:id="215"/>
      <w:bookmarkEnd w:id="216"/>
      <w:bookmarkEnd w:id="217"/>
      <w:bookmarkEnd w:id="218"/>
    </w:p>
    <w:p w14:paraId="479AFC58">
      <w:pPr>
        <w:snapToGrid w:val="0"/>
        <w:spacing w:line="360" w:lineRule="auto"/>
        <w:rPr>
          <w:rFonts w:ascii="宋体" w:hAnsi="宋体" w:cs="宋体"/>
          <w:b/>
          <w:color w:val="auto"/>
          <w:sz w:val="32"/>
          <w:szCs w:val="32"/>
          <w:highlight w:val="none"/>
        </w:rPr>
      </w:pPr>
      <w:r>
        <w:rPr>
          <w:rFonts w:hint="eastAsia" w:ascii="宋体" w:hAnsi="宋体" w:cs="宋体"/>
          <w:b/>
          <w:bCs/>
          <w:color w:val="auto"/>
          <w:highlight w:val="none"/>
        </w:rPr>
        <w:br w:type="page"/>
      </w:r>
      <w:bookmarkEnd w:id="219"/>
    </w:p>
    <w:p w14:paraId="502CB1D0">
      <w:pPr>
        <w:snapToGrid w:val="0"/>
        <w:spacing w:line="360" w:lineRule="auto"/>
        <w:jc w:val="center"/>
        <w:rPr>
          <w:rFonts w:ascii="宋体" w:hAnsi="宋体" w:cs="宋体"/>
          <w:b/>
          <w:bCs/>
          <w:color w:val="auto"/>
          <w:sz w:val="32"/>
          <w:szCs w:val="32"/>
          <w:highlight w:val="none"/>
        </w:rPr>
      </w:pPr>
    </w:p>
    <w:p w14:paraId="23A3D0D7">
      <w:pPr>
        <w:snapToGrid w:val="0"/>
        <w:spacing w:line="360" w:lineRule="auto"/>
        <w:jc w:val="center"/>
        <w:outlineLvl w:val="1"/>
        <w:rPr>
          <w:rFonts w:ascii="宋体" w:hAnsi="宋体" w:cs="宋体"/>
          <w:color w:val="auto"/>
          <w:highlight w:val="none"/>
        </w:rPr>
      </w:pPr>
      <w:bookmarkStart w:id="220" w:name="_Toc28336"/>
      <w:r>
        <w:rPr>
          <w:rFonts w:hint="eastAsia" w:ascii="宋体" w:hAnsi="宋体" w:cs="宋体"/>
          <w:b/>
          <w:bCs/>
          <w:color w:val="auto"/>
          <w:sz w:val="32"/>
          <w:szCs w:val="32"/>
          <w:highlight w:val="none"/>
        </w:rPr>
        <w:t>《广西壮族自治区政府采购合同》</w:t>
      </w:r>
      <w:r>
        <w:rPr>
          <w:rFonts w:hint="eastAsia" w:ascii="宋体" w:hAnsi="宋体" w:cs="宋体"/>
          <w:b/>
          <w:color w:val="auto"/>
          <w:sz w:val="32"/>
          <w:szCs w:val="32"/>
          <w:highlight w:val="none"/>
        </w:rPr>
        <w:t>文本</w:t>
      </w:r>
      <w:bookmarkEnd w:id="220"/>
    </w:p>
    <w:p w14:paraId="252CB81B">
      <w:pPr>
        <w:spacing w:line="360" w:lineRule="auto"/>
        <w:rPr>
          <w:rFonts w:ascii="宋体" w:hAnsi="宋体" w:cs="宋体"/>
          <w:b/>
          <w:color w:val="auto"/>
          <w:sz w:val="32"/>
          <w:szCs w:val="32"/>
          <w:highlight w:val="none"/>
        </w:rPr>
      </w:pPr>
    </w:p>
    <w:p w14:paraId="3E30B5A1">
      <w:pPr>
        <w:spacing w:line="360" w:lineRule="auto"/>
        <w:ind w:right="800" w:firstLine="6090" w:firstLineChars="2900"/>
        <w:rPr>
          <w:rFonts w:ascii="宋体" w:hAnsi="宋体" w:cs="宋体"/>
          <w:color w:val="auto"/>
          <w:szCs w:val="21"/>
          <w:highlight w:val="none"/>
          <w:u w:val="single"/>
        </w:rPr>
      </w:pPr>
      <w:r>
        <w:rPr>
          <w:rFonts w:hint="eastAsia" w:ascii="宋体" w:hAnsi="宋体" w:cs="宋体"/>
          <w:bCs/>
          <w:color w:val="auto"/>
          <w:szCs w:val="21"/>
          <w:highlight w:val="none"/>
        </w:rPr>
        <w:t>合同编号：</w:t>
      </w:r>
    </w:p>
    <w:p w14:paraId="64C273C9">
      <w:pPr>
        <w:spacing w:line="360" w:lineRule="auto"/>
        <w:ind w:right="800" w:firstLine="6090" w:firstLineChars="2900"/>
        <w:rPr>
          <w:rFonts w:ascii="宋体" w:hAnsi="宋体" w:cs="宋体"/>
          <w:color w:val="auto"/>
          <w:szCs w:val="21"/>
          <w:highlight w:val="none"/>
        </w:rPr>
      </w:pPr>
      <w:r>
        <w:rPr>
          <w:rFonts w:hint="eastAsia" w:ascii="宋体" w:hAnsi="宋体" w:cs="宋体"/>
          <w:color w:val="auto"/>
          <w:szCs w:val="21"/>
          <w:highlight w:val="none"/>
        </w:rPr>
        <w:t>采购计划号：</w:t>
      </w:r>
    </w:p>
    <w:p w14:paraId="4859F8D9">
      <w:pPr>
        <w:spacing w:line="360" w:lineRule="auto"/>
        <w:rPr>
          <w:rFonts w:ascii="宋体" w:hAnsi="宋体" w:cs="宋体"/>
          <w:color w:val="auto"/>
          <w:szCs w:val="21"/>
          <w:highlight w:val="none"/>
        </w:rPr>
      </w:pPr>
      <w:r>
        <w:rPr>
          <w:rFonts w:hint="eastAsia" w:ascii="宋体" w:hAnsi="宋体" w:cs="宋体"/>
          <w:color w:val="auto"/>
          <w:szCs w:val="21"/>
          <w:highlight w:val="none"/>
        </w:rPr>
        <w:t>采购人（甲方）：</w:t>
      </w:r>
    </w:p>
    <w:p w14:paraId="773CF161">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成交供应商（乙方）：</w:t>
      </w:r>
    </w:p>
    <w:p w14:paraId="61C51816">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p>
    <w:p w14:paraId="7932D394">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项目编号：</w:t>
      </w:r>
    </w:p>
    <w:p w14:paraId="3C5B1967">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签订地点：签订时间：</w:t>
      </w:r>
    </w:p>
    <w:p w14:paraId="42EDACBE">
      <w:pPr>
        <w:spacing w:line="360" w:lineRule="auto"/>
        <w:rPr>
          <w:rFonts w:ascii="宋体" w:hAnsi="宋体" w:cs="宋体"/>
          <w:color w:val="auto"/>
          <w:szCs w:val="21"/>
          <w:highlight w:val="none"/>
          <w:u w:val="single"/>
        </w:rPr>
      </w:pPr>
    </w:p>
    <w:p w14:paraId="218FDCD3">
      <w:pPr>
        <w:spacing w:line="360" w:lineRule="auto"/>
        <w:ind w:firstLine="420" w:firstLineChars="200"/>
        <w:rPr>
          <w:rFonts w:ascii="宋体" w:hAnsi="宋体" w:cs="宋体"/>
          <w:color w:val="auto"/>
          <w:szCs w:val="21"/>
          <w:highlight w:val="none"/>
        </w:rPr>
      </w:pPr>
    </w:p>
    <w:p w14:paraId="00C14C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根据《中华人民共和国政府采购法》、《中华人民共和国民法典》等法律、法规规定，按照竞争性磋商文件规定条款和乙方响应文件及其承诺，甲乙双方签订本合同。</w:t>
      </w:r>
    </w:p>
    <w:p w14:paraId="32E4D1F6">
      <w:pPr>
        <w:spacing w:line="360" w:lineRule="auto"/>
        <w:ind w:firstLine="422" w:firstLineChars="200"/>
        <w:outlineLvl w:val="1"/>
        <w:rPr>
          <w:rFonts w:ascii="宋体" w:hAnsi="宋体" w:cs="宋体"/>
          <w:b/>
          <w:color w:val="auto"/>
          <w:szCs w:val="21"/>
          <w:highlight w:val="none"/>
        </w:rPr>
      </w:pPr>
      <w:bookmarkStart w:id="221" w:name="_Toc26409"/>
      <w:r>
        <w:rPr>
          <w:rFonts w:hint="eastAsia" w:ascii="宋体" w:hAnsi="宋体" w:cs="宋体"/>
          <w:b/>
          <w:color w:val="auto"/>
          <w:szCs w:val="21"/>
          <w:highlight w:val="none"/>
        </w:rPr>
        <w:t>第一条　合同标的</w:t>
      </w:r>
      <w:bookmarkEnd w:id="221"/>
    </w:p>
    <w:p w14:paraId="5419F7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1、合同总金额：</w:t>
      </w:r>
      <w:r>
        <w:rPr>
          <w:rFonts w:hint="eastAsia" w:ascii="宋体" w:hAnsi="宋体" w:cs="宋体"/>
          <w:color w:val="auto"/>
          <w:szCs w:val="21"/>
          <w:highlight w:val="none"/>
          <w:u w:val="single"/>
        </w:rPr>
        <w:t>；</w:t>
      </w:r>
    </w:p>
    <w:p w14:paraId="417D8EEB">
      <w:pPr>
        <w:spacing w:line="360" w:lineRule="auto"/>
        <w:ind w:firstLine="420" w:firstLineChars="200"/>
        <w:outlineLvl w:val="2"/>
        <w:rPr>
          <w:rFonts w:ascii="宋体" w:hAnsi="宋体" w:cs="宋体"/>
          <w:color w:val="auto"/>
          <w:szCs w:val="21"/>
          <w:highlight w:val="none"/>
        </w:rPr>
      </w:pPr>
      <w:bookmarkStart w:id="222" w:name="_Toc1461"/>
      <w:r>
        <w:rPr>
          <w:rFonts w:hint="eastAsia" w:ascii="宋体" w:hAnsi="宋体" w:cs="宋体"/>
          <w:color w:val="auto"/>
          <w:szCs w:val="21"/>
          <w:highlight w:val="none"/>
        </w:rPr>
        <w:t>2、服务内容一览表（详见附件中的响应报价表）</w:t>
      </w:r>
      <w:bookmarkEnd w:id="222"/>
    </w:p>
    <w:p w14:paraId="2C75DC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3、合同总金额包含：①服务的价格；②必要的保险费用和各项税金；③</w:t>
      </w:r>
      <w:r>
        <w:rPr>
          <w:rFonts w:hint="eastAsia" w:ascii="宋体" w:hAnsi="宋体" w:cs="宋体"/>
          <w:color w:val="auto"/>
          <w:highlight w:val="none"/>
        </w:rPr>
        <w:t>服务期内的随配附件、备品备件、工具、货物运抵指定交货地点的各种费用和售后服务、</w:t>
      </w:r>
      <w:r>
        <w:rPr>
          <w:rFonts w:hint="eastAsia" w:ascii="宋体" w:hAnsi="宋体" w:cs="宋体"/>
          <w:color w:val="auto"/>
          <w:highlight w:val="none"/>
          <w:lang w:val="en-US" w:eastAsia="zh-CN"/>
        </w:rPr>
        <w:t>人员、</w:t>
      </w:r>
      <w:r>
        <w:rPr>
          <w:rFonts w:hint="eastAsia" w:ascii="宋体" w:hAnsi="宋体" w:cs="宋体"/>
          <w:color w:val="auto"/>
          <w:highlight w:val="none"/>
        </w:rPr>
        <w:t>税金及其它所有成本费用的总和。</w:t>
      </w:r>
    </w:p>
    <w:p w14:paraId="24B43049">
      <w:pPr>
        <w:spacing w:line="360" w:lineRule="auto"/>
        <w:ind w:firstLine="422" w:firstLineChars="200"/>
        <w:outlineLvl w:val="1"/>
        <w:rPr>
          <w:rFonts w:ascii="宋体" w:hAnsi="宋体" w:cs="宋体"/>
          <w:b/>
          <w:color w:val="auto"/>
          <w:szCs w:val="21"/>
          <w:highlight w:val="none"/>
        </w:rPr>
      </w:pPr>
      <w:bookmarkStart w:id="223" w:name="_Toc25881"/>
      <w:r>
        <w:rPr>
          <w:rFonts w:hint="eastAsia" w:ascii="宋体" w:hAnsi="宋体" w:cs="宋体"/>
          <w:b/>
          <w:color w:val="auto"/>
          <w:szCs w:val="21"/>
          <w:highlight w:val="none"/>
        </w:rPr>
        <w:t>第二条　质量保证</w:t>
      </w:r>
      <w:bookmarkEnd w:id="223"/>
    </w:p>
    <w:p w14:paraId="47F73E3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14:paraId="61F79001">
      <w:pPr>
        <w:spacing w:line="360" w:lineRule="auto"/>
        <w:ind w:firstLine="422" w:firstLineChars="200"/>
        <w:outlineLvl w:val="1"/>
        <w:rPr>
          <w:rFonts w:ascii="宋体" w:hAnsi="宋体" w:cs="宋体"/>
          <w:color w:val="auto"/>
          <w:szCs w:val="21"/>
          <w:highlight w:val="none"/>
        </w:rPr>
      </w:pPr>
      <w:bookmarkStart w:id="224" w:name="_Toc23814"/>
      <w:r>
        <w:rPr>
          <w:rFonts w:hint="eastAsia" w:ascii="宋体" w:hAnsi="宋体" w:cs="宋体"/>
          <w:b/>
          <w:color w:val="auto"/>
          <w:szCs w:val="21"/>
          <w:highlight w:val="none"/>
        </w:rPr>
        <w:t>第三条　权利保证</w:t>
      </w:r>
      <w:bookmarkEnd w:id="224"/>
    </w:p>
    <w:p w14:paraId="7687E87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14:paraId="1D2D1FC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5C14762F">
      <w:pPr>
        <w:spacing w:line="360" w:lineRule="auto"/>
        <w:ind w:firstLine="422" w:firstLineChars="200"/>
        <w:outlineLvl w:val="1"/>
        <w:rPr>
          <w:rFonts w:ascii="宋体" w:hAnsi="宋体" w:cs="宋体"/>
          <w:color w:val="auto"/>
          <w:szCs w:val="21"/>
          <w:highlight w:val="none"/>
        </w:rPr>
      </w:pPr>
      <w:bookmarkStart w:id="225" w:name="_Toc7527"/>
      <w:r>
        <w:rPr>
          <w:rFonts w:hint="eastAsia" w:ascii="宋体" w:hAnsi="宋体" w:cs="宋体"/>
          <w:b/>
          <w:color w:val="auto"/>
          <w:szCs w:val="21"/>
          <w:highlight w:val="none"/>
        </w:rPr>
        <w:t>第四条　交付和验收</w:t>
      </w:r>
      <w:bookmarkEnd w:id="225"/>
    </w:p>
    <w:p w14:paraId="678C81DF">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w:t>
      </w:r>
      <w:r>
        <w:rPr>
          <w:rFonts w:hint="eastAsia" w:ascii="宋体" w:hAnsi="宋体" w:cs="宋体"/>
          <w:color w:val="auto"/>
          <w:szCs w:val="22"/>
          <w:highlight w:val="none"/>
        </w:rPr>
        <w:t>服务期限</w:t>
      </w:r>
      <w:r>
        <w:rPr>
          <w:rFonts w:hint="eastAsia" w:ascii="宋体" w:hAnsi="宋体" w:cs="宋体"/>
          <w:color w:val="auto"/>
          <w:szCs w:val="21"/>
          <w:highlight w:val="none"/>
        </w:rPr>
        <w:t>：</w:t>
      </w:r>
      <w:r>
        <w:rPr>
          <w:rFonts w:hint="eastAsia" w:ascii="宋体" w:hAnsi="宋体" w:cs="宋体"/>
          <w:color w:val="auto"/>
          <w:kern w:val="0"/>
          <w:szCs w:val="21"/>
          <w:highlight w:val="none"/>
          <w:u w:val="single"/>
          <w:lang w:bidi="ar"/>
        </w:rPr>
        <w:t>自签订合同之日起2年。提交服务成果时间：自签订合同之日起30个日历日内提供服务所涉及的全部内容交货、安装调试完毕，所有服务内容必须提交使用</w:t>
      </w:r>
      <w:r>
        <w:rPr>
          <w:rFonts w:hint="eastAsia" w:ascii="宋体" w:hAnsi="宋体" w:cs="宋体"/>
          <w:color w:val="auto"/>
          <w:szCs w:val="21"/>
          <w:highlight w:val="none"/>
          <w:u w:val="single"/>
        </w:rPr>
        <w:t>；</w:t>
      </w:r>
    </w:p>
    <w:p w14:paraId="5C2C0B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服务地点：</w:t>
      </w:r>
      <w:r>
        <w:rPr>
          <w:rFonts w:hint="eastAsia" w:ascii="宋体" w:hAnsi="宋体" w:cs="宋体"/>
          <w:color w:val="auto"/>
          <w:kern w:val="0"/>
          <w:szCs w:val="21"/>
          <w:highlight w:val="none"/>
          <w:u w:val="single"/>
          <w:lang w:val="en-US" w:eastAsia="zh-CN" w:bidi="ar"/>
        </w:rPr>
        <w:t xml:space="preserve">            </w:t>
      </w:r>
      <w:r>
        <w:rPr>
          <w:rFonts w:hint="eastAsia" w:ascii="宋体" w:hAnsi="宋体" w:cs="宋体"/>
          <w:color w:val="auto"/>
          <w:kern w:val="0"/>
          <w:szCs w:val="21"/>
          <w:highlight w:val="none"/>
          <w:lang w:bidi="ar"/>
        </w:rPr>
        <w:t>。</w:t>
      </w:r>
      <w:r>
        <w:rPr>
          <w:rFonts w:hint="eastAsia" w:ascii="宋体" w:hAnsi="宋体" w:cs="宋体"/>
          <w:color w:val="auto"/>
          <w:szCs w:val="21"/>
          <w:highlight w:val="none"/>
          <w:lang w:val="en-US" w:eastAsia="zh-CN"/>
        </w:rPr>
        <w:t xml:space="preserve">    </w:t>
      </w:r>
    </w:p>
    <w:p w14:paraId="513DF23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2、乙方应按响应文件的承诺向甲方提供相应的服务，并提供所服务内容的相关技术资料。</w:t>
      </w:r>
    </w:p>
    <w:p w14:paraId="74319D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3、乙方提供不符合响应文件和本合同规定的服务成果，甲方有权拒绝接受。</w:t>
      </w:r>
    </w:p>
    <w:p w14:paraId="16D928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4、乙方完成服务后应及时书面通知甲方进行验收，甲方应在收到通知后七个工作日内进行验收。验收合格后由甲乙双方签署验收单并加盖甲方公章，甲乙双方各执一份。</w:t>
      </w:r>
    </w:p>
    <w:p w14:paraId="0BB781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5、甲乙双方应按照《广西壮族自治区政府采购项目履约验收管理办法》、双方合同、响应文件验收。</w:t>
      </w:r>
    </w:p>
    <w:p w14:paraId="46BD52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6、甲方在初步验收或者最终验收过程中如发现乙方提供的服务成果不满足响应文件及本合同规定的，可暂缓向乙方付款，直到乙方及时完善并提交相应的服务成果且经甲方验收合格后，方可办理付款。</w:t>
      </w:r>
    </w:p>
    <w:p w14:paraId="715FFB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7、甲方验收时以书面形式提出异议的，乙方应自收到甲方书面异议后五个工作日内及时予以解决，否则甲方有权不出具服务验收合格单。</w:t>
      </w:r>
    </w:p>
    <w:p w14:paraId="557AC630">
      <w:pPr>
        <w:snapToGrid w:val="0"/>
        <w:spacing w:line="360" w:lineRule="auto"/>
        <w:ind w:firstLine="422" w:firstLineChars="200"/>
        <w:outlineLvl w:val="1"/>
        <w:rPr>
          <w:rFonts w:ascii="宋体" w:hAnsi="宋体" w:cs="宋体"/>
          <w:b/>
          <w:color w:val="auto"/>
          <w:szCs w:val="21"/>
          <w:highlight w:val="none"/>
        </w:rPr>
      </w:pPr>
      <w:bookmarkStart w:id="226" w:name="_Toc25723"/>
      <w:r>
        <w:rPr>
          <w:rFonts w:hint="eastAsia" w:ascii="宋体" w:hAnsi="宋体" w:cs="宋体"/>
          <w:b/>
          <w:color w:val="auto"/>
          <w:szCs w:val="21"/>
          <w:highlight w:val="none"/>
        </w:rPr>
        <w:t xml:space="preserve">第五条  </w:t>
      </w:r>
      <w:bookmarkEnd w:id="226"/>
      <w:r>
        <w:rPr>
          <w:rFonts w:hint="eastAsia" w:ascii="宋体" w:hAnsi="宋体" w:cs="宋体"/>
          <w:b/>
          <w:color w:val="auto"/>
          <w:szCs w:val="21"/>
          <w:highlight w:val="none"/>
        </w:rPr>
        <w:t>责任和义务</w:t>
      </w:r>
    </w:p>
    <w:p w14:paraId="164DA50F">
      <w:pPr>
        <w:spacing w:line="360" w:lineRule="auto"/>
        <w:ind w:firstLine="420" w:firstLineChars="200"/>
        <w:rPr>
          <w:rFonts w:ascii="宋体" w:hAnsi="宋体" w:cs="宋体"/>
          <w:color w:val="auto"/>
          <w:szCs w:val="21"/>
          <w:highlight w:val="none"/>
        </w:rPr>
      </w:pPr>
      <w:bookmarkStart w:id="227" w:name="_Toc23210"/>
      <w:r>
        <w:rPr>
          <w:rFonts w:hint="eastAsia" w:ascii="宋体" w:hAnsi="宋体" w:cs="宋体"/>
          <w:color w:val="auto"/>
          <w:szCs w:val="21"/>
          <w:highlight w:val="none"/>
        </w:rPr>
        <w:t>1、甲方</w:t>
      </w:r>
    </w:p>
    <w:p w14:paraId="11F749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（1）履行告知义务。甲方发现相关监控系统、线路出现异常后，应及时通知乙方并说明故障现象，便于乙方对故障修复进行相应准备。</w:t>
      </w:r>
    </w:p>
    <w:p w14:paraId="52CC2B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（2）协助乙方工作和提供工作便利。乙方在对系统进行日常维护、例行巡检、季度检修过程中，提供必要的协助和设施便利等。</w:t>
      </w:r>
    </w:p>
    <w:p w14:paraId="4FF2FE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（3）按时向乙方支付合同费用。</w:t>
      </w:r>
    </w:p>
    <w:p w14:paraId="58FE7A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w:t>
      </w:r>
    </w:p>
    <w:p w14:paraId="030056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负责系统日常维护。乙方应提供后台技术支持，包括电话服务、现场服务、应急服务、节假日值班服务等，保证维保服务实时响应，保障系统安全稳定运行。此外，乙方提供专人对重点监控设备进行支持服务，保证甲方的工作顺利、及时完成。</w:t>
      </w:r>
    </w:p>
    <w:p w14:paraId="37A3AF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（2）积极响应服务请求。在收到报修之后，应在30分钟内提供电话支持，设备故障接到客户服务请求后4小时内到达现场处理，8小时内恢复正常使用，不可抗力除外。</w:t>
      </w:r>
    </w:p>
    <w:p w14:paraId="09970F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（3）确保维保服务的技术力量。约定服务期内，乙方根据项目需求配备售后工程师，负责约定服务期内的维保服务，以满足甲方工作开展和维保工作需要。乙方技术服务人员变动必须经过甲方书面同意。</w:t>
      </w:r>
    </w:p>
    <w:p w14:paraId="2FBC23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（4)服务期内，成交人需提供&gt;5%的免费本项目前端监控点点位迁改服务及&gt;10%的免费前端监控摄像头迁改服务。具体点位由甲方进行确认，迁改费用含在项目报价中。</w:t>
      </w:r>
    </w:p>
    <w:p w14:paraId="01CBF0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（5）乙方提供备品备件，项目验收后设备故障均由乙方按照摄像头可用率标准的执行。</w:t>
      </w:r>
    </w:p>
    <w:p w14:paraId="3E5CF7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（6）按时提供维保服务文档。维保期间，须及时更新相关系统维保服务文档，以便甲方对乙方服务进行考核。</w:t>
      </w:r>
    </w:p>
    <w:p w14:paraId="11698D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（7）乙方于合同服务到期前三十日以书面形式提醒甲方合同到期时间。</w:t>
      </w:r>
    </w:p>
    <w:p w14:paraId="19E3D08B">
      <w:pPr>
        <w:snapToGrid w:val="0"/>
        <w:spacing w:line="360" w:lineRule="auto"/>
        <w:ind w:firstLine="422" w:firstLineChars="200"/>
        <w:outlineLvl w:val="1"/>
        <w:rPr>
          <w:rFonts w:ascii="宋体" w:hAnsi="宋体" w:cs="宋体"/>
          <w:i/>
          <w:iCs/>
          <w:color w:val="auto"/>
          <w:highlight w:val="none"/>
        </w:rPr>
      </w:pPr>
      <w:r>
        <w:rPr>
          <w:rFonts w:hint="eastAsia" w:ascii="宋体" w:hAnsi="宋体" w:cs="宋体"/>
          <w:b/>
          <w:color w:val="auto"/>
          <w:szCs w:val="21"/>
          <w:highlight w:val="none"/>
        </w:rPr>
        <w:t>第六条　付款方式</w:t>
      </w:r>
      <w:bookmarkEnd w:id="227"/>
    </w:p>
    <w:p w14:paraId="2B42D38B">
      <w:pPr>
        <w:snapToGrid w:val="0"/>
        <w:spacing w:line="360" w:lineRule="auto"/>
        <w:ind w:firstLine="420" w:firstLineChars="200"/>
        <w:outlineLvl w:val="1"/>
        <w:rPr>
          <w:rFonts w:hint="eastAsia" w:ascii="宋体" w:hAnsi="宋体" w:cs="宋体"/>
          <w:color w:val="auto"/>
          <w:kern w:val="0"/>
          <w:szCs w:val="21"/>
          <w:highlight w:val="yellow"/>
          <w:lang w:bidi="ar"/>
        </w:rPr>
      </w:pPr>
      <w:bookmarkStart w:id="228" w:name="_Toc21202"/>
      <w:r>
        <w:rPr>
          <w:rFonts w:hint="eastAsia" w:ascii="宋体" w:hAnsi="宋体" w:cs="宋体"/>
          <w:color w:val="auto"/>
          <w:kern w:val="0"/>
          <w:szCs w:val="21"/>
          <w:highlight w:val="none"/>
          <w:lang w:bidi="ar"/>
        </w:rPr>
        <w:t>合同签订后30天内支付合同总金额的</w:t>
      </w:r>
      <w:r>
        <w:rPr>
          <w:rFonts w:hint="eastAsia" w:ascii="宋体" w:hAnsi="宋体" w:cs="宋体"/>
          <w:color w:val="auto"/>
          <w:kern w:val="0"/>
          <w:szCs w:val="21"/>
          <w:highlight w:val="none"/>
          <w:lang w:val="en-US" w:eastAsia="zh-CN" w:bidi="ar"/>
        </w:rPr>
        <w:t>50</w:t>
      </w:r>
      <w:r>
        <w:rPr>
          <w:rFonts w:hint="eastAsia" w:ascii="宋体" w:hAnsi="宋体" w:cs="宋体"/>
          <w:color w:val="auto"/>
          <w:kern w:val="0"/>
          <w:szCs w:val="21"/>
          <w:highlight w:val="none"/>
          <w:lang w:bidi="ar"/>
        </w:rPr>
        <w:t>%，剩余5</w:t>
      </w:r>
      <w:r>
        <w:rPr>
          <w:rFonts w:hint="eastAsia" w:ascii="宋体" w:hAnsi="宋体" w:cs="宋体"/>
          <w:color w:val="auto"/>
          <w:kern w:val="0"/>
          <w:szCs w:val="21"/>
          <w:highlight w:val="none"/>
          <w:lang w:val="en-US" w:eastAsia="zh-CN" w:bidi="ar"/>
        </w:rPr>
        <w:t>0</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eastAsia="zh-CN" w:bidi="ar"/>
        </w:rPr>
        <w:t>合同款在服务成果交付验收后</w:t>
      </w:r>
      <w:r>
        <w:rPr>
          <w:rFonts w:hint="eastAsia" w:ascii="宋体" w:hAnsi="宋体" w:cs="宋体"/>
          <w:color w:val="auto"/>
          <w:kern w:val="0"/>
          <w:szCs w:val="21"/>
          <w:highlight w:val="none"/>
          <w:lang w:val="en-US" w:eastAsia="zh-CN" w:bidi="ar"/>
        </w:rPr>
        <w:t>30天内</w:t>
      </w:r>
      <w:r>
        <w:rPr>
          <w:rFonts w:hint="eastAsia" w:ascii="宋体" w:hAnsi="宋体" w:cs="宋体"/>
          <w:color w:val="auto"/>
          <w:kern w:val="0"/>
          <w:szCs w:val="21"/>
          <w:highlight w:val="none"/>
          <w:lang w:bidi="ar"/>
        </w:rPr>
        <w:t>支付完。</w:t>
      </w:r>
    </w:p>
    <w:p w14:paraId="650EBED4">
      <w:pPr>
        <w:snapToGrid w:val="0"/>
        <w:spacing w:line="360" w:lineRule="auto"/>
        <w:ind w:firstLine="422" w:firstLineChars="200"/>
        <w:outlineLvl w:val="1"/>
        <w:rPr>
          <w:rFonts w:ascii="宋体" w:hAnsi="宋体" w:cs="宋体"/>
          <w:b/>
          <w:color w:val="auto"/>
          <w:szCs w:val="21"/>
          <w:highlight w:val="none"/>
        </w:rPr>
      </w:pPr>
      <w:r>
        <w:rPr>
          <w:rFonts w:hint="eastAsia" w:ascii="宋体" w:hAnsi="宋体" w:cs="宋体"/>
          <w:b/>
          <w:color w:val="auto"/>
          <w:szCs w:val="21"/>
          <w:highlight w:val="none"/>
        </w:rPr>
        <w:t>第七条　履约保证金</w:t>
      </w:r>
      <w:bookmarkEnd w:id="228"/>
    </w:p>
    <w:p w14:paraId="42B574DD">
      <w:pPr>
        <w:spacing w:line="360" w:lineRule="auto"/>
        <w:rPr>
          <w:rFonts w:ascii="宋体" w:hAnsi="宋体" w:cs="宋体"/>
          <w:b/>
          <w:bCs/>
          <w:color w:val="auto"/>
          <w:szCs w:val="21"/>
          <w:highlight w:val="none"/>
        </w:rPr>
      </w:pPr>
      <w:r>
        <w:rPr>
          <w:rFonts w:hint="eastAsia" w:ascii="宋体" w:hAnsi="宋体" w:cs="宋体"/>
          <w:color w:val="auto"/>
          <w:szCs w:val="21"/>
          <w:highlight w:val="none"/>
        </w:rPr>
        <w:t>　　本项目不收取履约保证金。</w:t>
      </w:r>
    </w:p>
    <w:p w14:paraId="4AD3E0DE">
      <w:pPr>
        <w:spacing w:line="360" w:lineRule="auto"/>
        <w:ind w:firstLine="422" w:firstLineChars="200"/>
        <w:outlineLvl w:val="1"/>
        <w:rPr>
          <w:rFonts w:ascii="宋体" w:hAnsi="宋体" w:cs="宋体"/>
          <w:b/>
          <w:color w:val="auto"/>
          <w:szCs w:val="21"/>
          <w:highlight w:val="none"/>
        </w:rPr>
      </w:pPr>
      <w:bookmarkStart w:id="229" w:name="_Toc25197"/>
      <w:r>
        <w:rPr>
          <w:rFonts w:hint="eastAsia" w:ascii="宋体" w:hAnsi="宋体" w:cs="宋体"/>
          <w:b/>
          <w:color w:val="auto"/>
          <w:szCs w:val="21"/>
          <w:highlight w:val="none"/>
        </w:rPr>
        <w:t>第八条  税费</w:t>
      </w:r>
      <w:bookmarkEnd w:id="229"/>
    </w:p>
    <w:p w14:paraId="787E70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237D24D0">
      <w:pPr>
        <w:numPr>
          <w:ilvl w:val="0"/>
          <w:numId w:val="5"/>
        </w:numPr>
        <w:spacing w:line="360" w:lineRule="auto"/>
        <w:ind w:firstLine="422" w:firstLineChars="200"/>
        <w:outlineLvl w:val="1"/>
        <w:rPr>
          <w:rFonts w:ascii="宋体" w:hAnsi="宋体" w:cs="宋体"/>
          <w:b/>
          <w:color w:val="auto"/>
          <w:szCs w:val="21"/>
          <w:highlight w:val="none"/>
        </w:rPr>
      </w:pPr>
      <w:bookmarkStart w:id="230" w:name="_Toc25688"/>
      <w:r>
        <w:rPr>
          <w:rFonts w:hint="eastAsia" w:ascii="宋体" w:hAnsi="宋体" w:cs="宋体"/>
          <w:b/>
          <w:color w:val="auto"/>
          <w:szCs w:val="21"/>
          <w:highlight w:val="none"/>
        </w:rPr>
        <w:t>违约责任</w:t>
      </w:r>
      <w:bookmarkEnd w:id="230"/>
    </w:p>
    <w:p w14:paraId="083D2C00">
      <w:pPr>
        <w:spacing w:line="360" w:lineRule="auto"/>
        <w:outlineLvl w:val="1"/>
        <w:rPr>
          <w:rFonts w:ascii="宋体" w:hAnsi="宋体" w:cs="宋体"/>
          <w:b/>
          <w:color w:val="auto"/>
          <w:szCs w:val="21"/>
          <w:highlight w:val="none"/>
        </w:rPr>
      </w:pPr>
      <w:r>
        <w:rPr>
          <w:rFonts w:hint="eastAsia" w:ascii="宋体" w:hAnsi="宋体" w:cs="宋体"/>
          <w:b/>
          <w:color w:val="auto"/>
          <w:szCs w:val="21"/>
          <w:highlight w:val="none"/>
        </w:rPr>
        <w:t>1、甲方违约责任</w:t>
      </w:r>
    </w:p>
    <w:p w14:paraId="1EFC1EE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（1）甲方逾期30个工作日以上向乙方支付合同金额，造成项目工作停滞、延误的，甲方应承担相应延期款额 3 %的违约金。</w:t>
      </w:r>
    </w:p>
    <w:p w14:paraId="465EC70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（二）乙方违约责任</w:t>
      </w:r>
    </w:p>
    <w:p w14:paraId="0F9AF58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出现以下情况之一的，甲方有权终止合同，乙方应承担项目合同金额3%的违约金：</w:t>
      </w:r>
    </w:p>
    <w:p w14:paraId="3217EBA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（1）乙方未能按甲方的需求和本项目服务方案进行监控系统维保工作，造成甲方造成重大损失的。</w:t>
      </w:r>
    </w:p>
    <w:p w14:paraId="25AA15B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（2）乙方接到故障处理请求后，未能及时排除系统故障且不能提出应急解决预案，导致相关监控系统不能正常运行，给甲方造成重大损失的。</w:t>
      </w:r>
    </w:p>
    <w:p w14:paraId="6BD8E94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 乙方未能按照甲方要求设立维保团队，或维保工程师（售后工程师）配置不符合甲方要求，甲方提出后5个工作日内，乙方仍不整改的。</w:t>
      </w:r>
    </w:p>
    <w:p w14:paraId="5384AE9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（4）乙方未能按照甲方要求提供完整项目文档，或不按时提供相关技术培训的，甲方提出后5个工作日内，乙方仍不整改的。</w:t>
      </w:r>
    </w:p>
    <w:p w14:paraId="4D73ACE9">
      <w:pPr>
        <w:spacing w:line="360" w:lineRule="auto"/>
        <w:ind w:firstLine="422" w:firstLineChars="200"/>
        <w:outlineLvl w:val="1"/>
        <w:rPr>
          <w:rFonts w:ascii="宋体" w:hAnsi="宋体" w:cs="宋体"/>
          <w:b/>
          <w:color w:val="auto"/>
          <w:szCs w:val="21"/>
          <w:highlight w:val="none"/>
        </w:rPr>
      </w:pPr>
      <w:bookmarkStart w:id="231" w:name="_Toc16789"/>
      <w:r>
        <w:rPr>
          <w:rFonts w:hint="eastAsia" w:ascii="宋体" w:hAnsi="宋体" w:cs="宋体"/>
          <w:b/>
          <w:color w:val="auto"/>
          <w:szCs w:val="21"/>
          <w:highlight w:val="none"/>
        </w:rPr>
        <w:t>第十条  不可抗力事件处理</w:t>
      </w:r>
      <w:bookmarkEnd w:id="231"/>
    </w:p>
    <w:p w14:paraId="7EF341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2C5C6E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68BF66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7F21D4AE">
      <w:pPr>
        <w:spacing w:line="360" w:lineRule="auto"/>
        <w:ind w:firstLine="422" w:firstLineChars="200"/>
        <w:outlineLvl w:val="1"/>
        <w:rPr>
          <w:rFonts w:ascii="宋体" w:hAnsi="宋体" w:cs="宋体"/>
          <w:color w:val="auto"/>
          <w:szCs w:val="21"/>
          <w:highlight w:val="none"/>
        </w:rPr>
      </w:pPr>
      <w:bookmarkStart w:id="232" w:name="_Toc24916"/>
      <w:r>
        <w:rPr>
          <w:rFonts w:hint="eastAsia" w:ascii="宋体" w:hAnsi="宋体" w:cs="宋体"/>
          <w:b/>
          <w:color w:val="auto"/>
          <w:szCs w:val="21"/>
          <w:highlight w:val="none"/>
        </w:rPr>
        <w:t>第十一条  合同争议解决</w:t>
      </w:r>
      <w:bookmarkEnd w:id="232"/>
    </w:p>
    <w:p w14:paraId="7C68FEC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14:paraId="3BC2647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2、因履行本合同引起的或者与本合同有关的争议，甲乙双方应首先通过友好协商解决，如果协商不能解决，可向甲方所在地有管辖权的人民法院提起诉讼。</w:t>
      </w:r>
    </w:p>
    <w:p w14:paraId="62CC9F6F">
      <w:pPr>
        <w:snapToGrid w:val="0"/>
        <w:spacing w:line="360" w:lineRule="auto"/>
        <w:ind w:firstLine="420" w:firstLineChars="200"/>
        <w:outlineLvl w:val="2"/>
        <w:rPr>
          <w:rFonts w:ascii="宋体" w:hAnsi="宋体" w:cs="宋体"/>
          <w:color w:val="auto"/>
          <w:szCs w:val="21"/>
          <w:highlight w:val="none"/>
        </w:rPr>
      </w:pPr>
      <w:bookmarkStart w:id="233" w:name="_Toc31328"/>
      <w:r>
        <w:rPr>
          <w:rFonts w:hint="eastAsia" w:ascii="宋体" w:hAnsi="宋体" w:cs="宋体"/>
          <w:color w:val="auto"/>
          <w:szCs w:val="21"/>
          <w:highlight w:val="none"/>
        </w:rPr>
        <w:t>3、诉讼期间，本合同继续履行。</w:t>
      </w:r>
      <w:bookmarkEnd w:id="233"/>
    </w:p>
    <w:p w14:paraId="2C8F5B15">
      <w:pPr>
        <w:spacing w:line="360" w:lineRule="auto"/>
        <w:ind w:firstLine="422" w:firstLineChars="200"/>
        <w:outlineLvl w:val="1"/>
        <w:rPr>
          <w:rFonts w:ascii="宋体" w:hAnsi="宋体" w:cs="宋体"/>
          <w:b/>
          <w:color w:val="auto"/>
          <w:szCs w:val="21"/>
          <w:highlight w:val="none"/>
        </w:rPr>
      </w:pPr>
      <w:bookmarkStart w:id="234" w:name="_Toc10834"/>
      <w:r>
        <w:rPr>
          <w:rFonts w:hint="eastAsia" w:ascii="宋体" w:hAnsi="宋体" w:cs="宋体"/>
          <w:b/>
          <w:color w:val="auto"/>
          <w:szCs w:val="21"/>
          <w:highlight w:val="none"/>
        </w:rPr>
        <w:t>第十二条  合同生效及其他</w:t>
      </w:r>
      <w:bookmarkEnd w:id="234"/>
    </w:p>
    <w:p w14:paraId="1335EE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1、合同经双方法定代表人或者授权代表签字并加盖单位公章后生效（委托代理人签字的需后附法定代表人授权委托书）。</w:t>
      </w:r>
    </w:p>
    <w:p w14:paraId="1133F8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14:paraId="445BAA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48B564C6">
      <w:pPr>
        <w:spacing w:line="360" w:lineRule="auto"/>
        <w:ind w:firstLine="422" w:firstLineChars="200"/>
        <w:outlineLvl w:val="1"/>
        <w:rPr>
          <w:rFonts w:ascii="宋体" w:hAnsi="宋体" w:cs="宋体"/>
          <w:b/>
          <w:color w:val="auto"/>
          <w:szCs w:val="21"/>
          <w:highlight w:val="none"/>
        </w:rPr>
      </w:pPr>
      <w:bookmarkStart w:id="235" w:name="_Toc15718"/>
      <w:r>
        <w:rPr>
          <w:rFonts w:hint="eastAsia" w:ascii="宋体" w:hAnsi="宋体" w:cs="宋体"/>
          <w:b/>
          <w:color w:val="auto"/>
          <w:szCs w:val="21"/>
          <w:highlight w:val="none"/>
        </w:rPr>
        <w:t>第十三条　合同的变更、终止与转让</w:t>
      </w:r>
      <w:bookmarkEnd w:id="235"/>
    </w:p>
    <w:p w14:paraId="7BEFA2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14:paraId="4443552C">
      <w:pPr>
        <w:spacing w:line="360" w:lineRule="auto"/>
        <w:ind w:firstLine="420" w:firstLineChars="200"/>
        <w:outlineLvl w:val="2"/>
        <w:rPr>
          <w:rFonts w:ascii="宋体" w:hAnsi="宋体" w:cs="宋体"/>
          <w:color w:val="auto"/>
          <w:szCs w:val="21"/>
          <w:highlight w:val="none"/>
        </w:rPr>
      </w:pPr>
      <w:bookmarkStart w:id="236" w:name="_Toc7901"/>
      <w:r>
        <w:rPr>
          <w:rFonts w:hint="eastAsia" w:ascii="宋体" w:hAnsi="宋体" w:cs="宋体"/>
          <w:color w:val="auto"/>
          <w:szCs w:val="21"/>
          <w:highlight w:val="none"/>
        </w:rPr>
        <w:t>2、乙方不得擅自转让其应履行的合同义务。</w:t>
      </w:r>
      <w:bookmarkEnd w:id="236"/>
    </w:p>
    <w:p w14:paraId="002613A2">
      <w:pPr>
        <w:spacing w:line="360" w:lineRule="auto"/>
        <w:ind w:firstLine="422" w:firstLineChars="200"/>
        <w:outlineLvl w:val="1"/>
        <w:rPr>
          <w:rFonts w:ascii="宋体" w:hAnsi="宋体" w:cs="宋体"/>
          <w:b/>
          <w:color w:val="auto"/>
          <w:szCs w:val="21"/>
          <w:highlight w:val="none"/>
        </w:rPr>
      </w:pPr>
      <w:bookmarkStart w:id="237" w:name="_Toc24597"/>
      <w:r>
        <w:rPr>
          <w:rFonts w:hint="eastAsia" w:ascii="宋体" w:hAnsi="宋体" w:cs="宋体"/>
          <w:b/>
          <w:color w:val="auto"/>
          <w:szCs w:val="21"/>
          <w:highlight w:val="none"/>
        </w:rPr>
        <w:t>第十四条　签订本合同依据</w:t>
      </w:r>
      <w:bookmarkEnd w:id="237"/>
    </w:p>
    <w:p w14:paraId="088CCB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1、成交通知书；</w:t>
      </w:r>
    </w:p>
    <w:p w14:paraId="4D244F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2、响应报价表；</w:t>
      </w:r>
    </w:p>
    <w:p w14:paraId="205A9D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3、响应函；</w:t>
      </w:r>
    </w:p>
    <w:p w14:paraId="3FFE08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4、商务条款偏离表和服务需求偏离表；</w:t>
      </w:r>
    </w:p>
    <w:p w14:paraId="76ABF8ED">
      <w:pPr>
        <w:spacing w:line="360" w:lineRule="auto"/>
        <w:ind w:firstLine="420" w:firstLineChars="200"/>
        <w:outlineLvl w:val="2"/>
        <w:rPr>
          <w:rFonts w:ascii="宋体" w:hAnsi="宋体" w:cs="宋体"/>
          <w:color w:val="auto"/>
          <w:szCs w:val="21"/>
          <w:highlight w:val="none"/>
        </w:rPr>
      </w:pPr>
      <w:bookmarkStart w:id="238" w:name="_Toc2700"/>
      <w:r>
        <w:rPr>
          <w:rFonts w:hint="eastAsia" w:ascii="宋体" w:hAnsi="宋体" w:cs="宋体"/>
          <w:color w:val="auto"/>
          <w:szCs w:val="21"/>
          <w:highlight w:val="none"/>
        </w:rPr>
        <w:t>5、</w:t>
      </w:r>
      <w:r>
        <w:rPr>
          <w:rFonts w:hint="eastAsia" w:ascii="宋体" w:hAnsi="宋体" w:cs="宋体"/>
          <w:color w:val="auto"/>
          <w:highlight w:val="none"/>
        </w:rPr>
        <w:t>其他合同文件</w:t>
      </w:r>
      <w:r>
        <w:rPr>
          <w:rFonts w:hint="eastAsia" w:ascii="宋体" w:hAnsi="宋体" w:cs="宋体"/>
          <w:color w:val="auto"/>
          <w:szCs w:val="21"/>
          <w:highlight w:val="none"/>
        </w:rPr>
        <w:t>。</w:t>
      </w:r>
      <w:bookmarkEnd w:id="238"/>
    </w:p>
    <w:p w14:paraId="3F154D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6、上述合同文件互相补充和解释。如果合同文件之间存在矛盾或者不一致之处，以上述文件的排列顺序在先者为准。</w:t>
      </w:r>
    </w:p>
    <w:p w14:paraId="336DE4F0">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本合同一式四份，具有同等法律效力，财政部门（政府采购监管部门）、采购代理机构各一份，甲乙双方各一份（可根据需要另增加）。</w:t>
      </w:r>
    </w:p>
    <w:p w14:paraId="6EDCF4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tbl>
      <w:tblPr>
        <w:tblStyle w:val="26"/>
        <w:tblpPr w:leftFromText="180" w:rightFromText="180" w:vertAnchor="text" w:horzAnchor="margin"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03643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noWrap/>
            <w:vAlign w:val="center"/>
          </w:tcPr>
          <w:p w14:paraId="34D90C2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甲方：（章）</w:t>
            </w:r>
          </w:p>
          <w:p w14:paraId="543DA16C">
            <w:pPr>
              <w:snapToGrid w:val="0"/>
              <w:spacing w:line="360" w:lineRule="auto"/>
              <w:rPr>
                <w:rFonts w:ascii="宋体" w:hAnsi="宋体" w:cs="宋体"/>
                <w:color w:val="auto"/>
                <w:szCs w:val="21"/>
                <w:highlight w:val="none"/>
              </w:rPr>
            </w:pPr>
          </w:p>
          <w:p w14:paraId="79B6FDCB">
            <w:pPr>
              <w:snapToGrid w:val="0"/>
              <w:spacing w:line="360" w:lineRule="auto"/>
              <w:rPr>
                <w:rFonts w:ascii="宋体" w:hAnsi="宋体" w:cs="宋体"/>
                <w:color w:val="auto"/>
                <w:szCs w:val="21"/>
                <w:highlight w:val="none"/>
              </w:rPr>
            </w:pPr>
          </w:p>
          <w:p w14:paraId="5831B954">
            <w:pPr>
              <w:snapToGrid w:val="0"/>
              <w:spacing w:line="360" w:lineRule="auto"/>
              <w:ind w:firstLine="945" w:firstLineChars="450"/>
              <w:jc w:val="right"/>
              <w:rPr>
                <w:rFonts w:ascii="宋体" w:hAnsi="宋体" w:cs="宋体"/>
                <w:color w:val="auto"/>
                <w:szCs w:val="21"/>
                <w:highlight w:val="none"/>
              </w:rPr>
            </w:pPr>
          </w:p>
          <w:p w14:paraId="6DE8182F">
            <w:pPr>
              <w:snapToGrid w:val="0"/>
              <w:spacing w:line="360" w:lineRule="auto"/>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noWrap/>
            <w:vAlign w:val="center"/>
          </w:tcPr>
          <w:p w14:paraId="07B11DF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乙方：（章）       </w:t>
            </w:r>
          </w:p>
          <w:p w14:paraId="1E61D0DA">
            <w:pPr>
              <w:snapToGrid w:val="0"/>
              <w:spacing w:line="360" w:lineRule="auto"/>
              <w:rPr>
                <w:rFonts w:ascii="宋体" w:hAnsi="宋体" w:cs="宋体"/>
                <w:color w:val="auto"/>
                <w:szCs w:val="21"/>
                <w:highlight w:val="none"/>
              </w:rPr>
            </w:pPr>
          </w:p>
          <w:p w14:paraId="3DB021C2">
            <w:pPr>
              <w:snapToGrid w:val="0"/>
              <w:spacing w:line="360" w:lineRule="auto"/>
              <w:rPr>
                <w:rFonts w:ascii="宋体" w:hAnsi="宋体" w:cs="宋体"/>
                <w:color w:val="auto"/>
                <w:szCs w:val="21"/>
                <w:highlight w:val="none"/>
              </w:rPr>
            </w:pPr>
          </w:p>
          <w:p w14:paraId="11C56014">
            <w:pPr>
              <w:snapToGrid w:val="0"/>
              <w:spacing w:line="360" w:lineRule="auto"/>
              <w:jc w:val="right"/>
              <w:rPr>
                <w:rFonts w:ascii="宋体" w:hAnsi="宋体" w:cs="宋体"/>
                <w:color w:val="auto"/>
                <w:szCs w:val="21"/>
                <w:highlight w:val="none"/>
              </w:rPr>
            </w:pPr>
          </w:p>
          <w:p w14:paraId="74C6057F">
            <w:pPr>
              <w:snapToGrid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10E71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ign w:val="center"/>
          </w:tcPr>
          <w:p w14:paraId="305EA83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单位地址： </w:t>
            </w:r>
          </w:p>
        </w:tc>
        <w:tc>
          <w:tcPr>
            <w:tcW w:w="4583" w:type="dxa"/>
            <w:tcBorders>
              <w:top w:val="single" w:color="auto" w:sz="4" w:space="0"/>
              <w:left w:val="single" w:color="auto" w:sz="4" w:space="0"/>
              <w:bottom w:val="single" w:color="auto" w:sz="4" w:space="0"/>
              <w:right w:val="single" w:color="auto" w:sz="4" w:space="0"/>
            </w:tcBorders>
            <w:noWrap/>
            <w:vAlign w:val="center"/>
          </w:tcPr>
          <w:p w14:paraId="228FD3B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单位地址： </w:t>
            </w:r>
          </w:p>
        </w:tc>
      </w:tr>
      <w:tr w14:paraId="48B3B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ign w:val="center"/>
          </w:tcPr>
          <w:p w14:paraId="77B294F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noWrap/>
            <w:vAlign w:val="center"/>
          </w:tcPr>
          <w:p w14:paraId="2537244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r>
      <w:tr w14:paraId="50674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ign w:val="center"/>
          </w:tcPr>
          <w:p w14:paraId="3E1EC3F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noWrap/>
            <w:vAlign w:val="center"/>
          </w:tcPr>
          <w:p w14:paraId="47B6EFD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r>
      <w:tr w14:paraId="0750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ign w:val="center"/>
          </w:tcPr>
          <w:p w14:paraId="5EB9590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noWrap/>
            <w:vAlign w:val="center"/>
          </w:tcPr>
          <w:p w14:paraId="4F0C5A1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r>
      <w:tr w14:paraId="27382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ign w:val="center"/>
          </w:tcPr>
          <w:p w14:paraId="54A8C53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ign w:val="center"/>
          </w:tcPr>
          <w:p w14:paraId="7AFB453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r>
      <w:tr w14:paraId="77575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ign w:val="center"/>
          </w:tcPr>
          <w:p w14:paraId="5FC7FF7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noWrap/>
            <w:vAlign w:val="center"/>
          </w:tcPr>
          <w:p w14:paraId="7CDEC15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r>
      <w:tr w14:paraId="2BEBA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ign w:val="center"/>
          </w:tcPr>
          <w:p w14:paraId="1CC5BE2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noWrap/>
            <w:vAlign w:val="center"/>
          </w:tcPr>
          <w:p w14:paraId="30B6AB8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r>
    </w:tbl>
    <w:p w14:paraId="71B9770F">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合 同 附 件</w:t>
      </w:r>
    </w:p>
    <w:p w14:paraId="3880EFA4">
      <w:pPr>
        <w:snapToGrid w:val="0"/>
        <w:spacing w:line="360" w:lineRule="auto"/>
        <w:rPr>
          <w:rFonts w:ascii="宋体" w:hAnsi="宋体" w:cs="宋体"/>
          <w:color w:val="auto"/>
          <w:szCs w:val="21"/>
          <w:highlight w:val="none"/>
        </w:rPr>
      </w:pPr>
    </w:p>
    <w:tbl>
      <w:tblPr>
        <w:tblStyle w:val="26"/>
        <w:tblW w:w="0" w:type="auto"/>
        <w:tblInd w:w="0" w:type="dxa"/>
        <w:tblLayout w:type="fixed"/>
        <w:tblCellMar>
          <w:top w:w="0" w:type="dxa"/>
          <w:left w:w="108" w:type="dxa"/>
          <w:bottom w:w="0" w:type="dxa"/>
          <w:right w:w="108" w:type="dxa"/>
        </w:tblCellMar>
      </w:tblPr>
      <w:tblGrid>
        <w:gridCol w:w="4248"/>
        <w:gridCol w:w="4274"/>
      </w:tblGrid>
      <w:tr w14:paraId="267CFDDD">
        <w:tblPrEx>
          <w:tblCellMar>
            <w:top w:w="0" w:type="dxa"/>
            <w:left w:w="108" w:type="dxa"/>
            <w:bottom w:w="0" w:type="dxa"/>
            <w:right w:w="108" w:type="dxa"/>
          </w:tblCellMar>
        </w:tblPrEx>
        <w:trPr>
          <w:trHeight w:val="1226" w:hRule="atLeast"/>
        </w:trPr>
        <w:tc>
          <w:tcPr>
            <w:tcW w:w="8522" w:type="dxa"/>
            <w:gridSpan w:val="2"/>
            <w:tcBorders>
              <w:top w:val="single" w:color="auto" w:sz="4" w:space="0"/>
              <w:left w:val="single" w:color="auto" w:sz="4" w:space="0"/>
              <w:right w:val="single" w:color="auto" w:sz="4" w:space="0"/>
            </w:tcBorders>
            <w:noWrap/>
            <w:vAlign w:val="top"/>
          </w:tcPr>
          <w:p w14:paraId="37377FFE">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 供应商承诺具体事项：</w:t>
            </w:r>
          </w:p>
        </w:tc>
      </w:tr>
      <w:tr w14:paraId="7D835E76">
        <w:tblPrEx>
          <w:tblCellMar>
            <w:top w:w="0" w:type="dxa"/>
            <w:left w:w="108" w:type="dxa"/>
            <w:bottom w:w="0" w:type="dxa"/>
            <w:right w:w="108" w:type="dxa"/>
          </w:tblCellMar>
        </w:tblPrEx>
        <w:trPr>
          <w:trHeight w:val="1228" w:hRule="atLeast"/>
        </w:trPr>
        <w:tc>
          <w:tcPr>
            <w:tcW w:w="8522" w:type="dxa"/>
            <w:gridSpan w:val="2"/>
            <w:tcBorders>
              <w:top w:val="single" w:color="auto" w:sz="4" w:space="0"/>
              <w:left w:val="single" w:color="auto" w:sz="4" w:space="0"/>
              <w:right w:val="single" w:color="auto" w:sz="4" w:space="0"/>
            </w:tcBorders>
            <w:noWrap/>
            <w:vAlign w:val="top"/>
          </w:tcPr>
          <w:p w14:paraId="12E01441">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 服务具体事项：</w:t>
            </w:r>
          </w:p>
        </w:tc>
      </w:tr>
      <w:tr w14:paraId="1F1AE02E">
        <w:tblPrEx>
          <w:tblCellMar>
            <w:top w:w="0" w:type="dxa"/>
            <w:left w:w="108" w:type="dxa"/>
            <w:bottom w:w="0" w:type="dxa"/>
            <w:right w:w="108" w:type="dxa"/>
          </w:tblCellMar>
        </w:tblPrEx>
        <w:trPr>
          <w:trHeight w:val="1360" w:hRule="atLeast"/>
        </w:trPr>
        <w:tc>
          <w:tcPr>
            <w:tcW w:w="8522" w:type="dxa"/>
            <w:gridSpan w:val="2"/>
            <w:tcBorders>
              <w:top w:val="single" w:color="auto" w:sz="4" w:space="0"/>
              <w:left w:val="single" w:color="auto" w:sz="4" w:space="0"/>
              <w:right w:val="single" w:color="auto" w:sz="4" w:space="0"/>
            </w:tcBorders>
            <w:noWrap/>
            <w:vAlign w:val="top"/>
          </w:tcPr>
          <w:p w14:paraId="54D168B0">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 其他具体事项：</w:t>
            </w:r>
          </w:p>
        </w:tc>
      </w:tr>
      <w:tr w14:paraId="524CDB38">
        <w:tblPrEx>
          <w:tblCellMar>
            <w:top w:w="0" w:type="dxa"/>
            <w:left w:w="108" w:type="dxa"/>
            <w:bottom w:w="0" w:type="dxa"/>
            <w:right w:w="108" w:type="dxa"/>
          </w:tblCellMar>
        </w:tblPrEx>
        <w:trPr>
          <w:trHeight w:val="1703" w:hRule="atLeast"/>
        </w:trPr>
        <w:tc>
          <w:tcPr>
            <w:tcW w:w="4248" w:type="dxa"/>
            <w:tcBorders>
              <w:top w:val="single" w:color="auto" w:sz="4" w:space="0"/>
              <w:left w:val="single" w:color="auto" w:sz="4" w:space="0"/>
              <w:bottom w:val="single" w:color="auto" w:sz="4" w:space="0"/>
              <w:right w:val="single" w:color="auto" w:sz="4" w:space="0"/>
            </w:tcBorders>
            <w:noWrap/>
            <w:vAlign w:val="center"/>
          </w:tcPr>
          <w:p w14:paraId="4657CE2A">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甲方（章）</w:t>
            </w:r>
          </w:p>
          <w:p w14:paraId="2F48DEAD">
            <w:pPr>
              <w:snapToGrid w:val="0"/>
              <w:spacing w:line="360" w:lineRule="auto"/>
              <w:ind w:firstLine="422" w:firstLineChars="200"/>
              <w:rPr>
                <w:rFonts w:ascii="宋体" w:hAnsi="宋体" w:cs="宋体"/>
                <w:b/>
                <w:color w:val="auto"/>
                <w:szCs w:val="21"/>
                <w:highlight w:val="none"/>
              </w:rPr>
            </w:pPr>
          </w:p>
          <w:p w14:paraId="7569238A">
            <w:pPr>
              <w:snapToGrid w:val="0"/>
              <w:spacing w:line="360" w:lineRule="auto"/>
              <w:rPr>
                <w:rFonts w:ascii="宋体" w:hAnsi="宋体" w:cs="宋体"/>
                <w:b/>
                <w:color w:val="auto"/>
                <w:szCs w:val="21"/>
                <w:highlight w:val="none"/>
              </w:rPr>
            </w:pPr>
          </w:p>
          <w:p w14:paraId="3CCF4BB9">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                 年   月   日 </w:t>
            </w:r>
          </w:p>
        </w:tc>
        <w:tc>
          <w:tcPr>
            <w:tcW w:w="4274" w:type="dxa"/>
            <w:tcBorders>
              <w:top w:val="single" w:color="auto" w:sz="4" w:space="0"/>
              <w:left w:val="single" w:color="auto" w:sz="4" w:space="0"/>
              <w:bottom w:val="single" w:color="auto" w:sz="4" w:space="0"/>
              <w:right w:val="single" w:color="auto" w:sz="4" w:space="0"/>
            </w:tcBorders>
            <w:noWrap/>
            <w:vAlign w:val="center"/>
          </w:tcPr>
          <w:p w14:paraId="4FD22A18">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乙方（章）</w:t>
            </w:r>
          </w:p>
          <w:p w14:paraId="0B201FA0">
            <w:pPr>
              <w:snapToGrid w:val="0"/>
              <w:spacing w:line="360" w:lineRule="auto"/>
              <w:ind w:firstLine="422" w:firstLineChars="200"/>
              <w:rPr>
                <w:rFonts w:ascii="宋体" w:hAnsi="宋体" w:cs="宋体"/>
                <w:b/>
                <w:color w:val="auto"/>
                <w:szCs w:val="21"/>
                <w:highlight w:val="none"/>
              </w:rPr>
            </w:pPr>
          </w:p>
          <w:p w14:paraId="183030C6">
            <w:pPr>
              <w:snapToGrid w:val="0"/>
              <w:spacing w:line="360" w:lineRule="auto"/>
              <w:rPr>
                <w:rFonts w:ascii="宋体" w:hAnsi="宋体" w:cs="宋体"/>
                <w:b/>
                <w:color w:val="auto"/>
                <w:szCs w:val="21"/>
                <w:highlight w:val="none"/>
              </w:rPr>
            </w:pPr>
          </w:p>
          <w:p w14:paraId="12201EB9">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                年   月   日</w:t>
            </w:r>
          </w:p>
        </w:tc>
      </w:tr>
    </w:tbl>
    <w:p w14:paraId="01C7DC02">
      <w:pPr>
        <w:snapToGrid w:val="0"/>
        <w:spacing w:line="360" w:lineRule="auto"/>
        <w:jc w:val="left"/>
        <w:outlineLvl w:val="0"/>
        <w:rPr>
          <w:rFonts w:ascii="宋体" w:hAnsi="宋体" w:cs="宋体"/>
          <w:color w:val="auto"/>
          <w:szCs w:val="21"/>
          <w:highlight w:val="none"/>
        </w:rPr>
      </w:pPr>
      <w:bookmarkStart w:id="239" w:name="_Toc9209"/>
      <w:r>
        <w:rPr>
          <w:rFonts w:hint="eastAsia" w:ascii="宋体" w:hAnsi="宋体" w:cs="宋体"/>
          <w:color w:val="auto"/>
          <w:szCs w:val="21"/>
          <w:highlight w:val="none"/>
        </w:rPr>
        <w:t>注：服务事项填不下时可另加附页</w:t>
      </w:r>
      <w:bookmarkEnd w:id="239"/>
    </w:p>
    <w:p w14:paraId="20EA1800">
      <w:pPr>
        <w:snapToGrid w:val="0"/>
        <w:spacing w:line="360" w:lineRule="auto"/>
        <w:rPr>
          <w:rFonts w:ascii="宋体" w:hAnsi="宋体" w:cs="宋体"/>
          <w:b/>
          <w:color w:val="auto"/>
          <w:szCs w:val="21"/>
          <w:highlight w:val="none"/>
        </w:rPr>
      </w:pPr>
    </w:p>
    <w:p w14:paraId="435F6557">
      <w:pPr>
        <w:tabs>
          <w:tab w:val="left" w:pos="3261"/>
        </w:tabs>
        <w:spacing w:line="360" w:lineRule="auto"/>
        <w:contextualSpacing/>
        <w:jc w:val="center"/>
        <w:rPr>
          <w:rFonts w:ascii="宋体" w:hAnsi="宋体" w:cs="宋体"/>
          <w:b/>
          <w:color w:val="auto"/>
          <w:sz w:val="44"/>
          <w:szCs w:val="44"/>
          <w:highlight w:val="none"/>
        </w:rPr>
      </w:pPr>
    </w:p>
    <w:p w14:paraId="016A6EC8">
      <w:pPr>
        <w:tabs>
          <w:tab w:val="left" w:pos="3261"/>
        </w:tabs>
        <w:spacing w:line="360" w:lineRule="auto"/>
        <w:contextualSpacing/>
        <w:rPr>
          <w:color w:val="auto"/>
          <w:highlight w:val="none"/>
        </w:rPr>
      </w:pPr>
    </w:p>
    <w:sectPr>
      <w:footerReference r:id="rId8" w:type="first"/>
      <w:headerReference r:id="rId6" w:type="default"/>
      <w:footerReference r:id="rId7"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Ђ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05926">
    <w:pPr>
      <w:pStyle w:val="18"/>
      <w:tabs>
        <w:tab w:val="center" w:pos="4439"/>
        <w:tab w:val="clear" w:pos="4153"/>
      </w:tabs>
      <w:jc w:val="both"/>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8EC4F">
    <w:pPr>
      <w:pStyle w:val="18"/>
      <w:jc w:val="center"/>
      <w:rPr>
        <w:rFonts w:ascii="Calibri" w:hAnsi="Calibri"/>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E0E4EDD">
                          <w:pPr>
                            <w:pStyle w:val="18"/>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7E0E4EDD">
                    <w:pPr>
                      <w:pStyle w:val="18"/>
                    </w:pPr>
                    <w:r>
                      <w:fldChar w:fldCharType="begin"/>
                    </w:r>
                    <w:r>
                      <w:instrText xml:space="preserve"> PAGE  \* MERGEFORMAT </w:instrText>
                    </w:r>
                    <w:r>
                      <w:fldChar w:fldCharType="separate"/>
                    </w:r>
                    <w:r>
                      <w:t>6</w:t>
                    </w:r>
                    <w:r>
                      <w:fldChar w:fldCharType="end"/>
                    </w:r>
                  </w:p>
                </w:txbxContent>
              </v:textbox>
            </v:shape>
          </w:pict>
        </mc:Fallback>
      </mc:AlternateContent>
    </w:r>
  </w:p>
  <w:p w14:paraId="46500FD6">
    <w:pPr>
      <w:pStyle w:val="18"/>
      <w:rPr>
        <w:rFonts w:ascii="Calibri" w:hAnsi="Calibr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FFE97">
    <w:pPr>
      <w:pStyle w:val="18"/>
      <w:rPr>
        <w:rFonts w:ascii="Calibri" w:hAnsi="Calibri"/>
      </w:rPr>
    </w:pPr>
    <w:r>
      <w:rPr>
        <w:rFonts w:ascii="Calibri" w:hAnsi="Calibri"/>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6274C07">
                          <w:pPr>
                            <w:pStyle w:val="18"/>
                            <w:rPr>
                              <w:rFonts w:ascii="Calibri" w:hAnsi="Calibri"/>
                            </w:rPr>
                          </w:pPr>
                          <w:r>
                            <w:rPr>
                              <w:rFonts w:hint="eastAsia" w:ascii="Calibri" w:hAnsi="Calibri"/>
                            </w:rPr>
                            <w:fldChar w:fldCharType="begin"/>
                          </w:r>
                          <w:r>
                            <w:rPr>
                              <w:rFonts w:hint="eastAsia" w:ascii="Calibri" w:hAnsi="Calibri"/>
                            </w:rPr>
                            <w:instrText xml:space="preserve"> PAGE  \* MERGEFORMAT </w:instrText>
                          </w:r>
                          <w:r>
                            <w:rPr>
                              <w:rFonts w:hint="eastAsia" w:ascii="Calibri" w:hAnsi="Calibri"/>
                            </w:rPr>
                            <w:fldChar w:fldCharType="separate"/>
                          </w:r>
                          <w:r>
                            <w:rPr>
                              <w:rFonts w:ascii="Calibri" w:hAnsi="Calibri"/>
                            </w:rPr>
                            <w:t>8</w:t>
                          </w:r>
                          <w:r>
                            <w:rPr>
                              <w:rFonts w:hint="eastAsia" w:ascii="Calibri" w:hAnsi="Calibri"/>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14:paraId="16274C07">
                    <w:pPr>
                      <w:pStyle w:val="18"/>
                      <w:rPr>
                        <w:rFonts w:ascii="Calibri" w:hAnsi="Calibri"/>
                      </w:rPr>
                    </w:pPr>
                    <w:r>
                      <w:rPr>
                        <w:rFonts w:hint="eastAsia" w:ascii="Calibri" w:hAnsi="Calibri"/>
                      </w:rPr>
                      <w:fldChar w:fldCharType="begin"/>
                    </w:r>
                    <w:r>
                      <w:rPr>
                        <w:rFonts w:hint="eastAsia" w:ascii="Calibri" w:hAnsi="Calibri"/>
                      </w:rPr>
                      <w:instrText xml:space="preserve"> PAGE  \* MERGEFORMAT </w:instrText>
                    </w:r>
                    <w:r>
                      <w:rPr>
                        <w:rFonts w:hint="eastAsia" w:ascii="Calibri" w:hAnsi="Calibri"/>
                      </w:rPr>
                      <w:fldChar w:fldCharType="separate"/>
                    </w:r>
                    <w:r>
                      <w:rPr>
                        <w:rFonts w:ascii="Calibri" w:hAnsi="Calibri"/>
                      </w:rPr>
                      <w:t>8</w:t>
                    </w:r>
                    <w:r>
                      <w:rPr>
                        <w:rFonts w:hint="eastAsia" w:ascii="Calibri" w:hAnsi="Calibri"/>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AC600">
    <w:pPr>
      <w:pStyle w:val="18"/>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D7DD39">
                          <w:pPr>
                            <w:pStyle w:val="18"/>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01D7DD39">
                    <w:pPr>
                      <w:pStyle w:val="18"/>
                    </w:pPr>
                    <w:r>
                      <w:fldChar w:fldCharType="begin"/>
                    </w:r>
                    <w:r>
                      <w:instrText xml:space="preserve"> PAGE  \* MERGEFORMAT </w:instrText>
                    </w:r>
                    <w:r>
                      <w:fldChar w:fldCharType="separate"/>
                    </w:r>
                    <w:r>
                      <w:t>71</w:t>
                    </w:r>
                    <w:r>
                      <w:fldChar w:fldCharType="end"/>
                    </w:r>
                  </w:p>
                </w:txbxContent>
              </v:textbox>
            </v:shape>
          </w:pict>
        </mc:Fallback>
      </mc:AlternateContent>
    </w:r>
  </w:p>
  <w:p w14:paraId="1CA22F85">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4A7C8">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B81E6C7">
                          <w:pPr>
                            <w:pStyle w:val="18"/>
                          </w:pPr>
                          <w:r>
                            <w:fldChar w:fldCharType="begin"/>
                          </w:r>
                          <w:r>
                            <w:instrText xml:space="preserve"> PAGE  \* MERGEFORMAT </w:instrText>
                          </w:r>
                          <w:r>
                            <w:fldChar w:fldCharType="separate"/>
                          </w:r>
                          <w:r>
                            <w:t>63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5B81E6C7">
                    <w:pPr>
                      <w:pStyle w:val="18"/>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C9171">
    <w:pPr>
      <w:pStyle w:val="19"/>
      <w:tabs>
        <w:tab w:val="center" w:pos="0"/>
        <w:tab w:val="clear" w:pos="4153"/>
      </w:tabs>
    </w:pPr>
    <w:r>
      <w:rPr>
        <w:vanish/>
        <w:highlight w:val="yellow"/>
      </w:rPr>
      <w:t>&gt;</w:t>
    </w:r>
  </w:p>
  <w:p w14:paraId="0B81AB33">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383914"/>
    <w:multiLevelType w:val="singleLevel"/>
    <w:tmpl w:val="98383914"/>
    <w:lvl w:ilvl="0" w:tentative="0">
      <w:start w:val="9"/>
      <w:numFmt w:val="chineseCounting"/>
      <w:suff w:val="nothing"/>
      <w:lvlText w:val="第%1条　"/>
      <w:lvlJc w:val="left"/>
      <w:rPr>
        <w:rFonts w:hint="eastAsia"/>
      </w:rPr>
    </w:lvl>
  </w:abstractNum>
  <w:abstractNum w:abstractNumId="1">
    <w:nsid w:val="BBC07B2F"/>
    <w:multiLevelType w:val="singleLevel"/>
    <w:tmpl w:val="BBC07B2F"/>
    <w:lvl w:ilvl="0" w:tentative="0">
      <w:start w:val="1"/>
      <w:numFmt w:val="chineseCounting"/>
      <w:suff w:val="space"/>
      <w:lvlText w:val="第%1章"/>
      <w:lvlJc w:val="left"/>
      <w:rPr>
        <w:rFonts w:hint="eastAsia"/>
      </w:rPr>
    </w:lvl>
  </w:abstractNum>
  <w:abstractNum w:abstractNumId="2">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84D66B7"/>
    <w:multiLevelType w:val="singleLevel"/>
    <w:tmpl w:val="184D66B7"/>
    <w:lvl w:ilvl="0" w:tentative="0">
      <w:start w:val="1"/>
      <w:numFmt w:val="decimal"/>
      <w:pStyle w:val="9"/>
      <w:lvlText w:val="%1."/>
      <w:lvlJc w:val="left"/>
      <w:pPr>
        <w:tabs>
          <w:tab w:val="left" w:pos="360"/>
        </w:tabs>
        <w:ind w:left="360" w:hanging="360"/>
      </w:pPr>
    </w:lvl>
  </w:abstractNum>
  <w:abstractNum w:abstractNumId="4">
    <w:nsid w:val="691E0A4A"/>
    <w:multiLevelType w:val="singleLevel"/>
    <w:tmpl w:val="691E0A4A"/>
    <w:lvl w:ilvl="0" w:tentative="0">
      <w:start w:val="10"/>
      <w:numFmt w:val="decimal"/>
      <w:lvlText w:val="%1."/>
      <w:lvlJc w:val="left"/>
      <w:pPr>
        <w:tabs>
          <w:tab w:val="left" w:pos="312"/>
        </w:tabs>
      </w:pPr>
    </w:lvl>
  </w:abstractNum>
  <w:num w:numId="1">
    <w:abstractNumId w:val="3"/>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5OTYxMTc2MmNkN2M1M2ViYjNlZjBhYTM4OTIzYzEifQ=="/>
  </w:docVars>
  <w:rsids>
    <w:rsidRoot w:val="00657126"/>
    <w:rsid w:val="00202730"/>
    <w:rsid w:val="00303F39"/>
    <w:rsid w:val="005419C9"/>
    <w:rsid w:val="006100AC"/>
    <w:rsid w:val="00657126"/>
    <w:rsid w:val="006D0609"/>
    <w:rsid w:val="007E36D0"/>
    <w:rsid w:val="00B8127D"/>
    <w:rsid w:val="00EC1E47"/>
    <w:rsid w:val="01115B19"/>
    <w:rsid w:val="03600692"/>
    <w:rsid w:val="04366C41"/>
    <w:rsid w:val="04597667"/>
    <w:rsid w:val="04693B13"/>
    <w:rsid w:val="052E656D"/>
    <w:rsid w:val="074B0F17"/>
    <w:rsid w:val="08073502"/>
    <w:rsid w:val="08275C22"/>
    <w:rsid w:val="09BA3109"/>
    <w:rsid w:val="0AA842A9"/>
    <w:rsid w:val="0B5F3925"/>
    <w:rsid w:val="0CEF1837"/>
    <w:rsid w:val="0D15198D"/>
    <w:rsid w:val="0D2239C4"/>
    <w:rsid w:val="0E440196"/>
    <w:rsid w:val="0E552DBD"/>
    <w:rsid w:val="101A42BE"/>
    <w:rsid w:val="105A31A5"/>
    <w:rsid w:val="120751BD"/>
    <w:rsid w:val="12577104"/>
    <w:rsid w:val="128A1181"/>
    <w:rsid w:val="14DA03D4"/>
    <w:rsid w:val="15A23077"/>
    <w:rsid w:val="15D62A35"/>
    <w:rsid w:val="15FD4781"/>
    <w:rsid w:val="164911B1"/>
    <w:rsid w:val="18D53502"/>
    <w:rsid w:val="19D61256"/>
    <w:rsid w:val="1B2B3D91"/>
    <w:rsid w:val="1B44724F"/>
    <w:rsid w:val="1B587EFF"/>
    <w:rsid w:val="1B965141"/>
    <w:rsid w:val="1C675A2F"/>
    <w:rsid w:val="1C9E11EB"/>
    <w:rsid w:val="1CE11FE2"/>
    <w:rsid w:val="1D2E600F"/>
    <w:rsid w:val="1DAB4F71"/>
    <w:rsid w:val="1E570B35"/>
    <w:rsid w:val="21E47825"/>
    <w:rsid w:val="22435E09"/>
    <w:rsid w:val="237925D6"/>
    <w:rsid w:val="241E2177"/>
    <w:rsid w:val="243F4C2A"/>
    <w:rsid w:val="25F413E1"/>
    <w:rsid w:val="26ED699A"/>
    <w:rsid w:val="2737519E"/>
    <w:rsid w:val="27536A11"/>
    <w:rsid w:val="279C5CDC"/>
    <w:rsid w:val="27B60C7C"/>
    <w:rsid w:val="29A73D56"/>
    <w:rsid w:val="29E77BA2"/>
    <w:rsid w:val="29FF2103"/>
    <w:rsid w:val="2AF54300"/>
    <w:rsid w:val="2B345DDC"/>
    <w:rsid w:val="2B7A1404"/>
    <w:rsid w:val="2B80263C"/>
    <w:rsid w:val="2BEE60E5"/>
    <w:rsid w:val="2C3A26E7"/>
    <w:rsid w:val="2CDF1F2B"/>
    <w:rsid w:val="2D517119"/>
    <w:rsid w:val="31193843"/>
    <w:rsid w:val="31BA0817"/>
    <w:rsid w:val="34A73AC3"/>
    <w:rsid w:val="369F496F"/>
    <w:rsid w:val="39457BDA"/>
    <w:rsid w:val="3A802021"/>
    <w:rsid w:val="3A846E99"/>
    <w:rsid w:val="3C6B736F"/>
    <w:rsid w:val="3CAA5C20"/>
    <w:rsid w:val="3E6019A7"/>
    <w:rsid w:val="3E7A3FF6"/>
    <w:rsid w:val="409745AE"/>
    <w:rsid w:val="41471CC2"/>
    <w:rsid w:val="418A4465"/>
    <w:rsid w:val="419034DB"/>
    <w:rsid w:val="430B5B29"/>
    <w:rsid w:val="43E53CC0"/>
    <w:rsid w:val="46C02751"/>
    <w:rsid w:val="48131B60"/>
    <w:rsid w:val="486B0E7F"/>
    <w:rsid w:val="487C20F3"/>
    <w:rsid w:val="49EB7B56"/>
    <w:rsid w:val="4A9B77CE"/>
    <w:rsid w:val="4D1B0E4D"/>
    <w:rsid w:val="4D1D2338"/>
    <w:rsid w:val="4DFA764D"/>
    <w:rsid w:val="4F407BF2"/>
    <w:rsid w:val="4F4B4B89"/>
    <w:rsid w:val="4F623DCB"/>
    <w:rsid w:val="4FFB3B5A"/>
    <w:rsid w:val="5043693E"/>
    <w:rsid w:val="51273B6A"/>
    <w:rsid w:val="51793729"/>
    <w:rsid w:val="51D8078C"/>
    <w:rsid w:val="52AB2578"/>
    <w:rsid w:val="53BA0C6B"/>
    <w:rsid w:val="547C0A4F"/>
    <w:rsid w:val="58390507"/>
    <w:rsid w:val="5B417EA0"/>
    <w:rsid w:val="5B472E6E"/>
    <w:rsid w:val="5C0C052C"/>
    <w:rsid w:val="5C205738"/>
    <w:rsid w:val="5EB17E4C"/>
    <w:rsid w:val="623F1255"/>
    <w:rsid w:val="63FB6FC6"/>
    <w:rsid w:val="64951382"/>
    <w:rsid w:val="66817531"/>
    <w:rsid w:val="66B21381"/>
    <w:rsid w:val="6AA533D7"/>
    <w:rsid w:val="6ABE6E95"/>
    <w:rsid w:val="6BFE6840"/>
    <w:rsid w:val="6E604CFA"/>
    <w:rsid w:val="6E745E0C"/>
    <w:rsid w:val="6EFB7FAE"/>
    <w:rsid w:val="6FC84312"/>
    <w:rsid w:val="6FD341E3"/>
    <w:rsid w:val="70DB0321"/>
    <w:rsid w:val="742D5658"/>
    <w:rsid w:val="745956AC"/>
    <w:rsid w:val="745D2E4A"/>
    <w:rsid w:val="74B44E65"/>
    <w:rsid w:val="74EB4D2A"/>
    <w:rsid w:val="765E7680"/>
    <w:rsid w:val="76E60A6A"/>
    <w:rsid w:val="778B74AC"/>
    <w:rsid w:val="7A2D430B"/>
    <w:rsid w:val="7C1551D8"/>
    <w:rsid w:val="7C8C44A5"/>
    <w:rsid w:val="7D3B00B0"/>
    <w:rsid w:val="7ED909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widowControl/>
      <w:spacing w:before="120" w:after="120" w:line="360" w:lineRule="auto"/>
      <w:jc w:val="center"/>
      <w:outlineLvl w:val="3"/>
    </w:pPr>
    <w:rPr>
      <w:rFonts w:eastAsia="Ђˎ̥"/>
      <w:kern w:val="0"/>
      <w:sz w:val="28"/>
      <w:szCs w:val="20"/>
    </w:rPr>
  </w:style>
  <w:style w:type="paragraph" w:styleId="8">
    <w:name w:val="heading 5"/>
    <w:basedOn w:val="1"/>
    <w:next w:val="1"/>
    <w:unhideWhenUsed/>
    <w:qFormat/>
    <w:uiPriority w:val="0"/>
    <w:pPr>
      <w:keepNext/>
      <w:keepLines/>
      <w:spacing w:line="372" w:lineRule="auto"/>
      <w:outlineLvl w:val="4"/>
    </w:pPr>
    <w:rPr>
      <w:b/>
      <w:sz w:val="28"/>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33"/>
    <w:unhideWhenUsed/>
    <w:qFormat/>
    <w:uiPriority w:val="0"/>
    <w:pPr>
      <w:spacing w:after="120"/>
    </w:pPr>
  </w:style>
  <w:style w:type="paragraph" w:customStyle="1" w:styleId="3">
    <w:name w:val="目录 91"/>
    <w:basedOn w:val="1"/>
    <w:next w:val="1"/>
    <w:semiHidden/>
    <w:qFormat/>
    <w:uiPriority w:val="0"/>
    <w:pPr>
      <w:widowControl w:val="0"/>
      <w:autoSpaceDE/>
      <w:autoSpaceDN/>
      <w:spacing w:before="0" w:after="0" w:line="240" w:lineRule="auto"/>
      <w:ind w:left="1680" w:firstLine="0"/>
    </w:pPr>
    <w:rPr>
      <w:rFonts w:ascii="Times New Roman" w:eastAsia="宋体"/>
      <w:sz w:val="18"/>
    </w:rPr>
  </w:style>
  <w:style w:type="paragraph" w:styleId="9">
    <w:name w:val="List Number"/>
    <w:basedOn w:val="1"/>
    <w:qFormat/>
    <w:uiPriority w:val="0"/>
    <w:pPr>
      <w:numPr>
        <w:ilvl w:val="0"/>
        <w:numId w:val="1"/>
      </w:numPr>
    </w:pPr>
  </w:style>
  <w:style w:type="paragraph" w:styleId="10">
    <w:name w:val="Normal Indent"/>
    <w:basedOn w:val="1"/>
    <w:unhideWhenUsed/>
    <w:qFormat/>
    <w:uiPriority w:val="99"/>
    <w:pPr>
      <w:ind w:firstLine="420"/>
    </w:pPr>
    <w:rPr>
      <w:szCs w:val="20"/>
    </w:rPr>
  </w:style>
  <w:style w:type="paragraph" w:styleId="11">
    <w:name w:val="annotation text"/>
    <w:basedOn w:val="1"/>
    <w:unhideWhenUsed/>
    <w:qFormat/>
    <w:uiPriority w:val="99"/>
    <w:pPr>
      <w:jc w:val="left"/>
    </w:pPr>
  </w:style>
  <w:style w:type="paragraph" w:styleId="12">
    <w:name w:val="Body Text 3"/>
    <w:basedOn w:val="1"/>
    <w:unhideWhenUsed/>
    <w:qFormat/>
    <w:uiPriority w:val="99"/>
    <w:pPr>
      <w:spacing w:after="120"/>
    </w:pPr>
    <w:rPr>
      <w:sz w:val="16"/>
      <w:szCs w:val="16"/>
    </w:rPr>
  </w:style>
  <w:style w:type="paragraph" w:styleId="13">
    <w:name w:val="Body Text Indent"/>
    <w:basedOn w:val="1"/>
    <w:qFormat/>
    <w:uiPriority w:val="99"/>
    <w:pPr>
      <w:ind w:firstLine="830" w:firstLineChars="352"/>
    </w:pPr>
    <w:rPr>
      <w:rFonts w:ascii="仿宋_GB2312" w:eastAsia="仿宋_GB2312"/>
      <w:kern w:val="0"/>
      <w:sz w:val="32"/>
      <w:szCs w:val="20"/>
    </w:rPr>
  </w:style>
  <w:style w:type="paragraph" w:styleId="14">
    <w:name w:val="List 2"/>
    <w:basedOn w:val="1"/>
    <w:unhideWhenUsed/>
    <w:qFormat/>
    <w:uiPriority w:val="99"/>
    <w:pPr>
      <w:ind w:left="100" w:leftChars="200" w:hanging="200" w:hangingChars="200"/>
      <w:contextualSpacing/>
    </w:pPr>
  </w:style>
  <w:style w:type="paragraph" w:styleId="15">
    <w:name w:val="toc 3"/>
    <w:basedOn w:val="1"/>
    <w:next w:val="1"/>
    <w:qFormat/>
    <w:uiPriority w:val="0"/>
    <w:pPr>
      <w:ind w:left="840" w:leftChars="400"/>
    </w:pPr>
  </w:style>
  <w:style w:type="paragraph" w:styleId="16">
    <w:name w:val="Plain Text"/>
    <w:basedOn w:val="1"/>
    <w:next w:val="17"/>
    <w:qFormat/>
    <w:uiPriority w:val="99"/>
    <w:rPr>
      <w:rFonts w:ascii="宋体" w:hAnsi="Courier New"/>
      <w:kern w:val="0"/>
      <w:sz w:val="20"/>
      <w:szCs w:val="21"/>
    </w:rPr>
  </w:style>
  <w:style w:type="paragraph" w:styleId="17">
    <w:name w:val="Date"/>
    <w:basedOn w:val="1"/>
    <w:next w:val="1"/>
    <w:unhideWhenUsed/>
    <w:qFormat/>
    <w:uiPriority w:val="99"/>
    <w:pPr>
      <w:ind w:left="100" w:leftChars="2500"/>
    </w:pPr>
  </w:style>
  <w:style w:type="paragraph" w:styleId="18">
    <w:name w:val="footer"/>
    <w:basedOn w:val="1"/>
    <w:next w:val="1"/>
    <w:unhideWhenUsed/>
    <w:qFormat/>
    <w:uiPriority w:val="99"/>
    <w:pPr>
      <w:tabs>
        <w:tab w:val="center" w:pos="4153"/>
        <w:tab w:val="right" w:pos="8306"/>
      </w:tabs>
      <w:snapToGrid w:val="0"/>
      <w:jc w:val="left"/>
    </w:pPr>
    <w:rPr>
      <w:kern w:val="0"/>
      <w:sz w:val="18"/>
      <w:szCs w:val="18"/>
    </w:rPr>
  </w:style>
  <w:style w:type="paragraph" w:styleId="19">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qFormat/>
    <w:uiPriority w:val="0"/>
  </w:style>
  <w:style w:type="paragraph" w:styleId="21">
    <w:name w:val="List"/>
    <w:basedOn w:val="1"/>
    <w:unhideWhenUsed/>
    <w:qFormat/>
    <w:uiPriority w:val="99"/>
    <w:pPr>
      <w:ind w:left="200" w:hanging="200" w:hangingChars="200"/>
      <w:contextualSpacing/>
    </w:pPr>
  </w:style>
  <w:style w:type="paragraph" w:styleId="22">
    <w:name w:val="Body Text Indent 3"/>
    <w:basedOn w:val="1"/>
    <w:next w:val="23"/>
    <w:qFormat/>
    <w:uiPriority w:val="0"/>
    <w:pPr>
      <w:spacing w:after="120"/>
      <w:ind w:left="420" w:leftChars="200"/>
    </w:pPr>
    <w:rPr>
      <w:kern w:val="0"/>
      <w:sz w:val="16"/>
      <w:szCs w:val="16"/>
    </w:rPr>
  </w:style>
  <w:style w:type="paragraph" w:styleId="23">
    <w:name w:val="index 1"/>
    <w:basedOn w:val="1"/>
    <w:next w:val="1"/>
    <w:qFormat/>
    <w:uiPriority w:val="0"/>
    <w:pPr>
      <w:spacing w:line="400" w:lineRule="exact"/>
      <w:ind w:firstLine="420" w:firstLineChars="200"/>
    </w:pPr>
    <w:rPr>
      <w:rFonts w:ascii="宋体" w:hAnsi="Courier New"/>
      <w:b/>
      <w:szCs w:val="20"/>
    </w:rPr>
  </w:style>
  <w:style w:type="paragraph" w:styleId="2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5">
    <w:name w:val="Body Text First Indent 2"/>
    <w:basedOn w:val="13"/>
    <w:unhideWhenUsed/>
    <w:qFormat/>
    <w:uiPriority w:val="99"/>
    <w:pPr>
      <w:tabs>
        <w:tab w:val="left" w:pos="0"/>
      </w:tabs>
      <w:spacing w:after="120"/>
      <w:ind w:left="420" w:leftChars="200" w:firstLine="420" w:firstLineChars="200"/>
    </w:pPr>
    <w:rPr>
      <w:spacing w:val="-4"/>
      <w:sz w:val="21"/>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rPr>
  </w:style>
  <w:style w:type="character" w:styleId="30">
    <w:name w:val="page number"/>
    <w:basedOn w:val="28"/>
    <w:unhideWhenUsed/>
    <w:qFormat/>
    <w:uiPriority w:val="99"/>
  </w:style>
  <w:style w:type="character" w:styleId="31">
    <w:name w:val="FollowedHyperlink"/>
    <w:basedOn w:val="28"/>
    <w:unhideWhenUsed/>
    <w:qFormat/>
    <w:uiPriority w:val="99"/>
    <w:rPr>
      <w:color w:val="800080"/>
      <w:u w:val="single"/>
    </w:rPr>
  </w:style>
  <w:style w:type="character" w:styleId="32">
    <w:name w:val="Hyperlink"/>
    <w:unhideWhenUsed/>
    <w:qFormat/>
    <w:uiPriority w:val="99"/>
    <w:rPr>
      <w:color w:val="0000FF"/>
      <w:u w:val="single"/>
    </w:rPr>
  </w:style>
  <w:style w:type="character" w:customStyle="1" w:styleId="33">
    <w:name w:val="正文文本 Char1"/>
    <w:link w:val="2"/>
    <w:qFormat/>
    <w:uiPriority w:val="0"/>
    <w:rPr>
      <w:kern w:val="2"/>
      <w:sz w:val="21"/>
      <w:szCs w:val="24"/>
    </w:rPr>
  </w:style>
  <w:style w:type="paragraph" w:customStyle="1" w:styleId="34">
    <w:name w:val="列出段落1"/>
    <w:basedOn w:val="1"/>
    <w:qFormat/>
    <w:uiPriority w:val="34"/>
    <w:pPr>
      <w:ind w:firstLine="420" w:firstLineChars="200"/>
    </w:pPr>
    <w:rPr>
      <w:rFonts w:ascii="宋体" w:hAnsi="Courier New"/>
      <w:szCs w:val="20"/>
    </w:rPr>
  </w:style>
  <w:style w:type="paragraph" w:customStyle="1" w:styleId="35">
    <w:name w:val="正文2"/>
    <w:basedOn w:val="1"/>
    <w:qFormat/>
    <w:uiPriority w:val="0"/>
    <w:pPr>
      <w:adjustRightInd w:val="0"/>
      <w:spacing w:before="156" w:line="360" w:lineRule="auto"/>
      <w:ind w:firstLine="510" w:firstLineChars="200"/>
    </w:pPr>
    <w:rPr>
      <w:kern w:val="0"/>
      <w:sz w:val="24"/>
      <w:szCs w:val="20"/>
    </w:rPr>
  </w:style>
  <w:style w:type="paragraph" w:customStyle="1" w:styleId="36">
    <w:name w:val="Table Text"/>
    <w:basedOn w:val="1"/>
    <w:semiHidden/>
    <w:qFormat/>
    <w:uiPriority w:val="0"/>
    <w:rPr>
      <w:rFonts w:ascii="宋体" w:hAnsi="宋体" w:cs="宋体"/>
      <w:sz w:val="20"/>
      <w:szCs w:val="20"/>
      <w:lang w:eastAsia="en-US"/>
    </w:rPr>
  </w:style>
  <w:style w:type="table" w:customStyle="1" w:styleId="37">
    <w:name w:val="Table Normal"/>
    <w:unhideWhenUsed/>
    <w:qFormat/>
    <w:uiPriority w:val="0"/>
    <w:tblPr>
      <w:tblCellMar>
        <w:top w:w="0" w:type="dxa"/>
        <w:left w:w="0" w:type="dxa"/>
        <w:bottom w:w="0" w:type="dxa"/>
        <w:right w:w="0" w:type="dxa"/>
      </w:tblCellMar>
    </w:tblPr>
  </w:style>
  <w:style w:type="character" w:customStyle="1" w:styleId="38">
    <w:name w:val="font21"/>
    <w:basedOn w:val="28"/>
    <w:qFormat/>
    <w:uiPriority w:val="0"/>
    <w:rPr>
      <w:rFonts w:hint="eastAsia" w:ascii="宋体" w:hAnsi="宋体" w:eastAsia="宋体" w:cs="宋体"/>
      <w:color w:val="000000"/>
      <w:sz w:val="20"/>
      <w:szCs w:val="20"/>
      <w:u w:val="none"/>
    </w:rPr>
  </w:style>
  <w:style w:type="character" w:customStyle="1" w:styleId="39">
    <w:name w:val="font31"/>
    <w:basedOn w:val="28"/>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70</Pages>
  <Words>167</Words>
  <Characters>197</Characters>
  <Lines>337</Lines>
  <Paragraphs>94</Paragraphs>
  <TotalTime>35</TotalTime>
  <ScaleCrop>false</ScaleCrop>
  <LinksUpToDate>false</LinksUpToDate>
  <CharactersWithSpaces>222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2025-04-29T07:48:00Z</dcterms:created>
  <dc:creator>Administrator</dc:creator>
  <cp:lastModifiedBy>炎炎</cp:lastModifiedBy>
  <dcterms:modified xsi:type="dcterms:W3CDTF">2025-08-21T04:02:29Z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A5BB635707364AACAA260208361E466E_13</vt:lpwstr>
  </property>
  <property fmtid="{D5CDD505-2E9C-101B-9397-08002B2CF9AE}" pid="4" name="KSOTemplateDocerSaveRecord">
    <vt:lpwstr>eyJoZGlkIjoiYmIyYzQ5YjI5Y2Y2NWQzMTgwOGQ3OTEwYjg2NjlhYzEiLCJ1c2VySWQiOiIxMTY2MzcwOTA2In0=</vt:lpwstr>
  </property>
</Properties>
</file>