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5310">
      <w:pPr>
        <w:pStyle w:val="12"/>
        <w:jc w:val="both"/>
        <w:rPr>
          <w:rFonts w:hint="eastAsia" w:ascii="宋体" w:hAnsi="宋体" w:eastAsia="宋体" w:cs="宋体"/>
          <w:b/>
          <w:color w:val="auto"/>
          <w:spacing w:val="-2"/>
          <w:sz w:val="90"/>
          <w:szCs w:val="90"/>
          <w:highlight w:val="none"/>
          <w14:shadow w14:blurRad="50800" w14:dist="38100" w14:dir="10800000" w14:sx="100000" w14:sy="100000" w14:kx="0" w14:ky="0" w14:algn="r">
            <w14:srgbClr w14:val="000000">
              <w14:alpha w14:val="60000"/>
            </w14:srgbClr>
          </w14:shadow>
        </w:rPr>
      </w:pPr>
      <w:r>
        <w:rPr>
          <w:color w:val="auto"/>
        </w:rPr>
        <w:drawing>
          <wp:anchor distT="0" distB="0" distL="114300" distR="114300" simplePos="0" relativeHeight="251663360" behindDoc="1" locked="0" layoutInCell="1" allowOverlap="1">
            <wp:simplePos x="0" y="0"/>
            <wp:positionH relativeFrom="column">
              <wp:posOffset>666750</wp:posOffset>
            </wp:positionH>
            <wp:positionV relativeFrom="paragraph">
              <wp:posOffset>-102870</wp:posOffset>
            </wp:positionV>
            <wp:extent cx="4290060" cy="3082290"/>
            <wp:effectExtent l="0" t="0" r="34290" b="41910"/>
            <wp:wrapTight wrapText="bothSides">
              <wp:wrapPolygon>
                <wp:start x="0" y="0"/>
                <wp:lineTo x="0" y="21493"/>
                <wp:lineTo x="21485" y="21493"/>
                <wp:lineTo x="21485" y="0"/>
                <wp:lineTo x="0" y="0"/>
              </wp:wrapPolygon>
            </wp:wrapTight>
            <wp:docPr id="9" name="图片 9" descr="QQ_172170019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_1721700190371"/>
                    <pic:cNvPicPr>
                      <a:picLocks noChangeAspect="1"/>
                    </pic:cNvPicPr>
                  </pic:nvPicPr>
                  <pic:blipFill>
                    <a:blip r:embed="rId13"/>
                    <a:stretch>
                      <a:fillRect/>
                    </a:stretch>
                  </pic:blipFill>
                  <pic:spPr>
                    <a:xfrm>
                      <a:off x="1673860" y="1049020"/>
                      <a:ext cx="4290060" cy="3082290"/>
                    </a:xfrm>
                    <a:prstGeom prst="rect">
                      <a:avLst/>
                    </a:prstGeom>
                    <a:noFill/>
                    <a:ln>
                      <a:noFill/>
                    </a:ln>
                  </pic:spPr>
                </pic:pic>
              </a:graphicData>
            </a:graphic>
          </wp:anchor>
        </w:drawing>
      </w:r>
    </w:p>
    <w:p w14:paraId="4F318249">
      <w:pPr>
        <w:pStyle w:val="12"/>
        <w:jc w:val="both"/>
        <w:rPr>
          <w:rFonts w:hint="eastAsia" w:ascii="宋体" w:hAnsi="宋体" w:eastAsia="宋体" w:cs="宋体"/>
          <w:b/>
          <w:color w:val="auto"/>
          <w:spacing w:val="-2"/>
          <w:sz w:val="90"/>
          <w:szCs w:val="90"/>
          <w:highlight w:val="none"/>
          <w14:shadow w14:blurRad="50800" w14:dist="38100" w14:dir="10800000" w14:sx="100000" w14:sy="100000" w14:kx="0" w14:ky="0" w14:algn="r">
            <w14:srgbClr w14:val="000000">
              <w14:alpha w14:val="60000"/>
            </w14:srgbClr>
          </w14:shadow>
        </w:rPr>
      </w:pPr>
    </w:p>
    <w:p w14:paraId="123C26DF">
      <w:pPr>
        <w:pStyle w:val="12"/>
        <w:jc w:val="both"/>
        <w:rPr>
          <w:rFonts w:hint="eastAsia" w:ascii="宋体" w:hAnsi="宋体" w:eastAsia="宋体" w:cs="宋体"/>
          <w:b/>
          <w:color w:val="auto"/>
          <w:spacing w:val="-2"/>
          <w:sz w:val="90"/>
          <w:szCs w:val="90"/>
          <w:highlight w:val="none"/>
          <w14:shadow w14:blurRad="50800" w14:dist="38100" w14:dir="10800000" w14:sx="100000" w14:sy="100000" w14:kx="0" w14:ky="0" w14:algn="r">
            <w14:srgbClr w14:val="000000">
              <w14:alpha w14:val="60000"/>
            </w14:srgbClr>
          </w14:shadow>
        </w:rPr>
      </w:pPr>
    </w:p>
    <w:p w14:paraId="204AB16E">
      <w:pPr>
        <w:pStyle w:val="12"/>
        <w:jc w:val="center"/>
        <w:rPr>
          <w:rFonts w:hint="eastAsia" w:ascii="宋体" w:hAnsi="宋体" w:eastAsia="宋体" w:cs="宋体"/>
          <w:b/>
          <w:color w:val="auto"/>
          <w:spacing w:val="-2"/>
          <w:sz w:val="90"/>
          <w:szCs w:val="90"/>
          <w:highlight w:val="none"/>
          <w14:shadow w14:blurRad="50800" w14:dist="38100" w14:dir="10800000" w14:sx="100000" w14:sy="100000" w14:kx="0" w14:ky="0" w14:algn="r">
            <w14:srgbClr w14:val="000000">
              <w14:alpha w14:val="60000"/>
            </w14:srgbClr>
          </w14:shadow>
        </w:rPr>
      </w:pPr>
    </w:p>
    <w:p w14:paraId="2A20FAEF">
      <w:pPr>
        <w:pStyle w:val="12"/>
        <w:jc w:val="center"/>
        <w:rPr>
          <w:rFonts w:hint="eastAsia" w:ascii="宋体" w:hAnsi="宋体" w:eastAsia="宋体" w:cs="宋体"/>
          <w:b/>
          <w:color w:val="auto"/>
          <w:spacing w:val="-2"/>
          <w:sz w:val="90"/>
          <w:szCs w:val="90"/>
          <w:highlight w:val="none"/>
          <w14:shadow w14:blurRad="50800" w14:dist="38100" w14:dir="10800000" w14:sx="100000" w14:sy="100000" w14:kx="0" w14:ky="0" w14:algn="r">
            <w14:srgbClr w14:val="000000">
              <w14:alpha w14:val="60000"/>
            </w14:srgbClr>
          </w14:shadow>
        </w:rPr>
      </w:pPr>
      <w:r>
        <w:rPr>
          <w:rFonts w:hint="eastAsia" w:ascii="宋体" w:hAnsi="宋体" w:eastAsia="宋体" w:cs="宋体"/>
          <w:b/>
          <w:color w:val="auto"/>
          <w:spacing w:val="-2"/>
          <w:sz w:val="90"/>
          <w:szCs w:val="90"/>
          <w:highlight w:val="none"/>
          <w14:shadow w14:blurRad="50800" w14:dist="38100" w14:dir="10800000" w14:sx="100000" w14:sy="100000" w14:kx="0" w14:ky="0" w14:algn="r">
            <w14:srgbClr w14:val="000000">
              <w14:alpha w14:val="60000"/>
            </w14:srgbClr>
          </w14:shadow>
        </w:rPr>
        <w:t>竞争性磋商文件</w:t>
      </w:r>
    </w:p>
    <w:p w14:paraId="4A7AD050">
      <w:pPr>
        <w:jc w:val="center"/>
        <w:rPr>
          <w:rFonts w:hint="eastAsia" w:ascii="宋体" w:hAnsi="宋体" w:eastAsia="宋体" w:cs="宋体"/>
          <w:b/>
          <w:color w:val="auto"/>
          <w:sz w:val="24"/>
          <w:szCs w:val="24"/>
          <w:highlight w:val="none"/>
        </w:rPr>
      </w:pPr>
      <w:r>
        <w:rPr>
          <w:rFonts w:hint="eastAsia" w:ascii="宋体" w:hAnsi="宋体"/>
          <w:b/>
          <w:bCs/>
          <w:color w:val="auto"/>
          <w:sz w:val="28"/>
          <w:szCs w:val="28"/>
          <w:highlight w:val="none"/>
        </w:rPr>
        <w:t>（全流程电子化评标）</w:t>
      </w:r>
    </w:p>
    <w:p w14:paraId="6D390DF8">
      <w:pPr>
        <w:spacing w:line="480" w:lineRule="auto"/>
        <w:ind w:firstLine="602" w:firstLineChars="200"/>
        <w:rPr>
          <w:rFonts w:hint="eastAsia" w:ascii="宋体" w:hAnsi="宋体" w:eastAsia="宋体" w:cs="宋体"/>
          <w:b/>
          <w:bCs/>
          <w:color w:val="auto"/>
          <w:sz w:val="30"/>
          <w:szCs w:val="30"/>
          <w:highlight w:val="none"/>
        </w:rPr>
      </w:pPr>
    </w:p>
    <w:p w14:paraId="2B742EAA">
      <w:pPr>
        <w:spacing w:line="480" w:lineRule="auto"/>
        <w:ind w:firstLine="602" w:firstLineChars="200"/>
        <w:rPr>
          <w:rFonts w:hint="eastAsia" w:ascii="宋体" w:hAnsi="宋体" w:eastAsia="宋体" w:cs="宋体"/>
          <w:b/>
          <w:bCs/>
          <w:color w:val="auto"/>
          <w:sz w:val="30"/>
          <w:szCs w:val="30"/>
          <w:highlight w:val="none"/>
        </w:rPr>
      </w:pPr>
    </w:p>
    <w:p w14:paraId="0BB65541">
      <w:pPr>
        <w:spacing w:line="480" w:lineRule="auto"/>
        <w:ind w:firstLine="602" w:firstLineChars="2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eastAsia="zh-CN"/>
        </w:rPr>
        <w:t>港口区民族同心文化石榴园工程项目</w:t>
      </w:r>
    </w:p>
    <w:p w14:paraId="36D28228">
      <w:pPr>
        <w:spacing w:line="480" w:lineRule="auto"/>
        <w:ind w:firstLine="602" w:firstLineChars="200"/>
        <w:rPr>
          <w:rFonts w:hint="eastAsia" w:ascii="宋体" w:hAnsi="宋体" w:eastAsia="宋体" w:cs="宋体"/>
          <w:b/>
          <w:bCs/>
          <w:color w:val="auto"/>
          <w:sz w:val="36"/>
          <w:szCs w:val="36"/>
          <w:highlight w:val="none"/>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0"/>
          <w:szCs w:val="30"/>
          <w:highlight w:val="none"/>
          <w:lang w:eastAsia="zh-CN"/>
        </w:rPr>
        <w:t>FCZC2025-C2-020045-GXXH</w:t>
      </w:r>
    </w:p>
    <w:p w14:paraId="43003DF6">
      <w:pPr>
        <w:spacing w:line="360" w:lineRule="auto"/>
        <w:ind w:left="638" w:leftChars="304" w:firstLine="643" w:firstLineChars="200"/>
        <w:rPr>
          <w:rFonts w:hint="eastAsia" w:ascii="宋体" w:hAnsi="宋体" w:eastAsia="宋体" w:cs="宋体"/>
          <w:b/>
          <w:bCs/>
          <w:color w:val="auto"/>
          <w:sz w:val="32"/>
          <w:szCs w:val="32"/>
          <w:highlight w:val="none"/>
        </w:rPr>
      </w:pPr>
    </w:p>
    <w:p w14:paraId="63556A59">
      <w:pPr>
        <w:spacing w:line="360" w:lineRule="auto"/>
        <w:rPr>
          <w:rFonts w:hint="eastAsia" w:ascii="宋体" w:hAnsi="宋体" w:eastAsia="宋体" w:cs="宋体"/>
          <w:b/>
          <w:bCs/>
          <w:color w:val="auto"/>
          <w:sz w:val="32"/>
          <w:szCs w:val="32"/>
          <w:highlight w:val="none"/>
        </w:rPr>
      </w:pPr>
    </w:p>
    <w:p w14:paraId="1DD77BBF">
      <w:pPr>
        <w:spacing w:line="360" w:lineRule="auto"/>
        <w:ind w:firstLine="643" w:firstLineChars="200"/>
        <w:jc w:val="both"/>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color w:val="auto"/>
          <w:sz w:val="32"/>
          <w:szCs w:val="32"/>
          <w:highlight w:val="none"/>
          <w:lang w:val="en-US" w:eastAsia="zh-CN"/>
        </w:rPr>
        <w:t>防城港市港口区住房和城乡建设局</w:t>
      </w:r>
    </w:p>
    <w:p w14:paraId="39CA23BD">
      <w:pPr>
        <w:spacing w:line="360" w:lineRule="auto"/>
        <w:ind w:firstLine="643" w:firstLineChars="200"/>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cs="宋体"/>
          <w:b/>
          <w:bCs/>
          <w:color w:val="auto"/>
          <w:sz w:val="32"/>
          <w:szCs w:val="32"/>
          <w:highlight w:val="none"/>
          <w:lang w:eastAsia="zh-CN"/>
        </w:rPr>
        <w:t>广西协弘项目管理有限公司</w:t>
      </w:r>
    </w:p>
    <w:p w14:paraId="38EBCF4D">
      <w:pPr>
        <w:pStyle w:val="12"/>
        <w:ind w:firstLine="643" w:firstLineChars="200"/>
        <w:jc w:val="center"/>
        <w:rPr>
          <w:rFonts w:hint="eastAsia" w:ascii="宋体" w:hAnsi="宋体" w:cs="宋体"/>
          <w:b/>
          <w:bCs/>
          <w:color w:val="auto"/>
          <w:sz w:val="32"/>
          <w:szCs w:val="32"/>
          <w:highlight w:val="none"/>
          <w:lang w:val="en-US" w:eastAsia="zh-CN"/>
        </w:rPr>
      </w:pPr>
    </w:p>
    <w:p w14:paraId="172E6008">
      <w:pPr>
        <w:pStyle w:val="12"/>
        <w:ind w:firstLine="643" w:firstLineChars="200"/>
        <w:jc w:val="center"/>
        <w:rPr>
          <w:rFonts w:hint="eastAsia" w:ascii="宋体" w:hAnsi="宋体" w:eastAsia="宋体" w:cs="宋体"/>
          <w:b/>
          <w:bCs/>
          <w:color w:val="auto"/>
          <w:sz w:val="72"/>
          <w:szCs w:val="72"/>
          <w:highlight w:val="none"/>
          <w:lang w:eastAsia="zh-CN"/>
        </w:rPr>
      </w:pPr>
      <w:r>
        <w:rPr>
          <w:rFonts w:hint="eastAsia" w:hAnsi="宋体" w:cs="宋体"/>
          <w:b/>
          <w:bCs/>
          <w:color w:val="auto"/>
          <w:sz w:val="32"/>
          <w:szCs w:val="32"/>
          <w:highlight w:val="none"/>
          <w:lang w:val="en-US" w:eastAsia="zh-CN"/>
        </w:rPr>
        <w:t>2025年8月</w:t>
      </w:r>
    </w:p>
    <w:p w14:paraId="085AD9CD">
      <w:pPr>
        <w:pStyle w:val="17"/>
        <w:shd w:val="clear" w:color="auto" w:fill="FFFFFF"/>
        <w:tabs>
          <w:tab w:val="right" w:leader="dot" w:pos="9298"/>
        </w:tabs>
        <w:jc w:val="center"/>
        <w:rPr>
          <w:rFonts w:hint="eastAsia" w:ascii="宋体" w:hAnsi="宋体" w:eastAsia="宋体" w:cs="宋体"/>
          <w:b/>
          <w:bCs/>
          <w:color w:val="auto"/>
          <w:sz w:val="44"/>
          <w:szCs w:val="44"/>
          <w:highlight w:val="none"/>
        </w:rPr>
        <w:sectPr>
          <w:pgSz w:w="11907" w:h="16840"/>
          <w:pgMar w:top="1440" w:right="1440" w:bottom="1440" w:left="1797" w:header="851" w:footer="851" w:gutter="0"/>
          <w:pgNumType w:fmt="decimal" w:start="1"/>
          <w:cols w:space="720" w:num="1"/>
          <w:docGrid w:linePitch="312" w:charSpace="0"/>
        </w:sectPr>
      </w:pPr>
    </w:p>
    <w:p w14:paraId="2B163017">
      <w:pPr>
        <w:pStyle w:val="17"/>
        <w:shd w:val="clear" w:color="auto" w:fill="FFFFFF"/>
        <w:tabs>
          <w:tab w:val="right" w:leader="dot" w:pos="9298"/>
        </w:tabs>
        <w:ind w:firstLine="883" w:firstLineChars="20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目录</w:t>
      </w:r>
    </w:p>
    <w:p w14:paraId="5C996376">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p>
    <w:p w14:paraId="381B5A04">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_Toc26559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第一章 竞争性</w:t>
      </w:r>
      <w:r>
        <w:rPr>
          <w:rFonts w:hint="eastAsia" w:ascii="宋体" w:hAnsi="宋体" w:eastAsia="宋体" w:cs="宋体"/>
          <w:bCs/>
          <w:color w:val="auto"/>
          <w:sz w:val="32"/>
          <w:szCs w:val="32"/>
          <w:highlight w:val="none"/>
          <w:lang w:eastAsia="zh-CN"/>
        </w:rPr>
        <w:t>磋商</w:t>
      </w:r>
      <w:r>
        <w:rPr>
          <w:rFonts w:hint="eastAsia" w:ascii="宋体" w:hAnsi="宋体" w:eastAsia="宋体" w:cs="宋体"/>
          <w:bCs/>
          <w:color w:val="auto"/>
          <w:sz w:val="32"/>
          <w:szCs w:val="32"/>
          <w:highlight w:val="none"/>
        </w:rPr>
        <w:t>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_Toc26559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4AEB74F">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_Toc22437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lang w:eastAsia="zh-CN"/>
        </w:rPr>
        <w:t>第二章</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_Toc22437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CBF2652">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_Toc12510 </w:instrText>
      </w:r>
      <w:r>
        <w:rPr>
          <w:rFonts w:hint="eastAsia" w:ascii="宋体" w:hAnsi="宋体" w:eastAsia="宋体" w:cs="宋体"/>
          <w:color w:val="auto"/>
          <w:sz w:val="32"/>
          <w:szCs w:val="32"/>
          <w:highlight w:val="none"/>
        </w:rPr>
        <w:fldChar w:fldCharType="separate"/>
      </w:r>
      <w:bookmarkStart w:id="0" w:name="OLE_LINK7"/>
      <w:r>
        <w:rPr>
          <w:rFonts w:hint="eastAsia" w:ascii="宋体" w:hAnsi="宋体" w:eastAsia="宋体" w:cs="宋体"/>
          <w:bCs/>
          <w:color w:val="auto"/>
          <w:sz w:val="32"/>
          <w:szCs w:val="32"/>
          <w:highlight w:val="none"/>
        </w:rPr>
        <w:t>第三章 项目需求和说明</w:t>
      </w:r>
      <w:bookmarkEnd w:id="0"/>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_Toc12510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28F2B46">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_Toc16101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合同条款及格式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_Toc16101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21F01B">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_Toc13291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第五章 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_Toc13291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88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562856E">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工程量清单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107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FC24214">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_Toc2377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第七章 图纸</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另附</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_Toc2377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107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B637104">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_Toc29181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八</w:t>
      </w:r>
      <w:r>
        <w:rPr>
          <w:rFonts w:hint="eastAsia" w:ascii="宋体" w:hAnsi="宋体" w:eastAsia="宋体" w:cs="宋体"/>
          <w:color w:val="auto"/>
          <w:sz w:val="32"/>
          <w:szCs w:val="32"/>
          <w:highlight w:val="none"/>
        </w:rPr>
        <w:t>章 评定标准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_Toc29181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108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3C40248">
      <w:pPr>
        <w:pStyle w:val="17"/>
        <w:tabs>
          <w:tab w:val="right" w:leader="dot" w:pos="8670"/>
        </w:tabs>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_Toc25850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九</w:t>
      </w:r>
      <w:r>
        <w:rPr>
          <w:rFonts w:hint="eastAsia" w:ascii="宋体" w:hAnsi="宋体" w:eastAsia="宋体" w:cs="宋体"/>
          <w:color w:val="auto"/>
          <w:sz w:val="32"/>
          <w:szCs w:val="32"/>
          <w:highlight w:val="none"/>
        </w:rPr>
        <w:t>章 质疑、投诉材料格式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_Toc25850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118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3994DC3">
      <w:pPr>
        <w:shd w:val="clear" w:color="auto" w:fill="FFFFFF"/>
        <w:tabs>
          <w:tab w:val="left" w:pos="5221"/>
        </w:tabs>
        <w:spacing w:line="360" w:lineRule="auto"/>
        <w:ind w:firstLine="64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28"/>
          <w:szCs w:val="28"/>
          <w:highlight w:val="none"/>
        </w:rPr>
        <w:tab/>
      </w:r>
    </w:p>
    <w:p w14:paraId="632BD7E1">
      <w:pPr>
        <w:shd w:val="clear" w:color="auto" w:fill="FFFFFF"/>
        <w:spacing w:line="600" w:lineRule="exact"/>
        <w:jc w:val="center"/>
        <w:outlineLvl w:val="0"/>
        <w:rPr>
          <w:rFonts w:hint="eastAsia" w:ascii="宋体" w:hAnsi="宋体" w:eastAsia="宋体" w:cs="宋体"/>
          <w:b/>
          <w:bCs/>
          <w:color w:val="auto"/>
          <w:sz w:val="36"/>
          <w:szCs w:val="36"/>
          <w:highlight w:val="none"/>
        </w:rPr>
        <w:sectPr>
          <w:footerReference r:id="rId3" w:type="default"/>
          <w:pgSz w:w="11907" w:h="16840"/>
          <w:pgMar w:top="1440" w:right="1440" w:bottom="1440" w:left="1797" w:header="851" w:footer="851" w:gutter="0"/>
          <w:pgNumType w:fmt="decimal" w:start="1"/>
          <w:cols w:space="720" w:num="1"/>
          <w:docGrid w:linePitch="312" w:charSpace="0"/>
        </w:sectPr>
      </w:pPr>
      <w:bookmarkStart w:id="1" w:name="_Toc13257"/>
    </w:p>
    <w:bookmarkEnd w:id="1"/>
    <w:p w14:paraId="549965E2">
      <w:pPr>
        <w:numPr>
          <w:ilvl w:val="0"/>
          <w:numId w:val="2"/>
        </w:num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2" w:name="_Toc26559"/>
      <w:r>
        <w:rPr>
          <w:rFonts w:hint="eastAsia" w:ascii="宋体" w:hAnsi="宋体" w:eastAsia="宋体" w:cs="宋体"/>
          <w:b/>
          <w:bCs/>
          <w:color w:val="auto"/>
          <w:sz w:val="36"/>
          <w:szCs w:val="36"/>
          <w:highlight w:val="none"/>
        </w:rPr>
        <w:t>竞争性</w:t>
      </w:r>
      <w:r>
        <w:rPr>
          <w:rFonts w:hint="eastAsia" w:ascii="宋体" w:hAnsi="宋体" w:eastAsia="宋体" w:cs="宋体"/>
          <w:b/>
          <w:bCs/>
          <w:color w:val="auto"/>
          <w:sz w:val="36"/>
          <w:szCs w:val="36"/>
          <w:highlight w:val="none"/>
          <w:lang w:eastAsia="zh-CN"/>
        </w:rPr>
        <w:t>磋商</w:t>
      </w:r>
      <w:r>
        <w:rPr>
          <w:rFonts w:hint="eastAsia" w:ascii="宋体" w:hAnsi="宋体" w:eastAsia="宋体" w:cs="宋体"/>
          <w:b/>
          <w:bCs/>
          <w:color w:val="auto"/>
          <w:sz w:val="36"/>
          <w:szCs w:val="36"/>
          <w:highlight w:val="none"/>
        </w:rPr>
        <w:t>公告</w:t>
      </w:r>
      <w:bookmarkEnd w:id="2"/>
    </w:p>
    <w:p w14:paraId="45BF1CA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3" w:name="_Toc424307741"/>
      <w:r>
        <w:rPr>
          <w:rFonts w:hint="eastAsia" w:ascii="宋体" w:hAnsi="宋体" w:eastAsia="宋体" w:cs="宋体"/>
          <w:color w:val="auto"/>
          <w:sz w:val="21"/>
          <w:szCs w:val="21"/>
          <w:highlight w:val="none"/>
        </w:rPr>
        <w:t>项目概况：</w:t>
      </w:r>
    </w:p>
    <w:p w14:paraId="69B1EA9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港口区民族同心文化石榴园工程项目</w:t>
      </w:r>
      <w:r>
        <w:rPr>
          <w:rFonts w:hint="eastAsia" w:ascii="宋体" w:hAnsi="宋体" w:eastAsia="宋体" w:cs="宋体"/>
          <w:color w:val="auto"/>
          <w:sz w:val="21"/>
          <w:szCs w:val="21"/>
          <w:highlight w:val="none"/>
          <w:lang w:eastAsia="zh-CN"/>
        </w:rPr>
        <w:t>采购项目</w:t>
      </w:r>
      <w:r>
        <w:rPr>
          <w:rFonts w:hint="eastAsia" w:ascii="宋体" w:hAnsi="宋体" w:eastAsia="宋体" w:cs="宋体"/>
          <w:color w:val="auto"/>
          <w:sz w:val="21"/>
          <w:szCs w:val="21"/>
          <w:highlight w:val="none"/>
        </w:rPr>
        <w:t>的潜在供应商应在</w:t>
      </w:r>
      <w:r>
        <w:rPr>
          <w:rFonts w:hint="eastAsia" w:ascii="宋体" w:hAnsi="宋体"/>
          <w:color w:val="auto"/>
          <w:szCs w:val="21"/>
          <w:highlight w:val="none"/>
          <w:u w:val="single"/>
          <w:lang w:eastAsia="zh-CN"/>
        </w:rPr>
        <w:t>广西政府采购云平台</w:t>
      </w:r>
      <w:r>
        <w:rPr>
          <w:rFonts w:hint="eastAsia" w:ascii="宋体" w:hAnsi="宋体" w:eastAsia="宋体" w:cs="宋体"/>
          <w:color w:val="auto"/>
          <w:sz w:val="21"/>
          <w:szCs w:val="21"/>
          <w:highlight w:val="none"/>
        </w:rPr>
        <w:t>获</w:t>
      </w:r>
      <w:r>
        <w:rPr>
          <w:rFonts w:hint="eastAsia" w:ascii="宋体" w:hAnsi="宋体" w:cs="宋体"/>
          <w:color w:val="auto"/>
          <w:sz w:val="21"/>
          <w:szCs w:val="21"/>
          <w:highlight w:val="none"/>
          <w:lang w:val="en-US" w:eastAsia="zh-CN"/>
        </w:rPr>
        <w:t>取采购</w:t>
      </w:r>
      <w:r>
        <w:rPr>
          <w:rFonts w:hint="eastAsia" w:ascii="宋体" w:hAnsi="宋体" w:eastAsia="宋体" w:cs="宋体"/>
          <w:color w:val="auto"/>
          <w:sz w:val="21"/>
          <w:szCs w:val="21"/>
          <w:highlight w:val="none"/>
        </w:rPr>
        <w:t>文件，并于</w:t>
      </w:r>
      <w:r>
        <w:rPr>
          <w:rFonts w:hint="eastAsia" w:ascii="宋体" w:hAnsi="宋体" w:cs="宋体"/>
          <w:color w:val="auto"/>
          <w:kern w:val="0"/>
          <w:szCs w:val="21"/>
          <w:highlight w:val="none"/>
          <w:u w:val="single"/>
          <w:lang w:val="en-US" w:eastAsia="zh-CN"/>
        </w:rPr>
        <w:t>2025年8月25日9点30分</w:t>
      </w:r>
      <w:r>
        <w:rPr>
          <w:rFonts w:hint="eastAsia" w:ascii="宋体" w:hAnsi="宋体" w:cs="宋体"/>
          <w:color w:val="auto"/>
          <w:kern w:val="0"/>
          <w:szCs w:val="21"/>
          <w:highlight w:val="none"/>
          <w:u w:val="single"/>
          <w:lang w:eastAsia="zh-CN"/>
        </w:rPr>
        <w:t>（北京时间）</w:t>
      </w:r>
      <w:r>
        <w:rPr>
          <w:rFonts w:hint="eastAsia" w:ascii="宋体" w:hAnsi="宋体" w:eastAsia="宋体" w:cs="宋体"/>
          <w:bCs/>
          <w:color w:val="auto"/>
          <w:sz w:val="21"/>
          <w:szCs w:val="21"/>
          <w:highlight w:val="none"/>
        </w:rPr>
        <w:t>前</w:t>
      </w:r>
      <w:r>
        <w:rPr>
          <w:rFonts w:hint="eastAsia" w:ascii="宋体" w:hAnsi="宋体" w:cs="宋体"/>
          <w:bCs/>
          <w:color w:val="auto"/>
          <w:sz w:val="21"/>
          <w:szCs w:val="21"/>
          <w:highlight w:val="none"/>
          <w:lang w:val="en-US" w:eastAsia="zh-CN"/>
        </w:rPr>
        <w:t>提</w:t>
      </w:r>
      <w:r>
        <w:rPr>
          <w:rFonts w:hint="eastAsia" w:ascii="宋体" w:hAnsi="宋体" w:eastAsia="宋体" w:cs="宋体"/>
          <w:bCs/>
          <w:color w:val="auto"/>
          <w:sz w:val="21"/>
          <w:szCs w:val="21"/>
          <w:highlight w:val="none"/>
        </w:rPr>
        <w:t>交响应文件</w:t>
      </w:r>
      <w:r>
        <w:rPr>
          <w:rFonts w:hint="eastAsia" w:ascii="宋体" w:hAnsi="宋体" w:eastAsia="宋体" w:cs="宋体"/>
          <w:color w:val="auto"/>
          <w:sz w:val="21"/>
          <w:szCs w:val="21"/>
          <w:highlight w:val="none"/>
        </w:rPr>
        <w:t>。</w:t>
      </w:r>
    </w:p>
    <w:p w14:paraId="434A1E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bookmarkStart w:id="4" w:name="_Toc28359079"/>
      <w:bookmarkStart w:id="5" w:name="_Toc35393621"/>
      <w:bookmarkStart w:id="6" w:name="_Toc28359002"/>
      <w:bookmarkStart w:id="7" w:name="_Toc35393790"/>
      <w:bookmarkStart w:id="8" w:name="_Hlk24379207"/>
      <w:r>
        <w:rPr>
          <w:rFonts w:hint="eastAsia" w:ascii="宋体" w:hAnsi="宋体" w:eastAsia="宋体" w:cs="宋体"/>
          <w:b/>
          <w:bCs/>
          <w:color w:val="auto"/>
          <w:sz w:val="21"/>
          <w:szCs w:val="21"/>
          <w:highlight w:val="none"/>
        </w:rPr>
        <w:t>一、项目基本情况</w:t>
      </w:r>
      <w:bookmarkEnd w:id="4"/>
      <w:bookmarkEnd w:id="5"/>
      <w:bookmarkEnd w:id="6"/>
      <w:bookmarkEnd w:id="7"/>
    </w:p>
    <w:p w14:paraId="194CDA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FCZC2025-C2-020045-GXXH</w:t>
      </w:r>
    </w:p>
    <w:p w14:paraId="7E109D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项目名称：</w:t>
      </w:r>
      <w:bookmarkEnd w:id="8"/>
      <w:r>
        <w:rPr>
          <w:rFonts w:hint="eastAsia" w:ascii="宋体" w:hAnsi="宋体" w:cs="宋体"/>
          <w:color w:val="auto"/>
          <w:sz w:val="21"/>
          <w:szCs w:val="21"/>
          <w:highlight w:val="none"/>
          <w:u w:val="none"/>
          <w:lang w:val="en-US" w:eastAsia="zh-CN"/>
        </w:rPr>
        <w:t>港口区民族同心文化石榴园工程项目</w:t>
      </w:r>
    </w:p>
    <w:p w14:paraId="355F96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color="auto"/>
          <w:lang w:eastAsia="zh-CN"/>
        </w:rPr>
      </w:pPr>
      <w:r>
        <w:rPr>
          <w:rFonts w:hint="eastAsia" w:ascii="宋体" w:hAnsi="宋体" w:eastAsia="宋体" w:cs="宋体"/>
          <w:color w:val="auto"/>
          <w:sz w:val="21"/>
          <w:szCs w:val="21"/>
          <w:highlight w:val="none"/>
          <w:u w:val="none" w:color="auto"/>
        </w:rPr>
        <w:t>采购方式：</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 xml:space="preserve"> 竞争性</w:t>
      </w:r>
      <w:r>
        <w:rPr>
          <w:rFonts w:hint="eastAsia" w:ascii="宋体" w:hAnsi="宋体" w:cs="宋体"/>
          <w:color w:val="auto"/>
          <w:sz w:val="21"/>
          <w:szCs w:val="21"/>
          <w:highlight w:val="none"/>
          <w:u w:val="none" w:color="auto"/>
          <w:lang w:val="en-US" w:eastAsia="zh-CN"/>
        </w:rPr>
        <w:t>谈判</w:t>
      </w:r>
      <w:r>
        <w:rPr>
          <w:rFonts w:hint="eastAsia" w:ascii="宋体" w:hAnsi="宋体" w:eastAsia="宋体" w:cs="宋体"/>
          <w:color w:val="auto"/>
          <w:sz w:val="21"/>
          <w:szCs w:val="21"/>
          <w:highlight w:val="none"/>
          <w:u w:val="none" w:color="auto"/>
        </w:rPr>
        <w:t xml:space="preserve"> </w:t>
      </w:r>
      <w:r>
        <w:rPr>
          <w:rFonts w:hint="eastAsia" w:ascii="宋体" w:hAnsi="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竞争性磋商 □询价</w:t>
      </w:r>
    </w:p>
    <w:p w14:paraId="22EE5416">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u w:val="none" w:color="auto"/>
          <w:lang w:val="en-US" w:eastAsia="zh-CN"/>
        </w:rPr>
      </w:pPr>
      <w:r>
        <w:rPr>
          <w:rFonts w:hint="eastAsia" w:ascii="宋体" w:hAnsi="宋体" w:eastAsia="宋体" w:cs="宋体"/>
          <w:color w:val="auto"/>
          <w:sz w:val="21"/>
          <w:szCs w:val="21"/>
          <w:highlight w:val="none"/>
          <w:u w:val="none" w:color="auto"/>
        </w:rPr>
        <w:t>预算金额：</w:t>
      </w:r>
      <w:r>
        <w:rPr>
          <w:rFonts w:hint="eastAsia" w:ascii="宋体" w:hAnsi="宋体" w:eastAsia="宋体" w:cs="宋体"/>
          <w:color w:val="auto"/>
          <w:sz w:val="21"/>
          <w:szCs w:val="21"/>
          <w:highlight w:val="none"/>
          <w:u w:val="none" w:color="auto"/>
          <w:lang w:eastAsia="zh-CN"/>
        </w:rPr>
        <w:t>人民币</w:t>
      </w:r>
      <w:r>
        <w:rPr>
          <w:rFonts w:hint="eastAsia" w:ascii="宋体" w:hAnsi="宋体" w:eastAsia="宋体" w:cs="宋体"/>
          <w:color w:val="auto"/>
          <w:sz w:val="21"/>
          <w:szCs w:val="21"/>
          <w:highlight w:val="none"/>
          <w:u w:val="none" w:color="auto"/>
          <w:lang w:val="en-US" w:eastAsia="zh-CN"/>
        </w:rPr>
        <w:t>壹佰捌拾伍万玖仟叁佰零陆元肆角贰分（¥1859306.42）</w:t>
      </w:r>
    </w:p>
    <w:p w14:paraId="164CFAD1">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u w:val="none" w:color="auto"/>
          <w:lang w:val="en-US" w:eastAsia="zh-CN"/>
        </w:rPr>
      </w:pPr>
      <w:r>
        <w:rPr>
          <w:rFonts w:hint="eastAsia" w:ascii="宋体" w:hAnsi="宋体" w:eastAsia="宋体" w:cs="宋体"/>
          <w:color w:val="auto"/>
          <w:sz w:val="21"/>
          <w:szCs w:val="21"/>
          <w:highlight w:val="none"/>
          <w:u w:val="none" w:color="auto"/>
        </w:rPr>
        <w:t>最高限价</w:t>
      </w:r>
      <w:r>
        <w:rPr>
          <w:rFonts w:hint="eastAsia" w:ascii="宋体" w:hAnsi="宋体" w:eastAsia="宋体" w:cs="宋体"/>
          <w:color w:val="auto"/>
          <w:sz w:val="21"/>
          <w:szCs w:val="21"/>
          <w:highlight w:val="none"/>
          <w:u w:val="none" w:color="auto"/>
          <w:lang w:eastAsia="zh-CN"/>
        </w:rPr>
        <w:t>：人民币</w:t>
      </w:r>
      <w:r>
        <w:rPr>
          <w:rFonts w:hint="eastAsia" w:ascii="宋体" w:hAnsi="宋体" w:eastAsia="宋体" w:cs="宋体"/>
          <w:color w:val="auto"/>
          <w:sz w:val="21"/>
          <w:szCs w:val="21"/>
          <w:highlight w:val="none"/>
          <w:u w:val="none" w:color="auto"/>
          <w:lang w:val="en-US" w:eastAsia="zh-CN"/>
        </w:rPr>
        <w:t>壹佰捌拾伍万玖仟叁佰零陆元肆角贰分（¥1859306.42）</w:t>
      </w:r>
    </w:p>
    <w:p w14:paraId="72966B1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采购需求：</w:t>
      </w:r>
    </w:p>
    <w:tbl>
      <w:tblPr>
        <w:tblStyle w:val="22"/>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715"/>
        <w:gridCol w:w="1035"/>
        <w:gridCol w:w="5496"/>
      </w:tblGrid>
      <w:tr w14:paraId="797F2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5DD4D7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序号</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2576EB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标的名称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81186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数量及单位</w:t>
            </w:r>
          </w:p>
        </w:tc>
        <w:tc>
          <w:tcPr>
            <w:tcW w:w="5496" w:type="dxa"/>
            <w:tcBorders>
              <w:top w:val="single" w:color="auto" w:sz="4" w:space="0"/>
              <w:left w:val="single" w:color="auto" w:sz="4" w:space="0"/>
              <w:bottom w:val="single" w:color="auto" w:sz="4" w:space="0"/>
              <w:right w:val="single" w:color="auto" w:sz="4" w:space="0"/>
            </w:tcBorders>
            <w:noWrap w:val="0"/>
            <w:vAlign w:val="center"/>
          </w:tcPr>
          <w:p w14:paraId="5A837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简要技术需求</w:t>
            </w:r>
          </w:p>
        </w:tc>
      </w:tr>
      <w:tr w14:paraId="110CC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210669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01</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64CE4F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s="宋体"/>
                <w:color w:val="auto"/>
                <w:sz w:val="21"/>
                <w:szCs w:val="21"/>
                <w:highlight w:val="none"/>
                <w:u w:val="none"/>
                <w:lang w:val="en-US" w:eastAsia="zh-CN"/>
              </w:rPr>
              <w:t>港口区民族同心文化石榴园工程项目</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82CA1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5496" w:type="dxa"/>
            <w:tcBorders>
              <w:top w:val="single" w:color="auto" w:sz="4" w:space="0"/>
              <w:left w:val="single" w:color="auto" w:sz="4" w:space="0"/>
              <w:bottom w:val="single" w:color="auto" w:sz="4" w:space="0"/>
              <w:right w:val="single" w:color="auto" w:sz="4" w:space="0"/>
            </w:tcBorders>
            <w:noWrap w:val="0"/>
            <w:vAlign w:val="center"/>
          </w:tcPr>
          <w:p w14:paraId="4B6CDA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u w:val="none" w:color="auto"/>
                <w:lang w:eastAsia="zh-CN"/>
              </w:rPr>
            </w:pPr>
            <w:r>
              <w:rPr>
                <w:rFonts w:hint="eastAsia" w:ascii="宋体" w:hAnsi="宋体" w:eastAsia="宋体" w:cs="宋体"/>
                <w:color w:val="auto"/>
                <w:sz w:val="21"/>
                <w:szCs w:val="21"/>
                <w:highlight w:val="none"/>
                <w:u w:val="none"/>
                <w:lang w:val="en-US" w:eastAsia="zh-CN"/>
              </w:rPr>
              <w:t xml:space="preserve">    本工程为港口区民族同心文化石榴园工程项目，项目位于广西防城港市，建设内容包括设计施工图范围内的总平、四角亭、组合亭廊、谐韵廊、石榴籽精神文件雕塑、休闲健身基础、公厕、民族文化展示长廊等土建、园林、仿古、市政及安装工程，详见图纸及工程量清单。</w:t>
            </w:r>
          </w:p>
        </w:tc>
      </w:tr>
    </w:tbl>
    <w:p w14:paraId="09FB6C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工期要求</w:t>
      </w:r>
      <w:r>
        <w:rPr>
          <w:rFonts w:hint="eastAsia" w:ascii="宋体" w:hAnsi="宋体" w:cs="宋体"/>
          <w:b/>
          <w:bCs/>
          <w:color w:val="auto"/>
          <w:sz w:val="21"/>
          <w:szCs w:val="21"/>
          <w:highlight w:val="none"/>
          <w:u w:val="single"/>
          <w:lang w:val="en-US" w:eastAsia="zh-CN"/>
        </w:rPr>
        <w:t>60</w:t>
      </w:r>
      <w:r>
        <w:rPr>
          <w:rFonts w:hint="eastAsia" w:ascii="宋体" w:hAnsi="宋体" w:eastAsia="宋体" w:cs="宋体"/>
          <w:b/>
          <w:bCs/>
          <w:color w:val="auto"/>
          <w:sz w:val="21"/>
          <w:szCs w:val="21"/>
          <w:highlight w:val="none"/>
        </w:rPr>
        <w:t>日历天。</w:t>
      </w:r>
    </w:p>
    <w:p w14:paraId="62FC9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接受联合体。</w:t>
      </w:r>
    </w:p>
    <w:p w14:paraId="6DB22D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p>
    <w:p w14:paraId="36147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7A294B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cs="宋体"/>
          <w:b/>
          <w:bCs/>
          <w:color w:val="auto"/>
          <w:sz w:val="21"/>
          <w:szCs w:val="21"/>
          <w:highlight w:val="none"/>
          <w:lang w:eastAsia="zh-CN"/>
        </w:rPr>
        <w:t>本项目为专门面向中小企业采购的项目</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供应商应为</w:t>
      </w:r>
      <w:r>
        <w:rPr>
          <w:rFonts w:hint="eastAsia" w:ascii="宋体" w:hAnsi="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rPr>
        <w:t>小微企业或监狱企业或残疾人福利性单位</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Cs w:val="21"/>
          <w:highlight w:val="none"/>
          <w:lang w:val="en-US" w:eastAsia="zh-CN"/>
        </w:rPr>
        <w:t>。供应商必须提供中小企业声明函或者残疾人福利性单位声明函或者供应商属于监狱企业的需提供由省级以上监狱管理局、戒毒管理局（含新疆生产建设兵团）出具的属于监狱企业的证明文件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color w:val="auto"/>
          <w:kern w:val="0"/>
          <w:szCs w:val="21"/>
          <w:highlight w:val="none"/>
          <w:lang w:val="en-US" w:eastAsia="zh-CN"/>
        </w:rPr>
        <w:t>；</w:t>
      </w:r>
    </w:p>
    <w:p w14:paraId="348DBB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3.本项目的特定资格要求：</w:t>
      </w:r>
    </w:p>
    <w:p w14:paraId="3C1F2F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本项目供应商企业资质要求具备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市政公用工程施工总承包</w:t>
      </w:r>
      <w:r>
        <w:rPr>
          <w:rFonts w:hint="eastAsia" w:ascii="宋体" w:hAnsi="宋体" w:cs="宋体"/>
          <w:b/>
          <w:bCs/>
          <w:color w:val="auto"/>
          <w:szCs w:val="21"/>
          <w:highlight w:val="none"/>
        </w:rPr>
        <w:t>”三级以上（含三级）资质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bookmarkStart w:id="9" w:name="OLE_LINK4"/>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bookmarkEnd w:id="9"/>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6A49A8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拟派项目经理资格要求具备</w:t>
      </w:r>
      <w:r>
        <w:rPr>
          <w:rFonts w:hint="eastAsia" w:ascii="宋体" w:hAnsi="宋体" w:cs="宋体"/>
          <w:b/>
          <w:bCs/>
          <w:color w:val="auto"/>
          <w:szCs w:val="21"/>
          <w:highlight w:val="none"/>
          <w:lang w:val="en-US" w:eastAsia="zh-CN"/>
        </w:rPr>
        <w:t>市政公用工程</w:t>
      </w:r>
      <w:r>
        <w:rPr>
          <w:rFonts w:hint="eastAsia" w:ascii="宋体" w:hAnsi="宋体" w:eastAsia="宋体" w:cs="宋体"/>
          <w:color w:val="auto"/>
          <w:sz w:val="21"/>
          <w:szCs w:val="21"/>
          <w:highlight w:val="none"/>
          <w:lang w:val="zh-CN" w:eastAsia="zh-CN" w:bidi="zh-CN"/>
        </w:rPr>
        <w:t>专业贰级以上（含贰级）</w:t>
      </w:r>
      <w:r>
        <w:rPr>
          <w:rFonts w:hint="eastAsia" w:ascii="宋体" w:hAnsi="宋体" w:eastAsia="宋体" w:cs="宋体"/>
          <w:color w:val="auto"/>
          <w:szCs w:val="21"/>
          <w:highlight w:val="none"/>
        </w:rPr>
        <w:t>注册建造师证书，并持有效的安全生产考核合格证书（B证），为</w:t>
      </w:r>
      <w:r>
        <w:rPr>
          <w:rFonts w:hint="eastAsia"/>
          <w:color w:val="auto"/>
          <w:lang w:val="en-US" w:eastAsia="zh-CN"/>
        </w:rPr>
        <w:t>供应商</w:t>
      </w:r>
      <w:bookmarkStart w:id="10" w:name="OLE_LINK36"/>
      <w:r>
        <w:rPr>
          <w:rFonts w:hint="eastAsia" w:ascii="宋体" w:hAnsi="宋体" w:eastAsia="宋体" w:cs="宋体"/>
          <w:color w:val="auto"/>
          <w:szCs w:val="21"/>
          <w:highlight w:val="none"/>
        </w:rPr>
        <w:t>本单位的在岗人</w:t>
      </w:r>
      <w:bookmarkEnd w:id="10"/>
      <w:r>
        <w:rPr>
          <w:rFonts w:hint="eastAsia" w:ascii="宋体" w:hAnsi="宋体" w:eastAsia="宋体" w:cs="宋体"/>
          <w:color w:val="auto"/>
          <w:szCs w:val="21"/>
          <w:highlight w:val="none"/>
        </w:rPr>
        <w:t>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p w14:paraId="1309D6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三、获取采购文件</w:t>
      </w:r>
    </w:p>
    <w:p w14:paraId="4D58EA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时间：</w:t>
      </w:r>
      <w:r>
        <w:rPr>
          <w:rFonts w:hint="eastAsia" w:ascii="宋体" w:hAnsi="宋体" w:cs="宋体"/>
          <w:color w:val="auto"/>
          <w:kern w:val="0"/>
          <w:szCs w:val="21"/>
          <w:highlight w:val="none"/>
          <w:u w:val="none"/>
          <w:lang w:val="en-US" w:eastAsia="zh-CN"/>
        </w:rPr>
        <w:t>2025年8月8日至2025年8月15日，</w:t>
      </w:r>
      <w:r>
        <w:rPr>
          <w:rFonts w:hint="eastAsia" w:ascii="宋体" w:hAnsi="宋体" w:eastAsia="宋体" w:cs="宋体"/>
          <w:bCs/>
          <w:color w:val="auto"/>
          <w:kern w:val="0"/>
          <w:szCs w:val="21"/>
          <w:highlight w:val="none"/>
        </w:rPr>
        <w:t>每天上午</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：00</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eastAsia="宋体" w:cs="宋体"/>
          <w:bCs/>
          <w:color w:val="auto"/>
          <w:kern w:val="0"/>
          <w:szCs w:val="21"/>
          <w:highlight w:val="none"/>
        </w:rPr>
        <w:t>，</w:t>
      </w:r>
      <w:r>
        <w:rPr>
          <w:rFonts w:hint="eastAsia" w:ascii="宋体" w:hAnsi="宋体" w:cs="宋体"/>
          <w:color w:val="auto"/>
          <w:szCs w:val="21"/>
          <w:highlight w:val="none"/>
        </w:rPr>
        <w:t>下午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：00</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eastAsia="宋体" w:cs="宋体"/>
          <w:bCs/>
          <w:color w:val="auto"/>
          <w:kern w:val="0"/>
          <w:szCs w:val="21"/>
          <w:highlight w:val="none"/>
        </w:rPr>
        <w:t>（北京时间，法定节假日除外）</w:t>
      </w:r>
      <w:r>
        <w:rPr>
          <w:rFonts w:hint="eastAsia" w:ascii="宋体" w:hAnsi="宋体" w:eastAsia="宋体" w:cs="宋体"/>
          <w:color w:val="auto"/>
          <w:kern w:val="0"/>
          <w:sz w:val="21"/>
          <w:szCs w:val="21"/>
          <w:highlight w:val="none"/>
          <w:lang w:eastAsia="zh-CN"/>
        </w:rPr>
        <w:t>；</w:t>
      </w:r>
    </w:p>
    <w:p w14:paraId="3D92D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地点：</w:t>
      </w:r>
      <w:r>
        <w:rPr>
          <w:rFonts w:hint="eastAsia" w:ascii="宋体" w:hAnsi="宋体"/>
          <w:color w:val="auto"/>
          <w:szCs w:val="21"/>
          <w:highlight w:val="none"/>
          <w:u w:val="none"/>
          <w:lang w:eastAsia="zh-CN"/>
        </w:rPr>
        <w:t>广西政府采购云平台</w:t>
      </w:r>
      <w:r>
        <w:rPr>
          <w:rFonts w:hint="eastAsia" w:ascii="宋体" w:hAnsi="宋体" w:eastAsia="宋体" w:cs="宋体"/>
          <w:color w:val="auto"/>
          <w:kern w:val="0"/>
          <w:sz w:val="21"/>
          <w:szCs w:val="21"/>
          <w:highlight w:val="none"/>
        </w:rPr>
        <w:t>；</w:t>
      </w:r>
    </w:p>
    <w:p w14:paraId="6F107C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方式：网上下载。本项目不发放纸质采购文件，</w:t>
      </w:r>
      <w:r>
        <w:rPr>
          <w:rFonts w:hint="eastAsia" w:ascii="宋体" w:hAnsi="宋体" w:eastAsia="宋体" w:cs="宋体"/>
          <w:color w:val="auto"/>
          <w:kern w:val="0"/>
          <w:szCs w:val="21"/>
          <w:highlight w:val="none"/>
          <w:lang w:eastAsia="zh-CN"/>
        </w:rPr>
        <w:t>潜在</w:t>
      </w:r>
      <w:r>
        <w:rPr>
          <w:rFonts w:hint="eastAsia" w:ascii="宋体" w:hAnsi="宋体" w:eastAsia="宋体" w:cs="宋体"/>
          <w:color w:val="auto"/>
          <w:kern w:val="0"/>
          <w:szCs w:val="21"/>
          <w:highlight w:val="none"/>
        </w:rPr>
        <w:t>供应商可自行在</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下载采购文件（操作路径：登录</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-项目采购-获取采购文件-找到本项目-点击“申请获取采购文件”），电子响应文件制作需要基于</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获取的采购文件编制。</w:t>
      </w:r>
    </w:p>
    <w:p w14:paraId="3C54F3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售价：人民币0元。 </w:t>
      </w:r>
    </w:p>
    <w:p w14:paraId="76B6CE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p>
    <w:p w14:paraId="53077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首次响应文件提交截止时间</w:t>
      </w:r>
      <w:r>
        <w:rPr>
          <w:rFonts w:hint="eastAsia" w:ascii="宋体" w:hAnsi="宋体" w:cs="宋体"/>
          <w:color w:val="auto"/>
          <w:kern w:val="0"/>
          <w:szCs w:val="21"/>
          <w:highlight w:val="none"/>
          <w:u w:val="single"/>
          <w:lang w:val="en-US" w:eastAsia="zh-CN"/>
        </w:rPr>
        <w:t>：2025年8月25日9点30分（</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lang w:eastAsia="zh-CN"/>
        </w:rPr>
        <w:t>；</w:t>
      </w:r>
    </w:p>
    <w:p w14:paraId="54F8DD7E">
      <w:pPr>
        <w:keepNext w:val="0"/>
        <w:keepLines w:val="0"/>
        <w:pageBreakBefore w:val="0"/>
        <w:widowControl w:val="0"/>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首次响应文件提交地点：</w:t>
      </w:r>
      <w:r>
        <w:rPr>
          <w:rFonts w:hint="eastAsia" w:ascii="宋体" w:hAnsi="宋体" w:eastAsia="宋体" w:cs="宋体"/>
          <w:color w:val="auto"/>
          <w:sz w:val="21"/>
          <w:szCs w:val="21"/>
          <w:highlight w:val="none"/>
          <w:u w:val="single"/>
        </w:rPr>
        <w:t>通过</w:t>
      </w:r>
      <w:r>
        <w:rPr>
          <w:rFonts w:hint="eastAsia" w:ascii="宋体" w:hAnsi="宋体" w:cs="宋体"/>
          <w:color w:val="auto"/>
          <w:sz w:val="21"/>
          <w:szCs w:val="21"/>
          <w:highlight w:val="none"/>
          <w:u w:val="single"/>
          <w:lang w:val="en-US" w:eastAsia="zh-CN"/>
        </w:rPr>
        <w:t>广西政府采购云平台</w:t>
      </w:r>
      <w:r>
        <w:rPr>
          <w:rFonts w:hint="eastAsia" w:ascii="宋体" w:hAnsi="宋体" w:eastAsia="宋体" w:cs="宋体"/>
          <w:color w:val="auto"/>
          <w:sz w:val="21"/>
          <w:szCs w:val="21"/>
          <w:highlight w:val="none"/>
          <w:u w:val="single"/>
        </w:rPr>
        <w:t>在线提交</w:t>
      </w:r>
      <w:r>
        <w:rPr>
          <w:rFonts w:hint="eastAsia" w:ascii="宋体" w:hAnsi="宋体" w:eastAsia="宋体" w:cs="宋体"/>
          <w:color w:val="auto"/>
          <w:sz w:val="21"/>
          <w:szCs w:val="21"/>
          <w:highlight w:val="none"/>
        </w:rPr>
        <w:t>。</w:t>
      </w:r>
    </w:p>
    <w:p w14:paraId="6FB9BC8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bookmarkStart w:id="11" w:name="_Toc28359016"/>
      <w:bookmarkStart w:id="12" w:name="_Toc28359093"/>
      <w:bookmarkStart w:id="13" w:name="_Toc35393802"/>
      <w:bookmarkStart w:id="14" w:name="_Toc35393633"/>
      <w:r>
        <w:rPr>
          <w:rFonts w:hint="eastAsia" w:ascii="宋体" w:hAnsi="宋体" w:eastAsia="宋体" w:cs="宋体"/>
          <w:b/>
          <w:bCs/>
          <w:color w:val="auto"/>
          <w:sz w:val="21"/>
          <w:szCs w:val="21"/>
          <w:highlight w:val="none"/>
        </w:rPr>
        <w:t>五、开启</w:t>
      </w:r>
      <w:bookmarkEnd w:id="11"/>
      <w:bookmarkEnd w:id="12"/>
      <w:bookmarkEnd w:id="13"/>
      <w:bookmarkEnd w:id="14"/>
    </w:p>
    <w:p w14:paraId="20F4A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Cs w:val="21"/>
          <w:highlight w:val="none"/>
          <w:u w:val="single"/>
          <w:lang w:eastAsia="zh-CN"/>
        </w:rPr>
      </w:pPr>
      <w:bookmarkStart w:id="15" w:name="_Toc28359017"/>
      <w:bookmarkStart w:id="16" w:name="_Toc35393803"/>
      <w:bookmarkStart w:id="17" w:name="_Toc35393634"/>
      <w:bookmarkStart w:id="18" w:name="_Toc28359094"/>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s="宋体"/>
          <w:color w:val="auto"/>
          <w:kern w:val="0"/>
          <w:szCs w:val="21"/>
          <w:highlight w:val="none"/>
          <w:u w:val="single"/>
          <w:lang w:val="en-US" w:eastAsia="zh-CN"/>
        </w:rPr>
        <w:t>2025年8月25日9点30分</w:t>
      </w:r>
      <w:r>
        <w:rPr>
          <w:rFonts w:hint="eastAsia" w:ascii="宋体" w:hAnsi="宋体" w:eastAsia="宋体" w:cs="宋体"/>
          <w:color w:val="auto"/>
          <w:kern w:val="0"/>
          <w:sz w:val="21"/>
          <w:szCs w:val="21"/>
          <w:highlight w:val="none"/>
          <w:u w:val="single"/>
        </w:rPr>
        <w:t>（北京时间）</w:t>
      </w:r>
      <w:r>
        <w:rPr>
          <w:rFonts w:hint="eastAsia" w:ascii="宋体" w:hAnsi="宋体"/>
          <w:color w:val="auto"/>
          <w:szCs w:val="21"/>
          <w:highlight w:val="none"/>
          <w:lang w:eastAsia="zh-CN"/>
        </w:rPr>
        <w:t>；</w:t>
      </w:r>
    </w:p>
    <w:p w14:paraId="208462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Cs w:val="21"/>
          <w:highlight w:val="none"/>
          <w:u w:val="single"/>
          <w:lang w:eastAsia="zh-CN"/>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地点：广西壮族自治区防城港市开标室</w:t>
      </w:r>
      <w:r>
        <w:rPr>
          <w:rFonts w:hint="eastAsia" w:ascii="宋体" w:hAnsi="宋体"/>
          <w:color w:val="auto"/>
          <w:szCs w:val="21"/>
          <w:highlight w:val="none"/>
          <w:lang w:val="en-US" w:eastAsia="zh-CN"/>
        </w:rPr>
        <w:t>1</w:t>
      </w:r>
      <w:r>
        <w:rPr>
          <w:rFonts w:hint="eastAsia" w:ascii="宋体" w:hAnsi="宋体"/>
          <w:color w:val="auto"/>
          <w:szCs w:val="21"/>
          <w:highlight w:val="none"/>
        </w:rPr>
        <w:t>政府采购开标室</w:t>
      </w:r>
      <w:r>
        <w:rPr>
          <w:rFonts w:hint="eastAsia" w:ascii="宋体" w:hAnsi="宋体"/>
          <w:color w:val="auto"/>
          <w:szCs w:val="21"/>
          <w:highlight w:val="none"/>
          <w:lang w:val="en-US" w:eastAsia="zh-CN"/>
        </w:rPr>
        <w:t>1</w:t>
      </w:r>
    </w:p>
    <w:p w14:paraId="53EC56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六、公告期限</w:t>
      </w:r>
      <w:bookmarkEnd w:id="15"/>
      <w:bookmarkEnd w:id="16"/>
      <w:bookmarkEnd w:id="17"/>
      <w:bookmarkEnd w:id="18"/>
    </w:p>
    <w:p w14:paraId="4FAEA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14:paraId="1B1F83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bookmarkStart w:id="19" w:name="_Toc35393804"/>
      <w:bookmarkStart w:id="20" w:name="_Toc35393635"/>
      <w:r>
        <w:rPr>
          <w:rFonts w:hint="eastAsia" w:ascii="宋体" w:hAnsi="宋体" w:eastAsia="宋体" w:cs="宋体"/>
          <w:b/>
          <w:bCs/>
          <w:color w:val="auto"/>
          <w:sz w:val="21"/>
          <w:szCs w:val="21"/>
          <w:highlight w:val="none"/>
        </w:rPr>
        <w:t>七、其他补充事宜</w:t>
      </w:r>
      <w:bookmarkEnd w:id="19"/>
      <w:bookmarkEnd w:id="20"/>
    </w:p>
    <w:p w14:paraId="346932D7">
      <w:pPr>
        <w:spacing w:line="360" w:lineRule="auto"/>
        <w:ind w:firstLine="420" w:firstLineChars="200"/>
        <w:rPr>
          <w:rFonts w:hint="eastAsia" w:ascii="宋体" w:hAnsi="宋体" w:eastAsia="宋体" w:cs="宋体"/>
          <w:color w:val="auto"/>
          <w:kern w:val="0"/>
          <w:szCs w:val="21"/>
          <w:highlight w:val="none"/>
        </w:rPr>
      </w:pPr>
      <w:bookmarkStart w:id="21" w:name="_Toc35393636"/>
      <w:bookmarkStart w:id="22" w:name="_Toc35393805"/>
      <w:bookmarkStart w:id="23" w:name="_Toc28359018"/>
      <w:bookmarkStart w:id="24" w:name="_Toc28359095"/>
      <w:r>
        <w:rPr>
          <w:rFonts w:hint="eastAsia" w:ascii="宋体" w:hAnsi="宋体" w:eastAsia="宋体" w:cs="宋体"/>
          <w:color w:val="auto"/>
          <w:kern w:val="0"/>
          <w:szCs w:val="21"/>
          <w:highlight w:val="none"/>
        </w:rPr>
        <w:t>1.磋商保证金：</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r>
        <w:rPr>
          <w:rFonts w:hint="eastAsia" w:ascii="宋体" w:hAnsi="宋体" w:eastAsia="宋体" w:cs="宋体"/>
          <w:b/>
          <w:bCs/>
          <w:color w:val="auto"/>
          <w:szCs w:val="21"/>
          <w:highlight w:val="none"/>
          <w:lang w:val="en-US" w:eastAsia="zh-CN"/>
        </w:rPr>
        <w:t>。</w:t>
      </w:r>
    </w:p>
    <w:p w14:paraId="3E716C74">
      <w:pPr>
        <w:spacing w:line="360" w:lineRule="auto"/>
        <w:ind w:firstLine="420" w:firstLineChars="200"/>
        <w:rPr>
          <w:rFonts w:hint="eastAsia" w:ascii="宋体" w:hAnsi="宋体" w:eastAsia="宋体" w:cs="宋体"/>
          <w:color w:val="auto"/>
          <w:kern w:val="0"/>
          <w:szCs w:val="21"/>
          <w:highlight w:val="none"/>
          <w:lang w:eastAsia="zh-CN"/>
        </w:rPr>
      </w:pPr>
      <w:bookmarkStart w:id="25" w:name="_Hlk3742958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bookmarkStart w:id="26" w:name="_Hlk37429595"/>
      <w:r>
        <w:rPr>
          <w:rFonts w:hint="eastAsia" w:ascii="宋体" w:hAnsi="宋体" w:eastAsia="宋体" w:cs="宋体"/>
          <w:color w:val="auto"/>
          <w:kern w:val="0"/>
          <w:szCs w:val="21"/>
          <w:highlight w:val="none"/>
        </w:rPr>
        <w:t>网上查询地址</w:t>
      </w:r>
      <w:r>
        <w:rPr>
          <w:rFonts w:hint="eastAsia" w:ascii="宋体" w:hAnsi="宋体" w:eastAsia="宋体" w:cs="宋体"/>
          <w:color w:val="auto"/>
          <w:kern w:val="0"/>
          <w:szCs w:val="21"/>
          <w:highlight w:val="none"/>
          <w:lang w:eastAsia="zh-CN"/>
        </w:rPr>
        <w:t>：</w:t>
      </w:r>
    </w:p>
    <w:bookmarkEnd w:id="25"/>
    <w:bookmarkEnd w:id="26"/>
    <w:p w14:paraId="1EF4F9B5">
      <w:pPr>
        <w:spacing w:line="360" w:lineRule="auto"/>
        <w:ind w:firstLine="420" w:firstLineChars="200"/>
        <w:rPr>
          <w:rFonts w:hint="eastAsia" w:ascii="宋体" w:hAnsi="宋体" w:eastAsia="宋体" w:cs="宋体"/>
          <w:color w:val="auto"/>
          <w:kern w:val="0"/>
          <w:szCs w:val="21"/>
          <w:highlight w:val="none"/>
        </w:rPr>
      </w:pPr>
      <w:bookmarkStart w:id="27" w:name="_Hlk37429674"/>
      <w:r>
        <w:rPr>
          <w:rFonts w:hint="eastAsia" w:ascii="宋体" w:hAnsi="宋体" w:eastAsia="宋体" w:cs="宋体"/>
          <w:color w:val="auto"/>
          <w:kern w:val="0"/>
          <w:szCs w:val="21"/>
          <w:highlight w:val="none"/>
        </w:rPr>
        <w:t>中国政府采购网、广西壮族自治区政府采购网、广西防城港港口区人民政府门户网站、全国公共资源交易平台（广西•防城港）。</w:t>
      </w:r>
    </w:p>
    <w:p w14:paraId="1AB9E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本项目需要落实的政府采购政策</w:t>
      </w:r>
    </w:p>
    <w:p w14:paraId="1F2CB9A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513E532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7654D3E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2EC3346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C01045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bookmarkEnd w:id="27"/>
    </w:p>
    <w:p w14:paraId="109385F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BC0F77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.对在“信用中国”网站、中国政府采购网被列入失信被执行人、</w:t>
      </w:r>
      <w:r>
        <w:rPr>
          <w:rFonts w:hint="eastAsia" w:ascii="宋体" w:hAnsi="宋体" w:eastAsia="宋体" w:cs="宋体"/>
          <w:color w:val="auto"/>
          <w:szCs w:val="21"/>
          <w:highlight w:val="none"/>
          <w:lang w:eastAsia="zh-CN"/>
        </w:rPr>
        <w:t>重大税收违法</w:t>
      </w:r>
      <w:bookmarkStart w:id="28" w:name="OLE_LINK8"/>
      <w:r>
        <w:rPr>
          <w:rFonts w:hint="eastAsia" w:ascii="宋体" w:hAnsi="宋体" w:eastAsia="宋体" w:cs="宋体"/>
          <w:color w:val="auto"/>
          <w:szCs w:val="21"/>
          <w:highlight w:val="none"/>
          <w:lang w:eastAsia="zh-CN"/>
        </w:rPr>
        <w:t>失信主体</w:t>
      </w:r>
      <w:bookmarkEnd w:id="28"/>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27B19DCF">
      <w:pPr>
        <w:spacing w:line="360" w:lineRule="auto"/>
        <w:ind w:firstLine="422" w:firstLineChars="200"/>
        <w:rPr>
          <w:rFonts w:hint="eastAsia"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14:paraId="0932304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提交电子版响应文件时，请填写参加远程开标活动经办人联系方式</w:t>
      </w:r>
      <w:r>
        <w:rPr>
          <w:rFonts w:hint="eastAsia" w:ascii="宋体" w:hAnsi="宋体" w:eastAsia="宋体" w:cs="宋体"/>
          <w:color w:val="auto"/>
          <w:szCs w:val="21"/>
          <w:highlight w:val="none"/>
        </w:rPr>
        <w:t>。</w:t>
      </w:r>
    </w:p>
    <w:p w14:paraId="48EAC48E">
      <w:pPr>
        <w:widowControl/>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（2）未进行网上注册并办理数字证书（CA认证）的供应商将无法参与本项目政府采购活动，潜在供应商应当在首次响应文件提交截止时间前，完成电子交易平台上的CA数字证书办理及响应文件的提交。        </w:t>
      </w:r>
    </w:p>
    <w:p w14:paraId="22611598">
      <w:pPr>
        <w:widowControl/>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（3）为确保网上操作合法、有效和安全，请供应商确保在电子响应过程中能够对相关数据电文进行加密和使用电子签章，妥善保管CA数字证书并使用有效的CA数字证书参与整个采购活动。</w:t>
      </w:r>
    </w:p>
    <w:p w14:paraId="49C5E9A0">
      <w:pPr>
        <w:spacing w:line="360" w:lineRule="auto"/>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bookmarkStart w:id="29" w:name="OLE_LINK9"/>
      <w:r>
        <w:rPr>
          <w:rFonts w:hint="eastAsia" w:ascii="宋体" w:hAnsi="宋体" w:eastAsia="宋体" w:cs="宋体"/>
          <w:b/>
          <w:bCs w:val="0"/>
          <w:color w:val="auto"/>
          <w:sz w:val="21"/>
          <w:szCs w:val="21"/>
          <w:highlight w:val="none"/>
          <w:u w:val="single"/>
          <w:lang w:val="en-US" w:eastAsia="zh-CN"/>
        </w:rPr>
        <w:t>广西</w:t>
      </w:r>
      <w:bookmarkEnd w:id="29"/>
      <w:r>
        <w:rPr>
          <w:rFonts w:hint="eastAsia" w:ascii="宋体" w:hAnsi="宋体" w:eastAsia="宋体" w:cs="宋体"/>
          <w:b/>
          <w:bCs w:val="0"/>
          <w:color w:val="auto"/>
          <w:sz w:val="21"/>
          <w:szCs w:val="21"/>
          <w:highlight w:val="none"/>
          <w:u w:val="single"/>
          <w:lang w:val="en-US" w:eastAsia="zh-CN"/>
        </w:rPr>
        <w:t>政府采购云平台</w:t>
      </w:r>
      <w:r>
        <w:rPr>
          <w:rFonts w:hint="eastAsia" w:ascii="宋体" w:hAnsi="宋体" w:eastAsia="宋体" w:cs="宋体"/>
          <w:b/>
          <w:bCs w:val="0"/>
          <w:color w:val="auto"/>
          <w:szCs w:val="21"/>
          <w:highlight w:val="none"/>
          <w:u w:val="single"/>
        </w:rPr>
        <w:t>将予以拒收。</w:t>
      </w:r>
    </w:p>
    <w:p w14:paraId="0B73BDF5">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CA证书在线解密：首次响应文件开启时，需要供应商携带制作响应文件时用来加密的有效数字证书（CA认证）登录</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w:t>
      </w:r>
    </w:p>
    <w:p w14:paraId="57920D71">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13A1DF69">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14:paraId="4A680FA9">
      <w:pPr>
        <w:spacing w:line="360" w:lineRule="auto"/>
        <w:ind w:firstLine="420" w:firstLineChars="200"/>
        <w:rPr>
          <w:rFonts w:hint="eastAsia" w:ascii="宋体" w:hAnsi="宋体"/>
          <w:color w:val="auto"/>
          <w:kern w:val="0"/>
          <w:szCs w:val="21"/>
        </w:rPr>
      </w:pPr>
      <w:r>
        <w:rPr>
          <w:rFonts w:hint="eastAsia" w:ascii="宋体" w:hAnsi="宋体" w:cs="宋体"/>
          <w:color w:val="auto"/>
          <w:kern w:val="0"/>
          <w:szCs w:val="21"/>
          <w:highlight w:val="none"/>
          <w:lang w:val="en-US" w:eastAsia="zh-CN"/>
        </w:rPr>
        <w:t>8.</w:t>
      </w:r>
      <w:r>
        <w:rPr>
          <w:rFonts w:hint="eastAsia" w:ascii="宋体" w:hAnsi="宋体"/>
          <w:color w:val="auto"/>
          <w:kern w:val="0"/>
          <w:szCs w:val="21"/>
        </w:rPr>
        <w:t>监督部门</w:t>
      </w:r>
    </w:p>
    <w:p w14:paraId="0D2092E2">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名 称：</w:t>
      </w:r>
      <w:bookmarkStart w:id="30" w:name="OLE_LINK15"/>
      <w:r>
        <w:rPr>
          <w:rFonts w:hint="eastAsia" w:ascii="宋体" w:hAnsi="宋体"/>
          <w:color w:val="auto"/>
          <w:kern w:val="0"/>
          <w:szCs w:val="21"/>
        </w:rPr>
        <w:t>防城港市港口区政府采购管理办公室</w:t>
      </w:r>
      <w:bookmarkEnd w:id="30"/>
    </w:p>
    <w:p w14:paraId="13B312FF">
      <w:pPr>
        <w:snapToGrid/>
        <w:spacing w:line="360" w:lineRule="auto"/>
        <w:ind w:firstLine="420" w:firstLineChars="200"/>
        <w:rPr>
          <w:rFonts w:hint="eastAsia" w:ascii="宋体" w:hAnsi="宋体"/>
          <w:color w:val="auto"/>
          <w:kern w:val="0"/>
          <w:szCs w:val="21"/>
        </w:rPr>
      </w:pPr>
      <w:r>
        <w:rPr>
          <w:rFonts w:hint="eastAsia" w:ascii="宋体" w:hAnsi="宋体"/>
          <w:color w:val="auto"/>
          <w:kern w:val="0"/>
          <w:szCs w:val="21"/>
        </w:rPr>
        <w:t>电 话：0770-6106362</w:t>
      </w:r>
    </w:p>
    <w:p w14:paraId="29CDB727">
      <w:pPr>
        <w:snapToGrid/>
        <w:spacing w:line="360" w:lineRule="auto"/>
        <w:ind w:firstLine="420" w:firstLineChars="200"/>
        <w:rPr>
          <w:rFonts w:hint="default" w:ascii="宋体" w:hAnsi="宋体"/>
          <w:color w:val="auto"/>
          <w:kern w:val="0"/>
          <w:szCs w:val="21"/>
          <w:lang w:val="en-US" w:eastAsia="zh-CN"/>
        </w:rPr>
      </w:pPr>
      <w:r>
        <w:rPr>
          <w:rFonts w:hint="eastAsia" w:ascii="宋体" w:hAnsi="宋体" w:eastAsia="宋体" w:cs="宋体"/>
          <w:color w:val="auto"/>
          <w:kern w:val="0"/>
          <w:szCs w:val="21"/>
          <w:highlight w:val="none"/>
          <w:lang w:val="en-US" w:eastAsia="zh-CN"/>
        </w:rPr>
        <w:t>9</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本项目采用远程异地评标，评标主场设在防城港市公共资源交易中心，评标副场设在</w:t>
      </w:r>
      <w:r>
        <w:rPr>
          <w:rFonts w:hint="eastAsia" w:ascii="宋体" w:hAnsi="宋体" w:cs="宋体"/>
          <w:color w:val="auto"/>
          <w:kern w:val="0"/>
          <w:szCs w:val="21"/>
          <w:highlight w:val="none"/>
          <w:lang w:val="en-US" w:eastAsia="zh-CN"/>
        </w:rPr>
        <w:t>来宾</w:t>
      </w:r>
      <w:r>
        <w:rPr>
          <w:rFonts w:hint="eastAsia" w:ascii="宋体" w:hAnsi="宋体" w:eastAsia="宋体" w:cs="宋体"/>
          <w:color w:val="auto"/>
          <w:kern w:val="0"/>
          <w:szCs w:val="21"/>
          <w:highlight w:val="none"/>
          <w:lang w:val="en-US" w:eastAsia="zh-CN"/>
        </w:rPr>
        <w:t>市武宣县公共资源交易中心。 </w:t>
      </w:r>
    </w:p>
    <w:p w14:paraId="63D207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八、凡对本次采购提出询问，请按以下方式联系。</w:t>
      </w:r>
      <w:bookmarkEnd w:id="21"/>
      <w:bookmarkEnd w:id="22"/>
      <w:bookmarkEnd w:id="23"/>
      <w:bookmarkEnd w:id="24"/>
    </w:p>
    <w:p w14:paraId="6EC5C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1.采购人信息</w:t>
      </w:r>
    </w:p>
    <w:p w14:paraId="185D26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w:t>
      </w:r>
      <w:r>
        <w:rPr>
          <w:rFonts w:hint="eastAsia" w:ascii="宋体" w:hAnsi="宋体" w:cs="宋体"/>
          <w:color w:val="auto"/>
          <w:kern w:val="0"/>
          <w:sz w:val="21"/>
          <w:szCs w:val="21"/>
          <w:highlight w:val="none"/>
          <w:lang w:eastAsia="zh-CN"/>
        </w:rPr>
        <w:t>防城港市港口区住房和城乡建设局</w:t>
      </w:r>
      <w:r>
        <w:rPr>
          <w:rFonts w:hint="eastAsia" w:ascii="宋体" w:hAnsi="宋体" w:eastAsia="宋体" w:cs="宋体"/>
          <w:color w:val="auto"/>
          <w:sz w:val="21"/>
          <w:szCs w:val="21"/>
          <w:highlight w:val="none"/>
          <w:lang w:eastAsia="zh-CN"/>
        </w:rPr>
        <w:t>　</w:t>
      </w:r>
    </w:p>
    <w:p w14:paraId="4D14E7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    址：</w:t>
      </w:r>
      <w:r>
        <w:rPr>
          <w:rFonts w:hint="eastAsia" w:ascii="宋体" w:hAnsi="宋体"/>
          <w:color w:val="auto"/>
          <w:szCs w:val="21"/>
          <w:lang w:eastAsia="zh-CN"/>
        </w:rPr>
        <w:t>防城港市港口区东兴大道728号</w:t>
      </w:r>
    </w:p>
    <w:p w14:paraId="78C425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olor w:val="auto"/>
          <w:szCs w:val="21"/>
          <w:lang w:val="en-US" w:eastAsia="zh-CN"/>
        </w:rPr>
        <w:t>邓晓晴；0770-2290218；</w:t>
      </w:r>
    </w:p>
    <w:p w14:paraId="2A1823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bookmarkStart w:id="31" w:name="_Toc35393638"/>
      <w:bookmarkStart w:id="32" w:name="_Toc35393807"/>
      <w:bookmarkStart w:id="33" w:name="_Toc28359020"/>
      <w:bookmarkStart w:id="34" w:name="_Toc28359097"/>
      <w:r>
        <w:rPr>
          <w:rFonts w:hint="eastAsia" w:ascii="宋体" w:hAnsi="宋体" w:eastAsia="宋体" w:cs="宋体"/>
          <w:color w:val="auto"/>
          <w:sz w:val="21"/>
          <w:szCs w:val="21"/>
          <w:highlight w:val="none"/>
        </w:rPr>
        <w:t>2.采购代理机构信息</w:t>
      </w:r>
      <w:bookmarkEnd w:id="31"/>
      <w:bookmarkEnd w:id="32"/>
      <w:bookmarkEnd w:id="33"/>
      <w:bookmarkEnd w:id="34"/>
    </w:p>
    <w:p w14:paraId="323D91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广西协弘项目管理有限公司</w:t>
      </w:r>
    </w:p>
    <w:p w14:paraId="5E54D6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val="en-US" w:eastAsia="zh-CN"/>
        </w:rPr>
        <w:t>防城港市港口区珍珠路桂海东盟9栋605室</w:t>
      </w:r>
    </w:p>
    <w:p w14:paraId="64A672E9">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r>
        <w:rPr>
          <w:rFonts w:hint="eastAsia" w:ascii="宋体" w:hAnsi="宋体" w:cs="宋体"/>
          <w:color w:val="auto"/>
          <w:kern w:val="0"/>
          <w:szCs w:val="21"/>
          <w:lang w:val="en-US" w:eastAsia="zh-CN"/>
        </w:rPr>
        <w:t>冯静瑜</w:t>
      </w:r>
      <w:r>
        <w:rPr>
          <w:rFonts w:hint="eastAsia" w:ascii="宋体" w:hAnsi="宋体"/>
          <w:color w:val="auto"/>
          <w:szCs w:val="21"/>
        </w:rPr>
        <w:t>；</w:t>
      </w:r>
      <w:r>
        <w:rPr>
          <w:rFonts w:hint="eastAsia" w:ascii="宋体" w:hAnsi="宋体" w:cs="宋体"/>
          <w:color w:val="auto"/>
          <w:kern w:val="0"/>
          <w:szCs w:val="21"/>
          <w:lang w:eastAsia="zh-CN"/>
        </w:rPr>
        <w:t>0770-2894616</w:t>
      </w:r>
    </w:p>
    <w:p w14:paraId="7CF620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bookmarkStart w:id="35" w:name="_Toc28359098"/>
      <w:bookmarkStart w:id="36" w:name="_Toc35393639"/>
      <w:bookmarkStart w:id="37" w:name="_Toc28359021"/>
      <w:bookmarkStart w:id="38" w:name="_Toc35393808"/>
      <w:r>
        <w:rPr>
          <w:rFonts w:hint="eastAsia" w:ascii="宋体" w:hAnsi="宋体" w:eastAsia="宋体" w:cs="宋体"/>
          <w:color w:val="auto"/>
          <w:sz w:val="21"/>
          <w:szCs w:val="21"/>
          <w:highlight w:val="none"/>
        </w:rPr>
        <w:t>3.项目联系方式</w:t>
      </w:r>
      <w:bookmarkEnd w:id="35"/>
      <w:bookmarkEnd w:id="36"/>
      <w:bookmarkEnd w:id="37"/>
      <w:bookmarkEnd w:id="38"/>
    </w:p>
    <w:p w14:paraId="7811AF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cs="宋体"/>
          <w:color w:val="auto"/>
          <w:kern w:val="0"/>
          <w:szCs w:val="21"/>
          <w:lang w:val="en-US" w:eastAsia="zh-CN"/>
        </w:rPr>
        <w:t>冯静瑜</w:t>
      </w:r>
    </w:p>
    <w:p w14:paraId="2212CDB6">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kern w:val="0"/>
          <w:szCs w:val="21"/>
          <w:lang w:eastAsia="zh-CN"/>
        </w:rPr>
        <w:t>0770-2894616</w:t>
      </w:r>
    </w:p>
    <w:p w14:paraId="3E51921F">
      <w:pPr>
        <w:spacing w:line="360" w:lineRule="auto"/>
        <w:ind w:firstLine="420" w:firstLineChars="20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p w14:paraId="4B7FF7CA">
      <w:pPr>
        <w:spacing w:line="360" w:lineRule="auto"/>
        <w:ind w:firstLine="420" w:firstLineChars="200"/>
        <w:jc w:val="center"/>
        <w:rPr>
          <w:rFonts w:hint="eastAsia" w:ascii="宋体" w:hAnsi="宋体" w:cs="宋体"/>
          <w:color w:val="auto"/>
          <w:sz w:val="21"/>
          <w:szCs w:val="21"/>
          <w:highlight w:val="none"/>
          <w:lang w:val="en-US" w:eastAsia="zh-CN"/>
        </w:rPr>
      </w:pPr>
    </w:p>
    <w:p w14:paraId="37829B69">
      <w:pPr>
        <w:pStyle w:val="67"/>
        <w:spacing w:line="440" w:lineRule="exact"/>
        <w:ind w:firstLine="420" w:firstLineChars="200"/>
        <w:jc w:val="right"/>
        <w:rPr>
          <w:rFonts w:hint="eastAsia"/>
          <w:color w:val="auto"/>
          <w:sz w:val="21"/>
          <w:szCs w:val="21"/>
        </w:rPr>
      </w:pPr>
      <w:r>
        <w:rPr>
          <w:rFonts w:hint="eastAsia" w:ascii="宋体" w:hAnsi="宋体" w:cs="宋体"/>
          <w:color w:val="auto"/>
          <w:sz w:val="21"/>
          <w:szCs w:val="21"/>
          <w:highlight w:val="none"/>
          <w:lang w:val="en-US" w:eastAsia="zh-CN"/>
        </w:rPr>
        <w:t xml:space="preserve">                                              </w:t>
      </w:r>
      <w:r>
        <w:rPr>
          <w:rFonts w:hint="eastAsia"/>
          <w:color w:val="auto"/>
          <w:sz w:val="21"/>
          <w:szCs w:val="21"/>
        </w:rPr>
        <w:t>采购人：</w:t>
      </w:r>
      <w:r>
        <w:rPr>
          <w:rFonts w:hint="eastAsia"/>
          <w:color w:val="auto"/>
          <w:sz w:val="21"/>
          <w:szCs w:val="21"/>
          <w:lang w:eastAsia="zh-CN"/>
        </w:rPr>
        <w:t>防城港市港口区住房和城乡建设局</w:t>
      </w:r>
    </w:p>
    <w:p w14:paraId="4301975F">
      <w:pPr>
        <w:pStyle w:val="67"/>
        <w:spacing w:line="440" w:lineRule="exact"/>
        <w:ind w:firstLine="420" w:firstLineChars="200"/>
        <w:jc w:val="right"/>
        <w:rPr>
          <w:rFonts w:hint="eastAsia" w:eastAsia="宋体"/>
          <w:color w:val="auto"/>
          <w:sz w:val="21"/>
          <w:szCs w:val="21"/>
          <w:lang w:eastAsia="zh-CN"/>
        </w:rPr>
      </w:pPr>
      <w:r>
        <w:rPr>
          <w:rFonts w:hint="eastAsia"/>
          <w:color w:val="auto"/>
          <w:sz w:val="21"/>
          <w:szCs w:val="21"/>
          <w:lang w:val="en-US" w:eastAsia="zh-CN"/>
        </w:rPr>
        <w:t>采购代理机构：</w:t>
      </w:r>
      <w:r>
        <w:rPr>
          <w:rFonts w:hint="eastAsia"/>
          <w:color w:val="auto"/>
          <w:sz w:val="21"/>
          <w:szCs w:val="21"/>
          <w:lang w:eastAsia="zh-CN"/>
        </w:rPr>
        <w:t>广西协弘项目管理有限公司</w:t>
      </w:r>
    </w:p>
    <w:p w14:paraId="58DE3D36">
      <w:pPr>
        <w:pStyle w:val="67"/>
        <w:spacing w:line="440" w:lineRule="exact"/>
        <w:ind w:firstLine="420" w:firstLineChars="20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2025年8月</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日</w:t>
      </w:r>
    </w:p>
    <w:p w14:paraId="4139B0A8">
      <w:pPr>
        <w:pStyle w:val="32"/>
        <w:widowControl w:val="0"/>
        <w:spacing w:after="0" w:afterLines="0" w:line="360" w:lineRule="auto"/>
        <w:ind w:firstLine="420" w:firstLineChars="200"/>
        <w:jc w:val="center"/>
        <w:rPr>
          <w:rFonts w:hint="eastAsia" w:ascii="宋体" w:hAnsi="宋体" w:eastAsia="宋体" w:cs="宋体"/>
          <w:color w:val="auto"/>
          <w:sz w:val="21"/>
          <w:szCs w:val="21"/>
          <w:highlight w:val="none"/>
        </w:rPr>
      </w:pPr>
    </w:p>
    <w:p w14:paraId="6150C455">
      <w:pPr>
        <w:spacing w:line="360" w:lineRule="auto"/>
        <w:ind w:firstLine="420" w:firstLineChars="200"/>
        <w:jc w:val="righ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1668D6BC">
      <w:p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39" w:name="_Toc22437"/>
      <w:r>
        <w:rPr>
          <w:rFonts w:hint="eastAsia" w:ascii="宋体" w:hAnsi="宋体" w:eastAsia="宋体" w:cs="宋体"/>
          <w:b/>
          <w:bCs/>
          <w:color w:val="auto"/>
          <w:sz w:val="36"/>
          <w:szCs w:val="36"/>
          <w:highlight w:val="none"/>
          <w:lang w:eastAsia="zh-CN"/>
        </w:rPr>
        <w:t>第二章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供应商须知</w:t>
      </w:r>
      <w:bookmarkEnd w:id="3"/>
      <w:bookmarkEnd w:id="39"/>
      <w:bookmarkStart w:id="40" w:name="_Toc424307742"/>
      <w:bookmarkStart w:id="41" w:name="_Toc424307475"/>
    </w:p>
    <w:p w14:paraId="54423147">
      <w:pPr>
        <w:keepNext w:val="0"/>
        <w:keepLines w:val="0"/>
        <w:pageBreakBefore w:val="0"/>
        <w:widowControl w:val="0"/>
        <w:kinsoku/>
        <w:wordWrap/>
        <w:overflowPunct/>
        <w:topLinePunct w:val="0"/>
        <w:bidi w:val="0"/>
        <w:spacing w:line="420" w:lineRule="exact"/>
        <w:ind w:firstLine="482" w:firstLineChars="200"/>
        <w:jc w:val="center"/>
        <w:textAlignment w:val="auto"/>
        <w:outlineLvl w:val="0"/>
        <w:rPr>
          <w:rFonts w:hint="eastAsia" w:ascii="宋体" w:hAnsi="宋体" w:eastAsia="宋体" w:cs="宋体"/>
          <w:b/>
          <w:bCs/>
          <w:color w:val="auto"/>
          <w:sz w:val="24"/>
          <w:highlight w:val="none"/>
        </w:rPr>
      </w:pPr>
      <w:bookmarkStart w:id="42" w:name="_Toc15423"/>
      <w:bookmarkStart w:id="43" w:name="_Toc14902"/>
      <w:r>
        <w:rPr>
          <w:rFonts w:hint="eastAsia" w:ascii="宋体" w:hAnsi="宋体" w:eastAsia="宋体" w:cs="宋体"/>
          <w:b/>
          <w:bCs/>
          <w:color w:val="auto"/>
          <w:sz w:val="24"/>
          <w:highlight w:val="none"/>
        </w:rPr>
        <w:t>供应商须知前附表</w:t>
      </w:r>
      <w:bookmarkEnd w:id="40"/>
      <w:bookmarkEnd w:id="41"/>
      <w:bookmarkEnd w:id="42"/>
      <w:bookmarkEnd w:id="43"/>
      <w:bookmarkStart w:id="44" w:name="_Toc424307744"/>
      <w:bookmarkStart w:id="45" w:name="_Toc26924"/>
      <w:bookmarkStart w:id="46" w:name="_Toc12869"/>
      <w:bookmarkStart w:id="47" w:name="_Toc18886"/>
      <w:bookmarkStart w:id="48" w:name="_Toc30070"/>
    </w:p>
    <w:tbl>
      <w:tblPr>
        <w:tblStyle w:val="22"/>
        <w:tblW w:w="9612"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8595"/>
      </w:tblGrid>
      <w:tr w14:paraId="278E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42BC083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8595" w:type="dxa"/>
            <w:noWrap w:val="0"/>
            <w:vAlign w:val="center"/>
          </w:tcPr>
          <w:p w14:paraId="01B7CAE5">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r>
      <w:tr w14:paraId="6DEE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17" w:type="dxa"/>
            <w:noWrap w:val="0"/>
            <w:vAlign w:val="center"/>
          </w:tcPr>
          <w:p w14:paraId="2C07A82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595" w:type="dxa"/>
            <w:noWrap w:val="0"/>
            <w:vAlign w:val="center"/>
          </w:tcPr>
          <w:p w14:paraId="30B4F935">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港口区民族同心文化石榴园工程项目</w:t>
            </w:r>
          </w:p>
          <w:p w14:paraId="778F43D9">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FCZC2025-C2-020045-GXXH</w:t>
            </w:r>
          </w:p>
        </w:tc>
      </w:tr>
      <w:tr w14:paraId="18B9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2ED3F0B2">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lang w:eastAsia="zh-CN"/>
              </w:rPr>
            </w:pPr>
          </w:p>
        </w:tc>
        <w:tc>
          <w:tcPr>
            <w:tcW w:w="8595" w:type="dxa"/>
            <w:noWrap w:val="0"/>
            <w:vAlign w:val="center"/>
          </w:tcPr>
          <w:p w14:paraId="5B854B1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供应商资格要求：</w:t>
            </w:r>
          </w:p>
          <w:p w14:paraId="0D1F82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5BEA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cs="宋体"/>
                <w:b/>
                <w:bCs/>
                <w:color w:val="auto"/>
                <w:sz w:val="21"/>
                <w:szCs w:val="21"/>
                <w:highlight w:val="none"/>
                <w:lang w:eastAsia="zh-CN"/>
              </w:rPr>
              <w:t>本项目为专门面向中小企业采购的项目</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供应商应为</w:t>
            </w:r>
            <w:r>
              <w:rPr>
                <w:rFonts w:hint="eastAsia" w:ascii="宋体" w:hAnsi="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rPr>
              <w:t>小微企业或监狱企业或残疾人福利性单位</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Cs w:val="21"/>
                <w:highlight w:val="none"/>
                <w:lang w:val="en-US" w:eastAsia="zh-CN"/>
              </w:rPr>
              <w:t>。供应商必须提供中小企业声明函或者残疾人福利性单位声明函或者供应商属于监狱企业的需提供由省级以上监狱管理局、戒毒管理局（含新疆生产建设兵团）出具的属于监狱企业的证明文件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color w:val="auto"/>
                <w:kern w:val="0"/>
                <w:szCs w:val="21"/>
                <w:highlight w:val="none"/>
                <w:lang w:val="en-US" w:eastAsia="zh-CN"/>
              </w:rPr>
              <w:t>；</w:t>
            </w:r>
          </w:p>
          <w:p w14:paraId="778CB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3.本项目的特定资格要求：</w:t>
            </w:r>
          </w:p>
          <w:p w14:paraId="7BC04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本项目供应商企业资质要求具备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市政公用工程施工总承包</w:t>
            </w:r>
            <w:r>
              <w:rPr>
                <w:rFonts w:hint="eastAsia" w:ascii="宋体" w:hAnsi="宋体" w:cs="宋体"/>
                <w:b/>
                <w:bCs/>
                <w:color w:val="auto"/>
                <w:szCs w:val="21"/>
                <w:highlight w:val="none"/>
              </w:rPr>
              <w:t>”三级以上（含三级）资质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46594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拟派项目经理资格要求具备</w:t>
            </w:r>
            <w:r>
              <w:rPr>
                <w:rFonts w:hint="eastAsia" w:ascii="宋体" w:hAnsi="宋体" w:cs="宋体"/>
                <w:b/>
                <w:bCs/>
                <w:color w:val="auto"/>
                <w:szCs w:val="21"/>
                <w:highlight w:val="none"/>
                <w:lang w:val="en-US" w:eastAsia="zh-CN"/>
              </w:rPr>
              <w:t>市政公用工程</w:t>
            </w:r>
            <w:r>
              <w:rPr>
                <w:rFonts w:hint="eastAsia" w:ascii="宋体" w:hAnsi="宋体" w:eastAsia="宋体" w:cs="宋体"/>
                <w:color w:val="auto"/>
                <w:sz w:val="21"/>
                <w:szCs w:val="21"/>
                <w:highlight w:val="none"/>
                <w:lang w:val="zh-CN" w:eastAsia="zh-CN" w:bidi="zh-CN"/>
              </w:rPr>
              <w:t>专业贰级以上（含贰级）</w:t>
            </w:r>
            <w:r>
              <w:rPr>
                <w:rFonts w:hint="eastAsia" w:ascii="宋体" w:hAnsi="宋体" w:eastAsia="宋体" w:cs="宋体"/>
                <w:color w:val="auto"/>
                <w:szCs w:val="21"/>
                <w:highlight w:val="none"/>
              </w:rPr>
              <w:t>注册建造师证书，并持有效的安全生产考核合格证书（B证），为</w:t>
            </w:r>
            <w:r>
              <w:rPr>
                <w:rFonts w:hint="eastAsia"/>
                <w:color w:val="auto"/>
                <w:lang w:val="en-US" w:eastAsia="zh-CN"/>
              </w:rPr>
              <w:t>供应商</w:t>
            </w:r>
            <w:r>
              <w:rPr>
                <w:rFonts w:hint="eastAsia" w:ascii="宋体" w:hAnsi="宋体" w:eastAsia="宋体" w:cs="宋体"/>
                <w:color w:val="auto"/>
                <w:szCs w:val="21"/>
                <w:highlight w:val="none"/>
              </w:rPr>
              <w:t>本单位的在岗人员，且未担任其他在建项目或已中标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tc>
      </w:tr>
      <w:tr w14:paraId="6FEC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3BDA182C">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595" w:type="dxa"/>
            <w:noWrap w:val="0"/>
            <w:vAlign w:val="center"/>
          </w:tcPr>
          <w:p w14:paraId="6120844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是否接受联合体竞标</w:t>
            </w:r>
            <w:r>
              <w:rPr>
                <w:rFonts w:hint="eastAsia" w:ascii="宋体" w:hAnsi="宋体" w:eastAsia="宋体" w:cs="宋体"/>
                <w:color w:val="auto"/>
                <w:szCs w:val="21"/>
                <w:highlight w:val="none"/>
                <w:lang w:eastAsia="zh-CN"/>
              </w:rPr>
              <w:t>：</w:t>
            </w:r>
            <w:bookmarkStart w:id="49" w:name="PO_3000001868_PM007"/>
            <w:r>
              <w:rPr>
                <w:rFonts w:hint="eastAsia" w:ascii="宋体" w:hAnsi="宋体" w:eastAsia="宋体" w:cs="宋体"/>
                <w:color w:val="auto"/>
                <w:szCs w:val="21"/>
                <w:highlight w:val="none"/>
              </w:rPr>
              <w:t>详见竞争性磋商公告</w:t>
            </w:r>
            <w:bookmarkEnd w:id="49"/>
            <w:r>
              <w:rPr>
                <w:rFonts w:hint="eastAsia" w:ascii="宋体" w:hAnsi="宋体" w:eastAsia="宋体" w:cs="宋体"/>
                <w:color w:val="auto"/>
                <w:szCs w:val="21"/>
                <w:highlight w:val="none"/>
                <w:lang w:eastAsia="zh-CN"/>
              </w:rPr>
              <w:t>。</w:t>
            </w:r>
          </w:p>
        </w:tc>
      </w:tr>
      <w:tr w14:paraId="5D4D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0C230DE1">
            <w:pPr>
              <w:keepNext w:val="0"/>
              <w:keepLines w:val="0"/>
              <w:pageBreakBefore w:val="0"/>
              <w:widowControl w:val="0"/>
              <w:kinsoku/>
              <w:wordWrap/>
              <w:overflowPunct/>
              <w:topLinePunct w:val="0"/>
              <w:bidi w:val="0"/>
              <w:spacing w:line="42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595" w:type="dxa"/>
            <w:noWrap w:val="0"/>
            <w:vAlign w:val="center"/>
          </w:tcPr>
          <w:p w14:paraId="2616ECFE">
            <w:pPr>
              <w:pStyle w:val="9"/>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是否允许分包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不允许分包</w:t>
            </w:r>
            <w:r>
              <w:rPr>
                <w:rFonts w:hint="eastAsia" w:ascii="宋体" w:hAnsi="宋体" w:eastAsia="宋体" w:cs="宋体"/>
                <w:color w:val="auto"/>
                <w:szCs w:val="21"/>
                <w:highlight w:val="none"/>
                <w:lang w:eastAsia="zh-CN"/>
              </w:rPr>
              <w:t>。</w:t>
            </w:r>
          </w:p>
        </w:tc>
      </w:tr>
      <w:tr w14:paraId="6F38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6C6A144C">
            <w:pPr>
              <w:keepNext w:val="0"/>
              <w:keepLines w:val="0"/>
              <w:pageBreakBefore w:val="0"/>
              <w:widowControl w:val="0"/>
              <w:kinsoku/>
              <w:wordWrap/>
              <w:overflowPunct/>
              <w:topLinePunct w:val="0"/>
              <w:bidi w:val="0"/>
              <w:spacing w:line="42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8595" w:type="dxa"/>
            <w:noWrap w:val="0"/>
            <w:vAlign w:val="center"/>
          </w:tcPr>
          <w:p w14:paraId="7D071AEB">
            <w:pPr>
              <w:pStyle w:val="9"/>
              <w:ind w:firstLine="420" w:firstLineChars="200"/>
              <w:rPr>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.响应文件电子版要求：</w:t>
            </w:r>
            <w:r>
              <w:rPr>
                <w:rFonts w:hint="eastAsia"/>
                <w:color w:val="auto"/>
                <w:highlight w:val="none"/>
              </w:rPr>
              <w:t>按照本竞争性磋商文件“第五章 响应文件格式”编写，第五章未附格式的，由供应商自行拟定。</w:t>
            </w:r>
          </w:p>
          <w:p w14:paraId="5C1F0D88">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.响应文件电子版密封方式：电子响应文件通过平台有效CA加密后在“</w:t>
            </w:r>
            <w:r>
              <w:rPr>
                <w:rFonts w:hint="eastAsia" w:ascii="宋体" w:hAnsi="宋体" w:cs="宋体"/>
                <w:color w:val="auto"/>
                <w:highlight w:val="none"/>
                <w:lang w:val="en-US" w:eastAsia="zh-CN"/>
              </w:rPr>
              <w:t>广西政府采购云</w:t>
            </w:r>
            <w:r>
              <w:rPr>
                <w:rFonts w:hint="eastAsia" w:ascii="宋体" w:hAnsi="宋体" w:eastAsia="宋体" w:cs="宋体"/>
                <w:color w:val="auto"/>
                <w:highlight w:val="none"/>
              </w:rPr>
              <w:t>”平台投送。</w:t>
            </w:r>
          </w:p>
        </w:tc>
      </w:tr>
      <w:tr w14:paraId="74BE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7" w:type="dxa"/>
            <w:noWrap w:val="0"/>
            <w:vAlign w:val="center"/>
          </w:tcPr>
          <w:p w14:paraId="16E1A15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8595" w:type="dxa"/>
            <w:noWrap w:val="0"/>
            <w:vAlign w:val="center"/>
          </w:tcPr>
          <w:p w14:paraId="33B89CBC">
            <w:pPr>
              <w:keepNext w:val="0"/>
              <w:keepLines w:val="0"/>
              <w:pageBreakBefore w:val="0"/>
              <w:widowControl w:val="0"/>
              <w:kinsoku/>
              <w:wordWrap/>
              <w:overflowPunct/>
              <w:topLinePunct w:val="0"/>
              <w:bidi w:val="0"/>
              <w:adjustRightInd/>
              <w:snapToGrid w:val="0"/>
              <w:spacing w:line="398"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w:t>
            </w:r>
            <w:r>
              <w:rPr>
                <w:rFonts w:hint="eastAsia" w:ascii="宋体" w:hAnsi="宋体" w:eastAsia="宋体" w:cs="宋体"/>
                <w:color w:val="auto"/>
                <w:highlight w:val="none"/>
                <w:lang w:eastAsia="zh-CN"/>
              </w:rPr>
              <w:t>：供应商须根据采购人提供的</w:t>
            </w:r>
            <w:r>
              <w:rPr>
                <w:rFonts w:hint="eastAsia" w:ascii="宋体" w:hAnsi="宋体" w:eastAsia="宋体" w:cs="宋体"/>
                <w:color w:val="auto"/>
                <w:highlight w:val="none"/>
                <w:lang w:val="en-US" w:eastAsia="zh-CN"/>
              </w:rPr>
              <w:t>工程</w:t>
            </w:r>
            <w:r>
              <w:rPr>
                <w:rFonts w:hint="eastAsia" w:ascii="宋体" w:hAnsi="宋体" w:eastAsia="宋体" w:cs="宋体"/>
                <w:color w:val="auto"/>
                <w:highlight w:val="none"/>
                <w:lang w:eastAsia="zh-CN"/>
              </w:rPr>
              <w:t>清单及图纸编制完整的</w:t>
            </w:r>
            <w:bookmarkStart w:id="50" w:name="OLE_LINK23"/>
            <w:r>
              <w:rPr>
                <w:rFonts w:hint="eastAsia" w:ascii="宋体" w:hAnsi="宋体" w:eastAsia="宋体" w:cs="宋体"/>
                <w:color w:val="auto"/>
                <w:highlight w:val="none"/>
              </w:rPr>
              <w:t>工程量清单</w:t>
            </w:r>
            <w:r>
              <w:rPr>
                <w:rFonts w:hint="eastAsia" w:ascii="宋体" w:hAnsi="宋体" w:eastAsia="宋体" w:cs="宋体"/>
                <w:color w:val="auto"/>
                <w:highlight w:val="none"/>
                <w:lang w:eastAsia="zh-CN"/>
              </w:rPr>
              <w:t>报价文件</w:t>
            </w:r>
            <w:bookmarkEnd w:id="50"/>
            <w:r>
              <w:rPr>
                <w:rFonts w:hint="eastAsia" w:ascii="宋体" w:hAnsi="宋体" w:cs="宋体"/>
                <w:color w:val="auto"/>
                <w:highlight w:val="none"/>
                <w:lang w:eastAsia="zh-CN"/>
              </w:rPr>
              <w:t>。</w:t>
            </w:r>
          </w:p>
        </w:tc>
      </w:tr>
      <w:tr w14:paraId="2713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7" w:type="dxa"/>
            <w:noWrap w:val="0"/>
            <w:vAlign w:val="center"/>
          </w:tcPr>
          <w:p w14:paraId="5A6F5F6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.1</w:t>
            </w:r>
          </w:p>
        </w:tc>
        <w:tc>
          <w:tcPr>
            <w:tcW w:w="8595" w:type="dxa"/>
            <w:noWrap w:val="0"/>
            <w:vAlign w:val="center"/>
          </w:tcPr>
          <w:p w14:paraId="5847EAED">
            <w:pPr>
              <w:keepNext w:val="0"/>
              <w:keepLines w:val="0"/>
              <w:pageBreakBefore w:val="0"/>
              <w:widowControl w:val="0"/>
              <w:shd w:val="clear" w:color="auto" w:fill="FFFFFF"/>
              <w:kinsoku/>
              <w:wordWrap/>
              <w:overflowPunct/>
              <w:topLinePunct w:val="0"/>
              <w:bidi w:val="0"/>
              <w:spacing w:line="4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rPr>
              <w:t>有效期：</w:t>
            </w:r>
            <w:r>
              <w:rPr>
                <w:rFonts w:hint="eastAsia" w:ascii="宋体" w:hAnsi="宋体" w:eastAsia="宋体" w:cs="宋体"/>
                <w:color w:val="auto"/>
                <w:spacing w:val="2"/>
                <w:highlight w:val="none"/>
              </w:rPr>
              <w:t>自首次响应文件提交截止时间起至政府采购合同签订之日止。</w:t>
            </w:r>
          </w:p>
        </w:tc>
      </w:tr>
      <w:tr w14:paraId="53B8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17" w:type="dxa"/>
            <w:noWrap w:val="0"/>
            <w:vAlign w:val="center"/>
          </w:tcPr>
          <w:p w14:paraId="604CED57">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.1</w:t>
            </w:r>
          </w:p>
        </w:tc>
        <w:tc>
          <w:tcPr>
            <w:tcW w:w="8595" w:type="dxa"/>
            <w:noWrap w:val="0"/>
            <w:vAlign w:val="center"/>
          </w:tcPr>
          <w:p w14:paraId="696EAB6C">
            <w:pPr>
              <w:spacing w:line="360" w:lineRule="auto"/>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p>
        </w:tc>
      </w:tr>
      <w:tr w14:paraId="0223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49375B86">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18</w:t>
            </w:r>
          </w:p>
        </w:tc>
        <w:tc>
          <w:tcPr>
            <w:tcW w:w="8595" w:type="dxa"/>
            <w:noWrap w:val="0"/>
            <w:vAlign w:val="center"/>
          </w:tcPr>
          <w:p w14:paraId="1EB819AC">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首次响应文件提交截止时间：详见竞争性磋商公告。</w:t>
            </w:r>
          </w:p>
          <w:p w14:paraId="6AC62AA9">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首次响应文件提交地点：详见竞争性磋商公告。</w:t>
            </w:r>
          </w:p>
          <w:p w14:paraId="29B1419D">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首次响应文件</w:t>
            </w:r>
            <w:r>
              <w:rPr>
                <w:rFonts w:hint="eastAsia" w:ascii="Times New Roman" w:hAnsi="Times New Roman" w:eastAsia="宋体" w:cs="Times New Roman"/>
                <w:color w:val="auto"/>
                <w:highlight w:val="none"/>
                <w:lang w:eastAsia="zh-CN"/>
              </w:rPr>
              <w:t>开启</w:t>
            </w:r>
            <w:r>
              <w:rPr>
                <w:rFonts w:hint="eastAsia" w:ascii="Times New Roman" w:hAnsi="Times New Roman" w:eastAsia="宋体" w:cs="Times New Roman"/>
                <w:color w:val="auto"/>
                <w:highlight w:val="none"/>
              </w:rPr>
              <w:t>时间</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详见竞争性磋商公告</w:t>
            </w:r>
            <w:r>
              <w:rPr>
                <w:rFonts w:hint="eastAsia" w:ascii="Times New Roman" w:hAnsi="Times New Roman" w:eastAsia="宋体" w:cs="Times New Roman"/>
                <w:color w:val="auto"/>
                <w:highlight w:val="none"/>
                <w:lang w:eastAsia="zh-CN"/>
              </w:rPr>
              <w:t>。</w:t>
            </w:r>
          </w:p>
          <w:p w14:paraId="64D1926A">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宋体" w:hAnsi="宋体" w:eastAsia="宋体" w:cs="宋体"/>
                <w:color w:val="auto"/>
                <w:szCs w:val="21"/>
                <w:highlight w:val="none"/>
                <w:lang w:eastAsia="zh-CN"/>
              </w:rPr>
            </w:pPr>
            <w:r>
              <w:rPr>
                <w:rFonts w:hint="eastAsia" w:ascii="Times New Roman" w:hAnsi="Times New Roman" w:eastAsia="宋体" w:cs="Times New Roman"/>
                <w:color w:val="auto"/>
                <w:highlight w:val="none"/>
              </w:rPr>
              <w:t>备份响应文件</w:t>
            </w:r>
            <w:r>
              <w:rPr>
                <w:rFonts w:hint="eastAsia" w:ascii="Times New Roman" w:hAnsi="Times New Roman" w:eastAsia="宋体" w:cs="Times New Roman"/>
                <w:color w:val="auto"/>
                <w:highlight w:val="none"/>
                <w:lang w:eastAsia="zh-CN"/>
              </w:rPr>
              <w:t>：</w:t>
            </w:r>
            <w:r>
              <w:rPr>
                <w:rFonts w:hint="eastAsia" w:ascii="宋体" w:hAnsi="宋体" w:eastAsia="宋体" w:cs="宋体"/>
                <w:color w:val="auto"/>
                <w:szCs w:val="21"/>
                <w:highlight w:val="none"/>
              </w:rPr>
              <w:t>本项目不接受备份响应文件</w:t>
            </w:r>
            <w:r>
              <w:rPr>
                <w:rFonts w:hint="eastAsia" w:ascii="宋体" w:hAnsi="宋体" w:eastAsia="宋体" w:cs="宋体"/>
                <w:color w:val="auto"/>
                <w:szCs w:val="21"/>
                <w:highlight w:val="none"/>
                <w:lang w:eastAsia="zh-CN"/>
              </w:rPr>
              <w:t>。</w:t>
            </w:r>
          </w:p>
        </w:tc>
      </w:tr>
      <w:tr w14:paraId="5874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10BCF389">
            <w:pPr>
              <w:keepNext w:val="0"/>
              <w:keepLines w:val="0"/>
              <w:pageBreakBefore w:val="0"/>
              <w:widowControl w:val="0"/>
              <w:kinsoku/>
              <w:wordWrap/>
              <w:overflowPunct/>
              <w:topLinePunct w:val="0"/>
              <w:bidi w:val="0"/>
              <w:adjustRightInd/>
              <w:spacing w:line="398"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21</w:t>
            </w:r>
          </w:p>
        </w:tc>
        <w:tc>
          <w:tcPr>
            <w:tcW w:w="8595" w:type="dxa"/>
            <w:noWrap w:val="0"/>
            <w:vAlign w:val="center"/>
          </w:tcPr>
          <w:p w14:paraId="4EA8A7A6">
            <w:pPr>
              <w:keepNext w:val="0"/>
              <w:keepLines w:val="0"/>
              <w:pageBreakBefore w:val="0"/>
              <w:widowControl w:val="0"/>
              <w:kinsoku/>
              <w:wordWrap/>
              <w:overflowPunct/>
              <w:topLinePunct w:val="0"/>
              <w:bidi w:val="0"/>
              <w:adjustRightInd/>
              <w:snapToGrid w:val="0"/>
              <w:spacing w:line="398" w:lineRule="exact"/>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14:paraId="633F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017" w:type="dxa"/>
            <w:noWrap w:val="0"/>
            <w:vAlign w:val="center"/>
          </w:tcPr>
          <w:p w14:paraId="1A0B5923">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23.3</w:t>
            </w:r>
          </w:p>
        </w:tc>
        <w:tc>
          <w:tcPr>
            <w:tcW w:w="8595" w:type="dxa"/>
            <w:noWrap w:val="0"/>
            <w:vAlign w:val="center"/>
          </w:tcPr>
          <w:p w14:paraId="23664D18">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6A02197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2A9ECD1A">
            <w:pPr>
              <w:pStyle w:val="9"/>
              <w:spacing w:line="360" w:lineRule="auto"/>
              <w:ind w:firstLine="422" w:firstLineChars="200"/>
              <w:rPr>
                <w:rFonts w:hint="eastAsia" w:ascii="宋体" w:hAnsi="宋体" w:eastAsia="宋体" w:cs="宋体"/>
                <w:color w:val="auto"/>
                <w:highlight w:val="none"/>
                <w:lang w:eastAsia="zh-CN"/>
              </w:rPr>
            </w:pPr>
            <w:r>
              <w:rPr>
                <w:rFonts w:hint="eastAsia" w:ascii="宋体" w:hAnsi="宋体" w:eastAsia="宋体" w:cs="宋体"/>
                <w:b/>
                <w:color w:val="auto"/>
                <w:szCs w:val="21"/>
                <w:highlight w:val="none"/>
              </w:rPr>
              <w:t>参与磋商前，磋商小组</w:t>
            </w:r>
            <w:r>
              <w:rPr>
                <w:rFonts w:hint="eastAsia" w:ascii="宋体" w:hAnsi="宋体" w:eastAsia="宋体" w:cs="宋体"/>
                <w:b/>
                <w:color w:val="auto"/>
                <w:szCs w:val="21"/>
                <w:highlight w:val="none"/>
                <w:lang w:eastAsia="zh-CN"/>
              </w:rPr>
              <w:t>如有要求，</w:t>
            </w:r>
            <w:r>
              <w:rPr>
                <w:rFonts w:hint="eastAsia" w:ascii="宋体" w:hAnsi="宋体" w:eastAsia="宋体" w:cs="宋体"/>
                <w:b/>
                <w:color w:val="auto"/>
                <w:szCs w:val="21"/>
                <w:highlight w:val="none"/>
              </w:rPr>
              <w:t>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764A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noWrap w:val="0"/>
            <w:vAlign w:val="center"/>
          </w:tcPr>
          <w:p w14:paraId="798284F0">
            <w:pPr>
              <w:keepNext w:val="0"/>
              <w:keepLines w:val="0"/>
              <w:pageBreakBefore w:val="0"/>
              <w:widowControl w:val="0"/>
              <w:kinsoku/>
              <w:wordWrap/>
              <w:overflowPunct/>
              <w:topLinePunct w:val="0"/>
              <w:bidi w:val="0"/>
              <w:adjustRightInd/>
              <w:spacing w:line="398"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8595" w:type="dxa"/>
            <w:noWrap w:val="0"/>
            <w:vAlign w:val="center"/>
          </w:tcPr>
          <w:p w14:paraId="67FC7E2B">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签订合同携带的材料：</w:t>
            </w:r>
          </w:p>
          <w:p w14:paraId="66745B10">
            <w:pPr>
              <w:pStyle w:val="9"/>
              <w:spacing w:line="360" w:lineRule="auto"/>
              <w:ind w:firstLine="420" w:firstLineChars="200"/>
              <w:rPr>
                <w:rFonts w:hint="eastAsia" w:ascii="宋体" w:hAnsi="宋体" w:eastAsia="宋体" w:cs="宋体"/>
                <w:color w:val="auto"/>
                <w:szCs w:val="21"/>
                <w:highlight w:val="none"/>
                <w:lang w:eastAsia="zh-CN"/>
              </w:rPr>
            </w:pPr>
            <w:bookmarkStart w:id="51" w:name="OLE_LINK27"/>
            <w:r>
              <w:rPr>
                <w:rFonts w:hint="eastAsia" w:ascii="宋体" w:hAnsi="宋体" w:eastAsia="宋体" w:cs="宋体"/>
                <w:color w:val="auto"/>
                <w:szCs w:val="21"/>
                <w:highlight w:val="none"/>
              </w:rPr>
              <w:t>法定代表人</w:t>
            </w:r>
            <w:bookmarkEnd w:id="51"/>
            <w:r>
              <w:rPr>
                <w:rFonts w:hint="eastAsia"/>
                <w:color w:val="auto"/>
                <w:highlight w:val="none"/>
                <w:lang w:val="en-US" w:eastAsia="zh-CN"/>
              </w:rPr>
              <w:t>签订合同时</w:t>
            </w:r>
            <w:r>
              <w:rPr>
                <w:rFonts w:hint="eastAsia" w:ascii="宋体" w:hAnsi="宋体" w:eastAsia="宋体" w:cs="宋体"/>
                <w:color w:val="auto"/>
                <w:szCs w:val="21"/>
                <w:highlight w:val="none"/>
              </w:rPr>
              <w:t>，须携带法定代表人身份证明原件及身份证原件等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r>
              <w:rPr>
                <w:rFonts w:hint="eastAsia" w:ascii="宋体" w:hAnsi="宋体" w:eastAsia="宋体" w:cs="宋体"/>
                <w:color w:val="auto"/>
                <w:szCs w:val="21"/>
                <w:highlight w:val="none"/>
                <w:lang w:eastAsia="zh-CN"/>
              </w:rPr>
              <w:t>。</w:t>
            </w:r>
          </w:p>
        </w:tc>
      </w:tr>
      <w:tr w14:paraId="68E4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17" w:type="dxa"/>
            <w:noWrap w:val="0"/>
            <w:vAlign w:val="center"/>
          </w:tcPr>
          <w:p w14:paraId="7586A07D">
            <w:pPr>
              <w:keepNext w:val="0"/>
              <w:keepLines w:val="0"/>
              <w:pageBreakBefore w:val="0"/>
              <w:widowControl w:val="0"/>
              <w:kinsoku/>
              <w:wordWrap/>
              <w:overflowPunct/>
              <w:topLinePunct w:val="0"/>
              <w:bidi w:val="0"/>
              <w:adjustRightInd/>
              <w:spacing w:line="398"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26</w:t>
            </w:r>
          </w:p>
        </w:tc>
        <w:tc>
          <w:tcPr>
            <w:tcW w:w="8595" w:type="dxa"/>
            <w:noWrap w:val="0"/>
            <w:vAlign w:val="center"/>
          </w:tcPr>
          <w:p w14:paraId="491B64C3">
            <w:pPr>
              <w:pStyle w:val="9"/>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tc>
      </w:tr>
      <w:tr w14:paraId="3EC0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17" w:type="dxa"/>
            <w:vMerge w:val="restart"/>
            <w:noWrap w:val="0"/>
            <w:vAlign w:val="center"/>
          </w:tcPr>
          <w:p w14:paraId="3283C723">
            <w:pPr>
              <w:keepNext w:val="0"/>
              <w:keepLines w:val="0"/>
              <w:pageBreakBefore w:val="0"/>
              <w:widowControl w:val="0"/>
              <w:kinsoku/>
              <w:wordWrap/>
              <w:overflowPunct/>
              <w:topLinePunct w:val="0"/>
              <w:bidi w:val="0"/>
              <w:adjustRightInd/>
              <w:spacing w:line="398"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8595" w:type="dxa"/>
            <w:noWrap w:val="0"/>
            <w:vAlign w:val="center"/>
          </w:tcPr>
          <w:p w14:paraId="3527E24E">
            <w:pPr>
              <w:keepNext w:val="0"/>
              <w:keepLines w:val="0"/>
              <w:pageBreakBefore w:val="0"/>
              <w:widowControl w:val="0"/>
              <w:kinsoku/>
              <w:wordWrap/>
              <w:overflowPunct/>
              <w:topLinePunct w:val="0"/>
              <w:bidi w:val="0"/>
              <w:adjustRightInd/>
              <w:snapToGrid w:val="0"/>
              <w:spacing w:line="398" w:lineRule="exact"/>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接收质疑函方式</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以书面形式</w:t>
            </w:r>
          </w:p>
        </w:tc>
      </w:tr>
      <w:tr w14:paraId="2C9E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vMerge w:val="continue"/>
            <w:noWrap w:val="0"/>
            <w:vAlign w:val="center"/>
          </w:tcPr>
          <w:p w14:paraId="382E8A49">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p>
        </w:tc>
        <w:tc>
          <w:tcPr>
            <w:tcW w:w="8595" w:type="dxa"/>
            <w:noWrap w:val="0"/>
            <w:vAlign w:val="center"/>
          </w:tcPr>
          <w:p w14:paraId="23DB742F">
            <w:pPr>
              <w:spacing w:line="380" w:lineRule="exact"/>
              <w:ind w:firstLine="422" w:firstLineChars="200"/>
              <w:jc w:val="both"/>
              <w:rPr>
                <w:rFonts w:hint="eastAsia" w:ascii="Times New Roman" w:hAnsi="Times New Roman" w:eastAsia="宋体" w:cs="Times New Roman"/>
                <w:b/>
                <w:bCs/>
                <w:color w:val="auto"/>
                <w:highlight w:val="none"/>
                <w:lang w:eastAsia="zh-CN"/>
              </w:rPr>
            </w:pPr>
            <w:r>
              <w:rPr>
                <w:rFonts w:hint="eastAsia"/>
                <w:b/>
                <w:bCs/>
                <w:color w:val="auto"/>
                <w:highlight w:val="none"/>
              </w:rPr>
              <w:t>质</w:t>
            </w:r>
            <w:r>
              <w:rPr>
                <w:rFonts w:hint="eastAsia" w:ascii="Times New Roman" w:hAnsi="Times New Roman" w:eastAsia="宋体" w:cs="Times New Roman"/>
                <w:b/>
                <w:bCs/>
                <w:color w:val="auto"/>
                <w:highlight w:val="none"/>
              </w:rPr>
              <w:t>疑联系部门及联系方式</w:t>
            </w:r>
            <w:r>
              <w:rPr>
                <w:rFonts w:hint="eastAsia" w:ascii="Times New Roman" w:hAnsi="Times New Roman" w:eastAsia="宋体" w:cs="Times New Roman"/>
                <w:b/>
                <w:bCs/>
                <w:color w:val="auto"/>
                <w:highlight w:val="none"/>
                <w:lang w:eastAsia="zh-CN"/>
              </w:rPr>
              <w:t>：</w:t>
            </w:r>
          </w:p>
          <w:p w14:paraId="53A2C9A0">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名称：</w:t>
            </w:r>
            <w:r>
              <w:rPr>
                <w:rFonts w:hint="eastAsia" w:ascii="宋体" w:hAnsi="宋体" w:cs="宋体"/>
                <w:color w:val="auto"/>
                <w:kern w:val="0"/>
                <w:sz w:val="21"/>
                <w:szCs w:val="21"/>
                <w:highlight w:val="none"/>
                <w:lang w:val="en-US" w:eastAsia="zh-CN"/>
              </w:rPr>
              <w:t>防城港市港口区住房和城乡建设局</w:t>
            </w:r>
          </w:p>
          <w:p w14:paraId="080ECCC1">
            <w:pPr>
              <w:spacing w:line="380" w:lineRule="exact"/>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地    址：</w:t>
            </w:r>
            <w:r>
              <w:rPr>
                <w:rFonts w:hint="eastAsia" w:ascii="宋体" w:hAnsi="宋体"/>
                <w:color w:val="auto"/>
                <w:szCs w:val="21"/>
                <w:lang w:eastAsia="zh-CN"/>
              </w:rPr>
              <w:t>防城港市港口区东兴大道728号</w:t>
            </w:r>
          </w:p>
          <w:p w14:paraId="351931A6">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联系方式：</w:t>
            </w:r>
            <w:r>
              <w:rPr>
                <w:rFonts w:hint="eastAsia" w:ascii="宋体" w:hAnsi="宋体"/>
                <w:color w:val="auto"/>
                <w:szCs w:val="21"/>
                <w:lang w:val="en-US" w:eastAsia="zh-CN"/>
              </w:rPr>
              <w:t>邓晓晴；0770-2290218</w:t>
            </w:r>
          </w:p>
          <w:p w14:paraId="5FC426E5">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名称：</w:t>
            </w:r>
            <w:r>
              <w:rPr>
                <w:rFonts w:hint="eastAsia" w:ascii="宋体" w:hAnsi="宋体" w:cs="宋体"/>
                <w:color w:val="auto"/>
                <w:kern w:val="2"/>
                <w:sz w:val="21"/>
                <w:szCs w:val="21"/>
                <w:highlight w:val="none"/>
                <w:lang w:val="en-US" w:eastAsia="zh-CN"/>
              </w:rPr>
              <w:t>广西协弘项目管理有限公司</w:t>
            </w:r>
          </w:p>
          <w:p w14:paraId="557F78CD">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cs="宋体"/>
                <w:color w:val="auto"/>
                <w:highlight w:val="none"/>
                <w:lang w:val="en-US" w:eastAsia="zh-CN"/>
              </w:rPr>
              <w:t>冯静瑜</w:t>
            </w:r>
            <w:r>
              <w:rPr>
                <w:rFonts w:hint="eastAsia" w:ascii="宋体" w:hAnsi="宋体" w:eastAsia="宋体" w:cs="宋体"/>
                <w:color w:val="auto"/>
                <w:highlight w:val="none"/>
              </w:rPr>
              <w:t>；</w:t>
            </w:r>
            <w:r>
              <w:rPr>
                <w:rFonts w:hint="eastAsia" w:ascii="宋体" w:hAnsi="宋体" w:cs="宋体"/>
                <w:color w:val="auto"/>
                <w:highlight w:val="none"/>
                <w:lang w:eastAsia="zh-CN"/>
              </w:rPr>
              <w:t>0770-2894616</w:t>
            </w:r>
          </w:p>
          <w:p w14:paraId="132AAC7C">
            <w:pPr>
              <w:spacing w:line="38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通讯地址：</w:t>
            </w:r>
            <w:r>
              <w:rPr>
                <w:rFonts w:hint="eastAsia" w:ascii="宋体" w:hAnsi="宋体" w:cs="Times New Roman"/>
                <w:color w:val="auto"/>
                <w:kern w:val="2"/>
                <w:sz w:val="21"/>
                <w:szCs w:val="21"/>
                <w:lang w:val="en-US" w:eastAsia="zh-CN" w:bidi="ar-SA"/>
              </w:rPr>
              <w:t>防城港市港口区珍珠路桂海东盟9栋605室</w:t>
            </w:r>
          </w:p>
        </w:tc>
      </w:tr>
      <w:tr w14:paraId="6B8B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vMerge w:val="continue"/>
            <w:noWrap w:val="0"/>
            <w:vAlign w:val="center"/>
          </w:tcPr>
          <w:p w14:paraId="291448FB">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p>
        </w:tc>
        <w:tc>
          <w:tcPr>
            <w:tcW w:w="8595" w:type="dxa"/>
            <w:noWrap w:val="0"/>
            <w:vAlign w:val="center"/>
          </w:tcPr>
          <w:p w14:paraId="5CA2E1E8">
            <w:pPr>
              <w:spacing w:line="380" w:lineRule="exact"/>
              <w:jc w:val="both"/>
              <w:rPr>
                <w:rFonts w:hint="eastAsia" w:ascii="宋体" w:hAnsi="宋体" w:eastAsia="宋体" w:cs="宋体"/>
                <w:color w:val="auto"/>
                <w:szCs w:val="21"/>
                <w:highlight w:val="none"/>
                <w:lang w:eastAsia="zh-CN"/>
              </w:rPr>
            </w:pPr>
            <w:r>
              <w:rPr>
                <w:rFonts w:hint="eastAsia" w:ascii="宋体" w:hAnsi="宋体" w:eastAsia="宋体" w:cs="宋体"/>
                <w:b/>
                <w:bCs/>
                <w:color w:val="auto"/>
                <w:highlight w:val="none"/>
              </w:rPr>
              <w:t>现场提交质疑办理业务时间</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r>
      <w:tr w14:paraId="2733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vMerge w:val="continue"/>
            <w:noWrap w:val="0"/>
            <w:vAlign w:val="center"/>
          </w:tcPr>
          <w:p w14:paraId="43D1B14E">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p>
        </w:tc>
        <w:tc>
          <w:tcPr>
            <w:tcW w:w="8595" w:type="dxa"/>
            <w:noWrap w:val="0"/>
            <w:vAlign w:val="center"/>
          </w:tcPr>
          <w:p w14:paraId="416ABFDA">
            <w:pPr>
              <w:spacing w:line="380" w:lineRule="exact"/>
              <w:ind w:firstLine="422" w:firstLineChars="200"/>
              <w:jc w:val="both"/>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受理投诉方式</w:t>
            </w:r>
            <w:r>
              <w:rPr>
                <w:rFonts w:hint="eastAsia" w:ascii="宋体" w:hAnsi="宋体" w:eastAsia="宋体" w:cs="宋体"/>
                <w:b/>
                <w:bCs/>
                <w:color w:val="auto"/>
                <w:highlight w:val="none"/>
                <w:lang w:eastAsia="zh-CN"/>
              </w:rPr>
              <w:t>：</w:t>
            </w:r>
          </w:p>
          <w:p w14:paraId="79AEA2FE">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1.受理方式：纸质方式受理，投诉书正、副本（经过质疑的事项才可投诉）。</w:t>
            </w:r>
          </w:p>
          <w:p w14:paraId="4E72FB6C">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2.通讯方式</w:t>
            </w:r>
          </w:p>
          <w:p w14:paraId="5F4C2DC4">
            <w:pPr>
              <w:spacing w:line="380" w:lineRule="exact"/>
              <w:ind w:firstLine="420" w:firstLineChars="20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名称：</w:t>
            </w:r>
            <w:r>
              <w:rPr>
                <w:rFonts w:hint="eastAsia" w:ascii="宋体" w:hAnsi="宋体"/>
                <w:color w:val="auto"/>
                <w:kern w:val="0"/>
                <w:szCs w:val="21"/>
              </w:rPr>
              <w:t>防城港市港口区政府采购管理办公室</w:t>
            </w:r>
          </w:p>
          <w:p w14:paraId="34EF18B8">
            <w:pPr>
              <w:spacing w:line="380" w:lineRule="exact"/>
              <w:ind w:firstLine="420" w:firstLineChars="20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地址：</w:t>
            </w:r>
            <w:r>
              <w:rPr>
                <w:rFonts w:hint="eastAsia" w:ascii="宋体" w:hAnsi="宋体"/>
                <w:color w:val="auto"/>
                <w:szCs w:val="21"/>
              </w:rPr>
              <w:t>广西防城港市港口区</w:t>
            </w:r>
            <w:r>
              <w:rPr>
                <w:rFonts w:hint="eastAsia" w:ascii="宋体" w:hAnsi="宋体"/>
                <w:color w:val="auto"/>
                <w:szCs w:val="21"/>
                <w:lang w:val="en-US" w:eastAsia="zh-CN"/>
              </w:rPr>
              <w:t>渔洲坪建政路</w:t>
            </w:r>
          </w:p>
          <w:p w14:paraId="75C39955">
            <w:pPr>
              <w:spacing w:line="380" w:lineRule="exact"/>
              <w:ind w:firstLine="420" w:firstLineChars="20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联系电话：0770-6106362</w:t>
            </w:r>
          </w:p>
        </w:tc>
      </w:tr>
      <w:tr w14:paraId="5138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6A1D7F3C">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31.1</w:t>
            </w:r>
          </w:p>
        </w:tc>
        <w:tc>
          <w:tcPr>
            <w:tcW w:w="8595" w:type="dxa"/>
            <w:noWrap w:val="0"/>
            <w:vAlign w:val="center"/>
          </w:tcPr>
          <w:p w14:paraId="57C0D058">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w:t>
            </w:r>
          </w:p>
          <w:p w14:paraId="54153EA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 否</w:t>
            </w:r>
          </w:p>
          <w:p w14:paraId="72D0AE8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费支付方式：</w:t>
            </w:r>
          </w:p>
          <w:p w14:paraId="4C10A442">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代理服务费由成交供应商在签订合同前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以银行转账、电汇等方式</w:t>
            </w:r>
            <w:r>
              <w:rPr>
                <w:rFonts w:hint="eastAsia" w:ascii="宋体" w:hAnsi="宋体" w:eastAsia="宋体" w:cs="宋体"/>
                <w:color w:val="auto"/>
                <w:kern w:val="0"/>
                <w:szCs w:val="21"/>
                <w:highlight w:val="none"/>
              </w:rPr>
              <w:t>一次性向采购代理机构支付。</w:t>
            </w:r>
          </w:p>
          <w:p w14:paraId="752EE3C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（支付方式）。</w:t>
            </w:r>
          </w:p>
          <w:p w14:paraId="4F94432A">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费收取标准：以</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金额为计费额，按</w:t>
            </w:r>
            <w:r>
              <w:rPr>
                <w:rFonts w:hint="eastAsia" w:ascii="宋体" w:hAnsi="宋体" w:eastAsia="宋体" w:cs="宋体"/>
                <w:color w:val="auto"/>
                <w:kern w:val="0"/>
                <w:szCs w:val="21"/>
                <w:highlight w:val="none"/>
                <w:lang w:val="en-US" w:eastAsia="zh-CN"/>
              </w:rPr>
              <w:t>本须知正文第3</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.2条规定的收费计算标准</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u w:val="single"/>
                <w:lang w:val="en-US" w:eastAsia="zh-CN"/>
              </w:rPr>
              <w:t>工程</w:t>
            </w:r>
            <w:r>
              <w:rPr>
                <w:rFonts w:hint="eastAsia" w:ascii="宋体" w:hAnsi="宋体" w:eastAsia="宋体" w:cs="宋体"/>
                <w:b/>
                <w:bCs/>
                <w:color w:val="auto"/>
                <w:kern w:val="0"/>
                <w:szCs w:val="21"/>
                <w:highlight w:val="none"/>
                <w:u w:val="single"/>
              </w:rPr>
              <w:t>类</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收费以收费基准价格收取。</w:t>
            </w:r>
          </w:p>
          <w:p w14:paraId="28D49DF5">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14:paraId="44C8B786">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kern w:val="0"/>
                <w:szCs w:val="21"/>
                <w:highlight w:val="none"/>
                <w:lang w:val="en-US" w:eastAsia="zh-CN"/>
              </w:rPr>
              <w:t>广西协弘项目管理有限公司</w:t>
            </w:r>
          </w:p>
          <w:p w14:paraId="06F6A99D">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开户银行：中国建设银行股份有限公司防城港桃花湾广场支行</w:t>
            </w:r>
          </w:p>
          <w:p w14:paraId="25625A6E">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账号</w:t>
            </w:r>
            <w:r>
              <w:rPr>
                <w:rFonts w:hint="eastAsia" w:ascii="宋体" w:hAnsi="宋体" w:eastAsia="宋体" w:cs="宋体"/>
                <w:color w:val="auto"/>
                <w:kern w:val="0"/>
                <w:szCs w:val="21"/>
                <w:highlight w:val="none"/>
              </w:rPr>
              <w:t>：4505 0165 9542 0000 1367</w:t>
            </w:r>
          </w:p>
        </w:tc>
      </w:tr>
      <w:tr w14:paraId="0545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03144076">
            <w:pPr>
              <w:keepNext w:val="0"/>
              <w:keepLines w:val="0"/>
              <w:pageBreakBefore w:val="0"/>
              <w:widowControl w:val="0"/>
              <w:kinsoku/>
              <w:wordWrap/>
              <w:overflowPunct/>
              <w:topLinePunct w:val="0"/>
              <w:bidi w:val="0"/>
              <w:adjustRightInd/>
              <w:spacing w:line="398"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32.1</w:t>
            </w:r>
          </w:p>
        </w:tc>
        <w:tc>
          <w:tcPr>
            <w:tcW w:w="8595" w:type="dxa"/>
            <w:noWrap w:val="0"/>
            <w:vAlign w:val="center"/>
          </w:tcPr>
          <w:p w14:paraId="14A74E8F">
            <w:pPr>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解释：</w:t>
            </w:r>
            <w:r>
              <w:rPr>
                <w:rFonts w:hint="eastAsia" w:ascii="宋体" w:hAnsi="宋体" w:eastAsia="宋体" w:cs="宋体"/>
                <w:color w:val="auto"/>
                <w:kern w:val="0"/>
                <w:szCs w:val="21"/>
                <w:highlight w:val="none"/>
              </w:rPr>
              <w:t>构成本</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rPr>
              <w:t>磋商文件的各个组成文件应互为解释，互为说明；除</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rPr>
              <w:t>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Cs w:val="21"/>
                <w:highlight w:val="none"/>
              </w:rPr>
              <w:t>由采购人或者采购代理机构负责解释。</w:t>
            </w:r>
          </w:p>
          <w:p w14:paraId="6AAD7F3F">
            <w:pPr>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法律责任：</w:t>
            </w:r>
          </w:p>
          <w:p w14:paraId="6B56A52E">
            <w:pPr>
              <w:pStyle w:val="12"/>
              <w:keepNext w:val="0"/>
              <w:keepLines w:val="0"/>
              <w:pageBreakBefore w:val="0"/>
              <w:widowControl w:val="0"/>
              <w:kinsoku/>
              <w:wordWrap/>
              <w:overflowPunct/>
              <w:topLinePunct w:val="0"/>
              <w:bidi w:val="0"/>
              <w:adjustRightInd/>
              <w:snapToGrid w:val="0"/>
              <w:spacing w:line="398"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本采购文件根据《中华人民共和国政府采购法》、《中华人民共和国民法典》</w:t>
            </w:r>
            <w:r>
              <w:rPr>
                <w:rFonts w:hint="eastAsia" w:hAnsi="宋体" w:cs="宋体"/>
                <w:color w:val="auto"/>
                <w:kern w:val="0"/>
                <w:szCs w:val="21"/>
                <w:highlight w:val="none"/>
                <w:lang w:eastAsia="zh-CN"/>
              </w:rPr>
              <w:t>、</w:t>
            </w:r>
            <w:r>
              <w:rPr>
                <w:rFonts w:hint="eastAsia" w:ascii="宋体" w:hAnsi="宋体" w:eastAsia="宋体" w:cs="宋体"/>
                <w:color w:val="auto"/>
                <w:kern w:val="0"/>
                <w:szCs w:val="21"/>
                <w:highlight w:val="none"/>
              </w:rPr>
              <w:t>《中华人民共和国政府采购法实施条例》、《政府采购竞争性磋商采购方式管理暂行办法》等有关法律、法规编制，参与本项目的各政府采购当事人依法享有上述法律法规所赋予的权利与义务。</w:t>
            </w:r>
          </w:p>
        </w:tc>
      </w:tr>
      <w:tr w14:paraId="02A4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692234F5">
            <w:pPr>
              <w:keepNext w:val="0"/>
              <w:keepLines w:val="0"/>
              <w:pageBreakBefore w:val="0"/>
              <w:widowControl w:val="0"/>
              <w:kinsoku/>
              <w:wordWrap/>
              <w:overflowPunct/>
              <w:topLinePunct w:val="0"/>
              <w:bidi w:val="0"/>
              <w:adjustRightInd/>
              <w:spacing w:line="398"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w:t>
            </w:r>
            <w:r>
              <w:rPr>
                <w:rFonts w:ascii="宋体" w:hAnsi="宋体" w:cs="宋体"/>
                <w:color w:val="auto"/>
                <w:szCs w:val="21"/>
                <w:highlight w:val="none"/>
              </w:rPr>
              <w:t>.</w:t>
            </w:r>
            <w:r>
              <w:rPr>
                <w:rFonts w:hint="eastAsia" w:ascii="宋体" w:hAnsi="宋体" w:cs="宋体"/>
                <w:color w:val="auto"/>
                <w:szCs w:val="21"/>
                <w:highlight w:val="none"/>
                <w:lang w:val="en-US" w:eastAsia="zh-CN"/>
              </w:rPr>
              <w:t>2</w:t>
            </w:r>
          </w:p>
        </w:tc>
        <w:tc>
          <w:tcPr>
            <w:tcW w:w="8595" w:type="dxa"/>
            <w:noWrap w:val="0"/>
            <w:vAlign w:val="center"/>
          </w:tcPr>
          <w:p w14:paraId="0112AA54">
            <w:pPr>
              <w:pStyle w:val="9"/>
              <w:spacing w:line="360" w:lineRule="auto"/>
              <w:ind w:firstLine="422" w:firstLineChars="200"/>
              <w:rPr>
                <w:rFonts w:hint="eastAsia" w:ascii="宋体" w:hAnsi="宋体" w:eastAsia="宋体" w:cs="宋体"/>
                <w:b/>
                <w:bCs/>
                <w:color w:val="auto"/>
                <w:kern w:val="2"/>
                <w:szCs w:val="21"/>
                <w:highlight w:val="none"/>
                <w:lang w:val="en-US" w:eastAsia="zh-CN"/>
              </w:rPr>
            </w:pPr>
            <w:r>
              <w:rPr>
                <w:rFonts w:hint="eastAsia" w:ascii="宋体" w:hAnsi="宋体" w:eastAsia="宋体" w:cs="宋体"/>
                <w:b/>
                <w:bCs/>
                <w:color w:val="auto"/>
                <w:kern w:val="2"/>
                <w:szCs w:val="21"/>
                <w:highlight w:val="none"/>
                <w:lang w:val="en-US" w:eastAsia="zh-CN"/>
              </w:rPr>
              <w:t>其他：</w:t>
            </w:r>
          </w:p>
          <w:p w14:paraId="0254140E">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14:paraId="0A18F003">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14:paraId="24E3311D">
            <w:pPr>
              <w:pStyle w:val="9"/>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3.本竞争性磋商文件所称的“电子签章”“电子签名”，是指经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14:paraId="1310CAF2">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14:paraId="68C04616">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规定盖公章处由自然人摁手指指印。</w:t>
            </w:r>
          </w:p>
          <w:p w14:paraId="10892F36">
            <w:pPr>
              <w:pStyle w:val="12"/>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2D7AC214">
      <w:pPr>
        <w:pStyle w:val="20"/>
        <w:shd w:val="clear" w:color="auto" w:fill="FFFFFF"/>
        <w:spacing w:before="0" w:after="0" w:line="600" w:lineRule="exact"/>
        <w:ind w:firstLine="723" w:firstLineChars="200"/>
        <w:jc w:val="center"/>
        <w:outlineLvl w:val="9"/>
        <w:rPr>
          <w:rFonts w:hint="eastAsia" w:ascii="宋体" w:hAnsi="宋体" w:eastAsia="宋体" w:cs="宋体"/>
          <w:b/>
          <w:bCs w:val="0"/>
          <w:color w:val="auto"/>
          <w:spacing w:val="2"/>
          <w:highlight w:val="none"/>
        </w:rPr>
      </w:pPr>
      <w:bookmarkStart w:id="52" w:name="_Toc24118"/>
      <w:bookmarkStart w:id="53" w:name="_Toc22651"/>
      <w:r>
        <w:rPr>
          <w:rFonts w:hint="eastAsia" w:ascii="宋体" w:hAnsi="宋体" w:eastAsia="宋体" w:cs="宋体"/>
          <w:b/>
          <w:bCs w:val="0"/>
          <w:color w:val="auto"/>
          <w:sz w:val="36"/>
          <w:szCs w:val="36"/>
          <w:highlight w:val="none"/>
        </w:rPr>
        <w:t>供应商须知</w:t>
      </w:r>
      <w:bookmarkEnd w:id="44"/>
      <w:bookmarkEnd w:id="45"/>
      <w:bookmarkEnd w:id="46"/>
      <w:bookmarkEnd w:id="47"/>
      <w:bookmarkEnd w:id="48"/>
      <w:bookmarkEnd w:id="52"/>
      <w:bookmarkEnd w:id="53"/>
    </w:p>
    <w:p w14:paraId="2C43AE8B">
      <w:pPr>
        <w:keepNext w:val="0"/>
        <w:keepLines w:val="0"/>
        <w:pageBreakBefore w:val="0"/>
        <w:shd w:val="clear" w:color="auto" w:fill="FFFFFF"/>
        <w:kinsoku/>
        <w:wordWrap/>
        <w:overflowPunct/>
        <w:topLinePunct w:val="0"/>
        <w:autoSpaceDE/>
        <w:autoSpaceDN/>
        <w:bidi w:val="0"/>
        <w:spacing w:line="452" w:lineRule="exact"/>
        <w:ind w:firstLine="430" w:firstLineChars="200"/>
        <w:textAlignment w:val="auto"/>
        <w:rPr>
          <w:rFonts w:hint="eastAsia" w:ascii="宋体" w:hAnsi="宋体" w:eastAsia="宋体" w:cs="宋体"/>
          <w:b/>
          <w:bCs/>
          <w:color w:val="auto"/>
          <w:spacing w:val="2"/>
          <w:highlight w:val="none"/>
        </w:rPr>
      </w:pPr>
      <w:bookmarkStart w:id="54" w:name="_Toc424307746"/>
      <w:bookmarkStart w:id="55" w:name="_Toc424307479"/>
      <w:r>
        <w:rPr>
          <w:rFonts w:hint="eastAsia" w:ascii="宋体" w:hAnsi="宋体" w:eastAsia="宋体" w:cs="宋体"/>
          <w:b/>
          <w:bCs/>
          <w:color w:val="auto"/>
          <w:spacing w:val="2"/>
          <w:highlight w:val="none"/>
        </w:rPr>
        <w:t>一、总  则</w:t>
      </w:r>
    </w:p>
    <w:p w14:paraId="32811726">
      <w:pPr>
        <w:keepNext w:val="0"/>
        <w:keepLines w:val="0"/>
        <w:pageBreakBefore w:val="0"/>
        <w:kinsoku/>
        <w:wordWrap/>
        <w:overflowPunct/>
        <w:topLinePunct w:val="0"/>
        <w:autoSpaceDE/>
        <w:autoSpaceDN/>
        <w:bidi w:val="0"/>
        <w:spacing w:line="452" w:lineRule="exact"/>
        <w:ind w:right="97" w:rightChars="46" w:firstLine="422" w:firstLineChars="200"/>
        <w:textAlignment w:val="auto"/>
        <w:rPr>
          <w:rFonts w:hint="eastAsia" w:ascii="宋体" w:hAnsi="宋体" w:cs="宋体"/>
          <w:b/>
          <w:bCs/>
          <w:color w:val="auto"/>
          <w:highlight w:val="none"/>
        </w:rPr>
      </w:pPr>
      <w:r>
        <w:rPr>
          <w:rFonts w:hint="eastAsia" w:ascii="宋体" w:hAnsi="宋体" w:cs="宋体"/>
          <w:b/>
          <w:bCs/>
          <w:color w:val="auto"/>
          <w:highlight w:val="none"/>
        </w:rPr>
        <w:t>1.项目名称、项目编号：</w:t>
      </w:r>
    </w:p>
    <w:p w14:paraId="26F09336">
      <w:pPr>
        <w:keepNext w:val="0"/>
        <w:keepLines w:val="0"/>
        <w:pageBreakBefore w:val="0"/>
        <w:kinsoku/>
        <w:wordWrap/>
        <w:overflowPunct/>
        <w:topLinePunct w:val="0"/>
        <w:autoSpaceDE/>
        <w:autoSpaceDN/>
        <w:bidi w:val="0"/>
        <w:spacing w:line="452" w:lineRule="exact"/>
        <w:ind w:right="97" w:rightChars="46" w:firstLine="420" w:firstLineChars="200"/>
        <w:textAlignment w:val="auto"/>
        <w:rPr>
          <w:rFonts w:hint="eastAsia" w:ascii="宋体" w:hAnsi="宋体" w:eastAsia="宋体" w:cs="宋体"/>
          <w:color w:val="auto"/>
          <w:highlight w:val="none"/>
          <w:lang w:eastAsia="zh-CN"/>
        </w:rPr>
      </w:pPr>
      <w:r>
        <w:rPr>
          <w:rFonts w:hint="eastAsia" w:ascii="宋体" w:hAnsi="宋体" w:cs="宋体"/>
          <w:b w:val="0"/>
          <w:bCs w:val="0"/>
          <w:color w:val="auto"/>
          <w:highlight w:val="none"/>
          <w:lang w:val="en-US" w:eastAsia="zh-CN"/>
        </w:rPr>
        <w:t>详见前附表第1项所述。</w:t>
      </w:r>
      <w:r>
        <w:rPr>
          <w:rFonts w:hint="eastAsia" w:ascii="宋体" w:hAnsi="宋体" w:cs="宋体"/>
          <w:b w:val="0"/>
          <w:bCs w:val="0"/>
          <w:color w:val="auto"/>
          <w:highlight w:val="none"/>
        </w:rPr>
        <w:t xml:space="preserve"> </w:t>
      </w:r>
      <w:bookmarkStart w:id="56" w:name="_Toc115703391"/>
    </w:p>
    <w:p w14:paraId="7492A902">
      <w:pPr>
        <w:keepNext w:val="0"/>
        <w:keepLines w:val="0"/>
        <w:pageBreakBefore w:val="0"/>
        <w:kinsoku/>
        <w:wordWrap/>
        <w:overflowPunct/>
        <w:topLinePunct w:val="0"/>
        <w:autoSpaceDE/>
        <w:autoSpaceDN/>
        <w:bidi w:val="0"/>
        <w:spacing w:line="452" w:lineRule="exact"/>
        <w:ind w:right="97" w:rightChars="46" w:firstLine="422" w:firstLineChars="200"/>
        <w:textAlignment w:val="auto"/>
        <w:rPr>
          <w:rFonts w:hint="eastAsia" w:ascii="宋体" w:hAnsi="宋体" w:cs="宋体"/>
          <w:b/>
          <w:bCs/>
          <w:color w:val="auto"/>
          <w:highlight w:val="none"/>
        </w:rPr>
      </w:pPr>
      <w:bookmarkStart w:id="57" w:name="_Toc128731525"/>
      <w:r>
        <w:rPr>
          <w:rFonts w:hint="eastAsia" w:ascii="宋体" w:hAnsi="宋体" w:cs="宋体"/>
          <w:b/>
          <w:bCs/>
          <w:color w:val="auto"/>
          <w:highlight w:val="none"/>
        </w:rPr>
        <w:t>2.供应商资格要求：</w:t>
      </w:r>
      <w:bookmarkEnd w:id="56"/>
      <w:bookmarkEnd w:id="57"/>
    </w:p>
    <w:p w14:paraId="264B5A38">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供应商资格要求见前附表第</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项所述</w:t>
      </w:r>
      <w:r>
        <w:rPr>
          <w:rFonts w:hint="eastAsia" w:ascii="宋体" w:hAnsi="宋体" w:eastAsia="宋体" w:cs="宋体"/>
          <w:color w:val="auto"/>
          <w:highlight w:val="none"/>
          <w:lang w:eastAsia="zh-CN"/>
        </w:rPr>
        <w:t>。</w:t>
      </w:r>
    </w:p>
    <w:p w14:paraId="2FCABE25">
      <w:pPr>
        <w:keepNext w:val="0"/>
        <w:keepLines w:val="0"/>
        <w:pageBreakBefore w:val="0"/>
        <w:shd w:val="clear" w:color="auto" w:fill="FFFFFF"/>
        <w:kinsoku/>
        <w:wordWrap/>
        <w:overflowPunct/>
        <w:topLinePunct w:val="0"/>
        <w:autoSpaceDE/>
        <w:autoSpaceDN/>
        <w:bidi w:val="0"/>
        <w:spacing w:line="452"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3</w:t>
      </w:r>
      <w:r>
        <w:rPr>
          <w:rFonts w:hint="eastAsia" w:ascii="宋体" w:hAnsi="宋体" w:eastAsia="宋体" w:cs="宋体"/>
          <w:b/>
          <w:bCs/>
          <w:color w:val="auto"/>
          <w:spacing w:val="2"/>
          <w:highlight w:val="none"/>
        </w:rPr>
        <w:t>.</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费用</w:t>
      </w:r>
    </w:p>
    <w:p w14:paraId="57E3EADB">
      <w:pPr>
        <w:keepNext w:val="0"/>
        <w:keepLines w:val="0"/>
        <w:pageBreakBefore w:val="0"/>
        <w:widowControl/>
        <w:shd w:val="clear" w:color="auto" w:fill="FFFFFF"/>
        <w:kinsoku/>
        <w:wordWrap/>
        <w:overflowPunct/>
        <w:topLinePunct w:val="0"/>
        <w:autoSpaceDE/>
        <w:autoSpaceDN/>
        <w:bidi w:val="0"/>
        <w:snapToGrid w:val="0"/>
        <w:spacing w:line="452" w:lineRule="exact"/>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szCs w:val="21"/>
          <w:highlight w:val="none"/>
        </w:rPr>
        <w:t>供应商应承担参与本次采购活动有关的所有费用</w:t>
      </w:r>
      <w:r>
        <w:rPr>
          <w:rFonts w:hint="eastAsia" w:ascii="宋体" w:hAnsi="宋体" w:eastAsia="宋体" w:cs="宋体"/>
          <w:color w:val="auto"/>
          <w:sz w:val="21"/>
          <w:szCs w:val="21"/>
          <w:highlight w:val="none"/>
        </w:rPr>
        <w:t>。不管</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结果如何，采购代理机构对上述费用不负任何责任</w:t>
      </w:r>
      <w:r>
        <w:rPr>
          <w:rFonts w:hint="eastAsia" w:ascii="宋体" w:hAnsi="宋体" w:eastAsia="宋体" w:cs="宋体"/>
          <w:color w:val="auto"/>
          <w:sz w:val="21"/>
          <w:szCs w:val="21"/>
          <w:highlight w:val="none"/>
          <w:lang w:eastAsia="zh-CN"/>
        </w:rPr>
        <w:t>。</w:t>
      </w:r>
    </w:p>
    <w:p w14:paraId="39513FAD">
      <w:pPr>
        <w:pStyle w:val="12"/>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lang w:eastAsia="zh-CN"/>
        </w:rPr>
        <w:t>.联合体竞标</w:t>
      </w:r>
    </w:p>
    <w:p w14:paraId="27B47BB8">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.1本项目是否接受联合体竞标，详见“供应商须知前附表”。</w:t>
      </w:r>
    </w:p>
    <w:p w14:paraId="54A14BCA">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.2如接受联合体竞标，联合体竞标要求详见“供应商须知前附表”。</w:t>
      </w:r>
    </w:p>
    <w:p w14:paraId="1172C1FB">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 xml:space="preserve">.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%的扣除，用扣除后的价格参加评审。组成联合体的小微企业与联合体内其他企业、分包企业之间存在直接控股、管理关系的，不享受价格扣除优惠政策。</w:t>
      </w:r>
    </w:p>
    <w:p w14:paraId="2A2FC07C">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 xml:space="preserve">.转包与分包             </w:t>
      </w:r>
    </w:p>
    <w:p w14:paraId="70351548">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.1本项目不允许转包。</w:t>
      </w:r>
    </w:p>
    <w:p w14:paraId="26E567CD">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本项目是否允许分包详见“供应商须知前附表”，本项目不允许违法分包。</w:t>
      </w:r>
    </w:p>
    <w:p w14:paraId="0B1677CB">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w:t>
      </w:r>
      <w:bookmarkStart w:id="58" w:name="OLE_LINK3"/>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w:t>
      </w:r>
      <w:bookmarkEnd w:id="58"/>
      <w:r>
        <w:rPr>
          <w:rFonts w:hint="eastAsia" w:ascii="宋体" w:hAnsi="宋体" w:eastAsia="宋体" w:cs="宋体"/>
          <w:color w:val="auto"/>
          <w:highlight w:val="none"/>
          <w:lang w:eastAsia="zh-CN"/>
        </w:rPr>
        <w:t>的扣除，用扣除后的价格参加评审。接受分包的小微企业与分包企业之间存在直接控股、管理关系的，不享受价格扣除优惠政策。</w:t>
      </w:r>
    </w:p>
    <w:p w14:paraId="37C9D968">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二、竞争性</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文件</w:t>
      </w:r>
      <w:bookmarkEnd w:id="54"/>
      <w:bookmarkEnd w:id="55"/>
    </w:p>
    <w:p w14:paraId="321A60E1">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6</w:t>
      </w:r>
      <w:r>
        <w:rPr>
          <w:rFonts w:hint="eastAsia" w:ascii="宋体" w:hAnsi="宋体" w:eastAsia="宋体" w:cs="宋体"/>
          <w:b/>
          <w:bCs/>
          <w:color w:val="auto"/>
          <w:spacing w:val="2"/>
          <w:highlight w:val="none"/>
          <w:lang w:val="en-US" w:eastAsia="zh-CN"/>
        </w:rPr>
        <w:t>.</w:t>
      </w:r>
      <w:r>
        <w:rPr>
          <w:rFonts w:hint="eastAsia" w:ascii="宋体" w:hAnsi="宋体" w:eastAsia="宋体" w:cs="宋体"/>
          <w:b/>
          <w:bCs/>
          <w:color w:val="auto"/>
          <w:spacing w:val="2"/>
          <w:highlight w:val="none"/>
        </w:rPr>
        <w:t>竞争性</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文件的</w:t>
      </w:r>
      <w:r>
        <w:rPr>
          <w:rFonts w:hint="eastAsia" w:ascii="宋体" w:hAnsi="宋体" w:cs="宋体"/>
          <w:b/>
          <w:bCs/>
          <w:color w:val="auto"/>
          <w:spacing w:val="2"/>
          <w:highlight w:val="none"/>
          <w:lang w:val="en-US" w:eastAsia="zh-CN"/>
        </w:rPr>
        <w:t>构</w:t>
      </w:r>
      <w:r>
        <w:rPr>
          <w:rFonts w:hint="eastAsia" w:ascii="宋体" w:hAnsi="宋体" w:eastAsia="宋体" w:cs="宋体"/>
          <w:b/>
          <w:bCs/>
          <w:color w:val="auto"/>
          <w:spacing w:val="2"/>
          <w:highlight w:val="none"/>
        </w:rPr>
        <w:t>成</w:t>
      </w:r>
    </w:p>
    <w:p w14:paraId="7C8CE829">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Cs/>
          <w:color w:val="auto"/>
          <w:spacing w:val="2"/>
          <w:highlight w:val="none"/>
        </w:rPr>
      </w:pPr>
      <w:r>
        <w:rPr>
          <w:rFonts w:hint="eastAsia" w:ascii="宋体" w:hAnsi="宋体" w:cs="宋体"/>
          <w:bCs/>
          <w:color w:val="auto"/>
          <w:spacing w:val="2"/>
          <w:highlight w:val="none"/>
          <w:lang w:val="en-US" w:eastAsia="zh-CN"/>
        </w:rPr>
        <w:t>6</w:t>
      </w:r>
      <w:r>
        <w:rPr>
          <w:rFonts w:hint="eastAsia" w:ascii="宋体" w:hAnsi="宋体" w:eastAsia="宋体" w:cs="宋体"/>
          <w:bCs/>
          <w:color w:val="auto"/>
          <w:spacing w:val="2"/>
          <w:highlight w:val="none"/>
        </w:rPr>
        <w:t>.1竞争性</w:t>
      </w:r>
      <w:r>
        <w:rPr>
          <w:rFonts w:hint="eastAsia" w:ascii="宋体" w:hAnsi="宋体" w:eastAsia="宋体" w:cs="宋体"/>
          <w:bCs/>
          <w:color w:val="auto"/>
          <w:spacing w:val="2"/>
          <w:highlight w:val="none"/>
          <w:lang w:eastAsia="zh-CN"/>
        </w:rPr>
        <w:t>磋商</w:t>
      </w:r>
      <w:r>
        <w:rPr>
          <w:rFonts w:hint="eastAsia" w:ascii="宋体" w:hAnsi="宋体" w:eastAsia="宋体" w:cs="宋体"/>
          <w:bCs/>
          <w:color w:val="auto"/>
          <w:spacing w:val="2"/>
          <w:highlight w:val="none"/>
        </w:rPr>
        <w:t>文件包括下列内容</w:t>
      </w:r>
      <w:r>
        <w:rPr>
          <w:rFonts w:hint="eastAsia" w:ascii="宋体" w:hAnsi="宋体" w:eastAsia="宋体" w:cs="宋体"/>
          <w:color w:val="auto"/>
          <w:spacing w:val="2"/>
          <w:highlight w:val="none"/>
        </w:rPr>
        <w:t>：</w:t>
      </w:r>
    </w:p>
    <w:p w14:paraId="05011C48">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第一章  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公告</w:t>
      </w:r>
    </w:p>
    <w:p w14:paraId="1E642950">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第二章  供应商须知  </w:t>
      </w:r>
    </w:p>
    <w:p w14:paraId="067BCAA3">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第三章  项目需求和说明</w:t>
      </w:r>
    </w:p>
    <w:p w14:paraId="73216FBB">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第四章  合同书（格式）</w:t>
      </w:r>
    </w:p>
    <w:p w14:paraId="07965CBA">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第五章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响应文件（格式） </w:t>
      </w:r>
    </w:p>
    <w:p w14:paraId="261B99F9">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第六章  工程量清单 </w:t>
      </w:r>
    </w:p>
    <w:p w14:paraId="682BDA63">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第七章  图纸（</w:t>
      </w:r>
      <w:r>
        <w:rPr>
          <w:rFonts w:hint="eastAsia" w:hAnsi="宋体" w:cs="宋体"/>
          <w:color w:val="auto"/>
          <w:highlight w:val="none"/>
          <w:lang w:val="en-US" w:eastAsia="zh-CN"/>
        </w:rPr>
        <w:t>另附</w:t>
      </w:r>
      <w:r>
        <w:rPr>
          <w:rFonts w:hint="eastAsia" w:ascii="宋体" w:hAnsi="宋体" w:eastAsia="宋体" w:cs="宋体"/>
          <w:color w:val="auto"/>
          <w:highlight w:val="none"/>
        </w:rPr>
        <w:t>）</w:t>
      </w:r>
    </w:p>
    <w:p w14:paraId="5F6BD8E0">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第八章  评定标准          </w:t>
      </w:r>
    </w:p>
    <w:p w14:paraId="138D10C7">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章 质疑、投诉材料格式</w:t>
      </w:r>
    </w:p>
    <w:p w14:paraId="540F4D19">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cs="宋体"/>
          <w:color w:val="auto"/>
          <w:spacing w:val="2"/>
          <w:highlight w:val="none"/>
          <w:lang w:val="en-US" w:eastAsia="zh-CN"/>
        </w:rPr>
        <w:t>6</w:t>
      </w:r>
      <w:r>
        <w:rPr>
          <w:rFonts w:hint="eastAsia" w:ascii="宋体" w:hAnsi="宋体" w:eastAsia="宋体" w:cs="宋体"/>
          <w:color w:val="auto"/>
          <w:spacing w:val="2"/>
          <w:highlight w:val="none"/>
        </w:rPr>
        <w:t>.2 供应商应认真审阅竞争性</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文件中所有的</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须知、合同条件、规定格式、技术规范或技术要求及工程量清单及图纸相关资料。如果供应商编制的响应文件不能符合竞争性</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文件的要求，责任由供应商自负。实质上不响应竞争性</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文件要求的响应文件将被采购代理机构拒绝。</w:t>
      </w:r>
    </w:p>
    <w:p w14:paraId="337557F5">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7</w:t>
      </w:r>
      <w:r>
        <w:rPr>
          <w:rFonts w:hint="eastAsia" w:ascii="宋体" w:hAnsi="宋体" w:eastAsia="宋体" w:cs="宋体"/>
          <w:b/>
          <w:bCs/>
          <w:color w:val="auto"/>
          <w:spacing w:val="2"/>
          <w:highlight w:val="none"/>
        </w:rPr>
        <w:t>.竞争性</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文件的解释</w:t>
      </w:r>
      <w:r>
        <w:rPr>
          <w:rFonts w:hint="eastAsia" w:ascii="宋体" w:hAnsi="宋体" w:eastAsia="宋体" w:cs="宋体"/>
          <w:b/>
          <w:color w:val="auto"/>
          <w:highlight w:val="none"/>
        </w:rPr>
        <w:t>、澄清和修改</w:t>
      </w:r>
    </w:p>
    <w:p w14:paraId="53D6794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.1已获取磋商文件的潜在供应商，若有问题需要澄清，应于应标截止时间前，以书面形式向采购代理机构提出，采购代理机构与采购人研究后，对认为有必要回答的问题，按照本章</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.3的内容处理。</w:t>
      </w:r>
    </w:p>
    <w:p w14:paraId="21D4D12B">
      <w:pPr>
        <w:keepNext w:val="0"/>
        <w:keepLines w:val="0"/>
        <w:pageBreakBefore w:val="0"/>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209892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澄清或者</w:t>
      </w:r>
      <w:r>
        <w:rPr>
          <w:rFonts w:hint="eastAsia" w:ascii="宋体" w:hAnsi="宋体" w:eastAsia="宋体" w:cs="宋体"/>
          <w:color w:val="auto"/>
          <w:szCs w:val="21"/>
          <w:highlight w:val="none"/>
          <w:lang w:val="en-US" w:eastAsia="zh-CN"/>
        </w:rPr>
        <w:t>更正公告</w:t>
      </w:r>
      <w:r>
        <w:rPr>
          <w:rFonts w:hint="eastAsia" w:ascii="宋体" w:hAnsi="宋体" w:eastAsia="宋体" w:cs="宋体"/>
          <w:color w:val="auto"/>
          <w:szCs w:val="21"/>
          <w:highlight w:val="none"/>
          <w:lang w:eastAsia="zh-CN"/>
        </w:rPr>
        <w:t>在竞争性磋商公告发布媒体上发布</w:t>
      </w:r>
      <w:r>
        <w:rPr>
          <w:rFonts w:hint="eastAsia" w:ascii="宋体" w:hAnsi="宋体" w:eastAsia="宋体" w:cs="宋体"/>
          <w:color w:val="auto"/>
          <w:szCs w:val="21"/>
          <w:highlight w:val="none"/>
        </w:rPr>
        <w:t>，一经发布，视作已以书面形式通知所有获取竞争性磋商文件的潜在供应商，不再另行通知，所有潜在供应商应密切关注竞争性磋商公告发布媒体，因未能及时获知，由此产生的后果均应自行承担。</w:t>
      </w:r>
    </w:p>
    <w:p w14:paraId="4AF237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28DE3FA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.5  采购人和采购代理机构可以视采购具体情况，变更提交首次响应文件截止时间和</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时间，将变更时间将在</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公告中“七、其他补充事宜</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.网上查询地址”规定的政府采购信息发布媒体上发布更正公告。</w:t>
      </w:r>
    </w:p>
    <w:p w14:paraId="5009539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w:t>
      </w:r>
      <w:r>
        <w:rPr>
          <w:rFonts w:hint="eastAsia" w:ascii="宋体" w:hAnsi="宋体" w:eastAsia="宋体" w:cs="宋体"/>
          <w:b/>
          <w:color w:val="auto"/>
          <w:kern w:val="0"/>
          <w:sz w:val="21"/>
          <w:szCs w:val="21"/>
          <w:highlight w:val="none"/>
          <w:lang w:eastAsia="zh-CN"/>
        </w:rPr>
        <w:t>按无效</w:t>
      </w:r>
      <w:r>
        <w:rPr>
          <w:rFonts w:hint="eastAsia" w:ascii="宋体" w:hAnsi="宋体" w:eastAsia="宋体" w:cs="宋体"/>
          <w:b/>
          <w:color w:val="auto"/>
          <w:kern w:val="0"/>
          <w:sz w:val="21"/>
          <w:szCs w:val="21"/>
          <w:highlight w:val="none"/>
        </w:rPr>
        <w:t>处理。</w:t>
      </w:r>
    </w:p>
    <w:p w14:paraId="69C20EFE">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三、响应文件的编制</w:t>
      </w:r>
    </w:p>
    <w:p w14:paraId="6E1616F2">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.响应文件编制基本要求</w:t>
      </w:r>
    </w:p>
    <w:p w14:paraId="6B5A97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r>
        <w:rPr>
          <w:rFonts w:hint="eastAsia" w:ascii="宋体" w:hAnsi="宋体" w:eastAsia="宋体" w:cs="宋体"/>
          <w:color w:val="auto"/>
          <w:szCs w:val="21"/>
          <w:highlight w:val="none"/>
        </w:rPr>
        <w:t>。</w:t>
      </w:r>
    </w:p>
    <w:p w14:paraId="5268BBBB">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供应商提交的响应文件以及供应商与</w:t>
      </w:r>
      <w:r>
        <w:rPr>
          <w:rFonts w:hint="eastAsia" w:ascii="宋体" w:hAnsi="宋体" w:eastAsia="宋体" w:cs="宋体"/>
          <w:color w:val="auto"/>
          <w:highlight w:val="none"/>
        </w:rPr>
        <w:t>采购代理机构</w:t>
      </w:r>
      <w:r>
        <w:rPr>
          <w:rFonts w:hint="eastAsia" w:ascii="宋体" w:hAnsi="宋体" w:eastAsia="宋体" w:cs="宋体"/>
          <w:color w:val="auto"/>
          <w:szCs w:val="21"/>
          <w:highlight w:val="none"/>
        </w:rPr>
        <w:t>和采购人就有关</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的所有来往函电均应使用中文。供应商提交的支持文件和印刷的文献可以使用别的语言，但其相应内容必须附有中文翻译文本，在解释响应文件时以翻译文本为主。</w:t>
      </w:r>
    </w:p>
    <w:p w14:paraId="6BD558C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供应商应认真阅读、并充分理解本文件的全部内容（包括所有的</w:t>
      </w:r>
      <w:r>
        <w:rPr>
          <w:rFonts w:hint="eastAsia" w:ascii="宋体" w:hAnsi="宋体" w:eastAsia="宋体" w:cs="宋体"/>
          <w:color w:val="auto"/>
          <w:highlight w:val="none"/>
        </w:rPr>
        <w:t>澄清、</w:t>
      </w:r>
      <w:r>
        <w:rPr>
          <w:rFonts w:hint="eastAsia" w:ascii="宋体" w:hAnsi="宋体" w:eastAsia="宋体" w:cs="宋体"/>
          <w:color w:val="auto"/>
          <w:szCs w:val="21"/>
          <w:highlight w:val="none"/>
        </w:rPr>
        <w:t>更改、补充、答疑等内容），承诺并履行本文件中各项条款规定及要求。</w:t>
      </w:r>
    </w:p>
    <w:p w14:paraId="19767B87">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响应文件必须按本文件的全部内容，包括所有的</w:t>
      </w:r>
      <w:r>
        <w:rPr>
          <w:rFonts w:hint="eastAsia" w:ascii="宋体" w:hAnsi="宋体" w:eastAsia="宋体" w:cs="宋体"/>
          <w:color w:val="auto"/>
          <w:highlight w:val="none"/>
        </w:rPr>
        <w:t>澄清、</w:t>
      </w:r>
      <w:r>
        <w:rPr>
          <w:rFonts w:hint="eastAsia" w:ascii="宋体" w:hAnsi="宋体" w:eastAsia="宋体" w:cs="宋体"/>
          <w:color w:val="auto"/>
          <w:szCs w:val="21"/>
          <w:highlight w:val="none"/>
        </w:rPr>
        <w:t>更改、补充、答疑等内容及附件进行编制。</w:t>
      </w:r>
    </w:p>
    <w:p w14:paraId="1183FBC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如因供应商只填写和提供了本文件要求的部分内容和附件，而给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小组评审造成困难，其可能导致的结果和责任由供应商自行承担。</w:t>
      </w:r>
    </w:p>
    <w:p w14:paraId="5C88C0A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响应文件的组成：响应文件应分为资格审查文件、</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w:t>
      </w:r>
      <w:r>
        <w:rPr>
          <w:rFonts w:hint="eastAsia" w:ascii="宋体" w:hAnsi="宋体" w:eastAsia="宋体" w:cs="宋体"/>
          <w:color w:val="auto"/>
          <w:szCs w:val="21"/>
          <w:highlight w:val="none"/>
        </w:rPr>
        <w:t>和</w:t>
      </w:r>
      <w:r>
        <w:rPr>
          <w:rFonts w:hint="eastAsia" w:ascii="宋体" w:hAnsi="宋体" w:cs="宋体"/>
          <w:color w:val="auto"/>
          <w:szCs w:val="21"/>
          <w:highlight w:val="none"/>
        </w:rPr>
        <w:t>商务</w:t>
      </w:r>
      <w:r>
        <w:rPr>
          <w:rFonts w:hint="eastAsia" w:ascii="宋体" w:hAnsi="宋体" w:cs="宋体"/>
          <w:color w:val="auto"/>
          <w:szCs w:val="21"/>
          <w:highlight w:val="none"/>
          <w:lang w:val="en-US" w:eastAsia="zh-CN"/>
        </w:rPr>
        <w:t>技术标</w:t>
      </w:r>
      <w:r>
        <w:rPr>
          <w:rFonts w:hint="eastAsia" w:ascii="宋体" w:hAnsi="宋体" w:cs="宋体"/>
          <w:color w:val="auto"/>
          <w:szCs w:val="21"/>
          <w:highlight w:val="none"/>
        </w:rPr>
        <w:t>文件</w:t>
      </w:r>
      <w:r>
        <w:rPr>
          <w:rFonts w:hint="eastAsia" w:ascii="宋体" w:hAnsi="宋体" w:eastAsia="宋体" w:cs="宋体"/>
          <w:color w:val="auto"/>
          <w:szCs w:val="21"/>
          <w:highlight w:val="none"/>
        </w:rPr>
        <w:t>三个部分组成。</w:t>
      </w:r>
    </w:p>
    <w:p w14:paraId="4DE41354">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.1</w:t>
      </w:r>
      <w:r>
        <w:rPr>
          <w:rFonts w:hint="eastAsia" w:ascii="宋体" w:hAnsi="宋体" w:eastAsia="宋体" w:cs="宋体"/>
          <w:b/>
          <w:bCs/>
          <w:color w:val="auto"/>
          <w:szCs w:val="21"/>
          <w:highlight w:val="none"/>
        </w:rPr>
        <w:t>资格审查文件</w:t>
      </w:r>
    </w:p>
    <w:p w14:paraId="06516C06">
      <w:pPr>
        <w:keepNext w:val="0"/>
        <w:keepLines w:val="0"/>
        <w:pageBreakBefore w:val="0"/>
        <w:widowControl w:val="0"/>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有效营业执照、资质证书、</w:t>
      </w:r>
      <w:bookmarkStart w:id="59" w:name="OLE_LINK10"/>
      <w:r>
        <w:rPr>
          <w:rFonts w:hint="eastAsia" w:ascii="宋体" w:hAnsi="宋体" w:eastAsia="宋体" w:cs="宋体"/>
          <w:bCs/>
          <w:color w:val="auto"/>
          <w:szCs w:val="21"/>
          <w:highlight w:val="none"/>
        </w:rPr>
        <w:t>企业安全生产许可证</w:t>
      </w:r>
      <w:bookmarkEnd w:id="59"/>
      <w:r>
        <w:rPr>
          <w:rFonts w:hint="eastAsia" w:ascii="宋体" w:hAnsi="宋体" w:eastAsia="宋体" w:cs="宋体"/>
          <w:bCs/>
          <w:color w:val="auto"/>
          <w:szCs w:val="21"/>
          <w:highlight w:val="none"/>
        </w:rPr>
        <w:t>复印件</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6D11BE7B">
      <w:pPr>
        <w:pStyle w:val="9"/>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eastAsia="zh-CN" w:bidi="ar-SA"/>
        </w:rPr>
        <w:t>）项目经理资格：拟投入本项目的项目经理</w:t>
      </w:r>
      <w:r>
        <w:rPr>
          <w:rFonts w:hint="eastAsia"/>
          <w:color w:val="auto"/>
          <w:lang w:val="en-US" w:eastAsia="zh-CN"/>
        </w:rPr>
        <w:t>的有效</w:t>
      </w:r>
      <w:r>
        <w:rPr>
          <w:rFonts w:hint="eastAsia" w:ascii="宋体" w:hAnsi="宋体" w:eastAsia="宋体" w:cs="宋体"/>
          <w:color w:val="auto"/>
          <w:kern w:val="2"/>
          <w:sz w:val="21"/>
          <w:szCs w:val="24"/>
          <w:highlight w:val="none"/>
          <w:lang w:val="en-US" w:eastAsia="zh-CN" w:bidi="ar-SA"/>
        </w:rPr>
        <w:t>第二代身份证正反面复印件、</w:t>
      </w:r>
      <w:bookmarkStart w:id="60" w:name="OLE_LINK12"/>
      <w:r>
        <w:rPr>
          <w:rFonts w:hint="eastAsia" w:ascii="宋体" w:hAnsi="宋体" w:eastAsia="宋体" w:cs="宋体"/>
          <w:color w:val="auto"/>
          <w:kern w:val="2"/>
          <w:sz w:val="21"/>
          <w:szCs w:val="24"/>
          <w:highlight w:val="none"/>
          <w:lang w:val="en-US" w:eastAsia="zh-CN" w:bidi="ar-SA"/>
        </w:rPr>
        <w:t>注册建造师</w:t>
      </w:r>
      <w:bookmarkEnd w:id="60"/>
      <w:r>
        <w:rPr>
          <w:rFonts w:hint="eastAsia" w:ascii="宋体" w:hAnsi="宋体" w:eastAsia="宋体" w:cs="宋体"/>
          <w:color w:val="auto"/>
          <w:kern w:val="2"/>
          <w:sz w:val="21"/>
          <w:szCs w:val="24"/>
          <w:highlight w:val="none"/>
          <w:lang w:val="en-US" w:eastAsia="zh-CN" w:bidi="ar-SA"/>
        </w:rPr>
        <w:t>证书复印件及安全生产考核合格证（B证）证件复印件</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597337B5">
      <w:pPr>
        <w:keepNext w:val="0"/>
        <w:keepLines w:val="0"/>
        <w:pageBreakBefore w:val="0"/>
        <w:widowControl w:val="0"/>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bookmarkStart w:id="61" w:name="OLE_LINK19"/>
      <w:r>
        <w:rPr>
          <w:rFonts w:hint="eastAsia" w:ascii="宋体" w:hAnsi="宋体" w:eastAsia="宋体" w:cs="宋体"/>
          <w:b w:val="0"/>
          <w:bCs w:val="0"/>
          <w:color w:val="auto"/>
          <w:highlight w:val="none"/>
        </w:rPr>
        <w:t>项目经理无在建承诺书</w:t>
      </w:r>
      <w:bookmarkEnd w:id="61"/>
      <w:r>
        <w:rPr>
          <w:rFonts w:hint="eastAsia" w:ascii="宋体" w:hAnsi="宋体" w:eastAsia="宋体" w:cs="宋体"/>
          <w:b w:val="0"/>
          <w:bCs w:val="0"/>
          <w:color w:val="auto"/>
          <w:highlight w:val="none"/>
        </w:rPr>
        <w:t>原件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26A7722C">
      <w:pPr>
        <w:keepNext w:val="0"/>
        <w:keepLines w:val="0"/>
        <w:pageBreakBefore w:val="0"/>
        <w:widowControl w:val="0"/>
        <w:numPr>
          <w:ilvl w:val="0"/>
          <w:numId w:val="0"/>
        </w:numPr>
        <w:shd w:val="clear" w:color="auto" w:fill="FFFFFF"/>
        <w:tabs>
          <w:tab w:val="left" w:pos="826"/>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）防城港市政府采购供应商信用承诺函（格式后附）；</w:t>
      </w:r>
      <w:r>
        <w:rPr>
          <w:rFonts w:hint="eastAsia" w:ascii="宋体" w:hAnsi="宋体" w:eastAsia="宋体" w:cs="宋体"/>
          <w:b/>
          <w:bCs/>
          <w:color w:val="auto"/>
          <w:highlight w:val="none"/>
          <w:lang w:val="en-US" w:eastAsia="zh-CN"/>
        </w:rPr>
        <w:t>（必须提供，否则响应文件作无效响应处理）</w:t>
      </w:r>
      <w:r>
        <w:rPr>
          <w:rFonts w:hint="eastAsia" w:ascii="宋体" w:hAnsi="宋体" w:eastAsia="宋体" w:cs="宋体"/>
          <w:b/>
          <w:bCs/>
          <w:color w:val="auto"/>
          <w:highlight w:val="none"/>
        </w:rPr>
        <w:t>；</w:t>
      </w:r>
    </w:p>
    <w:p w14:paraId="450375E3">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u w:val="none"/>
          <w:lang w:val="en-US" w:eastAsia="zh-CN"/>
        </w:rPr>
        <w:t>本项目为专门面向中小企业采购的项目。</w:t>
      </w:r>
      <w:r>
        <w:rPr>
          <w:rFonts w:hint="eastAsia" w:ascii="宋体" w:hAnsi="宋体" w:eastAsia="宋体" w:cs="宋体"/>
          <w:color w:val="auto"/>
          <w:szCs w:val="21"/>
          <w:highlight w:val="none"/>
          <w:lang w:val="en-US" w:eastAsia="zh-CN"/>
        </w:rPr>
        <w:t>供应商必须</w:t>
      </w:r>
      <w:r>
        <w:rPr>
          <w:rFonts w:hint="eastAsia" w:ascii="宋体" w:hAnsi="宋体" w:eastAsia="宋体" w:cs="宋体"/>
          <w:color w:val="auto"/>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highlight w:val="none"/>
          <w:lang w:val="en-US" w:eastAsia="zh-CN"/>
        </w:rPr>
        <w:t>复印件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lang w:eastAsia="zh-CN"/>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lang w:eastAsia="zh-CN"/>
        </w:rPr>
        <w:t>）</w:t>
      </w:r>
      <w:r>
        <w:rPr>
          <w:rFonts w:hint="eastAsia" w:ascii="宋体" w:hAnsi="宋体" w:cs="宋体"/>
          <w:color w:val="auto"/>
          <w:szCs w:val="21"/>
          <w:highlight w:val="none"/>
          <w:lang w:eastAsia="zh-CN"/>
        </w:rPr>
        <w:t>；</w:t>
      </w:r>
    </w:p>
    <w:p w14:paraId="6DF9F57C">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1A3753F1">
      <w:pPr>
        <w:keepNext w:val="0"/>
        <w:keepLines w:val="0"/>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.2</w:t>
      </w:r>
      <w:r>
        <w:rPr>
          <w:rFonts w:hint="eastAsia" w:ascii="宋体" w:hAnsi="宋体" w:cs="宋体"/>
          <w:b/>
          <w:bCs/>
          <w:color w:val="auto"/>
          <w:szCs w:val="21"/>
          <w:highlight w:val="none"/>
          <w:lang w:val="en-US" w:eastAsia="zh-CN"/>
        </w:rPr>
        <w:t>报价</w:t>
      </w:r>
      <w:r>
        <w:rPr>
          <w:rFonts w:hint="eastAsia" w:ascii="宋体" w:hAnsi="宋体" w:eastAsia="宋体" w:cs="宋体"/>
          <w:b/>
          <w:bCs/>
          <w:color w:val="auto"/>
          <w:szCs w:val="21"/>
          <w:highlight w:val="none"/>
        </w:rPr>
        <w:t>文件</w:t>
      </w:r>
    </w:p>
    <w:p w14:paraId="1E3E48FA">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）磋商函</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725354E8">
      <w:pPr>
        <w:keepNext w:val="0"/>
        <w:keepLines w:val="0"/>
        <w:pageBreakBefore w:val="0"/>
        <w:shd w:val="clear" w:color="auto" w:fill="FFFFFF"/>
        <w:kinsoku/>
        <w:wordWrap/>
        <w:overflowPunct/>
        <w:topLinePunct w:val="0"/>
        <w:autoSpaceDE/>
        <w:autoSpaceDN/>
        <w:bidi w:val="0"/>
        <w:spacing w:line="452" w:lineRule="exact"/>
        <w:ind w:firstLine="420"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bookmarkStart w:id="62" w:name="OLE_LINK20"/>
      <w:r>
        <w:rPr>
          <w:rFonts w:hint="eastAsia" w:ascii="宋体" w:hAnsi="宋体" w:eastAsia="宋体" w:cs="宋体"/>
          <w:color w:val="auto"/>
          <w:highlight w:val="none"/>
        </w:rPr>
        <w:t>已标价工程量清单</w:t>
      </w:r>
      <w:bookmarkEnd w:id="62"/>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cs="宋体"/>
          <w:b/>
          <w:bCs/>
          <w:color w:val="auto"/>
          <w:highlight w:val="none"/>
          <w:lang w:eastAsia="zh-CN"/>
        </w:rPr>
        <w:t>；</w:t>
      </w:r>
    </w:p>
    <w:p w14:paraId="5609081F">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竞</w:t>
      </w:r>
      <w:r>
        <w:rPr>
          <w:rFonts w:hint="eastAsia" w:ascii="宋体" w:hAnsi="宋体" w:eastAsia="宋体" w:cs="宋体"/>
          <w:color w:val="auto"/>
          <w:highlight w:val="none"/>
        </w:rPr>
        <w:t>标报价表</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cs="宋体"/>
          <w:b/>
          <w:bCs/>
          <w:color w:val="auto"/>
          <w:highlight w:val="none"/>
          <w:lang w:eastAsia="zh-CN"/>
        </w:rPr>
        <w:t>；</w:t>
      </w:r>
    </w:p>
    <w:p w14:paraId="1F7B6EBB">
      <w:pPr>
        <w:keepNext w:val="0"/>
        <w:keepLines w:val="0"/>
        <w:pageBreakBefore w:val="0"/>
        <w:widowControl w:val="0"/>
        <w:kinsoku/>
        <w:wordWrap/>
        <w:overflowPunct/>
        <w:topLinePunct w:val="0"/>
        <w:autoSpaceDE/>
        <w:autoSpaceDN/>
        <w:bidi w:val="0"/>
        <w:adjustRightInd/>
        <w:spacing w:line="452"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7F52998F">
      <w:pPr>
        <w:keepNext w:val="0"/>
        <w:keepLines w:val="0"/>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.3</w:t>
      </w:r>
      <w:r>
        <w:rPr>
          <w:rFonts w:hint="eastAsia" w:ascii="宋体" w:hAnsi="宋体" w:cs="宋体"/>
          <w:b/>
          <w:bCs/>
          <w:color w:val="auto"/>
          <w:highlight w:val="none"/>
          <w:lang w:val="en-US" w:eastAsia="zh-CN"/>
        </w:rPr>
        <w:t>商务</w:t>
      </w:r>
      <w:r>
        <w:rPr>
          <w:rFonts w:hint="eastAsia" w:ascii="宋体" w:hAnsi="宋体" w:eastAsia="宋体" w:cs="宋体"/>
          <w:b/>
          <w:bCs/>
          <w:color w:val="auto"/>
          <w:highlight w:val="none"/>
        </w:rPr>
        <w:t>技术标文件</w:t>
      </w:r>
    </w:p>
    <w:p w14:paraId="69804ECF">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法定代表人身份证明书及法定代表人有效身份证正反面复印件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1AF566BB">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授</w:t>
      </w:r>
      <w:bookmarkStart w:id="63" w:name="OLE_LINK11"/>
      <w:r>
        <w:rPr>
          <w:rFonts w:hint="eastAsia" w:ascii="宋体" w:hAnsi="宋体" w:eastAsia="宋体" w:cs="宋体"/>
          <w:color w:val="auto"/>
          <w:highlight w:val="none"/>
        </w:rPr>
        <w:t>权委托书及代理人有效身份证</w:t>
      </w:r>
      <w:bookmarkEnd w:id="63"/>
      <w:r>
        <w:rPr>
          <w:rFonts w:hint="eastAsia" w:ascii="宋体" w:hAnsi="宋体" w:eastAsia="宋体" w:cs="宋体"/>
          <w:color w:val="auto"/>
          <w:highlight w:val="none"/>
        </w:rPr>
        <w:t>正反面复印件（如有委托）</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委托时</w:t>
      </w:r>
      <w:r>
        <w:rPr>
          <w:rFonts w:hint="eastAsia" w:ascii="宋体" w:hAnsi="宋体" w:cs="宋体"/>
          <w:b/>
          <w:color w:val="auto"/>
          <w:szCs w:val="21"/>
          <w:highlight w:val="none"/>
          <w:lang w:val="en-US" w:eastAsia="zh-CN"/>
        </w:rPr>
        <w:t>必须提供，授权委托书</w:t>
      </w:r>
      <w:r>
        <w:rPr>
          <w:rFonts w:hint="eastAsia" w:ascii="宋体" w:hAnsi="宋体" w:cs="宋体"/>
          <w:b/>
          <w:color w:val="auto"/>
          <w:szCs w:val="21"/>
          <w:highlight w:val="none"/>
        </w:rPr>
        <w:t>由法定代表人及</w:t>
      </w:r>
      <w:r>
        <w:rPr>
          <w:rFonts w:hint="eastAsia" w:ascii="宋体" w:hAnsi="宋体" w:cs="宋体"/>
          <w:b/>
          <w:color w:val="auto"/>
          <w:szCs w:val="21"/>
          <w:highlight w:val="none"/>
          <w:lang w:eastAsia="zh-CN"/>
        </w:rPr>
        <w:t>其</w:t>
      </w:r>
      <w:r>
        <w:rPr>
          <w:rFonts w:hint="eastAsia" w:ascii="宋体" w:hAnsi="宋体" w:cs="宋体"/>
          <w:b/>
          <w:color w:val="auto"/>
          <w:szCs w:val="21"/>
          <w:highlight w:val="none"/>
        </w:rPr>
        <w:t>委托代理人签字，并加盖供应商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0A80671F">
      <w:pPr>
        <w:keepNext w:val="0"/>
        <w:keepLines w:val="0"/>
        <w:pageBreakBefore w:val="0"/>
        <w:widowControl w:val="0"/>
        <w:kinsoku/>
        <w:wordWrap/>
        <w:overflowPunct/>
        <w:topLinePunct w:val="0"/>
        <w:autoSpaceDE/>
        <w:autoSpaceDN/>
        <w:bidi w:val="0"/>
        <w:adjustRightInd/>
        <w:spacing w:line="452"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农民工工资保障承诺书</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格式自拟，</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w:t>
      </w:r>
    </w:p>
    <w:p w14:paraId="3D1F70D1">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）磋商函附录</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75C82635">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rPr>
        <w:t>）施工组织设计</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4396DD97">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）项目管理机构及人员配备</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43A0A40B">
      <w:pPr>
        <w:keepNext w:val="0"/>
        <w:keepLines w:val="0"/>
        <w:pageBreakBefore w:val="0"/>
        <w:widowControl w:val="0"/>
        <w:shd w:val="clear" w:color="auto" w:fill="auto"/>
        <w:kinsoku/>
        <w:wordWrap/>
        <w:overflowPunct/>
        <w:topLinePunct w:val="0"/>
        <w:autoSpaceDE/>
        <w:autoSpaceDN/>
        <w:bidi w:val="0"/>
        <w:adjustRightInd/>
        <w:spacing w:line="452" w:lineRule="exact"/>
        <w:ind w:firstLine="420" w:firstLineChars="200"/>
        <w:textAlignment w:val="auto"/>
        <w:rPr>
          <w:rFonts w:hint="eastAsia"/>
          <w:color w:val="auto"/>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竞争性磋商</w:t>
      </w:r>
      <w:r>
        <w:rPr>
          <w:rFonts w:hint="eastAsia" w:ascii="宋体" w:hAnsi="宋体" w:cs="宋体"/>
          <w:color w:val="auto"/>
          <w:szCs w:val="21"/>
          <w:highlight w:val="none"/>
        </w:rPr>
        <w:t>文件文件规定必须提供以外，供应商认为需要提供的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0A181EB5">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特别说明：</w:t>
      </w:r>
    </w:p>
    <w:p w14:paraId="01AB4155">
      <w:pPr>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cs="宋体"/>
          <w:b/>
          <w:bCs/>
          <w:color w:val="auto"/>
          <w:highlight w:val="none"/>
          <w:lang w:eastAsia="zh-CN"/>
        </w:rPr>
      </w:pPr>
      <w:r>
        <w:rPr>
          <w:rFonts w:hint="eastAsia" w:ascii="宋体" w:hAnsi="宋体" w:cs="宋体"/>
          <w:b/>
          <w:color w:val="auto"/>
          <w:szCs w:val="21"/>
          <w:highlight w:val="none"/>
          <w:lang w:val="en-US" w:eastAsia="zh-CN"/>
        </w:rPr>
        <w:t>（1）</w:t>
      </w:r>
      <w:r>
        <w:rPr>
          <w:rFonts w:hint="eastAsia" w:ascii="宋体" w:hAnsi="宋体" w:cs="宋体"/>
          <w:b/>
          <w:bCs/>
          <w:color w:val="auto"/>
          <w:highlight w:val="none"/>
          <w:lang w:eastAsia="zh-CN"/>
        </w:rPr>
        <w:t>以上标明“必须提供”的材料属于复印件的扫描件的，必须加盖供应商</w:t>
      </w:r>
      <w:r>
        <w:rPr>
          <w:rFonts w:hint="eastAsia" w:ascii="宋体" w:hAnsi="宋体" w:cs="宋体"/>
          <w:b/>
          <w:color w:val="auto"/>
          <w:szCs w:val="21"/>
          <w:highlight w:val="none"/>
          <w:lang w:eastAsia="zh-CN"/>
        </w:rPr>
        <w:t>电子印章</w:t>
      </w:r>
      <w:r>
        <w:rPr>
          <w:rFonts w:hint="eastAsia" w:ascii="宋体" w:hAnsi="宋体" w:cs="宋体"/>
          <w:b/>
          <w:color w:val="auto"/>
          <w:szCs w:val="21"/>
          <w:highlight w:val="none"/>
          <w:lang w:val="en-US" w:eastAsia="zh-CN"/>
        </w:rPr>
        <w:t>，否则响应文件按无效响应处理</w:t>
      </w:r>
      <w:r>
        <w:rPr>
          <w:rFonts w:hint="eastAsia" w:ascii="宋体" w:hAnsi="宋体" w:cs="宋体"/>
          <w:b/>
          <w:bCs/>
          <w:color w:val="auto"/>
          <w:highlight w:val="none"/>
          <w:lang w:eastAsia="zh-CN"/>
        </w:rPr>
        <w:t>。</w:t>
      </w:r>
    </w:p>
    <w:p w14:paraId="3D7873A5">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w:t>
      </w:r>
      <w:r>
        <w:rPr>
          <w:rFonts w:hint="eastAsia" w:ascii="宋体" w:hAnsi="宋体" w:eastAsia="宋体" w:cs="宋体"/>
          <w:b/>
          <w:bCs/>
          <w:color w:val="auto"/>
          <w:highlight w:val="none"/>
        </w:rPr>
        <w:t>供应商必须使用竞争性</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文件第</w:t>
      </w:r>
      <w:r>
        <w:rPr>
          <w:rFonts w:hint="eastAsia" w:ascii="宋体" w:hAnsi="宋体" w:eastAsia="宋体" w:cs="宋体"/>
          <w:b/>
          <w:bCs/>
          <w:color w:val="auto"/>
          <w:highlight w:val="none"/>
          <w:lang w:eastAsia="zh-CN"/>
        </w:rPr>
        <w:t>五章</w:t>
      </w:r>
      <w:r>
        <w:rPr>
          <w:rFonts w:hint="eastAsia" w:ascii="宋体" w:hAnsi="宋体" w:eastAsia="宋体" w:cs="宋体"/>
          <w:b/>
          <w:bCs/>
          <w:color w:val="auto"/>
          <w:highlight w:val="none"/>
        </w:rPr>
        <w:t>提供的响应文件格式和顺序另行编制响应文件，但表格可以按同样格式扩展。</w:t>
      </w:r>
    </w:p>
    <w:p w14:paraId="740EF04C">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文件要求“必须提供”的证明等材料，供应商必须全部提供，缺一不可，否则</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无效。</w:t>
      </w:r>
    </w:p>
    <w:p w14:paraId="6953C17C">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响应文件电子版</w:t>
      </w:r>
      <w:r>
        <w:rPr>
          <w:rFonts w:hint="eastAsia" w:ascii="宋体" w:hAnsi="宋体" w:cs="宋体"/>
          <w:b/>
          <w:bCs/>
          <w:color w:val="auto"/>
          <w:szCs w:val="21"/>
          <w:highlight w:val="none"/>
          <w:lang w:val="en-US" w:eastAsia="zh-CN"/>
        </w:rPr>
        <w:t>要求</w:t>
      </w:r>
    </w:p>
    <w:p w14:paraId="3A76BD1E">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9.1</w:t>
      </w:r>
      <w:r>
        <w:rPr>
          <w:rFonts w:hint="eastAsia" w:ascii="宋体" w:hAnsi="宋体" w:eastAsia="宋体" w:cs="宋体"/>
          <w:color w:val="auto"/>
          <w:szCs w:val="21"/>
          <w:highlight w:val="none"/>
        </w:rPr>
        <w:t>详见供应商须知前附表</w:t>
      </w:r>
      <w:r>
        <w:rPr>
          <w:rFonts w:hint="eastAsia" w:ascii="宋体" w:hAnsi="宋体" w:cs="宋体"/>
          <w:color w:val="auto"/>
          <w:szCs w:val="21"/>
          <w:highlight w:val="none"/>
          <w:lang w:eastAsia="zh-CN"/>
        </w:rPr>
        <w:t>。</w:t>
      </w:r>
    </w:p>
    <w:p w14:paraId="3CB832C6">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 计量单位</w:t>
      </w:r>
    </w:p>
    <w:p w14:paraId="30ACC736">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.1除技术要求中另有规定外，本文件所要求使用的计量单位均应采用国家法定计量单位。</w:t>
      </w:r>
    </w:p>
    <w:p w14:paraId="0C295C1A">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bookmarkStart w:id="64" w:name="_Toc424307747"/>
      <w:bookmarkStart w:id="65" w:name="_Toc424307480"/>
      <w:r>
        <w:rPr>
          <w:rFonts w:hint="eastAsia" w:ascii="宋体" w:hAnsi="宋体" w:eastAsia="宋体" w:cs="宋体"/>
          <w:b/>
          <w:bCs/>
          <w:color w:val="auto"/>
          <w:spacing w:val="2"/>
          <w:highlight w:val="none"/>
        </w:rPr>
        <w:t>四、</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报价说明</w:t>
      </w:r>
      <w:bookmarkEnd w:id="64"/>
      <w:bookmarkEnd w:id="65"/>
    </w:p>
    <w:p w14:paraId="7D5402FB">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11</w:t>
      </w:r>
      <w:r>
        <w:rPr>
          <w:rFonts w:hint="eastAsia" w:ascii="宋体" w:hAnsi="宋体" w:eastAsia="宋体" w:cs="宋体"/>
          <w:b/>
          <w:bCs/>
          <w:color w:val="auto"/>
          <w:spacing w:val="2"/>
          <w:highlight w:val="none"/>
        </w:rPr>
        <w:t>.</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价格</w:t>
      </w:r>
    </w:p>
    <w:p w14:paraId="47B303E0">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highlight w:val="none"/>
        </w:rPr>
      </w:pPr>
      <w:r>
        <w:rPr>
          <w:rFonts w:hint="eastAsia" w:ascii="宋体" w:hAnsi="宋体" w:cs="宋体"/>
          <w:color w:val="auto"/>
          <w:spacing w:val="2"/>
          <w:highlight w:val="none"/>
          <w:lang w:val="en-US" w:eastAsia="zh-CN"/>
        </w:rPr>
        <w:t>11</w:t>
      </w:r>
      <w:r>
        <w:rPr>
          <w:rFonts w:hint="eastAsia" w:ascii="宋体" w:hAnsi="宋体" w:eastAsia="宋体" w:cs="宋体"/>
          <w:color w:val="auto"/>
          <w:spacing w:val="2"/>
          <w:highlight w:val="none"/>
        </w:rPr>
        <w:t>.1</w:t>
      </w:r>
      <w:r>
        <w:rPr>
          <w:rFonts w:hint="eastAsia" w:ascii="宋体" w:hAnsi="宋体" w:eastAsia="宋体" w:cs="宋体"/>
          <w:color w:val="auto"/>
          <w:highlight w:val="none"/>
        </w:rPr>
        <w:t xml:space="preserve"> 本工程</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报价采用工程量清单报价。</w:t>
      </w:r>
    </w:p>
    <w:p w14:paraId="7DC3258C">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.1.1本工程</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价格是固定综合单价，按实际工程量结算。</w:t>
      </w:r>
    </w:p>
    <w:p w14:paraId="027A5564">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 xml:space="preserve">.1.2 </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应认真填写工程量清单中所列的所有各细目的单价和总额价，填写工程量清单时应注意：</w:t>
      </w:r>
    </w:p>
    <w:p w14:paraId="4806A32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（1）有工程数量的应报单价和总额。</w:t>
      </w:r>
    </w:p>
    <w:p w14:paraId="23563ACF">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（2）无工程数量的项目不报价。</w:t>
      </w:r>
    </w:p>
    <w:p w14:paraId="153D137A">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时，采购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要求报价的细目，供应商没有填入单价或总额价的细目，其费用应视为已分配在工程量清单的其它单价或总额价中，</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必须按监理工程师的指令完成工程量清单中未填入单价或总额价的工程细目，但不能得到支付与结算。</w:t>
      </w:r>
    </w:p>
    <w:p w14:paraId="3BC2A30A">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.1.3采购</w:t>
      </w:r>
      <w:r>
        <w:rPr>
          <w:rFonts w:hint="eastAsia" w:ascii="宋体" w:hAnsi="宋体" w:cs="宋体"/>
          <w:b/>
          <w:bCs/>
          <w:color w:val="auto"/>
          <w:szCs w:val="21"/>
          <w:highlight w:val="none"/>
          <w:lang w:val="en-US" w:eastAsia="zh-CN"/>
        </w:rPr>
        <w:t>人</w:t>
      </w:r>
      <w:r>
        <w:rPr>
          <w:rFonts w:hint="eastAsia" w:ascii="宋体" w:hAnsi="宋体" w:eastAsia="宋体" w:cs="宋体"/>
          <w:b/>
          <w:bCs/>
          <w:color w:val="auto"/>
          <w:szCs w:val="21"/>
          <w:highlight w:val="none"/>
        </w:rPr>
        <w:t>所提供的工程量清单及相关资料，应认为已包括完成本工程的所有项目。凡工程量清单及相关资料所示工程所必不可少的附属工程、相关工程、衔接与后续工程所需的费用，供应商应计入相关项目的报价中。</w:t>
      </w:r>
    </w:p>
    <w:p w14:paraId="1BA2D313">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 xml:space="preserve"> 除非合同中另有规定，具有标价的工程量清单中所报单价和合价，以及报价汇总表中的价格应包括施工设备、劳务、管理、材料、安装、维护、保险、利润、税金、政策性文件规定及合同包含的应有风险、责任等各项应有费用，经</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小组审核严重不平衡的报价将不予接受。</w:t>
      </w:r>
    </w:p>
    <w:p w14:paraId="046E182B">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5供应商须根据</w:t>
      </w:r>
      <w:bookmarkStart w:id="66" w:name="OLE_LINK16"/>
      <w:r>
        <w:rPr>
          <w:rFonts w:hint="eastAsia" w:ascii="宋体" w:hAnsi="宋体" w:eastAsia="宋体" w:cs="宋体"/>
          <w:b/>
          <w:bCs/>
          <w:color w:val="auto"/>
          <w:szCs w:val="21"/>
          <w:highlight w:val="none"/>
          <w:lang w:val="en-US" w:eastAsia="zh-CN"/>
        </w:rPr>
        <w:t>采购人提供的工程</w:t>
      </w:r>
      <w:bookmarkEnd w:id="66"/>
      <w:r>
        <w:rPr>
          <w:rFonts w:hint="eastAsia" w:ascii="宋体" w:hAnsi="宋体" w:eastAsia="宋体" w:cs="宋体"/>
          <w:b/>
          <w:bCs/>
          <w:color w:val="auto"/>
          <w:szCs w:val="21"/>
          <w:highlight w:val="none"/>
          <w:lang w:val="en-US" w:eastAsia="zh-CN"/>
        </w:rPr>
        <w:t>清单及图纸编制完整的</w:t>
      </w:r>
      <w:r>
        <w:rPr>
          <w:rFonts w:hint="eastAsia" w:ascii="宋体" w:hAnsi="宋体" w:cs="宋体"/>
          <w:b/>
          <w:bCs/>
          <w:color w:val="auto"/>
          <w:szCs w:val="21"/>
          <w:highlight w:val="none"/>
          <w:lang w:val="en-US" w:eastAsia="zh-CN"/>
        </w:rPr>
        <w:t>工程量</w:t>
      </w:r>
      <w:r>
        <w:rPr>
          <w:rFonts w:hint="eastAsia" w:ascii="宋体" w:hAnsi="宋体" w:eastAsia="宋体" w:cs="宋体"/>
          <w:b/>
          <w:bCs/>
          <w:color w:val="auto"/>
          <w:szCs w:val="21"/>
          <w:highlight w:val="none"/>
          <w:lang w:val="en-US" w:eastAsia="zh-CN"/>
        </w:rPr>
        <w:t>清单报价文件</w:t>
      </w:r>
      <w:r>
        <w:rPr>
          <w:rFonts w:hint="eastAsia" w:ascii="宋体" w:hAnsi="宋体" w:eastAsia="宋体" w:cs="宋体"/>
          <w:b/>
          <w:bCs/>
          <w:color w:val="auto"/>
          <w:szCs w:val="21"/>
          <w:highlight w:val="none"/>
        </w:rPr>
        <w:t>。供应商对自己所填写的</w:t>
      </w:r>
      <w:r>
        <w:rPr>
          <w:rFonts w:hint="eastAsia" w:ascii="宋体" w:hAnsi="宋体" w:eastAsia="宋体" w:cs="宋体"/>
          <w:b/>
          <w:bCs/>
          <w:color w:val="auto"/>
          <w:highlight w:val="none"/>
        </w:rPr>
        <w:t>项目编码、项目名称及项目特征描述、计量单位、工程量</w:t>
      </w:r>
      <w:r>
        <w:rPr>
          <w:rFonts w:hint="eastAsia" w:ascii="宋体" w:hAnsi="宋体" w:eastAsia="宋体" w:cs="宋体"/>
          <w:b/>
          <w:bCs/>
          <w:color w:val="auto"/>
          <w:szCs w:val="21"/>
          <w:highlight w:val="none"/>
        </w:rPr>
        <w:t>，供应商填写的</w:t>
      </w:r>
      <w:r>
        <w:rPr>
          <w:rFonts w:hint="eastAsia" w:ascii="宋体" w:hAnsi="宋体" w:eastAsia="宋体" w:cs="宋体"/>
          <w:b/>
          <w:bCs/>
          <w:color w:val="auto"/>
          <w:highlight w:val="none"/>
        </w:rPr>
        <w:t>项目编码、</w:t>
      </w:r>
      <w:r>
        <w:rPr>
          <w:rFonts w:hint="eastAsia" w:ascii="宋体" w:hAnsi="宋体" w:cs="宋体"/>
          <w:b/>
          <w:bCs/>
          <w:color w:val="auto"/>
          <w:highlight w:val="none"/>
          <w:lang w:val="en-US" w:eastAsia="zh-CN"/>
        </w:rPr>
        <w:t>项</w:t>
      </w:r>
      <w:r>
        <w:rPr>
          <w:rFonts w:hint="eastAsia" w:ascii="宋体" w:hAnsi="宋体" w:eastAsia="宋体" w:cs="宋体"/>
          <w:b/>
          <w:bCs/>
          <w:color w:val="auto"/>
          <w:highlight w:val="none"/>
        </w:rPr>
        <w:t>目名称及项目特征描述、计量单位、工程量</w:t>
      </w:r>
      <w:r>
        <w:rPr>
          <w:rFonts w:hint="eastAsia" w:ascii="宋体" w:hAnsi="宋体" w:eastAsia="宋体" w:cs="宋体"/>
          <w:b/>
          <w:bCs/>
          <w:color w:val="auto"/>
          <w:szCs w:val="21"/>
          <w:highlight w:val="none"/>
        </w:rPr>
        <w:t>必须与采购人提供的一致。评标中，如</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报价文件</w:t>
      </w:r>
      <w:r>
        <w:rPr>
          <w:rFonts w:hint="eastAsia" w:ascii="宋体" w:hAnsi="宋体" w:eastAsia="宋体" w:cs="宋体"/>
          <w:b/>
          <w:bCs/>
          <w:color w:val="auto"/>
          <w:highlight w:val="none"/>
        </w:rPr>
        <w:t>项目编码、项目名称及项目特征描述、计量单位、工程量</w:t>
      </w:r>
      <w:r>
        <w:rPr>
          <w:rFonts w:hint="eastAsia" w:ascii="宋体" w:hAnsi="宋体" w:eastAsia="宋体" w:cs="宋体"/>
          <w:b/>
          <w:bCs/>
          <w:color w:val="auto"/>
          <w:szCs w:val="21"/>
          <w:highlight w:val="none"/>
        </w:rPr>
        <w:t>与采购人提供不一致的，作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无效处理。</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报价总价应当与分</w:t>
      </w:r>
      <w:r>
        <w:rPr>
          <w:rFonts w:hint="eastAsia" w:ascii="宋体" w:hAnsi="宋体" w:cs="宋体"/>
          <w:b/>
          <w:bCs/>
          <w:color w:val="auto"/>
          <w:szCs w:val="21"/>
          <w:highlight w:val="none"/>
          <w:lang w:val="en-US" w:eastAsia="zh-CN"/>
        </w:rPr>
        <w:t>类</w:t>
      </w:r>
      <w:r>
        <w:rPr>
          <w:rFonts w:hint="eastAsia" w:ascii="宋体" w:hAnsi="宋体" w:eastAsia="宋体" w:cs="宋体"/>
          <w:b/>
          <w:bCs/>
          <w:color w:val="auto"/>
          <w:szCs w:val="21"/>
          <w:highlight w:val="none"/>
        </w:rPr>
        <w:t>分项工程和单价措施费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、其他项目费和规费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、增值税</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的合计金额一致，不一致的作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无效处理。</w:t>
      </w:r>
    </w:p>
    <w:p w14:paraId="5922CCA0">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设有暂定价或暂定金额的，</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时要按采购人工程量清单给出的暂定价或暂定金额计入</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报价中，否则作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无效处理。</w:t>
      </w:r>
    </w:p>
    <w:p w14:paraId="454E9D78">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本项目</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采用多次报价方式，作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报价时采购人将书面告知各供应商，供应商的</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报价文件必须按工程量清单报价文件的要求及格式编制</w:t>
      </w:r>
      <w:r>
        <w:rPr>
          <w:rFonts w:hint="eastAsia" w:ascii="宋体" w:hAnsi="宋体" w:cs="宋体"/>
          <w:b/>
          <w:bCs/>
          <w:color w:val="auto"/>
          <w:szCs w:val="21"/>
          <w:highlight w:val="none"/>
          <w:lang w:val="en-US" w:eastAsia="zh-CN"/>
        </w:rPr>
        <w:t>并加盖供应商电子印章及相关编制人员（如有要求）签字或盖章（此处所指“签字或盖章”为手写签字或盖章后扫描上传）</w:t>
      </w:r>
      <w:r>
        <w:rPr>
          <w:rFonts w:hint="eastAsia" w:ascii="宋体" w:hAnsi="宋体" w:eastAsia="宋体" w:cs="宋体"/>
          <w:b/>
          <w:bCs/>
          <w:color w:val="auto"/>
          <w:szCs w:val="21"/>
          <w:highlight w:val="none"/>
        </w:rPr>
        <w:t>，不得以总价下浮的方式做</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报价，否则，作无效</w:t>
      </w:r>
      <w:r>
        <w:rPr>
          <w:rFonts w:hint="eastAsia" w:ascii="宋体" w:hAnsi="宋体" w:cs="宋体"/>
          <w:b/>
          <w:bCs/>
          <w:color w:val="auto"/>
          <w:szCs w:val="21"/>
          <w:highlight w:val="none"/>
          <w:lang w:val="en-US" w:eastAsia="zh-CN"/>
        </w:rPr>
        <w:t>磋商</w:t>
      </w:r>
      <w:r>
        <w:rPr>
          <w:rFonts w:hint="eastAsia" w:ascii="宋体" w:hAnsi="宋体" w:eastAsia="宋体" w:cs="宋体"/>
          <w:b/>
          <w:bCs/>
          <w:color w:val="auto"/>
          <w:szCs w:val="21"/>
          <w:highlight w:val="none"/>
        </w:rPr>
        <w:t>处理，供应商须提前做好相关准备并按时递交</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报价文件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以附件的方式上传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报价高于采购预算控制价的响应文件将被拒绝。</w:t>
      </w:r>
    </w:p>
    <w:p w14:paraId="3109924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szCs w:val="21"/>
          <w:highlight w:val="none"/>
        </w:rPr>
        <w:t>.2工程计价说明详见第三章</w:t>
      </w:r>
      <w:r>
        <w:rPr>
          <w:rFonts w:hint="eastAsia" w:ascii="宋体" w:hAnsi="宋体" w:eastAsia="宋体" w:cs="宋体"/>
          <w:color w:val="auto"/>
          <w:highlight w:val="none"/>
        </w:rPr>
        <w:t>项目需求和说明中的</w:t>
      </w:r>
      <w:r>
        <w:rPr>
          <w:rFonts w:hint="eastAsia" w:ascii="宋体" w:hAnsi="宋体" w:eastAsia="宋体" w:cs="宋体"/>
          <w:color w:val="auto"/>
          <w:szCs w:val="21"/>
          <w:highlight w:val="none"/>
        </w:rPr>
        <w:t>“工程量清单”。</w:t>
      </w:r>
    </w:p>
    <w:p w14:paraId="5CE6489C">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.2.1</w:t>
      </w:r>
      <w:r>
        <w:rPr>
          <w:rFonts w:hint="eastAsia" w:ascii="宋体" w:hAnsi="宋体" w:eastAsia="宋体" w:cs="宋体"/>
          <w:color w:val="auto"/>
          <w:szCs w:val="21"/>
          <w:highlight w:val="none"/>
        </w:rPr>
        <w:t>采购人不提供建筑废渣的倾倒地点，建筑废渣的运距由供应商按所能承受能力自行考虑，建筑废渣的运费以综合单价形式包干。结算时不对运距进行费用签证。</w:t>
      </w:r>
    </w:p>
    <w:p w14:paraId="0B5E5A47">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cs="宋体"/>
          <w:color w:val="auto"/>
          <w:spacing w:val="2"/>
          <w:highlight w:val="none"/>
          <w:lang w:val="en-US" w:eastAsia="zh-CN"/>
        </w:rPr>
        <w:t>11</w:t>
      </w:r>
      <w:r>
        <w:rPr>
          <w:rFonts w:hint="eastAsia" w:ascii="宋体" w:hAnsi="宋体" w:eastAsia="宋体" w:cs="宋体"/>
          <w:color w:val="auto"/>
          <w:spacing w:val="2"/>
          <w:highlight w:val="none"/>
        </w:rPr>
        <w:t>.2.2</w:t>
      </w:r>
      <w:r>
        <w:rPr>
          <w:rFonts w:hint="eastAsia" w:ascii="宋体" w:hAnsi="宋体" w:eastAsia="宋体" w:cs="宋体"/>
          <w:color w:val="auto"/>
          <w:szCs w:val="21"/>
          <w:highlight w:val="none"/>
        </w:rPr>
        <w:t>本工程施工期间的水电费由</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承担。</w:t>
      </w:r>
    </w:p>
    <w:p w14:paraId="48E5E390">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 xml:space="preserve">.3 </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货币</w:t>
      </w:r>
    </w:p>
    <w:p w14:paraId="2C5DF50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响应文件报价中的单价和合价全部采用人民币表示。</w:t>
      </w:r>
    </w:p>
    <w:p w14:paraId="77BC6EA9">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bookmarkStart w:id="67" w:name="_Toc424307748"/>
      <w:bookmarkStart w:id="68" w:name="_Toc424307481"/>
      <w:r>
        <w:rPr>
          <w:rFonts w:hint="eastAsia" w:ascii="宋体" w:hAnsi="宋体" w:eastAsia="宋体" w:cs="宋体"/>
          <w:b/>
          <w:bCs/>
          <w:color w:val="auto"/>
          <w:spacing w:val="2"/>
          <w:highlight w:val="none"/>
        </w:rPr>
        <w:t>五、响应文件的编制</w:t>
      </w:r>
      <w:bookmarkEnd w:id="67"/>
      <w:bookmarkEnd w:id="68"/>
    </w:p>
    <w:p w14:paraId="3733B347">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12</w:t>
      </w:r>
      <w:r>
        <w:rPr>
          <w:rFonts w:hint="eastAsia" w:ascii="宋体" w:hAnsi="宋体" w:eastAsia="宋体" w:cs="宋体"/>
          <w:b/>
          <w:bCs/>
          <w:color w:val="auto"/>
          <w:spacing w:val="2"/>
          <w:highlight w:val="none"/>
        </w:rPr>
        <w:t>.响应文件的语言</w:t>
      </w:r>
    </w:p>
    <w:p w14:paraId="7AC04DF9">
      <w:pPr>
        <w:keepNext w:val="0"/>
        <w:keepLines w:val="0"/>
        <w:pageBreakBefore w:val="0"/>
        <w:widowControl w:val="0"/>
        <w:kinsoku/>
        <w:wordWrap/>
        <w:overflowPunct/>
        <w:topLinePunct w:val="0"/>
        <w:autoSpaceDE/>
        <w:autoSpaceDN/>
        <w:bidi w:val="0"/>
        <w:adjustRightInd/>
        <w:snapToGrid/>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cs="宋体"/>
          <w:color w:val="auto"/>
          <w:spacing w:val="2"/>
          <w:highlight w:val="none"/>
          <w:lang w:val="en-US" w:eastAsia="zh-CN"/>
        </w:rPr>
        <w:t>12</w:t>
      </w:r>
      <w:r>
        <w:rPr>
          <w:rFonts w:hint="eastAsia" w:ascii="宋体" w:hAnsi="宋体" w:eastAsia="宋体" w:cs="宋体"/>
          <w:color w:val="auto"/>
          <w:spacing w:val="2"/>
          <w:highlight w:val="none"/>
        </w:rPr>
        <w:t>.1“</w:t>
      </w:r>
      <w:r>
        <w:rPr>
          <w:rFonts w:hint="eastAsia" w:ascii="宋体" w:hAnsi="宋体" w:eastAsia="宋体" w:cs="宋体"/>
          <w:color w:val="auto"/>
          <w:szCs w:val="21"/>
          <w:highlight w:val="none"/>
        </w:rPr>
        <w:t>响应文件”是指：</w:t>
      </w:r>
      <w:r>
        <w:rPr>
          <w:rFonts w:hint="eastAsia" w:ascii="宋体" w:hAnsi="宋体" w:cs="宋体"/>
          <w:color w:val="auto"/>
          <w:spacing w:val="-6"/>
          <w:szCs w:val="21"/>
          <w:highlight w:val="none"/>
        </w:rPr>
        <w:t>供应商根据本磋商文件要求，编制包含资格证明、报价</w:t>
      </w:r>
      <w:r>
        <w:rPr>
          <w:rFonts w:hint="eastAsia" w:ascii="宋体" w:hAnsi="宋体" w:cs="宋体"/>
          <w:color w:val="auto"/>
          <w:spacing w:val="-6"/>
          <w:szCs w:val="21"/>
          <w:highlight w:val="none"/>
          <w:lang w:eastAsia="zh-CN"/>
        </w:rPr>
        <w:t>、</w:t>
      </w:r>
      <w:r>
        <w:rPr>
          <w:rFonts w:hint="eastAsia" w:ascii="宋体" w:hAnsi="宋体" w:cs="宋体"/>
          <w:color w:val="auto"/>
          <w:spacing w:val="-6"/>
          <w:szCs w:val="21"/>
          <w:highlight w:val="none"/>
          <w:lang w:val="en-US" w:eastAsia="zh-CN"/>
        </w:rPr>
        <w:t>商务</w:t>
      </w:r>
      <w:r>
        <w:rPr>
          <w:rFonts w:hint="eastAsia" w:ascii="宋体" w:hAnsi="宋体" w:cs="宋体"/>
          <w:color w:val="auto"/>
          <w:spacing w:val="-6"/>
          <w:szCs w:val="21"/>
          <w:highlight w:val="none"/>
        </w:rPr>
        <w:t>技术等所有内容的文件。</w:t>
      </w:r>
    </w:p>
    <w:p w14:paraId="23CDC612">
      <w:pPr>
        <w:keepNext w:val="0"/>
        <w:keepLines w:val="0"/>
        <w:pageBreakBefore w:val="0"/>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zCs w:val="21"/>
          <w:highlight w:val="none"/>
        </w:rPr>
      </w:pPr>
      <w:r>
        <w:rPr>
          <w:rFonts w:hint="eastAsia" w:ascii="宋体" w:hAnsi="宋体" w:cs="宋体"/>
          <w:color w:val="auto"/>
          <w:spacing w:val="2"/>
          <w:highlight w:val="none"/>
          <w:lang w:val="en-US" w:eastAsia="zh-CN"/>
        </w:rPr>
        <w:t>12</w:t>
      </w:r>
      <w:r>
        <w:rPr>
          <w:rFonts w:hint="eastAsia" w:ascii="宋体" w:hAnsi="宋体" w:eastAsia="宋体" w:cs="宋体"/>
          <w:color w:val="auto"/>
          <w:spacing w:val="2"/>
          <w:highlight w:val="none"/>
        </w:rPr>
        <w:t>.2</w:t>
      </w:r>
      <w:r>
        <w:rPr>
          <w:rFonts w:hint="eastAsia" w:ascii="宋体" w:hAnsi="宋体" w:eastAsia="宋体" w:cs="宋体"/>
          <w:color w:val="auto"/>
          <w:spacing w:val="-2"/>
          <w:highlight w:val="none"/>
        </w:rPr>
        <w:t>响应文件及供应商与采购人之间往来的与</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有关的通知、函件和文件均应使用</w:t>
      </w:r>
      <w:r>
        <w:rPr>
          <w:rFonts w:hint="eastAsia" w:ascii="宋体" w:hAnsi="宋体" w:eastAsia="宋体" w:cs="宋体"/>
          <w:bCs/>
          <w:color w:val="auto"/>
          <w:spacing w:val="-2"/>
          <w:highlight w:val="none"/>
        </w:rPr>
        <w:t>中</w:t>
      </w:r>
      <w:r>
        <w:rPr>
          <w:rFonts w:hint="eastAsia" w:ascii="宋体" w:hAnsi="宋体" w:eastAsia="宋体" w:cs="宋体"/>
          <w:color w:val="auto"/>
          <w:spacing w:val="-2"/>
          <w:highlight w:val="none"/>
        </w:rPr>
        <w:t>文</w:t>
      </w:r>
      <w:r>
        <w:rPr>
          <w:rFonts w:hint="eastAsia" w:ascii="宋体" w:hAnsi="宋体" w:eastAsia="宋体" w:cs="宋体"/>
          <w:color w:val="auto"/>
          <w:szCs w:val="21"/>
          <w:highlight w:val="none"/>
        </w:rPr>
        <w:t>。</w:t>
      </w:r>
    </w:p>
    <w:p w14:paraId="0774FE1C">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3</w:t>
      </w:r>
      <w:r>
        <w:rPr>
          <w:rFonts w:hint="eastAsia" w:ascii="宋体" w:hAnsi="宋体" w:cs="宋体"/>
          <w:b/>
          <w:bCs/>
          <w:color w:val="auto"/>
          <w:spacing w:val="2"/>
          <w:highlight w:val="none"/>
          <w:lang w:eastAsia="zh-CN"/>
        </w:rPr>
        <w:t>竞标有效期</w:t>
      </w:r>
    </w:p>
    <w:p w14:paraId="5884D220">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r>
        <w:rPr>
          <w:rFonts w:hint="eastAsia" w:ascii="宋体" w:hAnsi="宋体" w:cs="宋体"/>
          <w:color w:val="auto"/>
          <w:spacing w:val="2"/>
          <w:highlight w:val="none"/>
          <w:lang w:val="en-US" w:eastAsia="zh-CN"/>
        </w:rPr>
        <w:t>3</w:t>
      </w:r>
      <w:r>
        <w:rPr>
          <w:rFonts w:hint="eastAsia" w:ascii="宋体" w:hAnsi="宋体" w:eastAsia="宋体" w:cs="宋体"/>
          <w:color w:val="auto"/>
          <w:spacing w:val="2"/>
          <w:highlight w:val="none"/>
        </w:rPr>
        <w:t xml:space="preserve">.1 </w:t>
      </w:r>
      <w:bookmarkStart w:id="69" w:name="OLE_LINK18"/>
      <w:r>
        <w:rPr>
          <w:rFonts w:hint="eastAsia" w:ascii="宋体" w:hAnsi="宋体" w:cs="宋体"/>
          <w:color w:val="auto"/>
          <w:spacing w:val="2"/>
          <w:highlight w:val="none"/>
          <w:lang w:eastAsia="zh-CN"/>
        </w:rPr>
        <w:t>竞标有效期</w:t>
      </w:r>
      <w:bookmarkEnd w:id="69"/>
      <w:r>
        <w:rPr>
          <w:rFonts w:hint="eastAsia" w:ascii="宋体" w:hAnsi="宋体" w:eastAsia="宋体" w:cs="宋体"/>
          <w:color w:val="auto"/>
          <w:spacing w:val="2"/>
          <w:highlight w:val="none"/>
        </w:rPr>
        <w:t>：自首次响应文件提交截止时间起至政府采购合同签订之日止。</w:t>
      </w:r>
    </w:p>
    <w:p w14:paraId="19333595">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r>
        <w:rPr>
          <w:rFonts w:hint="eastAsia" w:ascii="宋体" w:hAnsi="宋体" w:cs="宋体"/>
          <w:color w:val="auto"/>
          <w:spacing w:val="2"/>
          <w:highlight w:val="none"/>
          <w:lang w:val="en-US" w:eastAsia="zh-CN"/>
        </w:rPr>
        <w:t>3</w:t>
      </w:r>
      <w:r>
        <w:rPr>
          <w:rFonts w:hint="eastAsia" w:ascii="宋体" w:hAnsi="宋体" w:eastAsia="宋体" w:cs="宋体"/>
          <w:color w:val="auto"/>
          <w:spacing w:val="2"/>
          <w:highlight w:val="none"/>
        </w:rPr>
        <w:t>.2在原定</w:t>
      </w:r>
      <w:r>
        <w:rPr>
          <w:rFonts w:hint="eastAsia" w:ascii="宋体" w:hAnsi="宋体" w:cs="宋体"/>
          <w:color w:val="auto"/>
          <w:spacing w:val="2"/>
          <w:highlight w:val="none"/>
          <w:lang w:eastAsia="zh-CN"/>
        </w:rPr>
        <w:t>竞标有效期</w:t>
      </w:r>
      <w:r>
        <w:rPr>
          <w:rFonts w:hint="eastAsia" w:ascii="宋体" w:hAnsi="宋体" w:eastAsia="宋体" w:cs="宋体"/>
          <w:color w:val="auto"/>
          <w:spacing w:val="2"/>
          <w:highlight w:val="none"/>
        </w:rPr>
        <w:t>满之前，如果出现特殊情况，采购人可以书面形式向供应商提出延长</w:t>
      </w:r>
      <w:r>
        <w:rPr>
          <w:rFonts w:hint="eastAsia" w:ascii="宋体" w:hAnsi="宋体" w:cs="宋体"/>
          <w:color w:val="auto"/>
          <w:spacing w:val="2"/>
          <w:highlight w:val="none"/>
          <w:lang w:eastAsia="zh-CN"/>
        </w:rPr>
        <w:t>竞标有效期</w:t>
      </w:r>
      <w:r>
        <w:rPr>
          <w:rFonts w:hint="eastAsia" w:ascii="宋体" w:hAnsi="宋体" w:eastAsia="宋体" w:cs="宋体"/>
          <w:color w:val="auto"/>
          <w:spacing w:val="2"/>
          <w:highlight w:val="none"/>
        </w:rPr>
        <w:t>的要求。供应商须以书面形式予以答复。同意延长</w:t>
      </w:r>
      <w:r>
        <w:rPr>
          <w:rFonts w:hint="eastAsia" w:ascii="宋体" w:hAnsi="宋体" w:cs="宋体"/>
          <w:color w:val="auto"/>
          <w:spacing w:val="2"/>
          <w:highlight w:val="none"/>
          <w:lang w:eastAsia="zh-CN"/>
        </w:rPr>
        <w:t>竞标有效期</w:t>
      </w:r>
      <w:r>
        <w:rPr>
          <w:rFonts w:hint="eastAsia" w:ascii="宋体" w:hAnsi="宋体" w:eastAsia="宋体" w:cs="宋体"/>
          <w:color w:val="auto"/>
          <w:spacing w:val="2"/>
          <w:highlight w:val="none"/>
        </w:rPr>
        <w:t>的供应商不允许修改其响应文件，在延长期内本须知的规定仍然适用。</w:t>
      </w:r>
    </w:p>
    <w:p w14:paraId="4A4E6DA7">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4</w:t>
      </w:r>
      <w:r>
        <w:rPr>
          <w:rFonts w:hint="eastAsia" w:ascii="宋体" w:hAnsi="宋体" w:eastAsia="宋体" w:cs="宋体"/>
          <w:b/>
          <w:bCs/>
          <w:color w:val="auto"/>
          <w:spacing w:val="2"/>
          <w:highlight w:val="none"/>
        </w:rPr>
        <w:t>.</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保证金</w:t>
      </w:r>
    </w:p>
    <w:p w14:paraId="1CA9607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本项目不收取磋商保证金</w:t>
      </w:r>
      <w:r>
        <w:rPr>
          <w:rFonts w:hint="eastAsia" w:ascii="宋体" w:hAnsi="宋体" w:eastAsia="宋体" w:cs="宋体"/>
          <w:color w:val="auto"/>
          <w:sz w:val="21"/>
          <w:szCs w:val="21"/>
          <w:highlight w:val="none"/>
        </w:rPr>
        <w:t>。</w:t>
      </w:r>
    </w:p>
    <w:p w14:paraId="51EBF4DF">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5</w:t>
      </w:r>
      <w:r>
        <w:rPr>
          <w:rFonts w:hint="eastAsia" w:ascii="宋体" w:hAnsi="宋体" w:eastAsia="宋体" w:cs="宋体"/>
          <w:b/>
          <w:bCs/>
          <w:color w:val="auto"/>
          <w:spacing w:val="2"/>
          <w:highlight w:val="none"/>
        </w:rPr>
        <w:t>.踏勘现场和</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答疑</w:t>
      </w:r>
    </w:p>
    <w:p w14:paraId="680F9A0D">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w:t>
      </w:r>
      <w:r>
        <w:rPr>
          <w:rFonts w:hint="eastAsia" w:ascii="宋体" w:hAnsi="宋体" w:cs="宋体"/>
          <w:b w:val="0"/>
          <w:bCs w:val="0"/>
          <w:color w:val="auto"/>
          <w:spacing w:val="2"/>
          <w:highlight w:val="none"/>
          <w:lang w:val="en-US" w:eastAsia="zh-CN"/>
        </w:rPr>
        <w:t>5</w:t>
      </w:r>
      <w:r>
        <w:rPr>
          <w:rFonts w:hint="eastAsia" w:ascii="宋体" w:hAnsi="宋体" w:eastAsia="宋体" w:cs="宋体"/>
          <w:b w:val="0"/>
          <w:bCs w:val="0"/>
          <w:color w:val="auto"/>
          <w:spacing w:val="2"/>
          <w:highlight w:val="none"/>
        </w:rPr>
        <w:t>.1 采购人向供应商提供的有关施工现场的资料和数据，是采购人现有的能使供应商利用的资料。采购人对供应商由此而作出的推论、理解和结论概不负责。</w:t>
      </w:r>
    </w:p>
    <w:p w14:paraId="1E327DA1">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w:t>
      </w:r>
      <w:r>
        <w:rPr>
          <w:rFonts w:hint="eastAsia" w:ascii="宋体" w:hAnsi="宋体" w:cs="宋体"/>
          <w:b w:val="0"/>
          <w:bCs w:val="0"/>
          <w:color w:val="auto"/>
          <w:spacing w:val="2"/>
          <w:highlight w:val="none"/>
          <w:lang w:val="en-US" w:eastAsia="zh-CN"/>
        </w:rPr>
        <w:t>5</w:t>
      </w:r>
      <w:r>
        <w:rPr>
          <w:rFonts w:hint="eastAsia" w:ascii="宋体" w:hAnsi="宋体" w:eastAsia="宋体" w:cs="宋体"/>
          <w:b w:val="0"/>
          <w:bCs w:val="0"/>
          <w:color w:val="auto"/>
          <w:spacing w:val="2"/>
          <w:highlight w:val="none"/>
        </w:rPr>
        <w:t>.2 供应商提出的与</w:t>
      </w:r>
      <w:r>
        <w:rPr>
          <w:rFonts w:hint="eastAsia" w:ascii="宋体" w:hAnsi="宋体" w:eastAsia="宋体" w:cs="宋体"/>
          <w:b w:val="0"/>
          <w:bCs w:val="0"/>
          <w:color w:val="auto"/>
          <w:spacing w:val="2"/>
          <w:highlight w:val="none"/>
          <w:lang w:eastAsia="zh-CN"/>
        </w:rPr>
        <w:t>磋商</w:t>
      </w:r>
      <w:r>
        <w:rPr>
          <w:rFonts w:hint="eastAsia" w:ascii="宋体" w:hAnsi="宋体" w:eastAsia="宋体" w:cs="宋体"/>
          <w:b w:val="0"/>
          <w:bCs w:val="0"/>
          <w:color w:val="auto"/>
          <w:spacing w:val="2"/>
          <w:highlight w:val="none"/>
        </w:rPr>
        <w:t>有关的任何问题须在收到竞争性</w:t>
      </w:r>
      <w:r>
        <w:rPr>
          <w:rFonts w:hint="eastAsia" w:ascii="宋体" w:hAnsi="宋体" w:eastAsia="宋体" w:cs="宋体"/>
          <w:b w:val="0"/>
          <w:bCs w:val="0"/>
          <w:color w:val="auto"/>
          <w:spacing w:val="2"/>
          <w:highlight w:val="none"/>
          <w:lang w:eastAsia="zh-CN"/>
        </w:rPr>
        <w:t>磋商</w:t>
      </w:r>
      <w:r>
        <w:rPr>
          <w:rFonts w:hint="eastAsia" w:ascii="宋体" w:hAnsi="宋体" w:eastAsia="宋体" w:cs="宋体"/>
          <w:b w:val="0"/>
          <w:bCs w:val="0"/>
          <w:color w:val="auto"/>
          <w:spacing w:val="2"/>
          <w:highlight w:val="none"/>
        </w:rPr>
        <w:t>文件和工程量清单及相关资料后2天内，以书面形式送达采购代理机构，采购代理机构将通过“补遗文件”的形式予以答复。</w:t>
      </w:r>
    </w:p>
    <w:p w14:paraId="5B248C6B">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w:t>
      </w:r>
      <w:r>
        <w:rPr>
          <w:rFonts w:hint="eastAsia" w:ascii="宋体" w:hAnsi="宋体" w:cs="宋体"/>
          <w:b w:val="0"/>
          <w:bCs w:val="0"/>
          <w:color w:val="auto"/>
          <w:spacing w:val="2"/>
          <w:highlight w:val="none"/>
          <w:lang w:val="en-US" w:eastAsia="zh-CN"/>
        </w:rPr>
        <w:t>5</w:t>
      </w:r>
      <w:r>
        <w:rPr>
          <w:rFonts w:hint="eastAsia" w:ascii="宋体" w:hAnsi="宋体" w:eastAsia="宋体" w:cs="宋体"/>
          <w:b w:val="0"/>
          <w:bCs w:val="0"/>
          <w:color w:val="auto"/>
          <w:spacing w:val="2"/>
          <w:highlight w:val="none"/>
        </w:rPr>
        <w:t>.3 采购补遗文件包括所有问题和答复，将迅速提供给所有获得竞争性</w:t>
      </w:r>
      <w:r>
        <w:rPr>
          <w:rFonts w:hint="eastAsia" w:ascii="宋体" w:hAnsi="宋体" w:eastAsia="宋体" w:cs="宋体"/>
          <w:b w:val="0"/>
          <w:bCs w:val="0"/>
          <w:color w:val="auto"/>
          <w:spacing w:val="2"/>
          <w:highlight w:val="none"/>
          <w:lang w:eastAsia="zh-CN"/>
        </w:rPr>
        <w:t>磋商</w:t>
      </w:r>
      <w:r>
        <w:rPr>
          <w:rFonts w:hint="eastAsia" w:ascii="宋体" w:hAnsi="宋体" w:eastAsia="宋体" w:cs="宋体"/>
          <w:b w:val="0"/>
          <w:bCs w:val="0"/>
          <w:color w:val="auto"/>
          <w:spacing w:val="2"/>
          <w:highlight w:val="none"/>
        </w:rPr>
        <w:t>文件的供应商。供应商须在前附表所列的时间和地点领取采购补遗文件。</w:t>
      </w:r>
    </w:p>
    <w:p w14:paraId="2A672E0C">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6</w:t>
      </w:r>
      <w:r>
        <w:rPr>
          <w:rFonts w:hint="eastAsia" w:ascii="宋体" w:hAnsi="宋体" w:eastAsia="宋体" w:cs="宋体"/>
          <w:b/>
          <w:bCs/>
          <w:color w:val="auto"/>
          <w:spacing w:val="2"/>
          <w:highlight w:val="none"/>
        </w:rPr>
        <w:t>.</w:t>
      </w:r>
      <w:r>
        <w:rPr>
          <w:rFonts w:hint="eastAsia" w:ascii="宋体" w:hAnsi="宋体" w:eastAsia="宋体" w:cs="宋体"/>
          <w:b/>
          <w:bCs/>
          <w:color w:val="auto"/>
          <w:spacing w:val="2"/>
          <w:highlight w:val="none"/>
          <w:lang w:val="en-US" w:eastAsia="zh-CN"/>
        </w:rPr>
        <w:t>电子</w:t>
      </w:r>
      <w:r>
        <w:rPr>
          <w:rFonts w:hint="eastAsia" w:ascii="宋体" w:hAnsi="宋体" w:eastAsia="宋体" w:cs="宋体"/>
          <w:b/>
          <w:bCs/>
          <w:color w:val="auto"/>
          <w:spacing w:val="2"/>
          <w:highlight w:val="none"/>
        </w:rPr>
        <w:t>响应文件编制的要求</w:t>
      </w:r>
    </w:p>
    <w:p w14:paraId="0331757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648F64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.2本磋商只接受电子版响应文件，要求见本章“</w:t>
      </w:r>
      <w:r>
        <w:rPr>
          <w:rFonts w:hint="eastAsia" w:ascii="宋体" w:hAnsi="宋体" w:eastAsia="宋体" w:cs="宋体"/>
          <w:color w:val="auto"/>
          <w:szCs w:val="21"/>
          <w:highlight w:val="none"/>
          <w:lang w:val="en-US" w:eastAsia="zh-CN"/>
        </w:rPr>
        <w:t>9.1</w:t>
      </w:r>
      <w:r>
        <w:rPr>
          <w:rFonts w:hint="eastAsia" w:ascii="宋体" w:hAnsi="宋体" w:eastAsia="宋体" w:cs="宋体"/>
          <w:color w:val="auto"/>
          <w:szCs w:val="21"/>
          <w:highlight w:val="none"/>
        </w:rPr>
        <w:t>响应文件电子版要求”。</w:t>
      </w:r>
    </w:p>
    <w:p w14:paraId="4E0AB07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bookmarkStart w:id="70" w:name="_Hlk65832699"/>
      <w:r>
        <w:rPr>
          <w:rFonts w:hint="eastAsia" w:ascii="宋体" w:hAnsi="宋体" w:eastAsia="宋体" w:cs="宋体"/>
          <w:color w:val="auto"/>
          <w:szCs w:val="21"/>
          <w:highlight w:val="none"/>
        </w:rPr>
        <w:t>3响应文件须由供应商</w:t>
      </w:r>
      <w:r>
        <w:rPr>
          <w:rFonts w:hint="eastAsia" w:ascii="宋体" w:hAnsi="宋体" w:eastAsia="宋体" w:cs="宋体"/>
          <w:color w:val="auto"/>
          <w:szCs w:val="21"/>
          <w:highlight w:val="none"/>
          <w:lang w:eastAsia="zh-CN"/>
        </w:rPr>
        <w:t>按</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进行签署、盖章</w:t>
      </w:r>
      <w:bookmarkEnd w:id="70"/>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否则其响应文件按无效响应处理</w:t>
      </w:r>
      <w:r>
        <w:rPr>
          <w:rFonts w:hint="eastAsia" w:ascii="宋体" w:hAnsi="宋体" w:eastAsia="宋体" w:cs="宋体"/>
          <w:color w:val="auto"/>
          <w:szCs w:val="21"/>
          <w:highlight w:val="none"/>
        </w:rPr>
        <w:t>。</w:t>
      </w:r>
    </w:p>
    <w:p w14:paraId="745BFD3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.4响应文件中标注的供应商名称应与营业执照（事业单位法人证书、执业许可证、自然人身份证）及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公章一致，</w:t>
      </w:r>
      <w:r>
        <w:rPr>
          <w:rFonts w:hint="eastAsia" w:ascii="宋体" w:hAnsi="宋体" w:eastAsia="宋体" w:cs="宋体"/>
          <w:b/>
          <w:bCs/>
          <w:color w:val="auto"/>
          <w:szCs w:val="21"/>
          <w:highlight w:val="none"/>
        </w:rPr>
        <w:t>否则其响应文件按无效响应处理。</w:t>
      </w:r>
    </w:p>
    <w:p w14:paraId="2642CCCE">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pacing w:val="2"/>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.5响应文件应避免涂改、行间插字或者删除</w:t>
      </w:r>
      <w:r>
        <w:rPr>
          <w:rFonts w:hint="eastAsia" w:ascii="宋体" w:hAnsi="宋体" w:eastAsia="宋体" w:cs="宋体"/>
          <w:b w:val="0"/>
          <w:bCs w:val="0"/>
          <w:color w:val="auto"/>
          <w:spacing w:val="2"/>
          <w:highlight w:val="none"/>
        </w:rPr>
        <w:t>。</w:t>
      </w:r>
    </w:p>
    <w:p w14:paraId="79D209F9">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bookmarkStart w:id="71" w:name="_Toc424307749"/>
      <w:bookmarkStart w:id="72" w:name="_Toc424307482"/>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7</w:t>
      </w:r>
      <w:r>
        <w:rPr>
          <w:rFonts w:hint="eastAsia" w:ascii="宋体" w:hAnsi="宋体" w:eastAsia="宋体" w:cs="宋体"/>
          <w:b/>
          <w:bCs/>
          <w:color w:val="auto"/>
          <w:spacing w:val="2"/>
          <w:highlight w:val="none"/>
        </w:rPr>
        <w:t>.响应文件的</w:t>
      </w:r>
      <w:r>
        <w:rPr>
          <w:rFonts w:hint="eastAsia" w:ascii="宋体" w:hAnsi="宋体" w:cs="宋体"/>
          <w:b/>
          <w:bCs/>
          <w:color w:val="auto"/>
          <w:spacing w:val="2"/>
          <w:highlight w:val="none"/>
          <w:lang w:val="en-US" w:eastAsia="zh-CN"/>
        </w:rPr>
        <w:t>加密</w:t>
      </w:r>
      <w:r>
        <w:rPr>
          <w:rFonts w:hint="eastAsia" w:ascii="宋体" w:hAnsi="宋体" w:eastAsia="宋体" w:cs="宋体"/>
          <w:b/>
          <w:bCs/>
          <w:color w:val="auto"/>
          <w:spacing w:val="2"/>
          <w:highlight w:val="none"/>
        </w:rPr>
        <w:t>和标记</w:t>
      </w:r>
    </w:p>
    <w:p w14:paraId="2F19533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val="zh-CN"/>
        </w:rPr>
        <w:t>.1供应商进行电子交易应安装客户端软件—“</w:t>
      </w:r>
      <w:r>
        <w:rPr>
          <w:rFonts w:hint="eastAsia" w:ascii="宋体" w:hAnsi="宋体" w:cs="宋体"/>
          <w:color w:val="auto"/>
          <w:kern w:val="0"/>
          <w:szCs w:val="21"/>
          <w:highlight w:val="none"/>
          <w:lang w:val="zh-CN"/>
        </w:rPr>
        <w:t>广西政府采购云平台新版客户端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0E67159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val="zh-CN"/>
        </w:rPr>
        <w:t>.2使用“</w:t>
      </w:r>
      <w:r>
        <w:rPr>
          <w:rFonts w:hint="eastAsia" w:ascii="宋体" w:hAnsi="宋体" w:cs="宋体"/>
          <w:color w:val="auto"/>
          <w:kern w:val="0"/>
          <w:szCs w:val="21"/>
          <w:highlight w:val="none"/>
          <w:lang w:val="zh-CN"/>
        </w:rPr>
        <w:t>广西政府采购云平台新版客户端</w:t>
      </w:r>
      <w:r>
        <w:rPr>
          <w:rFonts w:hint="eastAsia" w:ascii="宋体" w:hAnsi="宋体" w:eastAsia="宋体" w:cs="宋体"/>
          <w:color w:val="auto"/>
          <w:kern w:val="0"/>
          <w:szCs w:val="21"/>
          <w:highlight w:val="none"/>
          <w:lang w:val="zh-CN"/>
        </w:rPr>
        <w:t>”需要提前申领CA数字证书。</w:t>
      </w:r>
    </w:p>
    <w:p w14:paraId="55CC601D">
      <w:pPr>
        <w:pStyle w:val="1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Ansi="宋体" w:cs="仿宋_GB2312"/>
          <w:color w:val="auto"/>
          <w:sz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.3为确保网上操作合法、有效和安全，供应商应当在响应文件提交截止时间前完成在“</w:t>
      </w:r>
      <w:r>
        <w:rPr>
          <w:rFonts w:hint="eastAsia"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”的身份认证，确保在电子交易过程中能够对相关数据电文进行加密和使用电子签名</w:t>
      </w:r>
      <w:r>
        <w:rPr>
          <w:rFonts w:hint="eastAsia" w:hAnsi="宋体" w:cs="仿宋_GB2312"/>
          <w:color w:val="auto"/>
          <w:sz w:val="21"/>
          <w:highlight w:val="none"/>
        </w:rPr>
        <w:t>。</w:t>
      </w:r>
    </w:p>
    <w:bookmarkEnd w:id="71"/>
    <w:bookmarkEnd w:id="72"/>
    <w:p w14:paraId="6930B303">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val="en-US" w:eastAsia="zh-CN"/>
        </w:rPr>
        <w:t>1</w:t>
      </w:r>
      <w:r>
        <w:rPr>
          <w:rFonts w:hint="eastAsia" w:ascii="宋体" w:hAnsi="宋体" w:cs="宋体"/>
          <w:b/>
          <w:bCs/>
          <w:color w:val="auto"/>
          <w:spacing w:val="2"/>
          <w:highlight w:val="none"/>
          <w:lang w:val="en-US" w:eastAsia="zh-CN"/>
        </w:rPr>
        <w:t>8</w:t>
      </w:r>
      <w:r>
        <w:rPr>
          <w:rFonts w:hint="eastAsia" w:ascii="宋体" w:hAnsi="宋体" w:eastAsia="宋体" w:cs="宋体"/>
          <w:b/>
          <w:bCs/>
          <w:color w:val="auto"/>
          <w:spacing w:val="2"/>
          <w:highlight w:val="none"/>
        </w:rPr>
        <w:t>.响应文件的提交</w:t>
      </w:r>
    </w:p>
    <w:p w14:paraId="61825B86">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.1供应商必须在“供应商须知前附表”规定的时间和地点提交响应文件。</w:t>
      </w:r>
    </w:p>
    <w:p w14:paraId="4BA9C359">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.2 在响应文件提交截止时间以后，不能补充、修改响应文件。</w:t>
      </w:r>
    </w:p>
    <w:p w14:paraId="5C612C8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D7262D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0D15B10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.5 采购机构不可视情况延长提交响应文件的截止时间。</w:t>
      </w:r>
    </w:p>
    <w:p w14:paraId="61858E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.6备份响应文件。</w:t>
      </w:r>
      <w:r>
        <w:rPr>
          <w:rFonts w:hint="eastAsia" w:ascii="宋体" w:hAnsi="宋体" w:eastAsia="宋体" w:cs="宋体"/>
          <w:bCs/>
          <w:color w:val="auto"/>
          <w:szCs w:val="21"/>
          <w:highlight w:val="none"/>
        </w:rPr>
        <w:t>详见“供应商须知前附表”。</w:t>
      </w:r>
    </w:p>
    <w:p w14:paraId="308EAD52">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val="en-US" w:eastAsia="zh-CN"/>
        </w:rPr>
        <w:t>19.</w:t>
      </w:r>
      <w:r>
        <w:rPr>
          <w:rFonts w:hint="eastAsia" w:ascii="宋体" w:hAnsi="宋体" w:eastAsia="宋体" w:cs="宋体"/>
          <w:b/>
          <w:bCs/>
          <w:color w:val="auto"/>
          <w:spacing w:val="2"/>
          <w:highlight w:val="none"/>
        </w:rPr>
        <w:t xml:space="preserve"> 首次响应文件的补充、修改与撤回</w:t>
      </w:r>
    </w:p>
    <w:p w14:paraId="32AAB4A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highlight w:val="none"/>
        </w:rPr>
      </w:pPr>
      <w:r>
        <w:rPr>
          <w:rFonts w:hint="eastAsia" w:cs="宋体"/>
          <w:color w:val="auto"/>
          <w:szCs w:val="21"/>
          <w:highlight w:val="none"/>
        </w:rPr>
        <w:t>详见</w:t>
      </w:r>
      <w:r>
        <w:rPr>
          <w:rFonts w:hint="eastAsia" w:cs="宋体"/>
          <w:color w:val="auto"/>
          <w:szCs w:val="21"/>
          <w:highlight w:val="none"/>
          <w:lang w:val="en-US" w:eastAsia="zh-CN"/>
        </w:rPr>
        <w:t>竞争性磋商公告</w:t>
      </w:r>
      <w:r>
        <w:rPr>
          <w:rFonts w:hint="eastAsia" w:cs="宋体"/>
          <w:color w:val="auto"/>
          <w:szCs w:val="21"/>
          <w:highlight w:val="none"/>
        </w:rPr>
        <w:t>。</w:t>
      </w:r>
    </w:p>
    <w:p w14:paraId="2C9D931E">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2</w:t>
      </w:r>
      <w:r>
        <w:rPr>
          <w:rFonts w:hint="eastAsia" w:ascii="宋体" w:hAnsi="宋体" w:cs="宋体"/>
          <w:b/>
          <w:bCs/>
          <w:color w:val="auto"/>
          <w:spacing w:val="2"/>
          <w:highlight w:val="none"/>
          <w:lang w:val="en-US" w:eastAsia="zh-CN"/>
        </w:rPr>
        <w:t>0</w:t>
      </w:r>
      <w:r>
        <w:rPr>
          <w:rFonts w:hint="eastAsia" w:ascii="宋体" w:hAnsi="宋体" w:eastAsia="宋体" w:cs="宋体"/>
          <w:b/>
          <w:bCs/>
          <w:color w:val="auto"/>
          <w:spacing w:val="2"/>
          <w:highlight w:val="none"/>
        </w:rPr>
        <w:t>. 截止时间后的撤回</w:t>
      </w:r>
    </w:p>
    <w:p w14:paraId="073A73E5">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cs="宋体"/>
          <w:b w:val="0"/>
          <w:bCs w:val="0"/>
          <w:color w:val="auto"/>
          <w:spacing w:val="2"/>
          <w:highlight w:val="none"/>
          <w:lang w:val="en-US" w:eastAsia="zh-CN"/>
        </w:rPr>
      </w:pPr>
      <w:r>
        <w:rPr>
          <w:rFonts w:hint="eastAsia" w:ascii="宋体" w:hAnsi="宋体" w:cs="宋体"/>
          <w:b w:val="0"/>
          <w:bCs w:val="0"/>
          <w:color w:val="auto"/>
          <w:spacing w:val="2"/>
          <w:highlight w:val="none"/>
          <w:lang w:val="en-US" w:eastAsia="zh-CN"/>
        </w:rPr>
        <w:t>供应商在首次响应文件提交截止时间后向采购人、采购代理机构书面申请撤回电子响应文件的，将不予退还其磋商保证金（如有）。</w:t>
      </w:r>
    </w:p>
    <w:p w14:paraId="17D34360">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六</w:t>
      </w:r>
      <w:r>
        <w:rPr>
          <w:rFonts w:hint="eastAsia" w:ascii="宋体" w:hAnsi="宋体" w:eastAsia="宋体" w:cs="宋体"/>
          <w:b/>
          <w:bCs/>
          <w:color w:val="auto"/>
          <w:spacing w:val="2"/>
          <w:highlight w:val="none"/>
          <w:lang w:eastAsia="zh-CN"/>
        </w:rPr>
        <w:t>、磋商</w:t>
      </w:r>
    </w:p>
    <w:p w14:paraId="0FD7F20A">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21</w:t>
      </w:r>
      <w:r>
        <w:rPr>
          <w:rFonts w:hint="eastAsia" w:ascii="宋体" w:hAnsi="宋体" w:eastAsia="宋体" w:cs="宋体"/>
          <w:b/>
          <w:bCs/>
          <w:color w:val="auto"/>
          <w:spacing w:val="2"/>
          <w:highlight w:val="none"/>
        </w:rPr>
        <w:t>.磋商小组成立</w:t>
      </w:r>
    </w:p>
    <w:p w14:paraId="6FCEDC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.1磋商小组由采购人代表和评审专家共3人</w:t>
      </w:r>
      <w:r>
        <w:rPr>
          <w:rFonts w:hint="eastAsia"/>
          <w:color w:val="auto"/>
          <w:lang w:val="en-US" w:eastAsia="zh-CN"/>
        </w:rPr>
        <w:t>及</w:t>
      </w:r>
      <w:r>
        <w:rPr>
          <w:rFonts w:hint="eastAsia" w:ascii="宋体" w:hAnsi="宋体" w:cs="宋体"/>
          <w:color w:val="auto"/>
          <w:szCs w:val="21"/>
          <w:highlight w:val="none"/>
        </w:rPr>
        <w:t>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41E64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379339E">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22</w:t>
      </w:r>
      <w:r>
        <w:rPr>
          <w:rFonts w:hint="eastAsia" w:ascii="宋体" w:hAnsi="宋体" w:eastAsia="宋体" w:cs="宋体"/>
          <w:b/>
          <w:bCs/>
          <w:color w:val="auto"/>
          <w:spacing w:val="2"/>
          <w:highlight w:val="none"/>
        </w:rPr>
        <w:t>.首次响应文件的开启</w:t>
      </w:r>
    </w:p>
    <w:p w14:paraId="0DC1B4F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.1首次响应文件由磋商小组或者采购代理机构在“供应商须知前附表”规定的时间开启。</w:t>
      </w:r>
    </w:p>
    <w:p w14:paraId="5112053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bCs/>
          <w:color w:val="auto"/>
          <w:kern w:val="0"/>
          <w:szCs w:val="21"/>
          <w:highlight w:val="none"/>
        </w:rPr>
        <w:t>响应文件解密</w:t>
      </w:r>
    </w:p>
    <w:p w14:paraId="41B9AE25">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val="en-US" w:eastAsia="zh-CN"/>
        </w:rPr>
        <w:t>广西政府采购云平台</w:t>
      </w:r>
      <w:r>
        <w:rPr>
          <w:rFonts w:hint="eastAsia" w:ascii="宋体" w:hAnsi="宋体" w:eastAsia="宋体" w:cs="宋体"/>
          <w:b/>
          <w:color w:val="auto"/>
          <w:kern w:val="0"/>
          <w:szCs w:val="21"/>
          <w:highlight w:val="none"/>
        </w:rPr>
        <w:t>”电子开标大厅签到并在规定的时间内完成对电子响应文件在线解密</w:t>
      </w:r>
      <w:r>
        <w:rPr>
          <w:rFonts w:hint="eastAsia" w:ascii="宋体" w:hAnsi="宋体" w:eastAsia="宋体" w:cs="宋体"/>
          <w:color w:val="auto"/>
          <w:kern w:val="0"/>
          <w:szCs w:val="21"/>
          <w:highlight w:val="none"/>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文件未按时解密的</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电子交易活动的中止。）</w:t>
      </w:r>
    </w:p>
    <w:p w14:paraId="260C644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rPr>
        <w:t>”电子开标大厅参加</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的，视同认可</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过程和结果，</w:t>
      </w:r>
      <w:r>
        <w:rPr>
          <w:rFonts w:hint="eastAsia" w:ascii="宋体" w:hAnsi="宋体" w:eastAsia="宋体" w:cs="宋体"/>
          <w:color w:val="auto"/>
          <w:kern w:val="0"/>
          <w:szCs w:val="21"/>
          <w:highlight w:val="none"/>
        </w:rPr>
        <w:t>由此产生的后果由供应商自行负责。 参与</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的供应商不足3家的，不得</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w:t>
      </w:r>
    </w:p>
    <w:p w14:paraId="04AFBDD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23</w:t>
      </w:r>
      <w:r>
        <w:rPr>
          <w:rFonts w:hint="eastAsia" w:ascii="黑体" w:hAnsi="黑体" w:eastAsia="黑体" w:cs="宋体"/>
          <w:b/>
          <w:bCs/>
          <w:color w:val="auto"/>
          <w:sz w:val="24"/>
          <w:highlight w:val="none"/>
        </w:rPr>
        <w:t>.评审程序、评审方法和评审标准</w:t>
      </w:r>
    </w:p>
    <w:p w14:paraId="27B974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.1磋商小组按照“第</w:t>
      </w:r>
      <w:r>
        <w:rPr>
          <w:rFonts w:hint="eastAsia" w:ascii="宋体" w:hAnsi="宋体" w:eastAsia="宋体" w:cs="宋体"/>
          <w:bCs/>
          <w:color w:val="auto"/>
          <w:kern w:val="0"/>
          <w:szCs w:val="21"/>
          <w:highlight w:val="none"/>
          <w:lang w:val="en-US" w:eastAsia="zh-CN"/>
        </w:rPr>
        <w:t>八</w:t>
      </w:r>
      <w:r>
        <w:rPr>
          <w:rFonts w:hint="eastAsia" w:ascii="宋体" w:hAnsi="宋体" w:eastAsia="宋体" w:cs="宋体"/>
          <w:bCs/>
          <w:color w:val="auto"/>
          <w:kern w:val="0"/>
          <w:szCs w:val="21"/>
          <w:highlight w:val="none"/>
        </w:rPr>
        <w:t>章 评</w:t>
      </w:r>
      <w:r>
        <w:rPr>
          <w:rFonts w:hint="eastAsia" w:ascii="宋体" w:hAnsi="宋体" w:eastAsia="宋体" w:cs="宋体"/>
          <w:bCs/>
          <w:color w:val="auto"/>
          <w:kern w:val="0"/>
          <w:szCs w:val="21"/>
          <w:highlight w:val="none"/>
          <w:lang w:val="en-US" w:eastAsia="zh-CN"/>
        </w:rPr>
        <w:t>定</w:t>
      </w:r>
      <w:r>
        <w:rPr>
          <w:rFonts w:hint="eastAsia" w:ascii="宋体" w:hAnsi="宋体" w:eastAsia="宋体" w:cs="宋体"/>
          <w:bCs/>
          <w:color w:val="auto"/>
          <w:kern w:val="0"/>
          <w:szCs w:val="21"/>
          <w:highlight w:val="none"/>
        </w:rPr>
        <w:t>标准”规定的方法、评审因素、标准和程序对响应文件进行评审。</w:t>
      </w:r>
    </w:p>
    <w:p w14:paraId="7F455D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.2磋商文件内容违反国家有关强制性规定的，磋商小组应当停止评审并向采购人或者采购代理机构说明情况，并在评审报告中书面体现。</w:t>
      </w:r>
    </w:p>
    <w:p w14:paraId="19DCB5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磋商顺序详见“供应商须知前附表”。</w:t>
      </w:r>
    </w:p>
    <w:p w14:paraId="7E972B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电子交易活动的中止。采购过程中出现以下情形，导致电子交易平台无法正常运行，或者无法保证电子交易的公平、公正和安全时，采购机构可中止电子交易活动：</w:t>
      </w:r>
    </w:p>
    <w:p w14:paraId="7008559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（1）电子交易平台发生故障而无法登录访问的； </w:t>
      </w:r>
    </w:p>
    <w:p w14:paraId="60D92F3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（2）电子交易平台应用或数据库出现错误，不能进行正常操作的；</w:t>
      </w:r>
    </w:p>
    <w:p w14:paraId="13CB55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（3）电子交易平台发现严重安全漏洞，有潜在泄密危险的；</w:t>
      </w:r>
    </w:p>
    <w:p w14:paraId="34D1F1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（4）病毒发作导致不能进行正常操作的； </w:t>
      </w:r>
    </w:p>
    <w:p w14:paraId="5899B0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）其他无法保证电子交易的公平、公正和安全的情况。</w:t>
      </w:r>
    </w:p>
    <w:p w14:paraId="6FCDF4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1899F35">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val="0"/>
          <w:color w:val="auto"/>
          <w:spacing w:val="2"/>
          <w:highlight w:val="none"/>
        </w:rPr>
      </w:pPr>
      <w:r>
        <w:rPr>
          <w:rFonts w:hint="eastAsia" w:ascii="宋体" w:hAnsi="宋体" w:cs="宋体"/>
          <w:b/>
          <w:bCs w:val="0"/>
          <w:color w:val="auto"/>
          <w:spacing w:val="2"/>
          <w:highlight w:val="none"/>
          <w:lang w:val="en-US" w:eastAsia="zh-CN"/>
        </w:rPr>
        <w:t>七</w:t>
      </w:r>
      <w:r>
        <w:rPr>
          <w:rFonts w:hint="eastAsia" w:ascii="宋体" w:hAnsi="宋体" w:eastAsia="宋体" w:cs="宋体"/>
          <w:b/>
          <w:bCs w:val="0"/>
          <w:color w:val="auto"/>
          <w:spacing w:val="2"/>
          <w:highlight w:val="none"/>
          <w:lang w:eastAsia="zh-CN"/>
        </w:rPr>
        <w:t>、</w:t>
      </w:r>
      <w:r>
        <w:rPr>
          <w:rFonts w:hint="eastAsia" w:ascii="宋体" w:hAnsi="宋体" w:cs="宋体"/>
          <w:b/>
          <w:bCs w:val="0"/>
          <w:color w:val="auto"/>
          <w:spacing w:val="2"/>
          <w:highlight w:val="none"/>
          <w:lang w:val="en-US" w:eastAsia="zh-CN"/>
        </w:rPr>
        <w:t>特别说明</w:t>
      </w:r>
    </w:p>
    <w:p w14:paraId="5BAC3A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olor w:val="auto"/>
          <w:szCs w:val="21"/>
          <w:highlight w:val="none"/>
        </w:rPr>
        <w:t>如果本磋商文件要求供应商提供资格、信誉、荣誉、业绩与企业认证等材料的，则供应商所提供的以上材料必须为</w:t>
      </w:r>
      <w:r>
        <w:rPr>
          <w:rFonts w:hint="eastAsia" w:ascii="宋体" w:hAnsi="宋体"/>
          <w:color w:val="auto"/>
          <w:szCs w:val="21"/>
          <w:highlight w:val="none"/>
          <w:lang w:val="en-US" w:eastAsia="zh-CN"/>
        </w:rPr>
        <w:t>该</w:t>
      </w:r>
      <w:r>
        <w:rPr>
          <w:rFonts w:hint="eastAsia" w:ascii="宋体" w:hAnsi="宋体"/>
          <w:color w:val="auto"/>
          <w:szCs w:val="21"/>
          <w:highlight w:val="none"/>
        </w:rPr>
        <w:t>供应商所拥有</w:t>
      </w:r>
      <w:r>
        <w:rPr>
          <w:rFonts w:hint="eastAsia" w:ascii="宋体" w:hAnsi="宋体" w:cs="宋体"/>
          <w:color w:val="auto"/>
          <w:szCs w:val="21"/>
          <w:highlight w:val="none"/>
        </w:rPr>
        <w:t>。</w:t>
      </w:r>
    </w:p>
    <w:p w14:paraId="04923A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5ED7A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B44E3C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24</w:t>
      </w:r>
      <w:r>
        <w:rPr>
          <w:rFonts w:hint="eastAsia" w:ascii="宋体" w:hAnsi="宋体" w:cs="宋体"/>
          <w:b/>
          <w:bCs/>
          <w:color w:val="auto"/>
          <w:szCs w:val="21"/>
          <w:highlight w:val="none"/>
        </w:rPr>
        <w:t>.</w:t>
      </w:r>
      <w:r>
        <w:rPr>
          <w:rFonts w:ascii="宋体" w:hAnsi="宋体" w:cs="宋体"/>
          <w:b/>
          <w:bCs/>
          <w:color w:val="auto"/>
          <w:szCs w:val="21"/>
          <w:highlight w:val="none"/>
        </w:rPr>
        <w:t>4</w:t>
      </w:r>
      <w:r>
        <w:rPr>
          <w:rFonts w:hint="eastAsia" w:ascii="宋体" w:hAnsi="宋体" w:cs="宋体"/>
          <w:b/>
          <w:bCs/>
          <w:color w:val="auto"/>
          <w:szCs w:val="21"/>
          <w:highlight w:val="none"/>
        </w:rPr>
        <w:t>在政府采购活动中，采购人员及相关人员与供应商有下列利害关系之一的，应当回避：</w:t>
      </w:r>
    </w:p>
    <w:p w14:paraId="1BCADE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A4197C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5A2BB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0E31A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A1DDD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（5）与供应商有</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可能影响政府采购活动公平、公正进行的关系。</w:t>
      </w:r>
    </w:p>
    <w:p w14:paraId="1C3013C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供应商有利害关系的，可以向采购人或者采购代理机构书面提出回避申请，并说明理由。采购人或者采购代理机构应当及时询问被申请回避人员，有利害关系的被申请回避人员应当回避。</w:t>
      </w:r>
    </w:p>
    <w:p w14:paraId="34411B1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24</w:t>
      </w:r>
      <w:r>
        <w:rPr>
          <w:rFonts w:hint="eastAsia" w:ascii="宋体" w:hAnsi="宋体" w:cs="宋体"/>
          <w:b/>
          <w:bCs/>
          <w:color w:val="auto"/>
          <w:szCs w:val="21"/>
          <w:highlight w:val="none"/>
        </w:rPr>
        <w:t>.</w:t>
      </w:r>
      <w:r>
        <w:rPr>
          <w:rFonts w:ascii="宋体" w:hAnsi="宋体" w:cs="宋体"/>
          <w:b/>
          <w:bCs/>
          <w:color w:val="auto"/>
          <w:szCs w:val="21"/>
          <w:highlight w:val="none"/>
        </w:rPr>
        <w:t>5</w:t>
      </w:r>
      <w:r>
        <w:rPr>
          <w:rFonts w:hint="eastAsia" w:ascii="宋体" w:hAnsi="宋体" w:cs="宋体"/>
          <w:b/>
          <w:bCs/>
          <w:color w:val="auto"/>
          <w:szCs w:val="21"/>
          <w:highlight w:val="none"/>
        </w:rPr>
        <w:t>有下列情形之一的视为供应商相互串通竞标，响应文件将被视为无效：</w:t>
      </w:r>
    </w:p>
    <w:p w14:paraId="7874CE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（1）不同供应商的响应文件由同一单位或者个人编制；或者不同供应商报名的IP地址一致的；</w:t>
      </w:r>
    </w:p>
    <w:p w14:paraId="314A15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241EF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w:t>
      </w:r>
      <w:r>
        <w:rPr>
          <w:rFonts w:hint="eastAsia" w:ascii="宋体" w:hAnsi="宋体" w:eastAsia="宋体" w:cs="宋体"/>
          <w:color w:val="auto"/>
          <w:szCs w:val="21"/>
          <w:highlight w:val="none"/>
          <w:lang w:eastAsia="zh-CN"/>
        </w:rPr>
        <w:t>或者联系人员</w:t>
      </w:r>
      <w:r>
        <w:rPr>
          <w:rFonts w:hint="eastAsia" w:ascii="宋体" w:hAnsi="宋体" w:eastAsia="宋体" w:cs="宋体"/>
          <w:color w:val="auto"/>
          <w:szCs w:val="21"/>
          <w:highlight w:val="none"/>
        </w:rPr>
        <w:t>为同一个人；</w:t>
      </w:r>
    </w:p>
    <w:p w14:paraId="3F202A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78BC9F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（5）不同供应商的电子资料相互</w:t>
      </w:r>
      <w:r>
        <w:rPr>
          <w:rFonts w:hint="eastAsia" w:ascii="宋体" w:hAnsi="宋体" w:eastAsia="宋体" w:cs="宋体"/>
          <w:color w:val="auto"/>
          <w:szCs w:val="21"/>
          <w:highlight w:val="none"/>
          <w:lang w:eastAsia="zh-CN"/>
        </w:rPr>
        <w:t>混淆</w:t>
      </w:r>
      <w:r>
        <w:rPr>
          <w:rFonts w:hint="eastAsia" w:ascii="宋体" w:hAnsi="宋体" w:eastAsia="宋体" w:cs="宋体"/>
          <w:color w:val="auto"/>
          <w:szCs w:val="21"/>
          <w:highlight w:val="none"/>
        </w:rPr>
        <w:t>；</w:t>
      </w:r>
    </w:p>
    <w:p w14:paraId="4C8458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w:t>
      </w:r>
      <w:r>
        <w:rPr>
          <w:rFonts w:hint="eastAsia" w:ascii="宋体" w:hAnsi="宋体" w:cs="宋体"/>
          <w:color w:val="auto"/>
          <w:szCs w:val="21"/>
          <w:highlight w:val="none"/>
          <w:lang w:eastAsia="zh-CN"/>
        </w:rPr>
        <w:t>磋商保证金</w:t>
      </w:r>
      <w:r>
        <w:rPr>
          <w:rFonts w:hint="eastAsia" w:ascii="宋体" w:hAnsi="宋体" w:eastAsia="宋体" w:cs="宋体"/>
          <w:color w:val="auto"/>
          <w:szCs w:val="21"/>
          <w:highlight w:val="none"/>
        </w:rPr>
        <w:t>从同一单位或者个人账户转出。</w:t>
      </w:r>
    </w:p>
    <w:p w14:paraId="03938D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）供应商之间协商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报价等响应文件的实质性内容；</w:t>
      </w:r>
    </w:p>
    <w:p w14:paraId="4FC9090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）供应商之间约定成交人；</w:t>
      </w:r>
    </w:p>
    <w:p w14:paraId="678E6F0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）供应商之间约定部分供应商放弃</w:t>
      </w:r>
      <w:r>
        <w:rPr>
          <w:rFonts w:hint="eastAsia" w:ascii="宋体" w:hAnsi="宋体" w:eastAsia="宋体" w:cs="宋体"/>
          <w:color w:val="auto"/>
          <w:szCs w:val="21"/>
          <w:highlight w:val="none"/>
        </w:rPr>
        <w:t>竞标</w:t>
      </w:r>
      <w:r>
        <w:rPr>
          <w:rFonts w:hint="eastAsia" w:ascii="宋体" w:hAnsi="宋体" w:eastAsia="宋体" w:cs="宋体"/>
          <w:color w:val="auto"/>
          <w:highlight w:val="none"/>
        </w:rPr>
        <w:t>或者成交；</w:t>
      </w:r>
    </w:p>
    <w:p w14:paraId="5980533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rPr>
        <w:t>）属于同一集团、协会、商会等组织成员的供应商按照该组织要求协同</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w:t>
      </w:r>
    </w:p>
    <w:p w14:paraId="225C4FC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11</w:t>
      </w:r>
      <w:r>
        <w:rPr>
          <w:rFonts w:hint="eastAsia" w:ascii="宋体" w:hAnsi="宋体" w:eastAsia="宋体" w:cs="宋体"/>
          <w:color w:val="auto"/>
          <w:highlight w:val="none"/>
        </w:rPr>
        <w:t>）供应商之间为谋取成交或者排斥特定供应商而采取的其他联合行动；</w:t>
      </w:r>
    </w:p>
    <w:p w14:paraId="7B83E63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12</w:t>
      </w:r>
      <w:r>
        <w:rPr>
          <w:rFonts w:hint="eastAsia" w:ascii="宋体" w:hAnsi="宋体" w:eastAsia="宋体" w:cs="宋体"/>
          <w:color w:val="auto"/>
          <w:highlight w:val="none"/>
        </w:rPr>
        <w:t>）不同供应商委托同一个人或注册在同一家企业的注册人员或同一家企业为其</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咨询、报价、商务技术咨询（工程本身要求采用专有技术的除外）等服务；</w:t>
      </w:r>
    </w:p>
    <w:p w14:paraId="2C92745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13</w:t>
      </w:r>
      <w:r>
        <w:rPr>
          <w:rFonts w:hint="eastAsia" w:ascii="宋体" w:hAnsi="宋体" w:eastAsia="宋体" w:cs="宋体"/>
          <w:color w:val="auto"/>
          <w:highlight w:val="none"/>
        </w:rPr>
        <w:t>）不同供应商的响应文件载明的项目管理成员为同一人；</w:t>
      </w:r>
    </w:p>
    <w:p w14:paraId="4510398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14</w:t>
      </w:r>
      <w:r>
        <w:rPr>
          <w:rFonts w:hint="eastAsia" w:ascii="宋体" w:hAnsi="宋体" w:eastAsia="宋体" w:cs="宋体"/>
          <w:color w:val="auto"/>
          <w:highlight w:val="none"/>
        </w:rPr>
        <w:t>）不同供应商的技术文件内容异常一致或者实质性相同的，或者</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报价呈规律性差异；</w:t>
      </w:r>
    </w:p>
    <w:p w14:paraId="41F3C6B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15</w:t>
      </w:r>
      <w:r>
        <w:rPr>
          <w:rFonts w:hint="eastAsia" w:ascii="宋体" w:hAnsi="宋体" w:eastAsia="宋体" w:cs="宋体"/>
          <w:color w:val="auto"/>
          <w:highlight w:val="none"/>
        </w:rPr>
        <w:t>）不同供应商的法定代表人、委托代理人、项目</w:t>
      </w:r>
      <w:r>
        <w:rPr>
          <w:rFonts w:hint="eastAsia" w:ascii="宋体" w:hAnsi="宋体" w:eastAsia="宋体" w:cs="宋体"/>
          <w:color w:val="auto"/>
          <w:highlight w:val="none"/>
          <w:lang w:eastAsia="zh-CN"/>
        </w:rPr>
        <w:t>经理</w:t>
      </w:r>
      <w:r>
        <w:rPr>
          <w:rFonts w:hint="eastAsia" w:ascii="宋体" w:hAnsi="宋体" w:eastAsia="宋体" w:cs="宋体"/>
          <w:color w:val="auto"/>
          <w:highlight w:val="none"/>
        </w:rPr>
        <w:t>等人员有在同一个单位缴纳社会保险；</w:t>
      </w:r>
    </w:p>
    <w:p w14:paraId="2F961D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）供应商之间相互约定给予未成交的供应商费用补偿；</w:t>
      </w:r>
    </w:p>
    <w:p w14:paraId="06BFC8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7</w:t>
      </w:r>
      <w:r>
        <w:rPr>
          <w:rFonts w:hint="eastAsia" w:ascii="宋体" w:hAnsi="宋体" w:eastAsia="宋体" w:cs="宋体"/>
          <w:color w:val="auto"/>
          <w:highlight w:val="none"/>
        </w:rPr>
        <w:t>）不同供应商编制的响应文件存在两处以上错误一致。</w:t>
      </w:r>
    </w:p>
    <w:p w14:paraId="3DC17C70">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val="0"/>
          <w:color w:val="auto"/>
          <w:highlight w:val="none"/>
        </w:rPr>
      </w:pPr>
      <w:r>
        <w:rPr>
          <w:rFonts w:hint="eastAsia" w:hAnsi="宋体" w:cs="宋体"/>
          <w:b/>
          <w:bCs w:val="0"/>
          <w:color w:val="auto"/>
          <w:highlight w:val="none"/>
          <w:lang w:val="en-US" w:eastAsia="zh-CN"/>
        </w:rPr>
        <w:t>24.6</w:t>
      </w:r>
      <w:r>
        <w:rPr>
          <w:rFonts w:hint="eastAsia" w:ascii="宋体" w:hAnsi="宋体" w:eastAsia="宋体" w:cs="宋体"/>
          <w:b/>
          <w:bCs w:val="0"/>
          <w:color w:val="auto"/>
          <w:highlight w:val="none"/>
        </w:rPr>
        <w:t>供应商不得存在下列情形之一，否则响应文件将被视为无效。</w:t>
      </w:r>
    </w:p>
    <w:p w14:paraId="04E91D3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lang w:val="en-US" w:eastAsia="zh-CN"/>
        </w:rPr>
        <w:t>1</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rPr>
        <w:t>与采购人存</w:t>
      </w:r>
      <w:r>
        <w:rPr>
          <w:rFonts w:hint="eastAsia" w:ascii="宋体" w:hAnsi="宋体" w:eastAsia="宋体" w:cs="宋体"/>
          <w:color w:val="auto"/>
          <w:highlight w:val="none"/>
        </w:rPr>
        <w:t>在利害关系可能影响</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公正性的法人、其他组织；</w:t>
      </w:r>
    </w:p>
    <w:p w14:paraId="73979EE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为本项目前期准备提供设计或咨询服务的，但设计施工总承包的除外；</w:t>
      </w:r>
    </w:p>
    <w:p w14:paraId="38A8FB7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为本项目的监理人；</w:t>
      </w:r>
    </w:p>
    <w:p w14:paraId="2135036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为本项目的代建人；</w:t>
      </w:r>
    </w:p>
    <w:p w14:paraId="335C330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为本项目提供招标代理服务的；</w:t>
      </w:r>
    </w:p>
    <w:p w14:paraId="508354A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与本项目的监理人或代建人或</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代理机构同为一个法定代表人的；</w:t>
      </w:r>
    </w:p>
    <w:p w14:paraId="3B9B3B6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与本项目的监理人或代建人或</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代理机构相互控股或参股的；</w:t>
      </w:r>
    </w:p>
    <w:p w14:paraId="5B166A9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与本项目的监理人或代建人或</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代理机构相互任职或工作的；</w:t>
      </w:r>
    </w:p>
    <w:p w14:paraId="76D1C22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被责令停业的；</w:t>
      </w:r>
    </w:p>
    <w:p w14:paraId="3A4FD03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吊销或暂扣营业执照、安全生产许可证期间；</w:t>
      </w:r>
    </w:p>
    <w:p w14:paraId="5F929A8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在本行政区域被暂停或取消投标资格的；</w:t>
      </w:r>
    </w:p>
    <w:p w14:paraId="1FFC3C6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财产被接管或基本账户被冻结的；</w:t>
      </w:r>
    </w:p>
    <w:p w14:paraId="4275542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有骗取中标（成交）或严重违约或工程质量安全问题，在本行政区域正处在停业整顿或暂停投标期间的。</w:t>
      </w:r>
    </w:p>
    <w:p w14:paraId="31604BF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highlight w:val="none"/>
        </w:rPr>
      </w:pPr>
      <w:r>
        <w:rPr>
          <w:rFonts w:hint="eastAsia" w:ascii="宋体" w:hAnsi="宋体" w:eastAsia="宋体" w:cs="宋体"/>
          <w:color w:val="auto"/>
          <w:highlight w:val="none"/>
        </w:rPr>
        <w:t>注：代建人是指政府通过招标方式对公益</w:t>
      </w:r>
      <w:r>
        <w:rPr>
          <w:rFonts w:hint="eastAsia" w:ascii="宋体" w:hAnsi="宋体" w:cs="宋体"/>
          <w:color w:val="auto"/>
          <w:highlight w:val="none"/>
          <w:lang w:val="en-US" w:eastAsia="zh-CN"/>
        </w:rPr>
        <w:t>性</w:t>
      </w:r>
      <w:r>
        <w:rPr>
          <w:rFonts w:hint="eastAsia" w:ascii="宋体" w:hAnsi="宋体" w:eastAsia="宋体" w:cs="宋体"/>
          <w:color w:val="auto"/>
          <w:highlight w:val="none"/>
        </w:rPr>
        <w:t>、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PPP项目的社会资本方及工程总承包项目的总承包方作为代建人的不在此范畴。</w:t>
      </w:r>
    </w:p>
    <w:p w14:paraId="6E0A1986">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val="0"/>
          <w:color w:val="auto"/>
          <w:spacing w:val="2"/>
          <w:highlight w:val="none"/>
        </w:rPr>
      </w:pPr>
      <w:r>
        <w:rPr>
          <w:rFonts w:hint="eastAsia" w:ascii="宋体" w:hAnsi="宋体" w:cs="宋体"/>
          <w:b/>
          <w:bCs w:val="0"/>
          <w:color w:val="auto"/>
          <w:spacing w:val="2"/>
          <w:highlight w:val="none"/>
          <w:lang w:val="en-US" w:eastAsia="zh-CN"/>
        </w:rPr>
        <w:t>24.7终止</w:t>
      </w:r>
      <w:r>
        <w:rPr>
          <w:rFonts w:hint="eastAsia" w:ascii="宋体" w:hAnsi="宋体" w:eastAsia="宋体" w:cs="宋体"/>
          <w:b/>
          <w:bCs w:val="0"/>
          <w:color w:val="auto"/>
          <w:spacing w:val="2"/>
          <w:highlight w:val="none"/>
        </w:rPr>
        <w:t>条款</w:t>
      </w:r>
    </w:p>
    <w:p w14:paraId="18044386">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lang w:eastAsia="zh-CN"/>
        </w:rPr>
        <w:t>磋商</w:t>
      </w:r>
      <w:r>
        <w:rPr>
          <w:rFonts w:hint="eastAsia" w:ascii="宋体" w:hAnsi="宋体" w:eastAsia="宋体" w:cs="宋体"/>
          <w:b/>
          <w:bCs w:val="0"/>
          <w:color w:val="auto"/>
          <w:highlight w:val="none"/>
        </w:rPr>
        <w:t>采购项目出现下列情形之一的，</w:t>
      </w:r>
      <w:r>
        <w:rPr>
          <w:rFonts w:hint="eastAsia" w:ascii="宋体" w:hAnsi="宋体" w:eastAsia="宋体" w:cs="宋体"/>
          <w:b/>
          <w:bCs w:val="0"/>
          <w:color w:val="auto"/>
          <w:highlight w:val="none"/>
          <w:lang w:eastAsia="zh-CN"/>
        </w:rPr>
        <w:t>磋商</w:t>
      </w:r>
      <w:r>
        <w:rPr>
          <w:rFonts w:hint="eastAsia" w:ascii="宋体" w:hAnsi="宋体" w:eastAsia="宋体" w:cs="宋体"/>
          <w:b/>
          <w:bCs w:val="0"/>
          <w:color w:val="auto"/>
          <w:highlight w:val="none"/>
        </w:rPr>
        <w:t>予以废止：</w:t>
      </w:r>
    </w:p>
    <w:p w14:paraId="7B58341F">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8" w:firstLineChars="200"/>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spacing w:val="2"/>
          <w:highlight w:val="none"/>
        </w:rPr>
        <w:t>（1）</w:t>
      </w:r>
      <w:r>
        <w:rPr>
          <w:rFonts w:hint="eastAsia" w:ascii="宋体" w:hAnsi="宋体" w:eastAsia="宋体" w:cs="宋体"/>
          <w:b w:val="0"/>
          <w:bCs/>
          <w:color w:val="auto"/>
          <w:highlight w:val="none"/>
        </w:rPr>
        <w:t>出现影响采购公正的违法、违规行为的；</w:t>
      </w:r>
    </w:p>
    <w:p w14:paraId="0954CEA5">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8"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spacing w:val="2"/>
          <w:highlight w:val="none"/>
        </w:rPr>
        <w:t>（2）</w:t>
      </w:r>
      <w:r>
        <w:rPr>
          <w:rFonts w:hint="eastAsia" w:ascii="宋体" w:hAnsi="宋体" w:eastAsia="宋体" w:cs="宋体"/>
          <w:b w:val="0"/>
          <w:bCs/>
          <w:color w:val="auto"/>
          <w:highlight w:val="none"/>
        </w:rPr>
        <w:t>供应商的</w:t>
      </w:r>
      <w:r>
        <w:rPr>
          <w:rFonts w:hint="eastAsia" w:ascii="宋体" w:hAnsi="宋体" w:eastAsia="宋体" w:cs="宋体"/>
          <w:b w:val="0"/>
          <w:bCs/>
          <w:color w:val="auto"/>
          <w:highlight w:val="none"/>
          <w:lang w:eastAsia="zh-CN"/>
        </w:rPr>
        <w:t>磋商</w:t>
      </w:r>
      <w:r>
        <w:rPr>
          <w:rFonts w:hint="eastAsia" w:ascii="宋体" w:hAnsi="宋体" w:eastAsia="宋体" w:cs="宋体"/>
          <w:b w:val="0"/>
          <w:bCs/>
          <w:color w:val="auto"/>
          <w:highlight w:val="none"/>
        </w:rPr>
        <w:t>报价均超过了采购预算，采购人不能支付的；</w:t>
      </w:r>
    </w:p>
    <w:p w14:paraId="5BAA0F26">
      <w:pPr>
        <w:pStyle w:val="12"/>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spacing w:val="2"/>
          <w:highlight w:val="none"/>
        </w:rPr>
        <w:t>（3）</w:t>
      </w:r>
      <w:r>
        <w:rPr>
          <w:rFonts w:hint="eastAsia" w:ascii="宋体" w:hAnsi="宋体" w:eastAsia="宋体" w:cs="宋体"/>
          <w:b w:val="0"/>
          <w:bCs/>
          <w:color w:val="auto"/>
          <w:highlight w:val="none"/>
        </w:rPr>
        <w:t>因重大变故，采购任务取消的。</w:t>
      </w:r>
    </w:p>
    <w:p w14:paraId="738A3162">
      <w:pPr>
        <w:pStyle w:val="11"/>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lang w:eastAsia="zh-CN"/>
        </w:rPr>
        <w:t>、确定成交供应商及结果公告</w:t>
      </w:r>
    </w:p>
    <w:p w14:paraId="3A9DB5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3FCA09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.2</w:t>
      </w:r>
      <w:r>
        <w:rPr>
          <w:rFonts w:hint="eastAsia" w:ascii="宋体" w:hAnsi="宋体" w:eastAsia="宋体" w:cs="宋体"/>
          <w:color w:val="auto"/>
          <w:szCs w:val="21"/>
          <w:highlight w:val="none"/>
        </w:rPr>
        <w:t>成交通知及成交结果公告。采购代理机构应当在成交供应商确定后2个工作日内，在省级以上财政部门指定的媒体上公告成交结果，同时向成交供应商发出成交通知书。</w:t>
      </w:r>
    </w:p>
    <w:p w14:paraId="7A7B9CDF">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文件一并保存。成交供应商享受《政府采购促进中小企业发展管理办法》（财库〔2020〕46号）规定的中小企业扶持政策的，采购人、采购代理机构应当随成交结果公开成交供应商的《中小企业声明函》。</w:t>
      </w:r>
    </w:p>
    <w:p w14:paraId="301FF30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1E95C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.5排名第一的成交候选人放弃成交，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color w:val="auto"/>
          <w:szCs w:val="21"/>
          <w:highlight w:val="none"/>
        </w:rPr>
        <w:t>。</w:t>
      </w:r>
    </w:p>
    <w:p w14:paraId="7E6F8B19">
      <w:pPr>
        <w:pStyle w:val="11"/>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履约保证金及</w:t>
      </w:r>
      <w:r>
        <w:rPr>
          <w:rFonts w:hint="eastAsia" w:ascii="宋体" w:hAnsi="宋体" w:eastAsia="宋体" w:cs="宋体"/>
          <w:b/>
          <w:color w:val="auto"/>
          <w:sz w:val="21"/>
          <w:szCs w:val="21"/>
          <w:highlight w:val="none"/>
        </w:rPr>
        <w:t>合同</w:t>
      </w:r>
    </w:p>
    <w:p w14:paraId="74916148">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2</w:t>
      </w:r>
      <w:r>
        <w:rPr>
          <w:rFonts w:hint="eastAsia" w:ascii="宋体" w:hAnsi="宋体" w:cs="宋体"/>
          <w:b/>
          <w:color w:val="auto"/>
          <w:szCs w:val="21"/>
          <w:highlight w:val="none"/>
          <w:lang w:val="en-US" w:eastAsia="zh-CN"/>
        </w:rPr>
        <w:t>6.</w:t>
      </w:r>
      <w:r>
        <w:rPr>
          <w:rFonts w:hint="eastAsia" w:ascii="宋体" w:hAnsi="宋体" w:eastAsia="宋体" w:cs="宋体"/>
          <w:b/>
          <w:color w:val="auto"/>
          <w:spacing w:val="4"/>
          <w:szCs w:val="21"/>
          <w:highlight w:val="none"/>
        </w:rPr>
        <w:t>履约保证金</w:t>
      </w:r>
    </w:p>
    <w:p w14:paraId="5880881D">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本项目不收取履约保证金</w:t>
      </w:r>
      <w:r>
        <w:rPr>
          <w:rFonts w:hint="eastAsia" w:ascii="宋体" w:hAnsi="宋体" w:eastAsia="宋体" w:cs="宋体"/>
          <w:color w:val="auto"/>
          <w:szCs w:val="21"/>
          <w:highlight w:val="none"/>
        </w:rPr>
        <w:t>。</w:t>
      </w:r>
    </w:p>
    <w:p w14:paraId="7CE14EC0">
      <w:pPr>
        <w:keepNext w:val="0"/>
        <w:keepLines w:val="0"/>
        <w:pageBreakBefore w:val="0"/>
        <w:shd w:val="clear" w:color="auto" w:fill="FFFFFF"/>
        <w:kinsoku/>
        <w:wordWrap/>
        <w:overflowPunct/>
        <w:topLinePunct w:val="0"/>
        <w:autoSpaceDE/>
        <w:autoSpaceDN/>
        <w:bidi w:val="0"/>
        <w:adjustRightInd w:val="0"/>
        <w:snapToGrid w:val="0"/>
        <w:spacing w:line="440" w:lineRule="exact"/>
        <w:ind w:left="105" w:leftChars="50" w:firstLine="422" w:firstLineChars="200"/>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27.合同签订</w:t>
      </w:r>
    </w:p>
    <w:p w14:paraId="11F8E3DB">
      <w:pPr>
        <w:pStyle w:val="45"/>
        <w:keepNext w:val="0"/>
        <w:keepLines w:val="0"/>
        <w:pageBreakBefore w:val="0"/>
        <w:kinsoku/>
        <w:wordWrap/>
        <w:overflowPunct/>
        <w:topLinePunct w:val="0"/>
        <w:autoSpaceDE/>
        <w:autoSpaceDN/>
        <w:bidi w:val="0"/>
        <w:snapToGrid w:val="0"/>
        <w:spacing w:before="0"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.1采购人与成交供应商应当在成交通知书规定的时间内，按照磋商文件确定的合同文本以及采购标的、服务技术、采购金额、采购数量、技术和服务要求</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none" w:color="auto"/>
          <w:lang w:eastAsia="zh-CN"/>
        </w:rPr>
        <w:t>施工图纸、工程量清单及相关说明</w:t>
      </w:r>
      <w:r>
        <w:rPr>
          <w:rFonts w:hint="eastAsia" w:ascii="宋体" w:hAnsi="宋体" w:eastAsia="宋体" w:cs="宋体"/>
          <w:color w:val="auto"/>
          <w:sz w:val="21"/>
          <w:szCs w:val="21"/>
          <w:highlight w:val="none"/>
        </w:rPr>
        <w:t>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3DAD3EB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.2采购人不得向成交供应商提出超出磋商文件以外的任何要求作为签订合同的条件，不得与成交供应商订立背离磋商文件确定的合同文本以及采购标的、服务技术、采购金额、采购数量、技术和服务要求</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u w:val="none" w:color="auto"/>
          <w:lang w:eastAsia="zh-CN"/>
        </w:rPr>
        <w:t>施工图纸、工程量清单及相关说明</w:t>
      </w:r>
      <w:r>
        <w:rPr>
          <w:rFonts w:hint="eastAsia" w:ascii="宋体" w:hAnsi="宋体" w:eastAsia="宋体" w:cs="宋体"/>
          <w:color w:val="auto"/>
          <w:szCs w:val="21"/>
          <w:highlight w:val="none"/>
        </w:rPr>
        <w:t>等实质性内容的协议。</w:t>
      </w:r>
    </w:p>
    <w:p w14:paraId="71CC1ED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14:paraId="6C3A4B2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.4如签订合同并生效后，供应商无故拒绝或延期，除按照合同条款处理外，列入不良行为记录，并给予通报。</w:t>
      </w:r>
    </w:p>
    <w:p w14:paraId="003C2C2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采购合同由采购人与成交供应商根据磋商文件、响应文件等内容签订，成交供应商应当在签订合同时向采购人出示相关证明材料，具体内容详见 “供应商须知前附表”，经采购人核验合格后方可签订合同</w:t>
      </w:r>
      <w:r>
        <w:rPr>
          <w:rFonts w:hint="eastAsia" w:ascii="宋体" w:hAnsi="宋体" w:eastAsia="宋体" w:cs="宋体"/>
          <w:color w:val="auto"/>
          <w:szCs w:val="21"/>
          <w:highlight w:val="none"/>
          <w:lang w:eastAsia="zh-CN"/>
        </w:rPr>
        <w:t>。</w:t>
      </w:r>
    </w:p>
    <w:p w14:paraId="460BB406">
      <w:pPr>
        <w:keepNext w:val="0"/>
        <w:keepLines w:val="0"/>
        <w:pageBreakBefore w:val="0"/>
        <w:shd w:val="clear" w:color="auto" w:fill="FFFFFF"/>
        <w:kinsoku/>
        <w:wordWrap/>
        <w:overflowPunct/>
        <w:topLinePunct w:val="0"/>
        <w:autoSpaceDE/>
        <w:autoSpaceDN/>
        <w:bidi w:val="0"/>
        <w:adjustRightInd w:val="0"/>
        <w:snapToGrid w:val="0"/>
        <w:spacing w:line="440" w:lineRule="exact"/>
        <w:ind w:left="105" w:leftChars="50" w:firstLine="42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28.政府采购合同公告</w:t>
      </w:r>
    </w:p>
    <w:p w14:paraId="07F345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eastAsia="黑体"/>
          <w:color w:val="auto"/>
          <w:highlight w:val="none"/>
          <w:lang w:val="en-US" w:eastAsia="zh-CN"/>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p>
    <w:p w14:paraId="74B9EAA3">
      <w:pPr>
        <w:pStyle w:val="11"/>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440" w:lineRule="exact"/>
        <w:ind w:left="420" w:lef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十、询问、质疑和投诉</w:t>
      </w:r>
    </w:p>
    <w:p w14:paraId="3A72C55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.1供应商对政府采购活动事项有疑问的，可以向采购人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采购代理机构提出询问，采购人或者采购代理机构应当在3个工作日内对供应商依法提出的询问作出答复。</w:t>
      </w:r>
    </w:p>
    <w:p w14:paraId="3E114C96">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szCs w:val="21"/>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442AAB4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0678FB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1861664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532010D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D8D7ED8">
      <w:pPr>
        <w:keepNext w:val="0"/>
        <w:keepLines w:val="0"/>
        <w:pageBreakBefore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29</w:t>
      </w:r>
      <w:r>
        <w:rPr>
          <w:rFonts w:hint="eastAsia" w:ascii="宋体" w:hAnsi="宋体" w:eastAsia="宋体" w:cs="宋体"/>
          <w:b/>
          <w:bCs/>
          <w:color w:val="auto"/>
          <w:highlight w:val="none"/>
        </w:rPr>
        <w:t>.4 供应商提出质疑应当提交质疑函和必要的证明材料，针对同一采购程序环节的质疑必须在法定质疑期内一次性提出。质疑函应当包括下列内容（质疑函格式后附）：</w:t>
      </w:r>
    </w:p>
    <w:p w14:paraId="6BFDB67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A219ED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3754C6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8B435B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59CAA5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23BA011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0273B6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B8EA04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7840E64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83E7C7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8C461E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65257E1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cs="宋体"/>
          <w:b/>
          <w:bCs/>
          <w:color w:val="auto"/>
          <w:highlight w:val="none"/>
          <w:lang w:val="en-US" w:eastAsia="zh-CN"/>
        </w:rPr>
        <w:t>29</w:t>
      </w:r>
      <w:r>
        <w:rPr>
          <w:rFonts w:hint="eastAsia" w:ascii="宋体" w:hAnsi="宋体" w:eastAsia="宋体" w:cs="宋体"/>
          <w:b/>
          <w:bCs/>
          <w:color w:val="auto"/>
          <w:highlight w:val="none"/>
        </w:rPr>
        <w:t>.6投诉的权利。质疑供应商对采购人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采购代理机构的答复不满意，或者采购人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p>
    <w:p w14:paraId="6D76388F">
      <w:pPr>
        <w:pStyle w:val="11"/>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适用法律</w:t>
      </w:r>
    </w:p>
    <w:p w14:paraId="5EB477F3">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highlight w:val="none"/>
        </w:rPr>
      </w:pPr>
      <w:r>
        <w:rPr>
          <w:rFonts w:hint="eastAsia" w:ascii="宋体" w:hAnsi="宋体" w:cs="宋体"/>
          <w:b/>
          <w:bCs/>
          <w:color w:val="auto"/>
          <w:szCs w:val="21"/>
          <w:highlight w:val="none"/>
          <w:lang w:val="en-US" w:eastAsia="zh-CN"/>
        </w:rPr>
        <w:t>30</w:t>
      </w:r>
      <w:r>
        <w:rPr>
          <w:rFonts w:hint="eastAsia" w:ascii="宋体" w:hAnsi="宋体" w:eastAsia="宋体" w:cs="宋体"/>
          <w:b/>
          <w:bCs/>
          <w:color w:val="auto"/>
          <w:szCs w:val="21"/>
          <w:highlight w:val="none"/>
        </w:rPr>
        <w:t>.</w:t>
      </w:r>
      <w:r>
        <w:rPr>
          <w:rFonts w:hint="eastAsia" w:ascii="宋体" w:hAnsi="宋体" w:eastAsia="宋体" w:cs="宋体"/>
          <w:b/>
          <w:color w:val="auto"/>
          <w:highlight w:val="none"/>
        </w:rPr>
        <w:t>采购当事人的一切活动均适用于《中华人民共和国政府采购法》、《中华人民共和国政府采购法实施条例》、财政部《政府采购非招标采购方式管理办法》</w:t>
      </w:r>
      <w:r>
        <w:rPr>
          <w:rFonts w:hint="eastAsia" w:ascii="宋体" w:hAnsi="宋体" w:cs="宋体"/>
          <w:b/>
          <w:color w:val="auto"/>
          <w:highlight w:val="none"/>
          <w:lang w:eastAsia="zh-CN"/>
        </w:rPr>
        <w:t>、《政府采购竞争性磋商采购方式管理暂行办法》</w:t>
      </w:r>
      <w:r>
        <w:rPr>
          <w:rFonts w:hint="eastAsia" w:ascii="宋体" w:hAnsi="宋体" w:eastAsia="宋体" w:cs="宋体"/>
          <w:b/>
          <w:color w:val="auto"/>
          <w:highlight w:val="none"/>
        </w:rPr>
        <w:t>及相关规定。最终</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结束后，</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小组不得再与供应商进行任何形式的商谈。</w:t>
      </w:r>
    </w:p>
    <w:p w14:paraId="6D0C1344">
      <w:pPr>
        <w:pStyle w:val="11"/>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、其他事项</w:t>
      </w:r>
    </w:p>
    <w:p w14:paraId="2E768CB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 xml:space="preserve">.1 </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w:t>
      </w:r>
      <w:r>
        <w:rPr>
          <w:rFonts w:hint="eastAsia" w:ascii="宋体" w:hAnsi="宋体" w:eastAsia="宋体" w:cs="宋体"/>
          <w:color w:val="auto"/>
          <w:szCs w:val="21"/>
          <w:highlight w:val="none"/>
          <w:lang w:eastAsia="zh-CN"/>
        </w:rPr>
        <w:t>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14:paraId="21448B4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代理服务费收费计算标准</w:t>
      </w:r>
      <w:r>
        <w:rPr>
          <w:rFonts w:hint="eastAsia" w:ascii="宋体" w:hAnsi="宋体" w:eastAsia="宋体" w:cs="宋体"/>
          <w:color w:val="auto"/>
          <w:szCs w:val="21"/>
          <w:highlight w:val="none"/>
          <w:lang w:eastAsia="zh-CN"/>
        </w:rPr>
        <w:t>：</w:t>
      </w:r>
    </w:p>
    <w:p w14:paraId="6CFAC17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val="en-US" w:eastAsia="zh-CN"/>
        </w:rPr>
      </w:pPr>
    </w:p>
    <w:tbl>
      <w:tblPr>
        <w:tblStyle w:val="22"/>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AFD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472" w:type="dxa"/>
            <w:tcBorders>
              <w:tl2br w:val="single" w:color="auto" w:sz="4" w:space="0"/>
            </w:tcBorders>
            <w:noWrap w:val="0"/>
            <w:vAlign w:val="top"/>
          </w:tcPr>
          <w:p w14:paraId="2AC118C8">
            <w:pPr>
              <w:keepNext w:val="0"/>
              <w:keepLines w:val="0"/>
              <w:pageBreakBefore w:val="0"/>
              <w:widowControl w:val="0"/>
              <w:kinsoku/>
              <w:wordWrap/>
              <w:overflowPunct/>
              <w:topLinePunct w:val="0"/>
              <w:autoSpaceDE/>
              <w:autoSpaceDN/>
              <w:bidi w:val="0"/>
              <w:spacing w:line="440" w:lineRule="exact"/>
              <w:ind w:firstLine="2730" w:firstLineChars="1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费率</w:t>
            </w:r>
          </w:p>
          <w:p w14:paraId="3C1472B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091B68AA">
            <w:pPr>
              <w:keepNext w:val="0"/>
              <w:keepLines w:val="0"/>
              <w:pageBreakBefore w:val="0"/>
              <w:widowControl w:val="0"/>
              <w:kinsoku/>
              <w:wordWrap/>
              <w:overflowPunct/>
              <w:topLinePunct w:val="0"/>
              <w:autoSpaceDE/>
              <w:autoSpaceDN/>
              <w:bidi w:val="0"/>
              <w:spacing w:line="440" w:lineRule="exact"/>
              <w:ind w:firstLine="105" w:firstLineChars="5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0520917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7D6042B3">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025A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EA3055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3FB8F22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1.5%                </w:t>
            </w:r>
          </w:p>
        </w:tc>
        <w:tc>
          <w:tcPr>
            <w:tcW w:w="1532" w:type="dxa"/>
            <w:noWrap w:val="0"/>
            <w:vAlign w:val="top"/>
          </w:tcPr>
          <w:p w14:paraId="20142060">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135AADE9">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552D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4A448D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1B53D66C">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081C001A">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3291BC43">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211B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BFDA4F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19F539E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0.8%                </w:t>
            </w:r>
          </w:p>
        </w:tc>
        <w:tc>
          <w:tcPr>
            <w:tcW w:w="1532" w:type="dxa"/>
            <w:noWrap w:val="0"/>
            <w:vAlign w:val="top"/>
          </w:tcPr>
          <w:p w14:paraId="51F8108A">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4310E2AE">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6893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C60FAF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2E7FC49D">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0591BAEC">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49C5A358">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5EE3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5FA691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2543CB90">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70BDFEB1">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72790AC2">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F82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9EC7281">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1B985316">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2485389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46" w:type="dxa"/>
            <w:noWrap w:val="0"/>
            <w:vAlign w:val="top"/>
          </w:tcPr>
          <w:p w14:paraId="45D7C3D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7D1B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5FA1AD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6F27830D">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372D6E3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46" w:type="dxa"/>
            <w:noWrap w:val="0"/>
            <w:vAlign w:val="top"/>
          </w:tcPr>
          <w:p w14:paraId="07395C6C">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2BBC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8ABD21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0F728A15">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6F6F2E79">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3FD707BC">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980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ED70A6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7C600EE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32" w:type="dxa"/>
            <w:noWrap w:val="0"/>
            <w:vAlign w:val="top"/>
          </w:tcPr>
          <w:p w14:paraId="0C60C677">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20A8C25A">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6589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35F062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14:paraId="6C98614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32" w:type="dxa"/>
            <w:noWrap w:val="0"/>
            <w:vAlign w:val="top"/>
          </w:tcPr>
          <w:p w14:paraId="400E1CEE">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650F57E0">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44B528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14:paraId="084B563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3627EF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36244EB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例如：某</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采购代理业务成交金额或者暂定价为</w:t>
      </w:r>
      <w:r>
        <w:rPr>
          <w:rFonts w:hint="eastAsia" w:ascii="宋体" w:hAnsi="宋体" w:cs="宋体"/>
          <w:color w:val="auto"/>
          <w:highlight w:val="none"/>
          <w:lang w:val="en-US" w:eastAsia="zh-CN"/>
        </w:rPr>
        <w:t>80</w:t>
      </w:r>
      <w:r>
        <w:rPr>
          <w:rFonts w:hint="eastAsia" w:ascii="宋体" w:hAnsi="宋体" w:eastAsia="宋体" w:cs="宋体"/>
          <w:color w:val="auto"/>
          <w:highlight w:val="none"/>
        </w:rPr>
        <w:t>万元，计算采购代理收费额如下：</w:t>
      </w:r>
    </w:p>
    <w:p w14:paraId="0EBA53B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80</w:t>
      </w:r>
      <w:r>
        <w:rPr>
          <w:rFonts w:hint="eastAsia" w:ascii="宋体" w:hAnsi="宋体" w:eastAsia="宋体" w:cs="宋体"/>
          <w:color w:val="auto"/>
          <w:highlight w:val="none"/>
        </w:rPr>
        <w:t>万元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lang w:val="en-US" w:eastAsia="zh-CN"/>
        </w:rPr>
        <w:t>0.8</w:t>
      </w:r>
      <w:r>
        <w:rPr>
          <w:rFonts w:hint="eastAsia" w:ascii="宋体" w:hAnsi="宋体" w:eastAsia="宋体" w:cs="宋体"/>
          <w:color w:val="auto"/>
          <w:highlight w:val="none"/>
        </w:rPr>
        <w:t>万元</w:t>
      </w:r>
    </w:p>
    <w:p w14:paraId="1F97663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合计收费＝</w:t>
      </w:r>
      <w:r>
        <w:rPr>
          <w:rFonts w:hint="eastAsia" w:ascii="宋体" w:hAnsi="宋体" w:cs="宋体"/>
          <w:color w:val="auto"/>
          <w:highlight w:val="none"/>
          <w:lang w:val="en-US" w:eastAsia="zh-CN"/>
        </w:rPr>
        <w:t>0.8</w:t>
      </w:r>
      <w:r>
        <w:rPr>
          <w:rFonts w:hint="eastAsia" w:ascii="宋体" w:hAnsi="宋体" w:eastAsia="宋体" w:cs="宋体"/>
          <w:color w:val="auto"/>
          <w:highlight w:val="none"/>
        </w:rPr>
        <w:t>（万元）</w:t>
      </w:r>
    </w:p>
    <w:p w14:paraId="4828904B">
      <w:pPr>
        <w:pStyle w:val="11"/>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十三、</w:t>
      </w:r>
      <w:r>
        <w:rPr>
          <w:rFonts w:hint="eastAsia" w:ascii="宋体" w:hAnsi="宋体" w:eastAsia="宋体" w:cs="宋体"/>
          <w:b/>
          <w:color w:val="auto"/>
          <w:sz w:val="21"/>
          <w:szCs w:val="21"/>
          <w:highlight w:val="none"/>
        </w:rPr>
        <w:t>需要补充的</w:t>
      </w:r>
      <w:r>
        <w:rPr>
          <w:rFonts w:hint="eastAsia" w:ascii="宋体" w:hAnsi="宋体" w:eastAsia="宋体" w:cs="宋体"/>
          <w:b/>
          <w:color w:val="auto"/>
          <w:sz w:val="21"/>
          <w:szCs w:val="21"/>
          <w:highlight w:val="none"/>
          <w:lang w:eastAsia="zh-CN"/>
        </w:rPr>
        <w:t>其他</w:t>
      </w:r>
      <w:r>
        <w:rPr>
          <w:rFonts w:hint="eastAsia" w:ascii="宋体" w:hAnsi="宋体" w:eastAsia="宋体" w:cs="宋体"/>
          <w:b/>
          <w:color w:val="auto"/>
          <w:sz w:val="21"/>
          <w:szCs w:val="21"/>
          <w:highlight w:val="none"/>
        </w:rPr>
        <w:t>内容</w:t>
      </w:r>
    </w:p>
    <w:p w14:paraId="0D3F4FF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.1本磋商文件解释规则详见“供应商须知前附表”。</w:t>
      </w:r>
    </w:p>
    <w:p w14:paraId="00C7223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.2 </w:t>
      </w:r>
      <w:bookmarkStart w:id="73" w:name="OLE_LINK57"/>
      <w:r>
        <w:rPr>
          <w:rFonts w:hint="eastAsia" w:ascii="宋体" w:hAnsi="宋体" w:eastAsia="宋体" w:cs="宋体"/>
          <w:color w:val="auto"/>
          <w:highlight w:val="none"/>
        </w:rPr>
        <w:t>其他事项详见“供应商须知前附表</w:t>
      </w:r>
      <w:bookmarkEnd w:id="73"/>
      <w:r>
        <w:rPr>
          <w:rFonts w:hint="eastAsia" w:ascii="宋体" w:hAnsi="宋体" w:eastAsia="宋体" w:cs="宋体"/>
          <w:color w:val="auto"/>
          <w:highlight w:val="none"/>
        </w:rPr>
        <w:t>”。</w:t>
      </w:r>
    </w:p>
    <w:p w14:paraId="44C7246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.3本文件所称</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小微企业，是</w:t>
      </w:r>
      <w:bookmarkStart w:id="74" w:name="OLE_LINK55"/>
      <w:r>
        <w:rPr>
          <w:rFonts w:hint="eastAsia" w:ascii="宋体" w:hAnsi="宋体" w:eastAsia="宋体" w:cs="宋体"/>
          <w:color w:val="auto"/>
          <w:highlight w:val="none"/>
        </w:rPr>
        <w:t>指在中华人民共和国境内依法设立，依据国务院批准的</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小微企业划分标准确定的</w:t>
      </w:r>
      <w:r>
        <w:rPr>
          <w:rFonts w:hint="eastAsia" w:ascii="宋体" w:hAnsi="宋体" w:cs="宋体"/>
          <w:color w:val="auto"/>
          <w:highlight w:val="none"/>
          <w:lang w:val="en-US" w:eastAsia="zh-CN"/>
        </w:rPr>
        <w:t>中型企业、</w:t>
      </w:r>
      <w:r>
        <w:rPr>
          <w:rFonts w:hint="eastAsia" w:ascii="宋体" w:hAnsi="宋体" w:eastAsia="宋体" w:cs="宋体"/>
          <w:color w:val="auto"/>
          <w:highlight w:val="none"/>
        </w:rPr>
        <w:t>小型企业和微型企业，但与大企业的负责人为同一人，或者与大企业存在直接控股、管理关系的除外。符合小微企业划分标准的个体工商户，在政府采购活动中视同小微企业</w:t>
      </w:r>
      <w:bookmarkEnd w:id="74"/>
      <w:r>
        <w:rPr>
          <w:rFonts w:hint="eastAsia" w:ascii="宋体" w:hAnsi="宋体" w:eastAsia="宋体" w:cs="宋体"/>
          <w:color w:val="auto"/>
          <w:highlight w:val="none"/>
        </w:rPr>
        <w:t>。在政府采购活动中，工程由</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小微企业承建，即工程施工单位为</w:t>
      </w:r>
      <w:r>
        <w:rPr>
          <w:rFonts w:hint="eastAsia" w:ascii="宋体" w:hAnsi="宋体" w:cs="宋体"/>
          <w:color w:val="auto"/>
          <w:highlight w:val="none"/>
          <w:lang w:val="en-US" w:eastAsia="zh-CN"/>
        </w:rPr>
        <w:t>中小</w:t>
      </w:r>
      <w:r>
        <w:rPr>
          <w:rFonts w:hint="eastAsia" w:ascii="宋体" w:hAnsi="宋体" w:eastAsia="宋体" w:cs="宋体"/>
          <w:color w:val="auto"/>
          <w:highlight w:val="none"/>
        </w:rPr>
        <w:t>微企业，不对其中涉及的货物的制造商和服务的承接商作出要求，享受本文件规定的</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小微企业扶持政策。</w:t>
      </w:r>
    </w:p>
    <w:p w14:paraId="1DC6E5C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w:t>
      </w:r>
      <w:r>
        <w:rPr>
          <w:rFonts w:hint="eastAsia" w:ascii="宋体" w:hAnsi="宋体" w:cs="宋体"/>
          <w:color w:val="auto"/>
          <w:highlight w:val="none"/>
          <w:lang w:val="en-US" w:eastAsia="zh-CN"/>
        </w:rPr>
        <w:t>中小微</w:t>
      </w:r>
      <w:r>
        <w:rPr>
          <w:rFonts w:hint="eastAsia" w:ascii="宋体" w:hAnsi="宋体" w:eastAsia="宋体" w:cs="宋体"/>
          <w:color w:val="auto"/>
          <w:highlight w:val="none"/>
        </w:rPr>
        <w:t>企业的，联合体视同</w:t>
      </w:r>
      <w:r>
        <w:rPr>
          <w:rFonts w:hint="eastAsia" w:ascii="宋体" w:hAnsi="宋体" w:cs="宋体"/>
          <w:color w:val="auto"/>
          <w:highlight w:val="none"/>
          <w:lang w:val="en-US" w:eastAsia="zh-CN"/>
        </w:rPr>
        <w:t>中小微</w:t>
      </w:r>
      <w:r>
        <w:rPr>
          <w:rFonts w:hint="eastAsia" w:ascii="宋体" w:hAnsi="宋体" w:eastAsia="宋体" w:cs="宋体"/>
          <w:color w:val="auto"/>
          <w:highlight w:val="none"/>
        </w:rPr>
        <w:t>企业。</w:t>
      </w:r>
    </w:p>
    <w:p w14:paraId="3CB3EB4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小微企业不得将合同分包给大型企业。</w:t>
      </w:r>
    </w:p>
    <w:p w14:paraId="5F324195">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p>
    <w:p w14:paraId="563B5F9F">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.广西线上“政采贷”政策告知函</w:t>
      </w:r>
    </w:p>
    <w:p w14:paraId="3E48E14A">
      <w:pPr>
        <w:spacing w:line="580" w:lineRule="exact"/>
        <w:ind w:firstLine="883" w:firstLineChars="200"/>
        <w:jc w:val="center"/>
        <w:rPr>
          <w:rFonts w:hint="eastAsia" w:ascii="宋体" w:hAnsi="宋体" w:cs="宋体"/>
          <w:b/>
          <w:bCs/>
          <w:color w:val="auto"/>
          <w:sz w:val="44"/>
          <w:szCs w:val="44"/>
          <w:highlight w:val="none"/>
        </w:rPr>
      </w:pPr>
    </w:p>
    <w:p w14:paraId="007646B7">
      <w:pPr>
        <w:spacing w:line="580" w:lineRule="exact"/>
        <w:ind w:firstLine="883" w:firstLineChars="20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广西线上“政采贷”政策告知函</w:t>
      </w:r>
    </w:p>
    <w:p w14:paraId="32FF56BB">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03FF7E3C">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欢迎贵公司参与广西政府采购活动！</w:t>
      </w:r>
    </w:p>
    <w:p w14:paraId="46759BFC">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26606AE">
      <w:pPr>
        <w:pStyle w:val="31"/>
        <w:keepNext w:val="0"/>
        <w:keepLines w:val="0"/>
        <w:pageBreakBefore w:val="0"/>
        <w:kinsoku/>
        <w:wordWrap/>
        <w:overflowPunct/>
        <w:topLinePunct w:val="0"/>
        <w:autoSpaceDE/>
        <w:autoSpaceDN/>
        <w:bidi w:val="0"/>
        <w:spacing w:line="426" w:lineRule="exact"/>
        <w:ind w:firstLine="460" w:firstLineChars="200"/>
        <w:textAlignment w:val="auto"/>
        <w:rPr>
          <w:rFonts w:hint="eastAsia"/>
          <w:color w:val="auto"/>
          <w:highlight w:val="none"/>
        </w:rPr>
      </w:pPr>
      <w:r>
        <w:rPr>
          <w:rFonts w:hint="eastAsia" w:ascii="宋体" w:hAnsi="宋体" w:eastAsia="宋体" w:cs="宋体"/>
          <w:color w:val="auto"/>
          <w:sz w:val="21"/>
          <w:szCs w:val="21"/>
          <w:highlight w:val="none"/>
        </w:rPr>
        <w:t>相关金融产品和银行业金融机构联系方式，可在中征应收账款融资服务平台查询（网址：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"https://www.crcrfsp.com/" </w:instrText>
      </w:r>
      <w:r>
        <w:rPr>
          <w:rFonts w:hint="eastAsia" w:ascii="宋体" w:hAnsi="宋体" w:eastAsia="宋体" w:cs="宋体"/>
          <w:color w:val="auto"/>
          <w:sz w:val="21"/>
          <w:szCs w:val="21"/>
          <w:highlight w:val="none"/>
        </w:rPr>
        <w:fldChar w:fldCharType="separate"/>
      </w:r>
      <w:r>
        <w:rPr>
          <w:rStyle w:val="26"/>
          <w:rFonts w:hint="eastAsia" w:ascii="宋体" w:hAnsi="宋体" w:eastAsia="宋体" w:cs="宋体"/>
          <w:color w:val="auto"/>
          <w:sz w:val="21"/>
          <w:szCs w:val="21"/>
          <w:highlight w:val="none"/>
        </w:rPr>
        <w:t>https://www.crcrfsp.com/</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，客服电话：400-009-0001）。</w:t>
      </w:r>
      <w:r>
        <w:rPr>
          <w:rFonts w:hAnsi="宋体"/>
          <w:b/>
          <w:color w:val="auto"/>
          <w:highlight w:val="none"/>
        </w:rPr>
        <w:br w:type="page"/>
      </w:r>
    </w:p>
    <w:p w14:paraId="67FCFC15">
      <w:pPr>
        <w:numPr>
          <w:ilvl w:val="0"/>
          <w:numId w:val="3"/>
        </w:num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75" w:name="_Toc12510"/>
      <w:bookmarkStart w:id="76" w:name="OLE_LINK31"/>
      <w:r>
        <w:rPr>
          <w:rFonts w:hint="eastAsia" w:ascii="宋体" w:hAnsi="宋体" w:eastAsia="宋体" w:cs="宋体"/>
          <w:b/>
          <w:bCs/>
          <w:color w:val="auto"/>
          <w:sz w:val="36"/>
          <w:szCs w:val="36"/>
          <w:highlight w:val="none"/>
        </w:rPr>
        <w:t>项目需求和说明</w:t>
      </w:r>
      <w:bookmarkEnd w:id="75"/>
    </w:p>
    <w:bookmarkEnd w:id="76"/>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670"/>
      </w:tblGrid>
      <w:tr w14:paraId="7E65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52912478">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bookmarkStart w:id="77" w:name="_Toc424307753"/>
            <w:r>
              <w:rPr>
                <w:rFonts w:hint="eastAsia" w:ascii="宋体" w:hAnsi="宋体" w:eastAsia="宋体" w:cs="宋体"/>
                <w:color w:val="auto"/>
                <w:szCs w:val="21"/>
                <w:highlight w:val="none"/>
              </w:rPr>
              <w:t>工程名称</w:t>
            </w:r>
          </w:p>
        </w:tc>
        <w:tc>
          <w:tcPr>
            <w:tcW w:w="6670" w:type="dxa"/>
            <w:noWrap w:val="0"/>
            <w:vAlign w:val="center"/>
          </w:tcPr>
          <w:p w14:paraId="4510CCCE">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bCs/>
                <w:color w:val="auto"/>
                <w:szCs w:val="21"/>
                <w:highlight w:val="none"/>
              </w:rPr>
            </w:pPr>
            <w:r>
              <w:rPr>
                <w:rFonts w:hint="eastAsia" w:ascii="宋体" w:hAnsi="宋体" w:cs="宋体"/>
                <w:color w:val="auto"/>
                <w:highlight w:val="none"/>
                <w:lang w:eastAsia="zh-CN"/>
              </w:rPr>
              <w:t>港口区民族同心文化石榴园工程项目</w:t>
            </w:r>
          </w:p>
        </w:tc>
      </w:tr>
      <w:tr w14:paraId="4AEE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0B66D6AF">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6670" w:type="dxa"/>
            <w:noWrap w:val="0"/>
            <w:vAlign w:val="center"/>
          </w:tcPr>
          <w:p w14:paraId="2D4D6BB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left"/>
              <w:textAlignment w:val="auto"/>
              <w:rPr>
                <w:rFonts w:hint="default" w:ascii="宋体" w:hAnsi="宋体" w:eastAsia="宋体" w:cs="宋体"/>
                <w:color w:val="auto"/>
                <w:szCs w:val="21"/>
                <w:highlight w:val="none"/>
                <w:lang w:val="en-US"/>
              </w:rPr>
            </w:pPr>
            <w:r>
              <w:rPr>
                <w:rFonts w:hint="eastAsia" w:ascii="宋体" w:hAnsi="宋体" w:cs="宋体"/>
                <w:color w:val="auto"/>
                <w:highlight w:val="none"/>
                <w:lang w:val="en-US" w:eastAsia="zh-CN"/>
              </w:rPr>
              <w:t>防城港市港口区</w:t>
            </w:r>
          </w:p>
        </w:tc>
      </w:tr>
      <w:tr w14:paraId="0BF0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402" w:type="dxa"/>
            <w:noWrap w:val="0"/>
            <w:vAlign w:val="center"/>
          </w:tcPr>
          <w:p w14:paraId="319F18E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建设内容</w:t>
            </w:r>
          </w:p>
        </w:tc>
        <w:tc>
          <w:tcPr>
            <w:tcW w:w="6670" w:type="dxa"/>
            <w:noWrap w:val="0"/>
            <w:vAlign w:val="center"/>
          </w:tcPr>
          <w:p w14:paraId="3F17675E">
            <w:pPr>
              <w:keepNext w:val="0"/>
              <w:keepLines w:val="0"/>
              <w:pageBreakBefore w:val="0"/>
              <w:widowControl w:val="0"/>
              <w:kinsoku/>
              <w:wordWrap/>
              <w:overflowPunct/>
              <w:topLinePunct w:val="0"/>
              <w:autoSpaceDE/>
              <w:autoSpaceDN/>
              <w:bidi w:val="0"/>
              <w:adjustRightInd/>
              <w:snapToGrid/>
              <w:spacing w:line="350" w:lineRule="exact"/>
              <w:ind w:firstLine="420" w:firstLineChars="200"/>
              <w:jc w:val="left"/>
              <w:textAlignment w:val="auto"/>
              <w:rPr>
                <w:rFonts w:hint="default" w:ascii="宋体" w:hAnsi="宋体" w:eastAsia="宋体" w:cs="宋体"/>
                <w:color w:val="auto"/>
                <w:szCs w:val="21"/>
                <w:highlight w:val="none"/>
                <w:lang w:val="en-US"/>
              </w:rPr>
            </w:pPr>
            <w:r>
              <w:rPr>
                <w:rFonts w:hint="default" w:ascii="宋体" w:hAnsi="宋体" w:eastAsia="宋体" w:cs="宋体"/>
                <w:color w:val="auto"/>
                <w:szCs w:val="21"/>
                <w:highlight w:val="none"/>
                <w:lang w:val="en-US" w:eastAsia="zh-CN"/>
              </w:rPr>
              <w:t xml:space="preserve">   本工程为港口区民族同心文化石榴园工程项目，项目位于广西防城港市，建设内容包括设计施工图范围内的总平、四角亭、组合亭廊、谐韵廊、石榴籽精神文件雕塑、休闲健身基础、公厕、民族文化展示长廊等土建、园林、仿古、市政及安装工程，详见图纸及工程量清单。</w:t>
            </w:r>
          </w:p>
        </w:tc>
      </w:tr>
      <w:tr w14:paraId="0C37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0327DCE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工程预算（</w:t>
            </w:r>
            <w:r>
              <w:rPr>
                <w:rFonts w:hint="eastAsia" w:ascii="宋体" w:hAnsi="宋体" w:cs="宋体"/>
                <w:color w:val="auto"/>
                <w:szCs w:val="21"/>
                <w:highlight w:val="none"/>
                <w:lang w:val="en-US" w:eastAsia="zh-CN"/>
              </w:rPr>
              <w:t>招标控制价</w:t>
            </w:r>
            <w:r>
              <w:rPr>
                <w:rFonts w:hint="eastAsia" w:ascii="宋体" w:hAnsi="宋体" w:eastAsia="宋体" w:cs="宋体"/>
                <w:color w:val="auto"/>
                <w:szCs w:val="21"/>
                <w:highlight w:val="none"/>
              </w:rPr>
              <w:t>）</w:t>
            </w:r>
          </w:p>
        </w:tc>
        <w:tc>
          <w:tcPr>
            <w:tcW w:w="6670" w:type="dxa"/>
            <w:noWrap w:val="0"/>
            <w:vAlign w:val="center"/>
          </w:tcPr>
          <w:p w14:paraId="0237D977">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经</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eastAsia="zh-CN"/>
              </w:rPr>
              <w:t>人确认，本项目招标控制价</w:t>
            </w:r>
            <w:r>
              <w:rPr>
                <w:rFonts w:hint="eastAsia" w:ascii="宋体" w:hAnsi="宋体" w:eastAsia="宋体" w:cs="宋体"/>
                <w:b/>
                <w:bCs/>
                <w:color w:val="auto"/>
                <w:sz w:val="21"/>
                <w:szCs w:val="21"/>
                <w:highlight w:val="none"/>
                <w:lang w:val="en-US" w:eastAsia="zh-CN"/>
              </w:rPr>
              <w:t>为人民币壹佰捌拾伍万玖仟叁佰零陆元肆角贰分（¥1859306.42）</w:t>
            </w:r>
            <w:r>
              <w:rPr>
                <w:rFonts w:hint="eastAsia" w:ascii="宋体" w:hAnsi="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lang w:eastAsia="zh-CN"/>
              </w:rPr>
              <w:t>供应商的磋商报价不能超出此控制价，否则磋商无效。</w:t>
            </w:r>
          </w:p>
        </w:tc>
      </w:tr>
      <w:tr w14:paraId="1CF7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7ABA827E">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6670" w:type="dxa"/>
            <w:noWrap w:val="0"/>
            <w:vAlign w:val="center"/>
          </w:tcPr>
          <w:p w14:paraId="4BD15788">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符合现行国家及相关行业质量验收合格标准。</w:t>
            </w:r>
          </w:p>
        </w:tc>
      </w:tr>
      <w:tr w14:paraId="1F1A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569F94A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6670" w:type="dxa"/>
            <w:noWrap w:val="0"/>
            <w:vAlign w:val="center"/>
          </w:tcPr>
          <w:p w14:paraId="739BD5FA">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Cs w:val="21"/>
                <w:highlight w:val="none"/>
                <w:u w:val="single"/>
              </w:rPr>
            </w:pPr>
            <w:r>
              <w:rPr>
                <w:rFonts w:hint="eastAsia" w:ascii="宋体" w:hAnsi="宋体" w:cs="宋体"/>
                <w:b/>
                <w:bCs/>
                <w:color w:val="auto"/>
                <w:highlight w:val="none"/>
                <w:u w:val="single"/>
                <w:lang w:val="en-US" w:eastAsia="zh-CN"/>
              </w:rPr>
              <w:t>60</w:t>
            </w:r>
            <w:r>
              <w:rPr>
                <w:rFonts w:hint="eastAsia" w:ascii="宋体" w:hAnsi="宋体" w:eastAsia="宋体" w:cs="宋体"/>
                <w:b/>
                <w:bCs/>
                <w:color w:val="auto"/>
                <w:highlight w:val="none"/>
                <w:lang w:val="en-US" w:eastAsia="zh-CN"/>
              </w:rPr>
              <w:t>日历天</w:t>
            </w:r>
          </w:p>
        </w:tc>
      </w:tr>
      <w:tr w14:paraId="3BF3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7E414D4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供应商资格要求</w:t>
            </w:r>
          </w:p>
        </w:tc>
        <w:tc>
          <w:tcPr>
            <w:tcW w:w="6670" w:type="dxa"/>
            <w:noWrap w:val="0"/>
            <w:vAlign w:val="center"/>
          </w:tcPr>
          <w:p w14:paraId="75F9EB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18DAB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cs="宋体"/>
                <w:b/>
                <w:bCs/>
                <w:color w:val="auto"/>
                <w:sz w:val="21"/>
                <w:szCs w:val="21"/>
                <w:highlight w:val="none"/>
                <w:lang w:eastAsia="zh-CN"/>
              </w:rPr>
              <w:t>本项目为专门面向中小企业采购的项目</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供应商应为</w:t>
            </w:r>
            <w:r>
              <w:rPr>
                <w:rFonts w:hint="eastAsia" w:ascii="宋体" w:hAnsi="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rPr>
              <w:t>小微企业或监狱企业或残疾人福利性单位</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Cs w:val="21"/>
                <w:highlight w:val="none"/>
                <w:lang w:val="en-US" w:eastAsia="zh-CN"/>
              </w:rPr>
              <w:t>。供应商必须提供中小企业声明函或者残疾人福利性单位声明函或者供应商属于监狱企业的需提供由省级以上监狱管理局、戒毒管理局（含新疆生产建设兵团）出具的属于监狱企业的证明文件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color w:val="auto"/>
                <w:kern w:val="0"/>
                <w:szCs w:val="21"/>
                <w:highlight w:val="none"/>
                <w:lang w:val="en-US" w:eastAsia="zh-CN"/>
              </w:rPr>
              <w:t>；</w:t>
            </w:r>
          </w:p>
          <w:p w14:paraId="67E4A8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3.本项目的特定资格要求：</w:t>
            </w:r>
          </w:p>
          <w:p w14:paraId="4EB09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本项目供应商企业资质要求具备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市政公用工程施工总承包</w:t>
            </w:r>
            <w:r>
              <w:rPr>
                <w:rFonts w:hint="eastAsia" w:ascii="宋体" w:hAnsi="宋体" w:cs="宋体"/>
                <w:b/>
                <w:bCs/>
                <w:color w:val="auto"/>
                <w:szCs w:val="21"/>
                <w:highlight w:val="none"/>
              </w:rPr>
              <w:t>”三级以上（含三级）资质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2D1B39D5">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拟派项目经理资格要求具备</w:t>
            </w:r>
            <w:r>
              <w:rPr>
                <w:rFonts w:hint="eastAsia" w:ascii="宋体" w:hAnsi="宋体" w:cs="宋体"/>
                <w:b/>
                <w:bCs/>
                <w:color w:val="auto"/>
                <w:szCs w:val="21"/>
                <w:highlight w:val="none"/>
                <w:lang w:val="en-US" w:eastAsia="zh-CN"/>
              </w:rPr>
              <w:t>市政公用工程</w:t>
            </w:r>
            <w:r>
              <w:rPr>
                <w:rFonts w:hint="eastAsia" w:ascii="宋体" w:hAnsi="宋体" w:eastAsia="宋体" w:cs="宋体"/>
                <w:color w:val="auto"/>
                <w:sz w:val="21"/>
                <w:szCs w:val="21"/>
                <w:highlight w:val="none"/>
                <w:lang w:val="zh-CN" w:eastAsia="zh-CN" w:bidi="zh-CN"/>
              </w:rPr>
              <w:t>专业贰级以上（含贰级）</w:t>
            </w:r>
            <w:r>
              <w:rPr>
                <w:rFonts w:hint="eastAsia" w:ascii="宋体" w:hAnsi="宋体" w:eastAsia="宋体" w:cs="宋体"/>
                <w:color w:val="auto"/>
                <w:szCs w:val="21"/>
                <w:highlight w:val="none"/>
              </w:rPr>
              <w:t>注册建造师证书，并持有效的安全生产考核合格证书（B证），为</w:t>
            </w:r>
            <w:r>
              <w:rPr>
                <w:rFonts w:hint="eastAsia"/>
                <w:color w:val="auto"/>
                <w:lang w:val="en-US" w:eastAsia="zh-CN"/>
              </w:rPr>
              <w:t>供应商</w:t>
            </w:r>
            <w:r>
              <w:rPr>
                <w:rFonts w:hint="eastAsia" w:ascii="宋体" w:hAnsi="宋体" w:eastAsia="宋体" w:cs="宋体"/>
                <w:color w:val="auto"/>
                <w:szCs w:val="21"/>
                <w:highlight w:val="none"/>
              </w:rPr>
              <w:t>本单位的在岗人员，且未担任其他在建项目或已中标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tc>
      </w:tr>
      <w:tr w14:paraId="3656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E560060">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cs="宋体"/>
                <w:color w:val="auto"/>
              </w:rPr>
              <w:t>采购标的对应的中小企业划分标准所属行业名称</w:t>
            </w:r>
          </w:p>
        </w:tc>
        <w:tc>
          <w:tcPr>
            <w:tcW w:w="6670" w:type="dxa"/>
            <w:noWrap w:val="0"/>
            <w:vAlign w:val="center"/>
          </w:tcPr>
          <w:p w14:paraId="372CC5AD">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建筑业</w:t>
            </w:r>
          </w:p>
        </w:tc>
      </w:tr>
      <w:tr w14:paraId="3234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405273D6">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付款方式及其他要求</w:t>
            </w:r>
          </w:p>
        </w:tc>
        <w:tc>
          <w:tcPr>
            <w:tcW w:w="6670" w:type="dxa"/>
            <w:noWrap w:val="0"/>
            <w:vAlign w:val="center"/>
          </w:tcPr>
          <w:p w14:paraId="3A0698BC">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1.本项目</w:t>
            </w:r>
            <w:bookmarkStart w:id="78" w:name="OLE_LINK61"/>
            <w:bookmarkStart w:id="79" w:name="OLE_LINK32"/>
            <w:r>
              <w:rPr>
                <w:rFonts w:hint="eastAsia" w:ascii="宋体" w:hAnsi="宋体" w:eastAsia="宋体" w:cs="宋体"/>
                <w:color w:val="auto"/>
                <w:szCs w:val="21"/>
                <w:highlight w:val="none"/>
                <w:lang w:val="en-US" w:eastAsia="zh-CN"/>
              </w:rPr>
              <w:t>预付款</w:t>
            </w:r>
            <w:bookmarkEnd w:id="78"/>
            <w:r>
              <w:rPr>
                <w:rFonts w:hint="eastAsia" w:ascii="宋体" w:hAnsi="宋体" w:eastAsia="宋体" w:cs="宋体"/>
                <w:color w:val="auto"/>
                <w:szCs w:val="21"/>
                <w:highlight w:val="none"/>
                <w:lang w:val="en-US" w:eastAsia="zh-CN"/>
              </w:rPr>
              <w:t>支付</w:t>
            </w:r>
            <w:bookmarkEnd w:id="79"/>
            <w:r>
              <w:rPr>
                <w:rFonts w:hint="eastAsia" w:ascii="宋体" w:hAnsi="宋体" w:eastAsia="宋体" w:cs="宋体"/>
                <w:color w:val="auto"/>
                <w:szCs w:val="21"/>
                <w:highlight w:val="none"/>
                <w:lang w:val="en-US" w:eastAsia="zh-CN"/>
              </w:rPr>
              <w:t>比例为：</w:t>
            </w:r>
            <w:bookmarkStart w:id="80" w:name="OLE_LINK60"/>
            <w:r>
              <w:rPr>
                <w:rFonts w:hint="eastAsia" w:ascii="宋体" w:hAnsi="宋体" w:cs="宋体"/>
                <w:b/>
                <w:bCs/>
                <w:color w:val="auto"/>
                <w:szCs w:val="21"/>
                <w:highlight w:val="none"/>
                <w:lang w:val="en-US" w:eastAsia="zh-CN"/>
              </w:rPr>
              <w:t>合同总价（扣除暂列金额）</w:t>
            </w:r>
            <w:r>
              <w:rPr>
                <w:rFonts w:hint="eastAsia" w:ascii="宋体" w:hAnsi="宋体" w:eastAsia="宋体" w:cs="宋体"/>
                <w:b/>
                <w:bCs/>
                <w:color w:val="auto"/>
                <w:szCs w:val="21"/>
                <w:highlight w:val="none"/>
                <w:lang w:val="en-US" w:eastAsia="zh-CN"/>
              </w:rPr>
              <w:t>的30%。预付款抵扣的方式、抵扣比例和抵扣时间安排：</w:t>
            </w:r>
            <w:bookmarkEnd w:id="80"/>
            <w:r>
              <w:rPr>
                <w:rFonts w:hint="eastAsia" w:ascii="宋体" w:hAnsi="宋体" w:cs="宋体"/>
                <w:b/>
                <w:bCs/>
                <w:color w:val="auto"/>
                <w:szCs w:val="21"/>
                <w:highlight w:val="none"/>
                <w:lang w:val="en-US" w:eastAsia="zh-CN"/>
              </w:rPr>
              <w:t>合同签订后，每月工程进度款先从预付款中扣除，原则上分两次扣完，每次扣预付款的50%。</w:t>
            </w:r>
          </w:p>
          <w:p w14:paraId="5CC8AD92">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2.关于付款周期的约定：</w:t>
            </w:r>
            <w:bookmarkStart w:id="81" w:name="OLE_LINK59"/>
            <w:r>
              <w:rPr>
                <w:rFonts w:hint="eastAsia" w:ascii="宋体" w:hAnsi="宋体" w:eastAsia="宋体" w:cs="宋体"/>
                <w:color w:val="auto"/>
                <w:szCs w:val="21"/>
                <w:highlight w:val="none"/>
                <w:lang w:val="en-US" w:eastAsia="zh-CN"/>
              </w:rPr>
              <w:t>按每月20—25日（逾期不提交的待下月同期再提交）承包人应向发包人提交当月工程完成工程形象进度报表，同时在进度报表中附加农民工工资支付计划并提交上一期农民工工资支付情况表，经建设单位核实后，合同内按每月完成工程量的80%支付工程进度款；在工程竣工结算评审后支付至工程款总额的97%，总额的3%作为质量保证金，质保金在缺陷责任期满后21个工作日内一次性无息付清。合同外工程款待工程竣工结算后一并支付</w:t>
            </w:r>
            <w:bookmarkEnd w:id="81"/>
            <w:r>
              <w:rPr>
                <w:rFonts w:hint="eastAsia" w:ascii="宋体" w:hAnsi="宋体" w:eastAsia="宋体" w:cs="宋体"/>
                <w:color w:val="auto"/>
                <w:szCs w:val="21"/>
                <w:highlight w:val="none"/>
                <w:lang w:val="en-US" w:eastAsia="zh-CN"/>
              </w:rPr>
              <w:t>。</w:t>
            </w:r>
          </w:p>
          <w:p w14:paraId="4EBEE2CC">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港口区财政局拨付相关款项后7个工作日内完成支付。</w:t>
            </w:r>
          </w:p>
        </w:tc>
      </w:tr>
      <w:tr w14:paraId="0A01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27D942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保修要求</w:t>
            </w:r>
          </w:p>
        </w:tc>
        <w:tc>
          <w:tcPr>
            <w:tcW w:w="6670" w:type="dxa"/>
            <w:noWrap w:val="0"/>
            <w:vAlign w:val="center"/>
          </w:tcPr>
          <w:p w14:paraId="0D03FFAC">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按照有关法律规定和合同约定，承担工程质量保修责任</w:t>
            </w:r>
            <w:r>
              <w:rPr>
                <w:rFonts w:hint="eastAsia" w:ascii="宋体" w:hAnsi="宋体" w:eastAsia="宋体" w:cs="宋体"/>
                <w:color w:val="auto"/>
                <w:szCs w:val="21"/>
                <w:highlight w:val="none"/>
                <w:lang w:eastAsia="zh-CN"/>
              </w:rPr>
              <w:t>。</w:t>
            </w:r>
          </w:p>
        </w:tc>
      </w:tr>
      <w:tr w14:paraId="46EE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E6EC2E1">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工程量清单</w:t>
            </w:r>
          </w:p>
        </w:tc>
        <w:tc>
          <w:tcPr>
            <w:tcW w:w="6670" w:type="dxa"/>
            <w:noWrap w:val="0"/>
            <w:vAlign w:val="center"/>
          </w:tcPr>
          <w:p w14:paraId="0536883A">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（另册）</w:t>
            </w:r>
          </w:p>
        </w:tc>
      </w:tr>
      <w:tr w14:paraId="0AF7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07C8803D">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预算控制价计算参考依据</w:t>
            </w:r>
          </w:p>
        </w:tc>
        <w:tc>
          <w:tcPr>
            <w:tcW w:w="6670" w:type="dxa"/>
            <w:noWrap w:val="0"/>
            <w:vAlign w:val="center"/>
          </w:tcPr>
          <w:p w14:paraId="437C7A59">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1.《建设工程工</w:t>
            </w:r>
            <w:bookmarkStart w:id="82" w:name="OLE_LINK21"/>
            <w:r>
              <w:rPr>
                <w:rFonts w:hint="eastAsia" w:ascii="宋体" w:hAnsi="宋体" w:eastAsia="宋体" w:cs="宋体"/>
                <w:color w:val="auto"/>
                <w:szCs w:val="21"/>
                <w:highlight w:val="none"/>
                <w:lang w:val="en-US" w:eastAsia="zh-CN"/>
              </w:rPr>
              <w:t>程量清单计价规范》(GB50500－2</w:t>
            </w:r>
            <w:bookmarkEnd w:id="82"/>
            <w:r>
              <w:rPr>
                <w:rFonts w:hint="eastAsia" w:ascii="宋体" w:hAnsi="宋体" w:eastAsia="宋体" w:cs="宋体"/>
                <w:color w:val="auto"/>
                <w:szCs w:val="21"/>
                <w:highlight w:val="none"/>
                <w:lang w:val="en-US" w:eastAsia="zh-CN"/>
              </w:rPr>
              <w:t xml:space="preserve">013)及广西壮族自治区实施细则修订本； </w:t>
            </w:r>
          </w:p>
          <w:p w14:paraId="01525D4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2.《建设工程工程量计算规范广西壮族自治区实施细则(GB50854～50862-2013)》（修订本）；</w:t>
            </w:r>
          </w:p>
          <w:p w14:paraId="4D695954">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3.建筑、安装、市政、拆除相关专业定额以及相应配套的费用定额；</w:t>
            </w:r>
          </w:p>
          <w:p w14:paraId="101993F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4.《自治区住房城乡建设厅关于颁布2016年&lt;广西壮族自治区建设工程费用定额&gt;的通知》(桂建标[2016]16号)；</w:t>
            </w:r>
          </w:p>
          <w:p w14:paraId="029589D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5.《关于建筑业实施营业税改增值税后广西壮族自治区建设工程计价依据调整的通知》(桂建标〔2016]17号)；</w:t>
            </w:r>
          </w:p>
          <w:p w14:paraId="4E518029">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6.《关于调整建设工程定额人工费及有关费率的通知》(桂建标[2018]19号)；</w:t>
            </w:r>
          </w:p>
          <w:p w14:paraId="10C7E4A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7.《关于调整除税价计算适用增值税税率的通知》(桂造价[2019]10号)；</w:t>
            </w:r>
          </w:p>
          <w:p w14:paraId="21BFDB40">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8.材料价格根据报审承诺书按2024年第10期《</w:t>
            </w:r>
            <w:r>
              <w:rPr>
                <w:rFonts w:hint="eastAsia" w:ascii="宋体" w:hAnsi="宋体" w:cs="宋体"/>
                <w:color w:val="auto"/>
                <w:szCs w:val="21"/>
                <w:highlight w:val="none"/>
                <w:lang w:val="en-US" w:eastAsia="zh-CN"/>
              </w:rPr>
              <w:t>防城港市</w:t>
            </w:r>
            <w:r>
              <w:rPr>
                <w:rFonts w:hint="eastAsia" w:ascii="宋体" w:hAnsi="宋体" w:eastAsia="宋体" w:cs="宋体"/>
                <w:color w:val="auto"/>
                <w:szCs w:val="21"/>
                <w:highlight w:val="none"/>
                <w:lang w:val="en-US" w:eastAsia="zh-CN"/>
              </w:rPr>
              <w:t>建设工程造价信息》公布的</w:t>
            </w:r>
            <w:r>
              <w:rPr>
                <w:rFonts w:hint="eastAsia" w:ascii="宋体" w:hAnsi="宋体" w:cs="宋体"/>
                <w:color w:val="auto"/>
                <w:szCs w:val="21"/>
                <w:highlight w:val="none"/>
                <w:lang w:val="en-US" w:eastAsia="zh-CN"/>
              </w:rPr>
              <w:t>港口</w:t>
            </w:r>
            <w:r>
              <w:rPr>
                <w:rFonts w:hint="eastAsia" w:ascii="宋体" w:hAnsi="宋体" w:eastAsia="宋体" w:cs="宋体"/>
                <w:color w:val="auto"/>
                <w:szCs w:val="21"/>
                <w:highlight w:val="none"/>
                <w:lang w:val="en-US" w:eastAsia="zh-CN"/>
              </w:rPr>
              <w:t>区除税价格信息计取，信息价没有公布的材料价格则参照周边县市信息价或市场询价确定。</w:t>
            </w:r>
          </w:p>
        </w:tc>
      </w:tr>
      <w:tr w14:paraId="1980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D27567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技术规范</w:t>
            </w:r>
          </w:p>
        </w:tc>
        <w:tc>
          <w:tcPr>
            <w:tcW w:w="6670" w:type="dxa"/>
            <w:noWrap w:val="0"/>
            <w:vAlign w:val="center"/>
          </w:tcPr>
          <w:p w14:paraId="3CF6827A">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按照</w:t>
            </w:r>
            <w:r>
              <w:rPr>
                <w:rFonts w:hint="eastAsia" w:ascii="宋体" w:hAnsi="宋体" w:cs="宋体"/>
                <w:color w:val="auto"/>
                <w:szCs w:val="21"/>
                <w:highlight w:val="none"/>
                <w:lang w:val="en-US" w:eastAsia="zh-CN"/>
              </w:rPr>
              <w:t>工程量清单</w:t>
            </w:r>
            <w:r>
              <w:rPr>
                <w:rFonts w:hint="eastAsia" w:ascii="宋体" w:hAnsi="宋体" w:eastAsia="宋体" w:cs="宋体"/>
                <w:color w:val="auto"/>
                <w:szCs w:val="21"/>
                <w:highlight w:val="none"/>
              </w:rPr>
              <w:t>的要求进行施工，同时也要严格执行国家现行行业验收标准、专业相关的现行标准和技术规范。</w:t>
            </w:r>
          </w:p>
        </w:tc>
      </w:tr>
      <w:tr w14:paraId="0992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24374770">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cs="黑体"/>
                <w:color w:val="auto"/>
                <w:highlight w:val="none"/>
              </w:rPr>
              <w:t>技术标准和要求</w:t>
            </w:r>
          </w:p>
        </w:tc>
        <w:tc>
          <w:tcPr>
            <w:tcW w:w="6670" w:type="dxa"/>
            <w:noWrap w:val="0"/>
            <w:vAlign w:val="center"/>
          </w:tcPr>
          <w:p w14:paraId="3CFA26A0">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1.供应商</w:t>
            </w:r>
            <w:r>
              <w:rPr>
                <w:rFonts w:hint="eastAsia" w:ascii="宋体" w:hAnsi="宋体" w:eastAsia="宋体" w:cs="宋体"/>
                <w:color w:val="auto"/>
                <w:szCs w:val="21"/>
                <w:highlight w:val="none"/>
              </w:rPr>
              <w:t>必须自行为其</w:t>
            </w:r>
            <w:r>
              <w:rPr>
                <w:rFonts w:hint="eastAsia" w:ascii="宋体" w:hAnsi="宋体" w:eastAsia="宋体" w:cs="宋体"/>
                <w:color w:val="auto"/>
                <w:szCs w:val="21"/>
                <w:highlight w:val="none"/>
                <w:lang w:val="en-US" w:eastAsia="zh-CN"/>
              </w:rPr>
              <w:t>竞</w:t>
            </w:r>
            <w:r>
              <w:rPr>
                <w:rFonts w:hint="eastAsia" w:ascii="宋体" w:hAnsi="宋体" w:eastAsia="宋体" w:cs="宋体"/>
                <w:color w:val="auto"/>
                <w:szCs w:val="21"/>
                <w:highlight w:val="none"/>
              </w:rPr>
              <w:t>标产品侵权其他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或专利人的专利成果承担相应法律责任；同时，具有产品专利的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应在其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文件中提供与其自有产品专利相关的有效证明材料，否则，不能就其产品的专利在本项目</w:t>
            </w:r>
            <w:r>
              <w:rPr>
                <w:rFonts w:hint="eastAsia" w:ascii="宋体" w:hAnsi="宋体" w:eastAsia="宋体" w:cs="宋体"/>
                <w:color w:val="auto"/>
                <w:szCs w:val="21"/>
                <w:highlight w:val="none"/>
                <w:lang w:val="en-US" w:eastAsia="zh-CN"/>
              </w:rPr>
              <w:t>竞</w:t>
            </w:r>
            <w:r>
              <w:rPr>
                <w:rFonts w:hint="eastAsia" w:ascii="宋体" w:hAnsi="宋体" w:eastAsia="宋体" w:cs="宋体"/>
                <w:color w:val="auto"/>
                <w:szCs w:val="21"/>
                <w:highlight w:val="none"/>
              </w:rPr>
              <w:t>标过程中被侵权问题提出异议</w:t>
            </w:r>
            <w:r>
              <w:rPr>
                <w:rFonts w:hint="eastAsia" w:ascii="宋体" w:hAnsi="宋体" w:eastAsia="宋体" w:cs="宋体"/>
                <w:color w:val="auto"/>
                <w:szCs w:val="21"/>
                <w:highlight w:val="none"/>
                <w:lang w:eastAsia="zh-CN"/>
              </w:rPr>
              <w:t>；</w:t>
            </w:r>
          </w:p>
          <w:p w14:paraId="6F42FDE1">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2.供应商</w:t>
            </w:r>
            <w:r>
              <w:rPr>
                <w:rFonts w:hint="eastAsia" w:ascii="宋体" w:hAnsi="宋体" w:eastAsia="宋体" w:cs="宋体"/>
                <w:color w:val="auto"/>
                <w:szCs w:val="21"/>
                <w:highlight w:val="none"/>
              </w:rPr>
              <w:t>投入本项目</w:t>
            </w:r>
            <w:r>
              <w:rPr>
                <w:rFonts w:hint="eastAsia" w:ascii="宋体" w:hAnsi="宋体" w:eastAsia="宋体" w:cs="宋体"/>
                <w:color w:val="auto"/>
                <w:szCs w:val="21"/>
                <w:highlight w:val="none"/>
                <w:lang w:val="en-US" w:eastAsia="zh-CN"/>
              </w:rPr>
              <w:t>与工程有关的</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en-US" w:eastAsia="zh-CN"/>
              </w:rPr>
              <w:t>及服务</w:t>
            </w:r>
            <w:r>
              <w:rPr>
                <w:rFonts w:hint="eastAsia" w:ascii="宋体" w:hAnsi="宋体" w:eastAsia="宋体" w:cs="宋体"/>
                <w:color w:val="auto"/>
                <w:szCs w:val="21"/>
                <w:highlight w:val="none"/>
              </w:rPr>
              <w:t>需符合设计文件、国家标准，且具有质量证明文件，选材要遵循环保性、耐用性、安装或使用的便捷性，应选用</w:t>
            </w:r>
            <w:bookmarkStart w:id="83" w:name="OLE_LINK22"/>
            <w:r>
              <w:rPr>
                <w:rFonts w:hint="eastAsia" w:ascii="宋体" w:hAnsi="宋体" w:eastAsia="宋体" w:cs="宋体"/>
                <w:color w:val="auto"/>
                <w:szCs w:val="21"/>
                <w:highlight w:val="none"/>
              </w:rPr>
              <w:t>整体性价比强</w:t>
            </w:r>
            <w:bookmarkEnd w:id="83"/>
            <w:r>
              <w:rPr>
                <w:rFonts w:hint="eastAsia" w:ascii="宋体" w:hAnsi="宋体" w:eastAsia="宋体" w:cs="宋体"/>
                <w:color w:val="auto"/>
                <w:szCs w:val="21"/>
                <w:highlight w:val="none"/>
              </w:rPr>
              <w:t>的材料</w:t>
            </w:r>
            <w:r>
              <w:rPr>
                <w:rFonts w:hint="eastAsia" w:ascii="宋体" w:hAnsi="宋体" w:eastAsia="宋体" w:cs="宋体"/>
                <w:color w:val="auto"/>
                <w:szCs w:val="21"/>
                <w:highlight w:val="none"/>
                <w:lang w:eastAsia="zh-CN"/>
              </w:rPr>
              <w:t>；</w:t>
            </w:r>
          </w:p>
          <w:p w14:paraId="147B7661">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r>
              <w:rPr>
                <w:rFonts w:hint="default" w:ascii="Times New Roman" w:hAnsi="Times New Roman" w:eastAsia="宋体" w:cs="Times New Roman"/>
                <w:b/>
                <w:bCs/>
                <w:color w:val="auto"/>
                <w:highlight w:val="none"/>
                <w:lang w:val="en-US" w:eastAsia="zh-CN"/>
              </w:rPr>
              <w:t>为防止供应商出现严重不平衡报价，本工程对所有工程量清单实行最高限价，即供应商响应文件中相应项目的单价不能超出经采购人或采购代理机构公布的招标控制价的相应项目单价。</w:t>
            </w:r>
            <w:r>
              <w:rPr>
                <w:rFonts w:hint="eastAsia" w:ascii="宋体" w:hAnsi="宋体" w:eastAsia="宋体" w:cs="宋体"/>
                <w:b/>
                <w:bCs/>
                <w:color w:val="auto"/>
                <w:szCs w:val="21"/>
                <w:highlight w:val="none"/>
                <w:lang w:val="en-US" w:eastAsia="zh-CN"/>
              </w:rPr>
              <w:t>供应商必须就所竞标项目的全部内容作完整唯一报价，漏项报价的或有选择的或有条件的报价，或总价报价或单价报价超出本项目采购文件规定的对应最高限价的，其磋商将视为无效。</w:t>
            </w:r>
          </w:p>
          <w:p w14:paraId="55AB47B7">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4.安全生产责任保险费按分部分项工程费及措施项目费（含单价及总价措施项目费）为计算基数乘以0.2%计入暂估价，工程结算时，由发承包双方根据工程实际情况确认的安全生产责任保险费计入工程造价。</w:t>
            </w:r>
          </w:p>
          <w:p w14:paraId="09C248FE">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default"/>
                <w:color w:val="auto"/>
                <w:highlight w:val="none"/>
                <w:lang w:val="en-US" w:eastAsia="zh-CN"/>
              </w:rPr>
            </w:pPr>
            <w:r>
              <w:rPr>
                <w:rFonts w:hint="eastAsia" w:ascii="宋体" w:hAnsi="宋体" w:eastAsia="宋体" w:cs="宋体"/>
                <w:b/>
                <w:bCs/>
                <w:color w:val="auto"/>
                <w:szCs w:val="21"/>
                <w:highlight w:val="none"/>
                <w:lang w:val="en-US" w:eastAsia="zh-CN"/>
              </w:rPr>
              <w:t>5.投标人在编制投标报价文件时，安全生产责任保险应按招标工程量清单中给出的安全生产责任保险暂估价的具体金额填写，不得调整，否则响应文件作无效响应处理。</w:t>
            </w:r>
          </w:p>
        </w:tc>
      </w:tr>
    </w:tbl>
    <w:p w14:paraId="6D51BE66">
      <w:pPr>
        <w:pStyle w:val="2"/>
        <w:pageBreakBefore w:val="0"/>
        <w:widowControl w:val="0"/>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cs="宋体"/>
          <w:b w:val="0"/>
          <w:color w:val="auto"/>
          <w:sz w:val="32"/>
          <w:szCs w:val="32"/>
          <w:highlight w:val="none"/>
          <w:lang w:val="en-US" w:eastAsia="zh-CN"/>
        </w:rPr>
      </w:pPr>
    </w:p>
    <w:p w14:paraId="061974E1">
      <w:pPr>
        <w:rPr>
          <w:rFonts w:hint="eastAsia" w:ascii="宋体" w:hAnsi="宋体" w:cs="宋体"/>
          <w:b w:val="0"/>
          <w:color w:val="auto"/>
          <w:sz w:val="32"/>
          <w:szCs w:val="32"/>
          <w:highlight w:val="none"/>
          <w:lang w:val="en-US" w:eastAsia="zh-CN"/>
        </w:rPr>
      </w:pPr>
    </w:p>
    <w:p w14:paraId="555D6B89">
      <w:pPr>
        <w:pStyle w:val="14"/>
        <w:rPr>
          <w:rFonts w:hint="eastAsia" w:ascii="宋体" w:hAnsi="宋体" w:cs="宋体"/>
          <w:b w:val="0"/>
          <w:color w:val="auto"/>
          <w:sz w:val="32"/>
          <w:szCs w:val="32"/>
          <w:highlight w:val="none"/>
          <w:lang w:val="en-US" w:eastAsia="zh-CN"/>
        </w:rPr>
      </w:pPr>
    </w:p>
    <w:p w14:paraId="48E47AF3">
      <w:pPr>
        <w:rPr>
          <w:rFonts w:hint="eastAsia"/>
          <w:color w:val="auto"/>
          <w:lang w:val="en-US" w:eastAsia="zh-CN"/>
        </w:rPr>
      </w:pPr>
    </w:p>
    <w:p w14:paraId="4E05C0C8">
      <w:pPr>
        <w:rPr>
          <w:rFonts w:hint="eastAsia"/>
          <w:color w:val="auto"/>
          <w:lang w:val="en-US" w:eastAsia="zh-CN"/>
        </w:rPr>
      </w:pPr>
    </w:p>
    <w:p w14:paraId="50CFF43E">
      <w:pPr>
        <w:rPr>
          <w:rFonts w:hint="eastAsia"/>
          <w:color w:val="auto"/>
          <w:lang w:val="en-US" w:eastAsia="zh-CN"/>
        </w:rPr>
      </w:pPr>
    </w:p>
    <w:p w14:paraId="5E1D07CF">
      <w:pPr>
        <w:rPr>
          <w:rFonts w:hint="eastAsia"/>
          <w:color w:val="auto"/>
          <w:lang w:val="en-US" w:eastAsia="zh-CN"/>
        </w:rPr>
      </w:pPr>
    </w:p>
    <w:p w14:paraId="18FA734E">
      <w:pPr>
        <w:rPr>
          <w:rFonts w:hint="eastAsia"/>
          <w:color w:val="auto"/>
          <w:lang w:val="en-US" w:eastAsia="zh-CN"/>
        </w:rPr>
      </w:pPr>
    </w:p>
    <w:p w14:paraId="0A8A87E6">
      <w:pPr>
        <w:rPr>
          <w:rFonts w:hint="eastAsia"/>
          <w:color w:val="auto"/>
          <w:lang w:val="en-US" w:eastAsia="zh-CN"/>
        </w:rPr>
      </w:pPr>
    </w:p>
    <w:p w14:paraId="38F0814B">
      <w:pPr>
        <w:rPr>
          <w:rFonts w:hint="eastAsia"/>
          <w:color w:val="auto"/>
          <w:lang w:val="en-US" w:eastAsia="zh-CN"/>
        </w:rPr>
      </w:pPr>
    </w:p>
    <w:p w14:paraId="18E9F2F1">
      <w:pPr>
        <w:rPr>
          <w:rFonts w:hint="eastAsia"/>
          <w:color w:val="auto"/>
          <w:lang w:val="en-US" w:eastAsia="zh-CN"/>
        </w:rPr>
      </w:pPr>
    </w:p>
    <w:p w14:paraId="1E3142EB">
      <w:pPr>
        <w:rPr>
          <w:rFonts w:hint="eastAsia"/>
          <w:color w:val="auto"/>
          <w:lang w:val="en-US" w:eastAsia="zh-CN"/>
        </w:rPr>
      </w:pPr>
    </w:p>
    <w:p w14:paraId="4BBE4372">
      <w:pPr>
        <w:rPr>
          <w:rFonts w:hint="eastAsia"/>
          <w:color w:val="auto"/>
          <w:lang w:val="en-US" w:eastAsia="zh-CN"/>
        </w:rPr>
      </w:pPr>
    </w:p>
    <w:p w14:paraId="2E682490">
      <w:pPr>
        <w:rPr>
          <w:rFonts w:hint="eastAsia"/>
          <w:color w:val="auto"/>
          <w:lang w:val="en-US" w:eastAsia="zh-CN"/>
        </w:rPr>
      </w:pPr>
    </w:p>
    <w:p w14:paraId="0C09B690">
      <w:pPr>
        <w:rPr>
          <w:rFonts w:hint="eastAsia"/>
          <w:color w:val="auto"/>
          <w:lang w:val="en-US" w:eastAsia="zh-CN"/>
        </w:rPr>
      </w:pPr>
    </w:p>
    <w:p w14:paraId="62C24E74">
      <w:pPr>
        <w:rPr>
          <w:rFonts w:hint="eastAsia"/>
          <w:color w:val="auto"/>
          <w:lang w:val="en-US" w:eastAsia="zh-CN"/>
        </w:rPr>
      </w:pPr>
    </w:p>
    <w:p w14:paraId="405565D3">
      <w:pPr>
        <w:rPr>
          <w:rFonts w:hint="eastAsia"/>
          <w:color w:val="auto"/>
          <w:lang w:val="en-US" w:eastAsia="zh-CN"/>
        </w:rPr>
      </w:pPr>
    </w:p>
    <w:p w14:paraId="7D955291">
      <w:pPr>
        <w:rPr>
          <w:rFonts w:hint="eastAsia"/>
          <w:color w:val="auto"/>
          <w:lang w:val="en-US" w:eastAsia="zh-CN"/>
        </w:rPr>
      </w:pPr>
    </w:p>
    <w:p w14:paraId="4B555F72">
      <w:pPr>
        <w:rPr>
          <w:rFonts w:hint="eastAsia"/>
          <w:color w:val="auto"/>
          <w:lang w:val="en-US" w:eastAsia="zh-CN"/>
        </w:rPr>
      </w:pPr>
    </w:p>
    <w:p w14:paraId="51C7B0D2">
      <w:pPr>
        <w:rPr>
          <w:rFonts w:hint="eastAsia"/>
          <w:color w:val="auto"/>
          <w:lang w:val="en-US" w:eastAsia="zh-CN"/>
        </w:rPr>
      </w:pPr>
    </w:p>
    <w:p w14:paraId="1FF12652">
      <w:pPr>
        <w:rPr>
          <w:rFonts w:hint="eastAsia"/>
          <w:color w:val="auto"/>
          <w:lang w:val="en-US" w:eastAsia="zh-CN"/>
        </w:rPr>
      </w:pPr>
    </w:p>
    <w:p w14:paraId="3A8BBCC1">
      <w:pPr>
        <w:rPr>
          <w:rFonts w:hint="eastAsia"/>
          <w:color w:val="auto"/>
          <w:lang w:val="en-US" w:eastAsia="zh-CN"/>
        </w:rPr>
      </w:pPr>
    </w:p>
    <w:p w14:paraId="2395DD83">
      <w:pPr>
        <w:rPr>
          <w:rFonts w:hint="eastAsia"/>
          <w:color w:val="auto"/>
          <w:lang w:val="en-US" w:eastAsia="zh-CN"/>
        </w:rPr>
      </w:pPr>
    </w:p>
    <w:p w14:paraId="21876E59">
      <w:pPr>
        <w:rPr>
          <w:rFonts w:hint="eastAsia"/>
          <w:color w:val="auto"/>
          <w:lang w:val="en-US" w:eastAsia="zh-CN"/>
        </w:rPr>
      </w:pPr>
    </w:p>
    <w:p w14:paraId="3DB823A6">
      <w:pPr>
        <w:rPr>
          <w:rFonts w:hint="eastAsia"/>
          <w:color w:val="auto"/>
          <w:lang w:val="en-US" w:eastAsia="zh-CN"/>
        </w:rPr>
      </w:pPr>
    </w:p>
    <w:bookmarkEnd w:id="77"/>
    <w:p w14:paraId="54CDD8B3">
      <w:pPr>
        <w:rPr>
          <w:rFonts w:hint="eastAsia"/>
          <w:color w:val="auto"/>
          <w:lang w:val="en-US" w:eastAsia="zh-CN"/>
        </w:rPr>
      </w:pPr>
    </w:p>
    <w:p w14:paraId="35E84D47">
      <w:pPr>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color w:val="auto"/>
          <w:sz w:val="32"/>
          <w:szCs w:val="32"/>
          <w:highlight w:val="none"/>
        </w:rPr>
      </w:pPr>
      <w:bookmarkStart w:id="84" w:name="_Toc16101"/>
      <w:r>
        <w:rPr>
          <w:rFonts w:hint="eastAsia" w:ascii="宋体" w:hAnsi="宋体" w:eastAsia="宋体" w:cs="宋体"/>
          <w:b/>
          <w:color w:val="auto"/>
          <w:sz w:val="32"/>
          <w:szCs w:val="32"/>
          <w:highlight w:val="none"/>
        </w:rPr>
        <w:br w:type="page"/>
      </w:r>
    </w:p>
    <w:p w14:paraId="068F2020">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第四章  合同条款及格式</w:t>
      </w:r>
      <w:bookmarkEnd w:id="84"/>
    </w:p>
    <w:p w14:paraId="2A9BEC34">
      <w:pPr>
        <w:rPr>
          <w:rFonts w:hint="eastAsia" w:ascii="宋体" w:hAnsi="宋体"/>
          <w:b/>
          <w:color w:val="auto"/>
          <w:sz w:val="30"/>
          <w:szCs w:val="30"/>
        </w:rPr>
      </w:pPr>
    </w:p>
    <w:p w14:paraId="5D7826D0">
      <w:pPr>
        <w:ind w:firstLine="600" w:firstLineChars="200"/>
        <w:rPr>
          <w:rFonts w:ascii="宋体" w:hAnsi="宋体"/>
          <w:b/>
          <w:color w:val="auto"/>
          <w:sz w:val="30"/>
          <w:szCs w:val="30"/>
        </w:rPr>
      </w:pPr>
      <w:r>
        <w:rPr>
          <w:rFonts w:hint="eastAsia" w:ascii="宋体" w:hAnsi="宋体"/>
          <w:color w:val="auto"/>
          <w:sz w:val="30"/>
          <w:szCs w:val="30"/>
          <w:u w:val="single"/>
        </w:rPr>
        <w:t xml:space="preserve">                          </w:t>
      </w:r>
      <w:r>
        <w:rPr>
          <w:rFonts w:hint="eastAsia" w:ascii="宋体" w:hAnsi="宋体"/>
          <w:b/>
          <w:color w:val="auto"/>
          <w:sz w:val="30"/>
          <w:szCs w:val="30"/>
        </w:rPr>
        <w:t>工程施工合同</w:t>
      </w:r>
    </w:p>
    <w:p w14:paraId="7699BBC1">
      <w:pPr>
        <w:rPr>
          <w:rFonts w:ascii="宋体" w:hAnsi="宋体"/>
          <w:color w:val="auto"/>
          <w:sz w:val="30"/>
          <w:szCs w:val="30"/>
        </w:rPr>
      </w:pPr>
    </w:p>
    <w:p w14:paraId="03E11804">
      <w:pPr>
        <w:rPr>
          <w:rFonts w:ascii="宋体" w:hAnsi="宋体"/>
          <w:color w:val="auto"/>
          <w:sz w:val="30"/>
          <w:szCs w:val="30"/>
        </w:rPr>
      </w:pPr>
    </w:p>
    <w:p w14:paraId="6C71EC9F">
      <w:pPr>
        <w:ind w:firstLine="602" w:firstLineChars="200"/>
        <w:jc w:val="center"/>
        <w:rPr>
          <w:rFonts w:ascii="宋体" w:hAnsi="宋体"/>
          <w:b/>
          <w:color w:val="auto"/>
          <w:sz w:val="30"/>
          <w:szCs w:val="30"/>
        </w:rPr>
      </w:pPr>
      <w:r>
        <w:rPr>
          <w:rFonts w:hint="eastAsia" w:ascii="宋体" w:hAnsi="宋体"/>
          <w:b/>
          <w:color w:val="auto"/>
          <w:sz w:val="30"/>
          <w:szCs w:val="30"/>
        </w:rPr>
        <w:t>（项目编号：</w:t>
      </w:r>
      <w:r>
        <w:rPr>
          <w:rFonts w:hint="eastAsia" w:ascii="宋体" w:hAnsi="宋体"/>
          <w:color w:val="auto"/>
          <w:sz w:val="30"/>
          <w:szCs w:val="30"/>
          <w:u w:val="single"/>
        </w:rPr>
        <w:t xml:space="preserve">                     </w:t>
      </w:r>
      <w:r>
        <w:rPr>
          <w:rFonts w:hint="eastAsia" w:ascii="宋体" w:hAnsi="宋体"/>
          <w:b/>
          <w:color w:val="auto"/>
          <w:sz w:val="30"/>
          <w:szCs w:val="30"/>
        </w:rPr>
        <w:t xml:space="preserve"> ）</w:t>
      </w:r>
    </w:p>
    <w:p w14:paraId="62CFD5A9">
      <w:pPr>
        <w:rPr>
          <w:rFonts w:hint="eastAsia" w:ascii="宋体" w:hAnsi="宋体"/>
          <w:color w:val="auto"/>
          <w:sz w:val="30"/>
          <w:szCs w:val="30"/>
        </w:rPr>
      </w:pPr>
    </w:p>
    <w:p w14:paraId="52F81AFA">
      <w:pPr>
        <w:rPr>
          <w:rFonts w:hint="eastAsia" w:ascii="宋体" w:hAnsi="宋体"/>
          <w:color w:val="auto"/>
          <w:sz w:val="30"/>
          <w:szCs w:val="30"/>
        </w:rPr>
      </w:pPr>
    </w:p>
    <w:p w14:paraId="07B2140C">
      <w:pPr>
        <w:rPr>
          <w:rFonts w:hint="eastAsia" w:ascii="宋体" w:hAnsi="宋体"/>
          <w:color w:val="auto"/>
          <w:sz w:val="30"/>
          <w:szCs w:val="30"/>
        </w:rPr>
      </w:pPr>
    </w:p>
    <w:p w14:paraId="271E6364">
      <w:pPr>
        <w:rPr>
          <w:rFonts w:hint="eastAsia" w:ascii="宋体" w:hAnsi="宋体"/>
          <w:color w:val="auto"/>
          <w:sz w:val="30"/>
          <w:szCs w:val="30"/>
        </w:rPr>
      </w:pPr>
    </w:p>
    <w:p w14:paraId="7F741D43">
      <w:pPr>
        <w:rPr>
          <w:rFonts w:ascii="宋体" w:hAnsi="宋体"/>
          <w:color w:val="auto"/>
          <w:sz w:val="30"/>
          <w:szCs w:val="30"/>
        </w:rPr>
      </w:pPr>
    </w:p>
    <w:p w14:paraId="12008960">
      <w:pPr>
        <w:rPr>
          <w:rFonts w:ascii="宋体" w:hAnsi="宋体"/>
          <w:color w:val="auto"/>
          <w:sz w:val="30"/>
          <w:szCs w:val="30"/>
        </w:rPr>
      </w:pPr>
    </w:p>
    <w:p w14:paraId="11008053">
      <w:pPr>
        <w:ind w:firstLine="600" w:firstLineChars="200"/>
        <w:rPr>
          <w:rFonts w:ascii="宋体" w:hAnsi="宋体"/>
          <w:color w:val="auto"/>
          <w:sz w:val="30"/>
          <w:szCs w:val="30"/>
          <w:u w:val="single"/>
        </w:rPr>
      </w:pPr>
      <w:r>
        <w:rPr>
          <w:rFonts w:hint="eastAsia" w:ascii="宋体" w:hAnsi="宋体"/>
          <w:color w:val="auto"/>
          <w:sz w:val="30"/>
          <w:szCs w:val="30"/>
        </w:rPr>
        <w:t>发 包 人：</w:t>
      </w:r>
      <w:r>
        <w:rPr>
          <w:rFonts w:hint="eastAsia" w:ascii="宋体" w:hAnsi="宋体"/>
          <w:color w:val="auto"/>
          <w:sz w:val="30"/>
          <w:szCs w:val="30"/>
          <w:u w:val="single"/>
        </w:rPr>
        <w:t xml:space="preserve">                               </w:t>
      </w:r>
    </w:p>
    <w:p w14:paraId="396FD181">
      <w:pPr>
        <w:rPr>
          <w:rFonts w:ascii="宋体" w:hAnsi="宋体"/>
          <w:color w:val="auto"/>
          <w:sz w:val="30"/>
          <w:szCs w:val="30"/>
        </w:rPr>
      </w:pPr>
    </w:p>
    <w:p w14:paraId="4450DE93">
      <w:pPr>
        <w:ind w:firstLine="600" w:firstLineChars="200"/>
        <w:rPr>
          <w:rFonts w:ascii="宋体" w:hAnsi="宋体"/>
          <w:color w:val="auto"/>
          <w:sz w:val="30"/>
          <w:szCs w:val="30"/>
          <w:u w:val="single"/>
        </w:rPr>
      </w:pPr>
      <w:r>
        <w:rPr>
          <w:rFonts w:hint="eastAsia" w:ascii="宋体" w:hAnsi="宋体"/>
          <w:color w:val="auto"/>
          <w:sz w:val="30"/>
          <w:szCs w:val="30"/>
        </w:rPr>
        <w:t>承 包 人：</w:t>
      </w:r>
      <w:r>
        <w:rPr>
          <w:rFonts w:hint="eastAsia" w:ascii="宋体" w:hAnsi="宋体"/>
          <w:color w:val="auto"/>
          <w:sz w:val="30"/>
          <w:szCs w:val="30"/>
          <w:u w:val="single"/>
        </w:rPr>
        <w:t xml:space="preserve">                               </w:t>
      </w:r>
    </w:p>
    <w:p w14:paraId="1271D634">
      <w:pPr>
        <w:jc w:val="center"/>
        <w:rPr>
          <w:rFonts w:ascii="宋体" w:hAnsi="宋体"/>
          <w:color w:val="auto"/>
          <w:sz w:val="30"/>
          <w:szCs w:val="30"/>
        </w:rPr>
      </w:pPr>
    </w:p>
    <w:p w14:paraId="73BFC73F">
      <w:pPr>
        <w:pStyle w:val="2"/>
        <w:ind w:firstLine="883" w:firstLineChars="200"/>
        <w:jc w:val="center"/>
        <w:rPr>
          <w:color w:val="auto"/>
        </w:rPr>
      </w:pPr>
      <w:r>
        <w:rPr>
          <w:color w:val="auto"/>
        </w:rPr>
        <w:br w:type="page"/>
      </w:r>
      <w:bookmarkStart w:id="85" w:name="OLE_LINK26"/>
      <w:r>
        <w:rPr>
          <w:rFonts w:hint="eastAsia" w:cs="黑体"/>
          <w:color w:val="auto"/>
          <w:highlight w:val="white"/>
        </w:rPr>
        <w:t>第一部分</w:t>
      </w:r>
      <w:r>
        <w:rPr>
          <w:color w:val="auto"/>
          <w:highlight w:val="white"/>
        </w:rPr>
        <w:t xml:space="preserve"> </w:t>
      </w:r>
      <w:r>
        <w:rPr>
          <w:rFonts w:hint="eastAsia" w:cs="黑体"/>
          <w:color w:val="auto"/>
          <w:highlight w:val="white"/>
        </w:rPr>
        <w:t>合同协议书</w:t>
      </w:r>
      <w:bookmarkEnd w:id="85"/>
    </w:p>
    <w:p w14:paraId="2492C59E">
      <w:pPr>
        <w:pStyle w:val="68"/>
        <w:spacing w:line="240" w:lineRule="auto"/>
        <w:ind w:firstLine="440" w:firstLineChars="200"/>
        <w:rPr>
          <w:rFonts w:hint="eastAsia" w:eastAsia="宋体"/>
          <w:color w:val="auto"/>
          <w:sz w:val="22"/>
          <w:u w:val="single"/>
          <w:lang w:eastAsia="zh-CN"/>
        </w:rPr>
      </w:pPr>
      <w:bookmarkStart w:id="86" w:name="EBf5d8882b67eb450294403d6d9eac2034"/>
      <w:r>
        <w:rPr>
          <w:rFonts w:hAnsi="宋体"/>
          <w:color w:val="auto"/>
          <w:sz w:val="22"/>
        </w:rPr>
        <w:t>发包人（全称）：</w:t>
      </w:r>
      <w:r>
        <w:rPr>
          <w:rFonts w:hint="eastAsia" w:hAnsi="宋体"/>
          <w:color w:val="auto"/>
          <w:sz w:val="22"/>
          <w:u w:val="single"/>
          <w:lang w:val="en-US" w:eastAsia="zh-CN"/>
        </w:rPr>
        <w:t xml:space="preserve">                        </w:t>
      </w:r>
    </w:p>
    <w:p w14:paraId="3487671E">
      <w:pPr>
        <w:pStyle w:val="68"/>
        <w:spacing w:line="240" w:lineRule="auto"/>
        <w:ind w:firstLine="440" w:firstLineChars="200"/>
        <w:rPr>
          <w:rFonts w:hint="eastAsia" w:eastAsia="宋体"/>
          <w:color w:val="auto"/>
          <w:sz w:val="22"/>
          <w:u w:val="single"/>
          <w:lang w:eastAsia="zh-CN"/>
        </w:rPr>
      </w:pPr>
      <w:r>
        <w:rPr>
          <w:rFonts w:hAnsi="宋体"/>
          <w:color w:val="auto"/>
          <w:sz w:val="22"/>
        </w:rPr>
        <w:t>承包人（全称）：</w:t>
      </w:r>
      <w:r>
        <w:rPr>
          <w:rFonts w:hint="eastAsia" w:hAnsi="宋体"/>
          <w:color w:val="auto"/>
          <w:sz w:val="22"/>
          <w:u w:val="single"/>
          <w:lang w:val="en-US" w:eastAsia="zh-CN"/>
        </w:rPr>
        <w:t xml:space="preserve">                        </w:t>
      </w:r>
    </w:p>
    <w:p w14:paraId="44F336F0">
      <w:pPr>
        <w:pStyle w:val="68"/>
        <w:spacing w:line="240" w:lineRule="auto"/>
        <w:ind w:firstLine="440" w:firstLineChars="200"/>
        <w:rPr>
          <w:rFonts w:hAnsi="宋体"/>
          <w:color w:val="auto"/>
          <w:sz w:val="22"/>
        </w:rPr>
      </w:pPr>
      <w:r>
        <w:rPr>
          <w:rFonts w:hAnsi="宋体"/>
          <w:color w:val="auto"/>
          <w:sz w:val="22"/>
        </w:rPr>
        <w:t>根据《中华人民共和国</w:t>
      </w:r>
      <w:r>
        <w:rPr>
          <w:rFonts w:hint="eastAsia" w:hAnsi="宋体"/>
          <w:color w:val="auto"/>
          <w:sz w:val="22"/>
        </w:rPr>
        <w:t>民法典</w:t>
      </w:r>
      <w:r>
        <w:rPr>
          <w:rFonts w:hint="eastAsia" w:hAnsi="宋体"/>
          <w:color w:val="auto"/>
          <w:sz w:val="22"/>
          <w:lang w:eastAsia="zh-CN"/>
        </w:rPr>
        <w:t>》《</w:t>
      </w:r>
      <w:r>
        <w:rPr>
          <w:rFonts w:hAnsi="宋体"/>
          <w:color w:val="auto"/>
          <w:sz w:val="22"/>
        </w:rPr>
        <w:t>中华人民共和国建筑法》及有关法律规定，遵循平等、自愿、公平和诚实信用的原则，双方就</w:t>
      </w:r>
      <w:r>
        <w:rPr>
          <w:rFonts w:hint="eastAsia"/>
          <w:color w:val="auto"/>
          <w:sz w:val="22"/>
          <w:u w:val="single"/>
          <w:lang w:val="en-US" w:eastAsia="zh-CN"/>
        </w:rPr>
        <w:t xml:space="preserve"> </w:t>
      </w:r>
      <w:r>
        <w:rPr>
          <w:rFonts w:hint="eastAsia" w:hAnsi="宋体"/>
          <w:color w:val="auto"/>
          <w:sz w:val="22"/>
          <w:u w:val="single"/>
          <w:lang w:val="en-US" w:eastAsia="zh-CN"/>
        </w:rPr>
        <w:t xml:space="preserve">                    </w:t>
      </w:r>
      <w:r>
        <w:rPr>
          <w:rFonts w:hint="eastAsia"/>
          <w:color w:val="auto"/>
          <w:sz w:val="22"/>
          <w:u w:val="single"/>
          <w:lang w:val="en-US" w:eastAsia="zh-CN"/>
        </w:rPr>
        <w:t xml:space="preserve"> </w:t>
      </w:r>
      <w:r>
        <w:rPr>
          <w:rFonts w:hAnsi="宋体"/>
          <w:color w:val="auto"/>
          <w:sz w:val="22"/>
        </w:rPr>
        <w:t>工程施工及有关事项协商一致，共同达成如下协议：</w:t>
      </w:r>
      <w:bookmarkStart w:id="87" w:name="_Toc351203481"/>
    </w:p>
    <w:p w14:paraId="6EE09D59">
      <w:pPr>
        <w:pStyle w:val="68"/>
        <w:spacing w:line="240" w:lineRule="auto"/>
        <w:ind w:firstLine="442" w:firstLineChars="200"/>
        <w:rPr>
          <w:b/>
          <w:bCs/>
          <w:color w:val="auto"/>
          <w:sz w:val="22"/>
        </w:rPr>
      </w:pPr>
      <w:r>
        <w:rPr>
          <w:rFonts w:hAnsi="宋体"/>
          <w:b/>
          <w:bCs/>
          <w:color w:val="auto"/>
          <w:sz w:val="22"/>
        </w:rPr>
        <w:t>一、工程概况</w:t>
      </w:r>
      <w:bookmarkEnd w:id="87"/>
    </w:p>
    <w:p w14:paraId="0BE279EC">
      <w:pPr>
        <w:pStyle w:val="68"/>
        <w:spacing w:line="240" w:lineRule="auto"/>
        <w:ind w:firstLine="440" w:firstLineChars="200"/>
        <w:rPr>
          <w:color w:val="auto"/>
          <w:sz w:val="22"/>
          <w:u w:val="single"/>
        </w:rPr>
      </w:pPr>
      <w:r>
        <w:rPr>
          <w:bCs/>
          <w:color w:val="auto"/>
          <w:sz w:val="22"/>
        </w:rPr>
        <w:t>1.</w:t>
      </w:r>
      <w:r>
        <w:rPr>
          <w:rFonts w:hint="eastAsia"/>
          <w:bCs/>
          <w:color w:val="auto"/>
          <w:sz w:val="22"/>
        </w:rPr>
        <w:t xml:space="preserve"> </w:t>
      </w:r>
      <w:r>
        <w:rPr>
          <w:rFonts w:hAnsi="宋体"/>
          <w:bCs/>
          <w:color w:val="auto"/>
          <w:sz w:val="22"/>
        </w:rPr>
        <w:t>工程名称</w:t>
      </w:r>
      <w:r>
        <w:rPr>
          <w:rFonts w:hAnsi="宋体"/>
          <w:color w:val="auto"/>
          <w:sz w:val="22"/>
        </w:rPr>
        <w:t>：</w:t>
      </w:r>
      <w:r>
        <w:rPr>
          <w:rFonts w:hint="eastAsia" w:hAnsi="宋体"/>
          <w:color w:val="auto"/>
          <w:sz w:val="22"/>
          <w:u w:val="single"/>
          <w:lang w:val="en-US" w:eastAsia="zh-CN"/>
        </w:rPr>
        <w:t xml:space="preserve">                       </w:t>
      </w:r>
      <w:r>
        <w:rPr>
          <w:rFonts w:hint="eastAsia"/>
          <w:color w:val="auto"/>
          <w:sz w:val="22"/>
          <w:u w:val="single"/>
          <w:lang w:val="en-US" w:eastAsia="zh-CN"/>
        </w:rPr>
        <w:t xml:space="preserve"> </w:t>
      </w:r>
      <w:r>
        <w:rPr>
          <w:rFonts w:hAnsi="宋体"/>
          <w:color w:val="auto"/>
          <w:sz w:val="22"/>
        </w:rPr>
        <w:t>。</w:t>
      </w:r>
    </w:p>
    <w:p w14:paraId="7DB0DC2B">
      <w:pPr>
        <w:pStyle w:val="68"/>
        <w:spacing w:line="240" w:lineRule="auto"/>
        <w:ind w:firstLine="440" w:firstLineChars="200"/>
        <w:rPr>
          <w:bCs/>
          <w:color w:val="auto"/>
          <w:sz w:val="22"/>
        </w:rPr>
      </w:pPr>
      <w:r>
        <w:rPr>
          <w:bCs/>
          <w:color w:val="auto"/>
          <w:sz w:val="22"/>
        </w:rPr>
        <w:t>2.</w:t>
      </w:r>
      <w:r>
        <w:rPr>
          <w:rFonts w:hint="eastAsia"/>
          <w:bCs/>
          <w:color w:val="auto"/>
          <w:sz w:val="22"/>
        </w:rPr>
        <w:t xml:space="preserve"> </w:t>
      </w:r>
      <w:r>
        <w:rPr>
          <w:rFonts w:hAnsi="宋体"/>
          <w:bCs/>
          <w:color w:val="auto"/>
          <w:sz w:val="22"/>
        </w:rPr>
        <w:t>工程地点：</w:t>
      </w:r>
      <w:r>
        <w:rPr>
          <w:rFonts w:hint="eastAsia" w:hAnsi="宋体"/>
          <w:color w:val="auto"/>
          <w:sz w:val="22"/>
          <w:u w:val="single"/>
          <w:lang w:val="en-US" w:eastAsia="zh-CN"/>
        </w:rPr>
        <w:t xml:space="preserve">                        </w:t>
      </w:r>
      <w:r>
        <w:rPr>
          <w:rFonts w:hAnsi="宋体"/>
          <w:color w:val="auto"/>
          <w:sz w:val="22"/>
        </w:rPr>
        <w:t>。</w:t>
      </w:r>
    </w:p>
    <w:p w14:paraId="0D151E36">
      <w:pPr>
        <w:pStyle w:val="68"/>
        <w:spacing w:line="240" w:lineRule="auto"/>
        <w:ind w:firstLine="440" w:firstLineChars="200"/>
        <w:rPr>
          <w:bCs/>
          <w:color w:val="auto"/>
          <w:sz w:val="22"/>
        </w:rPr>
      </w:pPr>
      <w:r>
        <w:rPr>
          <w:rFonts w:hint="eastAsia"/>
          <w:bCs/>
          <w:color w:val="auto"/>
          <w:sz w:val="22"/>
        </w:rPr>
        <w:t>3</w:t>
      </w:r>
      <w:r>
        <w:rPr>
          <w:bCs/>
          <w:color w:val="auto"/>
          <w:sz w:val="22"/>
        </w:rPr>
        <w:t>.</w:t>
      </w:r>
      <w:r>
        <w:rPr>
          <w:rFonts w:hint="eastAsia"/>
          <w:bCs/>
          <w:color w:val="auto"/>
          <w:sz w:val="22"/>
        </w:rPr>
        <w:t xml:space="preserve"> </w:t>
      </w:r>
      <w:r>
        <w:rPr>
          <w:rFonts w:hAnsi="宋体"/>
          <w:bCs/>
          <w:color w:val="auto"/>
          <w:sz w:val="22"/>
        </w:rPr>
        <w:t>资金来源：</w:t>
      </w:r>
      <w:r>
        <w:rPr>
          <w:rFonts w:hint="eastAsia" w:hAnsi="宋体"/>
          <w:color w:val="auto"/>
          <w:sz w:val="22"/>
          <w:u w:val="single"/>
          <w:lang w:val="en-US" w:eastAsia="zh-CN"/>
        </w:rPr>
        <w:t xml:space="preserve"> 财政资金 </w:t>
      </w:r>
      <w:r>
        <w:rPr>
          <w:rFonts w:hAnsi="宋体"/>
          <w:bCs/>
          <w:color w:val="auto"/>
          <w:sz w:val="22"/>
        </w:rPr>
        <w:t>。</w:t>
      </w:r>
    </w:p>
    <w:p w14:paraId="6AEB741A">
      <w:pPr>
        <w:pStyle w:val="68"/>
        <w:spacing w:line="240" w:lineRule="auto"/>
        <w:ind w:firstLine="440" w:firstLineChars="200"/>
        <w:rPr>
          <w:bCs/>
          <w:color w:val="auto"/>
          <w:sz w:val="22"/>
        </w:rPr>
      </w:pPr>
      <w:r>
        <w:rPr>
          <w:bCs/>
          <w:color w:val="auto"/>
          <w:sz w:val="22"/>
        </w:rPr>
        <w:t>5.</w:t>
      </w:r>
      <w:r>
        <w:rPr>
          <w:rFonts w:hint="eastAsia"/>
          <w:bCs/>
          <w:color w:val="auto"/>
          <w:sz w:val="22"/>
        </w:rPr>
        <w:t xml:space="preserve"> </w:t>
      </w:r>
      <w:r>
        <w:rPr>
          <w:rFonts w:hAnsi="宋体"/>
          <w:bCs/>
          <w:color w:val="auto"/>
          <w:sz w:val="22"/>
        </w:rPr>
        <w:t>工程内容：</w:t>
      </w:r>
      <w:r>
        <w:rPr>
          <w:rFonts w:hint="eastAsia" w:hAnsi="宋体"/>
          <w:color w:val="auto"/>
          <w:sz w:val="22"/>
          <w:u w:val="single"/>
          <w:lang w:val="en-US" w:eastAsia="zh-CN"/>
        </w:rPr>
        <w:t xml:space="preserve">                                                               ，</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bCs/>
          <w:color w:val="auto"/>
          <w:sz w:val="22"/>
        </w:rPr>
        <w:t>。</w:t>
      </w:r>
    </w:p>
    <w:p w14:paraId="1F0EC261">
      <w:pPr>
        <w:pStyle w:val="68"/>
        <w:spacing w:line="240" w:lineRule="auto"/>
        <w:ind w:firstLine="440" w:firstLineChars="200"/>
        <w:rPr>
          <w:bCs/>
          <w:color w:val="auto"/>
          <w:sz w:val="22"/>
        </w:rPr>
      </w:pPr>
      <w:r>
        <w:rPr>
          <w:rFonts w:hAnsi="宋体"/>
          <w:color w:val="auto"/>
          <w:sz w:val="22"/>
        </w:rPr>
        <w:t>群体工程应附《承包人承揽工程项目一览表》（附件</w:t>
      </w:r>
      <w:r>
        <w:rPr>
          <w:color w:val="auto"/>
          <w:sz w:val="22"/>
        </w:rPr>
        <w:t>1</w:t>
      </w:r>
      <w:r>
        <w:rPr>
          <w:rFonts w:hAnsi="宋体"/>
          <w:color w:val="auto"/>
          <w:sz w:val="22"/>
        </w:rPr>
        <w:t>）。</w:t>
      </w:r>
    </w:p>
    <w:p w14:paraId="02D5EE22">
      <w:pPr>
        <w:pStyle w:val="68"/>
        <w:spacing w:line="240" w:lineRule="auto"/>
        <w:ind w:firstLine="440" w:firstLineChars="200"/>
        <w:rPr>
          <w:rFonts w:hAnsi="宋体"/>
          <w:color w:val="auto"/>
          <w:sz w:val="22"/>
        </w:rPr>
      </w:pPr>
      <w:r>
        <w:rPr>
          <w:bCs/>
          <w:color w:val="auto"/>
          <w:sz w:val="22"/>
        </w:rPr>
        <w:t>6.</w:t>
      </w:r>
      <w:r>
        <w:rPr>
          <w:rFonts w:hint="eastAsia"/>
          <w:bCs/>
          <w:color w:val="auto"/>
          <w:sz w:val="22"/>
        </w:rPr>
        <w:t xml:space="preserve"> </w:t>
      </w:r>
      <w:r>
        <w:rPr>
          <w:rFonts w:hAnsi="宋体"/>
          <w:bCs/>
          <w:color w:val="auto"/>
          <w:sz w:val="22"/>
        </w:rPr>
        <w:t>工程承包范围：</w:t>
      </w:r>
      <w:r>
        <w:rPr>
          <w:rFonts w:hint="eastAsia" w:hAnsi="宋体"/>
          <w:bCs/>
          <w:color w:val="auto"/>
          <w:sz w:val="22"/>
          <w:u w:val="single"/>
          <w:lang w:val="en-US" w:eastAsia="zh-CN"/>
        </w:rPr>
        <w:t xml:space="preserve">                                        ，</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color w:val="auto"/>
          <w:sz w:val="22"/>
        </w:rPr>
        <w:t>。</w:t>
      </w:r>
    </w:p>
    <w:p w14:paraId="31C4248F">
      <w:pPr>
        <w:pStyle w:val="68"/>
        <w:spacing w:line="240" w:lineRule="auto"/>
        <w:ind w:firstLine="442" w:firstLineChars="200"/>
        <w:rPr>
          <w:b/>
          <w:bCs/>
          <w:color w:val="auto"/>
          <w:sz w:val="22"/>
        </w:rPr>
      </w:pPr>
      <w:bookmarkStart w:id="88" w:name="_Toc351203482"/>
      <w:r>
        <w:rPr>
          <w:rFonts w:hAnsi="宋体"/>
          <w:b/>
          <w:bCs/>
          <w:color w:val="auto"/>
          <w:sz w:val="22"/>
        </w:rPr>
        <w:t>二、合同工期</w:t>
      </w:r>
      <w:bookmarkEnd w:id="88"/>
    </w:p>
    <w:p w14:paraId="415A61D3">
      <w:pPr>
        <w:pStyle w:val="68"/>
        <w:spacing w:line="240" w:lineRule="auto"/>
        <w:ind w:firstLine="440" w:firstLineChars="200"/>
        <w:rPr>
          <w:rFonts w:hint="eastAsia" w:eastAsia="宋体"/>
          <w:color w:val="auto"/>
          <w:sz w:val="22"/>
          <w:lang w:eastAsia="zh-CN"/>
        </w:rPr>
      </w:pPr>
      <w:r>
        <w:rPr>
          <w:rFonts w:hAnsi="宋体"/>
          <w:color w:val="auto"/>
          <w:sz w:val="22"/>
        </w:rPr>
        <w:t>计划开工日期：</w:t>
      </w:r>
      <w:r>
        <w:rPr>
          <w:rFonts w:hint="eastAsia" w:hAnsi="宋体"/>
          <w:color w:val="auto"/>
          <w:sz w:val="22"/>
          <w:u w:val="single"/>
          <w:lang w:val="en-US" w:eastAsia="zh-CN"/>
        </w:rPr>
        <w:t xml:space="preserve">     </w:t>
      </w:r>
      <w:r>
        <w:rPr>
          <w:rFonts w:hAnsi="宋体"/>
          <w:color w:val="auto"/>
          <w:sz w:val="22"/>
        </w:rPr>
        <w:t>年</w:t>
      </w:r>
      <w:r>
        <w:rPr>
          <w:rFonts w:hint="eastAsia" w:hAnsi="宋体"/>
          <w:color w:val="auto"/>
          <w:sz w:val="22"/>
          <w:u w:val="single"/>
          <w:lang w:val="en-US" w:eastAsia="zh-CN"/>
        </w:rPr>
        <w:t xml:space="preserve">      </w:t>
      </w:r>
      <w:r>
        <w:rPr>
          <w:rFonts w:hAnsi="宋体"/>
          <w:color w:val="auto"/>
          <w:sz w:val="22"/>
        </w:rPr>
        <w:t>月</w:t>
      </w:r>
      <w:r>
        <w:rPr>
          <w:rFonts w:hAnsi="宋体"/>
          <w:color w:val="auto"/>
          <w:sz w:val="22"/>
          <w:u w:val="single"/>
        </w:rPr>
        <w:t></w:t>
      </w:r>
      <w:r>
        <w:rPr>
          <w:rFonts w:hint="eastAsia" w:hAnsi="宋体"/>
          <w:color w:val="auto"/>
          <w:sz w:val="22"/>
          <w:u w:val="single"/>
          <w:lang w:val="en-US" w:eastAsia="zh-CN"/>
        </w:rPr>
        <w:t xml:space="preserve">   </w:t>
      </w:r>
      <w:r>
        <w:rPr>
          <w:rFonts w:hAnsi="宋体"/>
          <w:color w:val="auto"/>
          <w:sz w:val="22"/>
          <w:u w:val="single"/>
        </w:rPr>
        <w:t></w:t>
      </w:r>
      <w:r>
        <w:rPr>
          <w:rFonts w:hAnsi="宋体"/>
          <w:color w:val="auto"/>
          <w:sz w:val="22"/>
        </w:rPr>
        <w:t>日。</w:t>
      </w:r>
      <w:r>
        <w:rPr>
          <w:rFonts w:hint="eastAsia" w:hAnsi="宋体"/>
          <w:color w:val="auto"/>
          <w:sz w:val="22"/>
          <w:lang w:eastAsia="zh-CN"/>
        </w:rPr>
        <w:t>（</w:t>
      </w:r>
      <w:r>
        <w:rPr>
          <w:rFonts w:hint="eastAsia" w:hAnsi="宋体"/>
          <w:color w:val="auto"/>
          <w:sz w:val="22"/>
          <w:lang w:val="en-US" w:eastAsia="zh-CN"/>
        </w:rPr>
        <w:t>最终以开工令为准</w:t>
      </w:r>
      <w:r>
        <w:rPr>
          <w:rFonts w:hint="eastAsia" w:hAnsi="宋体"/>
          <w:color w:val="auto"/>
          <w:sz w:val="22"/>
          <w:lang w:eastAsia="zh-CN"/>
        </w:rPr>
        <w:t>）</w:t>
      </w:r>
    </w:p>
    <w:p w14:paraId="78E8C7F8">
      <w:pPr>
        <w:pStyle w:val="68"/>
        <w:spacing w:line="240" w:lineRule="auto"/>
        <w:ind w:firstLine="440" w:firstLineChars="200"/>
        <w:rPr>
          <w:color w:val="auto"/>
          <w:sz w:val="22"/>
        </w:rPr>
      </w:pPr>
      <w:r>
        <w:rPr>
          <w:rFonts w:hAnsi="宋体"/>
          <w:color w:val="auto"/>
          <w:sz w:val="22"/>
        </w:rPr>
        <w:t>计划竣工日期：</w:t>
      </w:r>
      <w:r>
        <w:rPr>
          <w:rFonts w:hint="eastAsia" w:hAnsi="宋体"/>
          <w:color w:val="auto"/>
          <w:sz w:val="22"/>
          <w:u w:val="single"/>
          <w:lang w:val="en-US" w:eastAsia="zh-CN"/>
        </w:rPr>
        <w:t xml:space="preserve">     </w:t>
      </w:r>
      <w:r>
        <w:rPr>
          <w:rFonts w:hAnsi="宋体"/>
          <w:color w:val="auto"/>
          <w:sz w:val="22"/>
        </w:rPr>
        <w:t>年</w:t>
      </w:r>
      <w:r>
        <w:rPr>
          <w:rFonts w:hint="eastAsia" w:hAnsi="宋体"/>
          <w:color w:val="auto"/>
          <w:sz w:val="22"/>
          <w:u w:val="single"/>
          <w:lang w:val="en-US" w:eastAsia="zh-CN"/>
        </w:rPr>
        <w:t xml:space="preserve">      </w:t>
      </w:r>
      <w:r>
        <w:rPr>
          <w:rFonts w:hAnsi="宋体"/>
          <w:color w:val="auto"/>
          <w:sz w:val="22"/>
        </w:rPr>
        <w:t>月</w:t>
      </w:r>
      <w:r>
        <w:rPr>
          <w:rFonts w:hAnsi="宋体"/>
          <w:color w:val="auto"/>
          <w:sz w:val="22"/>
          <w:u w:val="single"/>
        </w:rPr>
        <w:t></w:t>
      </w:r>
      <w:r>
        <w:rPr>
          <w:rFonts w:hint="eastAsia" w:hAnsi="宋体"/>
          <w:color w:val="auto"/>
          <w:sz w:val="22"/>
          <w:u w:val="single"/>
          <w:lang w:val="en-US" w:eastAsia="zh-CN"/>
        </w:rPr>
        <w:t xml:space="preserve">   </w:t>
      </w:r>
      <w:r>
        <w:rPr>
          <w:rFonts w:hAnsi="宋体"/>
          <w:color w:val="auto"/>
          <w:sz w:val="22"/>
          <w:u w:val="single"/>
        </w:rPr>
        <w:t></w:t>
      </w:r>
      <w:r>
        <w:rPr>
          <w:rFonts w:hAnsi="宋体"/>
          <w:color w:val="auto"/>
          <w:sz w:val="22"/>
        </w:rPr>
        <w:t>日。</w:t>
      </w:r>
    </w:p>
    <w:p w14:paraId="52ACCC9F">
      <w:pPr>
        <w:pStyle w:val="68"/>
        <w:spacing w:line="240" w:lineRule="auto"/>
        <w:ind w:firstLine="440" w:firstLineChars="200"/>
        <w:rPr>
          <w:rFonts w:hAnsi="宋体"/>
          <w:color w:val="auto"/>
          <w:sz w:val="22"/>
        </w:rPr>
      </w:pPr>
      <w:r>
        <w:rPr>
          <w:rFonts w:hAnsi="宋体"/>
          <w:color w:val="auto"/>
          <w:sz w:val="22"/>
        </w:rPr>
        <w:t>工期总日历天数：</w:t>
      </w:r>
      <w:r>
        <w:rPr>
          <w:rFonts w:hint="eastAsia" w:hAnsi="宋体"/>
          <w:color w:val="auto"/>
          <w:sz w:val="22"/>
          <w:u w:val="single"/>
          <w:lang w:val="en-US" w:eastAsia="zh-CN"/>
        </w:rPr>
        <w:t xml:space="preserve">    </w:t>
      </w:r>
      <w:r>
        <w:rPr>
          <w:rFonts w:hAnsi="宋体"/>
          <w:color w:val="auto"/>
          <w:sz w:val="22"/>
        </w:rPr>
        <w:t>天。工期总日历天数与根据前述计划开竣工日期计算的工期天数不一致的，以工期总日历天数为准。</w:t>
      </w:r>
    </w:p>
    <w:p w14:paraId="656188FB">
      <w:pPr>
        <w:pStyle w:val="68"/>
        <w:spacing w:line="240" w:lineRule="auto"/>
        <w:ind w:firstLine="442" w:firstLineChars="200"/>
        <w:rPr>
          <w:b/>
          <w:bCs/>
          <w:color w:val="auto"/>
          <w:sz w:val="22"/>
        </w:rPr>
      </w:pPr>
      <w:bookmarkStart w:id="89" w:name="_Toc351203483"/>
      <w:r>
        <w:rPr>
          <w:rFonts w:hAnsi="宋体"/>
          <w:b/>
          <w:bCs/>
          <w:color w:val="auto"/>
          <w:sz w:val="22"/>
        </w:rPr>
        <w:t>三、质量标准</w:t>
      </w:r>
      <w:bookmarkEnd w:id="89"/>
    </w:p>
    <w:p w14:paraId="3510C9B2">
      <w:pPr>
        <w:pStyle w:val="68"/>
        <w:spacing w:line="240" w:lineRule="auto"/>
        <w:ind w:firstLine="440" w:firstLineChars="200"/>
        <w:rPr>
          <w:rFonts w:hAnsi="宋体"/>
          <w:color w:val="auto"/>
          <w:sz w:val="22"/>
        </w:rPr>
      </w:pPr>
      <w:r>
        <w:rPr>
          <w:rFonts w:hAnsi="宋体"/>
          <w:color w:val="auto"/>
          <w:sz w:val="22"/>
        </w:rPr>
        <w:t>工程质量</w:t>
      </w:r>
      <w:r>
        <w:rPr>
          <w:rFonts w:hAnsi="宋体"/>
          <w:color w:val="auto"/>
          <w:sz w:val="22"/>
          <w:u w:val="single"/>
        </w:rPr>
        <w:t></w:t>
      </w:r>
      <w:r>
        <w:rPr>
          <w:rFonts w:hint="eastAsia" w:hAnsi="宋体"/>
          <w:color w:val="auto"/>
          <w:sz w:val="22"/>
          <w:u w:val="single"/>
        </w:rPr>
        <w:t>合格</w:t>
      </w:r>
      <w:r>
        <w:rPr>
          <w:rFonts w:hAnsi="宋体"/>
          <w:color w:val="auto"/>
          <w:sz w:val="22"/>
          <w:u w:val="single"/>
        </w:rPr>
        <w:t></w:t>
      </w:r>
      <w:r>
        <w:rPr>
          <w:rFonts w:hAnsi="宋体"/>
          <w:color w:val="auto"/>
          <w:sz w:val="22"/>
        </w:rPr>
        <w:t>标准。</w:t>
      </w:r>
    </w:p>
    <w:p w14:paraId="26E2FBAD">
      <w:pPr>
        <w:pStyle w:val="68"/>
        <w:spacing w:line="240" w:lineRule="auto"/>
        <w:ind w:firstLine="442" w:firstLineChars="200"/>
        <w:rPr>
          <w:rFonts w:hAnsi="宋体"/>
          <w:b/>
          <w:bCs/>
          <w:color w:val="auto"/>
          <w:sz w:val="22"/>
        </w:rPr>
      </w:pPr>
      <w:bookmarkStart w:id="90" w:name="_Toc351203484"/>
      <w:r>
        <w:rPr>
          <w:rFonts w:hAnsi="宋体"/>
          <w:b/>
          <w:bCs/>
          <w:color w:val="auto"/>
          <w:sz w:val="22"/>
        </w:rPr>
        <w:t>四、签约合同价与合同价格形式</w:t>
      </w:r>
      <w:bookmarkEnd w:id="90"/>
    </w:p>
    <w:p w14:paraId="30EFE605">
      <w:pPr>
        <w:bidi w:val="0"/>
        <w:spacing w:line="240" w:lineRule="auto"/>
        <w:ind w:firstLine="420" w:firstLineChars="200"/>
        <w:rPr>
          <w:color w:val="auto"/>
        </w:rPr>
      </w:pPr>
      <w:r>
        <w:rPr>
          <w:color w:val="auto"/>
        </w:rPr>
        <w:t>1.</w:t>
      </w:r>
      <w:r>
        <w:rPr>
          <w:rFonts w:hint="eastAsia"/>
          <w:color w:val="auto"/>
        </w:rPr>
        <w:t xml:space="preserve"> </w:t>
      </w:r>
      <w:r>
        <w:rPr>
          <w:color w:val="auto"/>
        </w:rPr>
        <w:t>签约合同价为：</w:t>
      </w:r>
    </w:p>
    <w:p w14:paraId="484C6738">
      <w:pPr>
        <w:pStyle w:val="68"/>
        <w:spacing w:line="240" w:lineRule="auto"/>
        <w:ind w:firstLine="442" w:firstLineChars="200"/>
        <w:rPr>
          <w:rFonts w:hint="default" w:ascii="Times New Roman" w:hAnsi="Times New Roman" w:eastAsia="宋体" w:cs="Times New Roman"/>
          <w:b/>
          <w:bCs/>
          <w:color w:val="auto"/>
          <w:sz w:val="22"/>
          <w:u w:val="none"/>
          <w:lang w:val="en-US" w:eastAsia="zh-CN"/>
        </w:rPr>
      </w:pPr>
      <w:r>
        <w:rPr>
          <w:rFonts w:hint="eastAsia" w:ascii="Times New Roman" w:hAnsi="Times New Roman" w:eastAsia="宋体" w:cs="Times New Roman"/>
          <w:b/>
          <w:bCs/>
          <w:color w:val="auto"/>
          <w:sz w:val="22"/>
          <w:u w:val="none"/>
          <w:lang w:eastAsia="zh-CN"/>
        </w:rPr>
        <w:t>人民币（大写）</w:t>
      </w:r>
      <w:r>
        <w:rPr>
          <w:rFonts w:hint="eastAsia" w:cs="Times New Roman"/>
          <w:b/>
          <w:bCs/>
          <w:color w:val="auto"/>
          <w:sz w:val="22"/>
          <w:u w:val="single"/>
          <w:lang w:val="en-US" w:eastAsia="zh-CN"/>
        </w:rPr>
        <w:t xml:space="preserve">         </w:t>
      </w:r>
      <w:r>
        <w:rPr>
          <w:rFonts w:hint="eastAsia" w:ascii="Times New Roman" w:hAnsi="Times New Roman" w:eastAsia="宋体" w:cs="Times New Roman"/>
          <w:b/>
          <w:bCs/>
          <w:color w:val="auto"/>
          <w:sz w:val="22"/>
          <w:u w:val="none"/>
          <w:lang w:val="en-US" w:eastAsia="zh-CN"/>
        </w:rPr>
        <w:t>元。</w:t>
      </w:r>
    </w:p>
    <w:p w14:paraId="185D42A8">
      <w:pPr>
        <w:pStyle w:val="68"/>
        <w:spacing w:line="240" w:lineRule="auto"/>
        <w:ind w:firstLine="440" w:firstLineChars="200"/>
        <w:rPr>
          <w:rFonts w:hAnsi="宋体"/>
          <w:color w:val="auto"/>
          <w:sz w:val="22"/>
        </w:rPr>
      </w:pPr>
      <w:r>
        <w:rPr>
          <w:rFonts w:hAnsi="宋体"/>
          <w:color w:val="auto"/>
          <w:sz w:val="22"/>
        </w:rPr>
        <w:t>其中：</w:t>
      </w:r>
    </w:p>
    <w:p w14:paraId="2259EA3A">
      <w:pPr>
        <w:pStyle w:val="68"/>
        <w:spacing w:line="240" w:lineRule="auto"/>
        <w:ind w:firstLine="440" w:firstLineChars="200"/>
        <w:rPr>
          <w:color w:val="auto"/>
          <w:sz w:val="22"/>
          <w:highlight w:val="none"/>
        </w:rPr>
      </w:pPr>
      <w:r>
        <w:rPr>
          <w:rFonts w:hint="eastAsia" w:hAnsi="宋体"/>
          <w:color w:val="auto"/>
          <w:sz w:val="22"/>
        </w:rPr>
        <w:t>（1）</w:t>
      </w:r>
      <w:r>
        <w:rPr>
          <w:rFonts w:hAnsi="宋体"/>
          <w:color w:val="auto"/>
          <w:sz w:val="22"/>
        </w:rPr>
        <w:t>安</w:t>
      </w:r>
      <w:r>
        <w:rPr>
          <w:rFonts w:hAnsi="宋体"/>
          <w:color w:val="auto"/>
          <w:sz w:val="22"/>
          <w:highlight w:val="none"/>
        </w:rPr>
        <w:t>全文明施工费</w:t>
      </w:r>
      <w:r>
        <w:rPr>
          <w:rFonts w:hint="eastAsia" w:hAnsi="宋体"/>
          <w:color w:val="auto"/>
          <w:sz w:val="22"/>
          <w:highlight w:val="none"/>
          <w:lang w:eastAsia="zh-CN"/>
        </w:rPr>
        <w:t>（</w:t>
      </w:r>
      <w:r>
        <w:rPr>
          <w:rFonts w:hint="eastAsia" w:hAnsi="宋体"/>
          <w:color w:val="auto"/>
          <w:sz w:val="22"/>
          <w:highlight w:val="none"/>
          <w:lang w:val="en-US" w:eastAsia="zh-CN"/>
        </w:rPr>
        <w:t>必填</w:t>
      </w:r>
      <w:r>
        <w:rPr>
          <w:rFonts w:hint="eastAsia" w:hAnsi="宋体"/>
          <w:color w:val="auto"/>
          <w:sz w:val="22"/>
          <w:highlight w:val="none"/>
          <w:lang w:eastAsia="zh-CN"/>
        </w:rPr>
        <w:t>）</w:t>
      </w:r>
      <w:r>
        <w:rPr>
          <w:rFonts w:hAnsi="宋体"/>
          <w:color w:val="auto"/>
          <w:sz w:val="22"/>
          <w:highlight w:val="none"/>
        </w:rPr>
        <w:t>：</w:t>
      </w:r>
    </w:p>
    <w:p w14:paraId="2A17A483">
      <w:pPr>
        <w:pStyle w:val="68"/>
        <w:spacing w:line="240" w:lineRule="auto"/>
        <w:ind w:firstLine="442" w:firstLineChars="200"/>
        <w:rPr>
          <w:rFonts w:hAnsi="宋体"/>
          <w:b/>
          <w:bCs/>
          <w:color w:val="auto"/>
          <w:sz w:val="22"/>
        </w:rPr>
      </w:pPr>
      <w:r>
        <w:rPr>
          <w:rFonts w:hAnsi="宋体"/>
          <w:b/>
          <w:bCs/>
          <w:color w:val="auto"/>
          <w:sz w:val="22"/>
        </w:rPr>
        <w:t>人民币（大写）</w:t>
      </w:r>
      <w:r>
        <w:rPr>
          <w:rFonts w:hint="eastAsia"/>
          <w:b/>
          <w:bCs/>
          <w:color w:val="auto"/>
          <w:sz w:val="22"/>
          <w:u w:val="single"/>
          <w:lang w:val="en-US" w:eastAsia="zh-CN"/>
        </w:rPr>
        <w:t xml:space="preserve">           </w:t>
      </w:r>
      <w:r>
        <w:rPr>
          <w:rFonts w:hAnsi="宋体"/>
          <w:b/>
          <w:bCs/>
          <w:color w:val="auto"/>
          <w:sz w:val="22"/>
        </w:rPr>
        <w:t>；</w:t>
      </w:r>
    </w:p>
    <w:p w14:paraId="776D6D7B">
      <w:pPr>
        <w:pStyle w:val="68"/>
        <w:spacing w:line="240" w:lineRule="auto"/>
        <w:ind w:firstLine="440" w:firstLineChars="200"/>
        <w:rPr>
          <w:rFonts w:hAnsi="宋体"/>
          <w:color w:val="auto"/>
          <w:sz w:val="22"/>
        </w:rPr>
      </w:pPr>
      <w:r>
        <w:rPr>
          <w:rFonts w:hAnsi="宋体"/>
          <w:color w:val="auto"/>
          <w:sz w:val="22"/>
        </w:rPr>
        <w:t>（</w:t>
      </w:r>
      <w:r>
        <w:rPr>
          <w:color w:val="auto"/>
          <w:sz w:val="22"/>
        </w:rPr>
        <w:t>2</w:t>
      </w:r>
      <w:r>
        <w:rPr>
          <w:rFonts w:hAnsi="宋体"/>
          <w:color w:val="auto"/>
          <w:sz w:val="22"/>
        </w:rPr>
        <w:t>）</w:t>
      </w:r>
      <w:r>
        <w:rPr>
          <w:rFonts w:hint="eastAsia" w:hAnsi="宋体"/>
          <w:color w:val="auto"/>
          <w:sz w:val="22"/>
        </w:rPr>
        <w:t>规费中按规定向建安劳保费管理机构缴纳的建安劳保费</w:t>
      </w:r>
      <w:r>
        <w:rPr>
          <w:rFonts w:hAnsi="宋体"/>
          <w:color w:val="auto"/>
          <w:sz w:val="22"/>
        </w:rPr>
        <w:t>：</w:t>
      </w:r>
    </w:p>
    <w:p w14:paraId="0888E2A3">
      <w:pPr>
        <w:pStyle w:val="68"/>
        <w:spacing w:line="240" w:lineRule="auto"/>
        <w:ind w:firstLine="440" w:firstLineChars="200"/>
        <w:rPr>
          <w:color w:val="auto"/>
          <w:sz w:val="22"/>
        </w:rPr>
      </w:pPr>
      <w:r>
        <w:rPr>
          <w:rFonts w:hAnsi="宋体"/>
          <w:color w:val="auto"/>
          <w:sz w:val="22"/>
        </w:rPr>
        <w:t>人民币（大写）</w:t>
      </w:r>
      <w:r>
        <w:rPr>
          <w:rFonts w:hint="eastAsia"/>
          <w:color w:val="auto"/>
          <w:sz w:val="22"/>
          <w:u w:val="single"/>
          <w:lang w:val="en-US" w:eastAsia="zh-CN"/>
        </w:rPr>
        <w:t xml:space="preserve">  / </w:t>
      </w:r>
      <w:r>
        <w:rPr>
          <w:color w:val="auto"/>
          <w:sz w:val="22"/>
          <w:u w:val="single"/>
        </w:rPr>
        <w:t xml:space="preserve"> </w:t>
      </w:r>
      <w:r>
        <w:rPr>
          <w:rFonts w:hint="eastAsia"/>
          <w:color w:val="auto"/>
          <w:sz w:val="22"/>
        </w:rPr>
        <w:t>（</w:t>
      </w:r>
      <w:r>
        <w:rPr>
          <w:color w:val="auto"/>
          <w:sz w:val="22"/>
        </w:rPr>
        <w:t>¥</w:t>
      </w:r>
      <w:r>
        <w:rPr>
          <w:rFonts w:hint="eastAsia"/>
          <w:color w:val="auto"/>
          <w:sz w:val="22"/>
          <w:u w:val="single"/>
          <w:lang w:val="en-US" w:eastAsia="zh-CN"/>
        </w:rPr>
        <w:t xml:space="preserve">  / </w:t>
      </w:r>
      <w:r>
        <w:rPr>
          <w:color w:val="auto"/>
          <w:sz w:val="22"/>
          <w:u w:val="single"/>
        </w:rPr>
        <w:t xml:space="preserve">  </w:t>
      </w:r>
      <w:r>
        <w:rPr>
          <w:rFonts w:hAnsi="宋体"/>
          <w:color w:val="auto"/>
          <w:sz w:val="22"/>
        </w:rPr>
        <w:t>元</w:t>
      </w:r>
      <w:r>
        <w:rPr>
          <w:rFonts w:hint="eastAsia"/>
          <w:color w:val="auto"/>
          <w:sz w:val="22"/>
        </w:rPr>
        <w:t>）</w:t>
      </w:r>
      <w:r>
        <w:rPr>
          <w:rFonts w:hAnsi="宋体"/>
          <w:color w:val="auto"/>
          <w:sz w:val="22"/>
        </w:rPr>
        <w:t>；</w:t>
      </w:r>
    </w:p>
    <w:p w14:paraId="785D4D54">
      <w:pPr>
        <w:pStyle w:val="68"/>
        <w:spacing w:line="240" w:lineRule="auto"/>
        <w:ind w:firstLine="440" w:firstLineChars="200"/>
        <w:rPr>
          <w:color w:val="auto"/>
          <w:sz w:val="22"/>
        </w:rPr>
      </w:pPr>
      <w:r>
        <w:rPr>
          <w:rFonts w:hAnsi="宋体"/>
          <w:color w:val="auto"/>
          <w:sz w:val="22"/>
        </w:rPr>
        <w:t>（</w:t>
      </w:r>
      <w:r>
        <w:rPr>
          <w:color w:val="auto"/>
          <w:sz w:val="22"/>
        </w:rPr>
        <w:t>3</w:t>
      </w:r>
      <w:r>
        <w:rPr>
          <w:rFonts w:hAnsi="宋体"/>
          <w:color w:val="auto"/>
          <w:sz w:val="22"/>
        </w:rPr>
        <w:t>）材料和工程设备暂估价金额：</w:t>
      </w:r>
    </w:p>
    <w:p w14:paraId="7F833D75">
      <w:pPr>
        <w:pStyle w:val="68"/>
        <w:spacing w:line="240" w:lineRule="auto"/>
        <w:ind w:firstLine="440" w:firstLineChars="200"/>
        <w:rPr>
          <w:color w:val="auto"/>
          <w:sz w:val="22"/>
        </w:rPr>
      </w:pPr>
      <w:r>
        <w:rPr>
          <w:rFonts w:hAnsi="宋体"/>
          <w:color w:val="auto"/>
          <w:sz w:val="22"/>
        </w:rPr>
        <w:t>人民币（大写）</w:t>
      </w:r>
      <w:r>
        <w:rPr>
          <w:rFonts w:hint="eastAsia"/>
          <w:color w:val="auto"/>
          <w:sz w:val="22"/>
          <w:u w:val="single"/>
          <w:lang w:val="en-US" w:eastAsia="zh-CN"/>
        </w:rPr>
        <w:t xml:space="preserve">  / </w:t>
      </w:r>
      <w:r>
        <w:rPr>
          <w:color w:val="auto"/>
          <w:sz w:val="22"/>
          <w:u w:val="single"/>
        </w:rPr>
        <w:t xml:space="preserve"> </w:t>
      </w:r>
      <w:r>
        <w:rPr>
          <w:rFonts w:hint="eastAsia"/>
          <w:color w:val="auto"/>
          <w:sz w:val="22"/>
        </w:rPr>
        <w:t>（</w:t>
      </w:r>
      <w:r>
        <w:rPr>
          <w:color w:val="auto"/>
          <w:sz w:val="22"/>
        </w:rPr>
        <w:t>¥</w:t>
      </w:r>
      <w:r>
        <w:rPr>
          <w:rFonts w:hint="eastAsia"/>
          <w:color w:val="auto"/>
          <w:sz w:val="22"/>
          <w:u w:val="single"/>
          <w:lang w:val="en-US" w:eastAsia="zh-CN"/>
        </w:rPr>
        <w:t xml:space="preserve">  / </w:t>
      </w:r>
      <w:r>
        <w:rPr>
          <w:color w:val="auto"/>
          <w:sz w:val="22"/>
          <w:u w:val="single"/>
        </w:rPr>
        <w:t xml:space="preserve">  </w:t>
      </w:r>
      <w:r>
        <w:rPr>
          <w:rFonts w:hAnsi="宋体"/>
          <w:color w:val="auto"/>
          <w:sz w:val="22"/>
        </w:rPr>
        <w:t>元</w:t>
      </w:r>
      <w:r>
        <w:rPr>
          <w:rFonts w:hint="eastAsia"/>
          <w:color w:val="auto"/>
          <w:sz w:val="22"/>
        </w:rPr>
        <w:t>）</w:t>
      </w:r>
      <w:r>
        <w:rPr>
          <w:rFonts w:hAnsi="宋体"/>
          <w:color w:val="auto"/>
          <w:sz w:val="22"/>
        </w:rPr>
        <w:t>；</w:t>
      </w:r>
    </w:p>
    <w:p w14:paraId="490B928A">
      <w:pPr>
        <w:pStyle w:val="68"/>
        <w:spacing w:line="240" w:lineRule="auto"/>
        <w:ind w:firstLine="440" w:firstLineChars="200"/>
        <w:rPr>
          <w:color w:val="auto"/>
          <w:sz w:val="22"/>
        </w:rPr>
      </w:pPr>
      <w:r>
        <w:rPr>
          <w:rFonts w:hAnsi="宋体"/>
          <w:color w:val="auto"/>
          <w:sz w:val="22"/>
        </w:rPr>
        <w:t>（</w:t>
      </w:r>
      <w:r>
        <w:rPr>
          <w:color w:val="auto"/>
          <w:sz w:val="22"/>
        </w:rPr>
        <w:t>4</w:t>
      </w:r>
      <w:r>
        <w:rPr>
          <w:rFonts w:hAnsi="宋体"/>
          <w:color w:val="auto"/>
          <w:sz w:val="22"/>
        </w:rPr>
        <w:t>）专业工程暂估价金额：</w:t>
      </w:r>
    </w:p>
    <w:p w14:paraId="4C0C5069">
      <w:pPr>
        <w:pStyle w:val="68"/>
        <w:spacing w:line="240" w:lineRule="auto"/>
        <w:ind w:firstLine="442" w:firstLineChars="200"/>
        <w:rPr>
          <w:b/>
          <w:bCs/>
          <w:color w:val="auto"/>
          <w:sz w:val="22"/>
        </w:rPr>
      </w:pPr>
      <w:r>
        <w:rPr>
          <w:rFonts w:hAnsi="宋体"/>
          <w:b/>
          <w:bCs/>
          <w:color w:val="auto"/>
          <w:sz w:val="22"/>
        </w:rPr>
        <w:t>人民币（大写）；</w:t>
      </w:r>
    </w:p>
    <w:p w14:paraId="55B63772">
      <w:pPr>
        <w:pStyle w:val="68"/>
        <w:spacing w:line="240" w:lineRule="auto"/>
        <w:ind w:firstLine="440" w:firstLineChars="200"/>
        <w:rPr>
          <w:color w:val="auto"/>
          <w:sz w:val="22"/>
        </w:rPr>
      </w:pPr>
      <w:r>
        <w:rPr>
          <w:rFonts w:hAnsi="宋体"/>
          <w:color w:val="auto"/>
          <w:sz w:val="22"/>
        </w:rPr>
        <w:t>（</w:t>
      </w:r>
      <w:r>
        <w:rPr>
          <w:color w:val="auto"/>
          <w:sz w:val="22"/>
        </w:rPr>
        <w:t>5</w:t>
      </w:r>
      <w:r>
        <w:rPr>
          <w:rFonts w:hAnsi="宋体"/>
          <w:color w:val="auto"/>
          <w:sz w:val="22"/>
        </w:rPr>
        <w:t>）暂列金额：</w:t>
      </w:r>
    </w:p>
    <w:p w14:paraId="6C586DCB">
      <w:pPr>
        <w:pStyle w:val="68"/>
        <w:spacing w:line="240" w:lineRule="auto"/>
        <w:ind w:firstLine="440" w:firstLineChars="200"/>
        <w:rPr>
          <w:color w:val="auto"/>
          <w:sz w:val="22"/>
        </w:rPr>
      </w:pPr>
      <w:r>
        <w:rPr>
          <w:rFonts w:hAnsi="宋体"/>
          <w:color w:val="auto"/>
          <w:sz w:val="22"/>
        </w:rPr>
        <w:t>人民币（大写）</w:t>
      </w:r>
      <w:r>
        <w:rPr>
          <w:rFonts w:hint="eastAsia"/>
          <w:color w:val="auto"/>
          <w:sz w:val="22"/>
          <w:u w:val="single"/>
          <w:lang w:val="en-US" w:eastAsia="zh-CN"/>
        </w:rPr>
        <w:t xml:space="preserve">  / </w:t>
      </w:r>
      <w:r>
        <w:rPr>
          <w:color w:val="auto"/>
          <w:sz w:val="22"/>
          <w:u w:val="single"/>
        </w:rPr>
        <w:t xml:space="preserve"> </w:t>
      </w:r>
      <w:r>
        <w:rPr>
          <w:rFonts w:hint="eastAsia"/>
          <w:color w:val="auto"/>
          <w:sz w:val="22"/>
        </w:rPr>
        <w:t>（</w:t>
      </w:r>
      <w:r>
        <w:rPr>
          <w:color w:val="auto"/>
          <w:sz w:val="22"/>
        </w:rPr>
        <w:t>¥</w:t>
      </w:r>
      <w:r>
        <w:rPr>
          <w:rFonts w:hint="eastAsia"/>
          <w:color w:val="auto"/>
          <w:sz w:val="22"/>
          <w:u w:val="single"/>
          <w:lang w:val="en-US" w:eastAsia="zh-CN"/>
        </w:rPr>
        <w:t xml:space="preserve">  / </w:t>
      </w:r>
      <w:r>
        <w:rPr>
          <w:color w:val="auto"/>
          <w:sz w:val="22"/>
          <w:u w:val="single"/>
        </w:rPr>
        <w:t xml:space="preserve">  </w:t>
      </w:r>
      <w:r>
        <w:rPr>
          <w:rFonts w:hAnsi="宋体"/>
          <w:color w:val="auto"/>
          <w:sz w:val="22"/>
        </w:rPr>
        <w:t>元</w:t>
      </w:r>
      <w:r>
        <w:rPr>
          <w:rFonts w:hint="eastAsia"/>
          <w:color w:val="auto"/>
          <w:sz w:val="22"/>
        </w:rPr>
        <w:t>）</w:t>
      </w:r>
      <w:r>
        <w:rPr>
          <w:rFonts w:hAnsi="宋体"/>
          <w:color w:val="auto"/>
          <w:sz w:val="22"/>
        </w:rPr>
        <w:t>。</w:t>
      </w:r>
    </w:p>
    <w:p w14:paraId="264BBD2B">
      <w:pPr>
        <w:pStyle w:val="69"/>
        <w:spacing w:line="360" w:lineRule="auto"/>
        <w:ind w:firstLine="440" w:firstLineChars="200"/>
        <w:rPr>
          <w:color w:val="auto"/>
          <w:sz w:val="22"/>
        </w:rPr>
      </w:pPr>
      <w:r>
        <w:rPr>
          <w:rStyle w:val="24"/>
          <w:rFonts w:hint="eastAsia" w:ascii="Times New Roman" w:hAnsi="宋体" w:eastAsia="宋体" w:cs="宋体"/>
          <w:color w:val="auto"/>
          <w:sz w:val="22"/>
          <w:szCs w:val="22"/>
          <w:highlight w:val="none"/>
          <w:lang w:val="en-US" w:eastAsia="zh-CN"/>
        </w:rPr>
        <w:t>（6）计税方法：本工程采用</w:t>
      </w:r>
      <w:r>
        <w:rPr>
          <w:rStyle w:val="24"/>
          <w:rFonts w:hint="eastAsia" w:ascii="Times New Roman" w:hAnsi="宋体" w:cs="宋体"/>
          <w:color w:val="auto"/>
          <w:sz w:val="22"/>
          <w:szCs w:val="22"/>
          <w:highlight w:val="none"/>
          <w:u w:val="single"/>
          <w:lang w:val="en-US" w:eastAsia="zh-CN"/>
        </w:rPr>
        <w:t>一般计税</w:t>
      </w:r>
      <w:r>
        <w:rPr>
          <w:rStyle w:val="24"/>
          <w:rFonts w:hint="eastAsia" w:ascii="Times New Roman" w:hAnsi="宋体" w:eastAsia="宋体" w:cs="宋体"/>
          <w:color w:val="auto"/>
          <w:sz w:val="22"/>
          <w:szCs w:val="22"/>
          <w:highlight w:val="none"/>
          <w:u w:val="single"/>
          <w:lang w:val="en-US" w:eastAsia="zh-CN"/>
        </w:rPr>
        <w:t>法依法纳税</w:t>
      </w:r>
      <w:r>
        <w:rPr>
          <w:rStyle w:val="24"/>
          <w:rFonts w:hint="eastAsia" w:ascii="Times New Roman" w:hAnsi="宋体" w:eastAsia="宋体" w:cs="宋体"/>
          <w:color w:val="auto"/>
          <w:sz w:val="22"/>
          <w:szCs w:val="22"/>
          <w:highlight w:val="none"/>
          <w:lang w:val="en-US" w:eastAsia="zh-CN"/>
        </w:rPr>
        <w:t>。</w:t>
      </w:r>
      <w:r>
        <w:rPr>
          <w:rStyle w:val="24"/>
          <w:rFonts w:hint="eastAsia" w:ascii="Times New Roman" w:hAnsi="宋体" w:eastAsia="宋体" w:cs="宋体"/>
          <w:color w:val="auto"/>
          <w:sz w:val="22"/>
          <w:szCs w:val="22"/>
          <w:highlight w:val="none"/>
        </w:rPr>
        <w:t>增值税率</w:t>
      </w:r>
      <w:r>
        <w:rPr>
          <w:rStyle w:val="24"/>
          <w:rFonts w:hint="eastAsia" w:ascii="Times New Roman" w:hAnsi="宋体" w:cs="宋体"/>
          <w:color w:val="auto"/>
          <w:sz w:val="22"/>
          <w:szCs w:val="22"/>
          <w:highlight w:val="none"/>
          <w:lang w:eastAsia="zh-CN"/>
        </w:rPr>
        <w:t>：</w:t>
      </w:r>
      <w:r>
        <w:rPr>
          <w:rStyle w:val="24"/>
          <w:rFonts w:hint="eastAsia" w:ascii="Times New Roman" w:hAnsi="宋体" w:cs="宋体"/>
          <w:color w:val="auto"/>
          <w:sz w:val="22"/>
          <w:szCs w:val="22"/>
          <w:highlight w:val="none"/>
          <w:lang w:val="en-US" w:eastAsia="zh-CN"/>
        </w:rPr>
        <w:t xml:space="preserve"> </w:t>
      </w:r>
      <w:r>
        <w:rPr>
          <w:rStyle w:val="24"/>
          <w:rFonts w:hint="eastAsia" w:ascii="Times New Roman" w:hAnsi="宋体" w:eastAsia="宋体" w:cs="宋体"/>
          <w:color w:val="auto"/>
          <w:sz w:val="22"/>
          <w:szCs w:val="22"/>
          <w:highlight w:val="none"/>
          <w:u w:val="single"/>
          <w:lang w:val="en-US" w:eastAsia="zh-CN"/>
        </w:rPr>
        <w:t>%</w:t>
      </w:r>
      <w:r>
        <w:rPr>
          <w:rStyle w:val="24"/>
          <w:rFonts w:hint="eastAsia" w:ascii="Times New Roman" w:hAnsi="宋体" w:eastAsia="宋体" w:cs="宋体"/>
          <w:color w:val="auto"/>
          <w:sz w:val="22"/>
          <w:szCs w:val="22"/>
          <w:highlight w:val="none"/>
          <w:lang w:val="en-US" w:eastAsia="zh-CN"/>
        </w:rPr>
        <w:t xml:space="preserve"> 。</w:t>
      </w:r>
    </w:p>
    <w:p w14:paraId="653AC74C">
      <w:pPr>
        <w:pStyle w:val="68"/>
        <w:spacing w:line="240" w:lineRule="auto"/>
        <w:ind w:firstLine="440" w:firstLineChars="200"/>
        <w:rPr>
          <w:rFonts w:hAnsi="宋体"/>
          <w:color w:val="auto"/>
          <w:sz w:val="22"/>
        </w:rPr>
      </w:pPr>
      <w:r>
        <w:rPr>
          <w:color w:val="auto"/>
          <w:sz w:val="22"/>
        </w:rPr>
        <w:t>2.</w:t>
      </w:r>
      <w:r>
        <w:rPr>
          <w:rFonts w:hint="eastAsia"/>
          <w:color w:val="auto"/>
          <w:sz w:val="22"/>
        </w:rPr>
        <w:t xml:space="preserve"> </w:t>
      </w:r>
      <w:r>
        <w:rPr>
          <w:rFonts w:hAnsi="宋体"/>
          <w:color w:val="auto"/>
          <w:sz w:val="22"/>
        </w:rPr>
        <w:t>合同价格形式：</w:t>
      </w:r>
      <w:r>
        <w:rPr>
          <w:rFonts w:hint="eastAsia" w:hAnsi="宋体"/>
          <w:color w:val="auto"/>
          <w:sz w:val="22"/>
          <w:u w:val="single"/>
          <w:lang w:eastAsia="zh-CN"/>
        </w:rPr>
        <w:t>单价合同</w:t>
      </w:r>
      <w:r>
        <w:rPr>
          <w:rFonts w:hAnsi="宋体"/>
          <w:color w:val="auto"/>
          <w:sz w:val="22"/>
        </w:rPr>
        <w:t>。</w:t>
      </w:r>
    </w:p>
    <w:p w14:paraId="31746233">
      <w:pPr>
        <w:pStyle w:val="68"/>
        <w:spacing w:line="240" w:lineRule="auto"/>
        <w:ind w:firstLine="442" w:firstLineChars="200"/>
        <w:rPr>
          <w:b/>
          <w:bCs/>
          <w:color w:val="auto"/>
          <w:sz w:val="22"/>
        </w:rPr>
      </w:pPr>
      <w:bookmarkStart w:id="91" w:name="_Toc351203485"/>
      <w:r>
        <w:rPr>
          <w:rFonts w:hAnsi="宋体"/>
          <w:b/>
          <w:bCs/>
          <w:color w:val="auto"/>
          <w:sz w:val="22"/>
        </w:rPr>
        <w:t>五、</w:t>
      </w:r>
      <w:bookmarkEnd w:id="91"/>
      <w:r>
        <w:rPr>
          <w:rFonts w:hAnsi="宋体"/>
          <w:b/>
          <w:bCs/>
          <w:color w:val="auto"/>
          <w:sz w:val="22"/>
        </w:rPr>
        <w:t>项目经理</w:t>
      </w:r>
    </w:p>
    <w:p w14:paraId="4441EAC2">
      <w:pPr>
        <w:pStyle w:val="68"/>
        <w:spacing w:line="240" w:lineRule="auto"/>
        <w:ind w:firstLine="440" w:firstLineChars="200"/>
        <w:rPr>
          <w:rFonts w:hAnsi="宋体"/>
          <w:color w:val="auto"/>
          <w:sz w:val="22"/>
        </w:rPr>
      </w:pPr>
      <w:r>
        <w:rPr>
          <w:rFonts w:hAnsi="宋体"/>
          <w:color w:val="auto"/>
          <w:sz w:val="22"/>
        </w:rPr>
        <w:t>承包人项目经理：</w:t>
      </w:r>
      <w:r>
        <w:rPr>
          <w:rFonts w:hint="eastAsia" w:hAnsi="宋体"/>
          <w:color w:val="auto"/>
          <w:sz w:val="22"/>
          <w:u w:val="single"/>
          <w:lang w:val="en-US" w:eastAsia="zh-CN"/>
        </w:rPr>
        <w:t xml:space="preserve">       </w:t>
      </w:r>
      <w:r>
        <w:rPr>
          <w:rFonts w:hAnsi="宋体"/>
          <w:color w:val="auto"/>
          <w:sz w:val="22"/>
        </w:rPr>
        <w:t>。</w:t>
      </w:r>
    </w:p>
    <w:p w14:paraId="2F789955">
      <w:pPr>
        <w:pStyle w:val="68"/>
        <w:spacing w:line="240" w:lineRule="auto"/>
        <w:ind w:firstLine="442" w:firstLineChars="200"/>
        <w:rPr>
          <w:b/>
          <w:bCs/>
          <w:color w:val="auto"/>
          <w:sz w:val="22"/>
        </w:rPr>
      </w:pPr>
      <w:bookmarkStart w:id="92" w:name="_Toc351203486"/>
      <w:r>
        <w:rPr>
          <w:rFonts w:hAnsi="宋体"/>
          <w:b/>
          <w:bCs/>
          <w:color w:val="auto"/>
          <w:sz w:val="22"/>
        </w:rPr>
        <w:t>六、合同文件构成</w:t>
      </w:r>
      <w:bookmarkEnd w:id="92"/>
    </w:p>
    <w:p w14:paraId="7728E580">
      <w:pPr>
        <w:pStyle w:val="68"/>
        <w:spacing w:line="240" w:lineRule="auto"/>
        <w:ind w:firstLine="440" w:firstLineChars="200"/>
        <w:rPr>
          <w:bCs/>
          <w:color w:val="auto"/>
          <w:sz w:val="22"/>
        </w:rPr>
      </w:pPr>
      <w:r>
        <w:rPr>
          <w:rFonts w:hint="eastAsia" w:hAnsi="宋体"/>
          <w:bCs/>
          <w:color w:val="auto"/>
          <w:sz w:val="22"/>
          <w:lang w:eastAsia="zh-CN"/>
        </w:rPr>
        <w:t>本合同</w:t>
      </w:r>
      <w:r>
        <w:rPr>
          <w:rFonts w:hAnsi="宋体"/>
          <w:bCs/>
          <w:color w:val="auto"/>
          <w:sz w:val="22"/>
        </w:rPr>
        <w:t>书与下列文件一起构成合同文件：</w:t>
      </w:r>
    </w:p>
    <w:p w14:paraId="4E178919">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1</w:t>
      </w:r>
      <w:r>
        <w:rPr>
          <w:rFonts w:hAnsi="宋体"/>
          <w:color w:val="auto"/>
          <w:sz w:val="22"/>
        </w:rPr>
        <w:t>）</w:t>
      </w:r>
      <w:r>
        <w:rPr>
          <w:rFonts w:hint="eastAsia" w:hAnsi="宋体"/>
          <w:color w:val="auto"/>
          <w:sz w:val="22"/>
        </w:rPr>
        <w:t>成交</w:t>
      </w:r>
      <w:r>
        <w:rPr>
          <w:rFonts w:hint="eastAsia" w:hAnsi="宋体"/>
          <w:color w:val="auto"/>
          <w:sz w:val="22"/>
          <w:lang w:eastAsia="zh-CN"/>
        </w:rPr>
        <w:t>通知</w:t>
      </w:r>
      <w:r>
        <w:rPr>
          <w:rFonts w:hAnsi="宋体"/>
          <w:color w:val="auto"/>
          <w:sz w:val="22"/>
        </w:rPr>
        <w:t>书；</w:t>
      </w:r>
    </w:p>
    <w:p w14:paraId="4C2EE771">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2</w:t>
      </w:r>
      <w:r>
        <w:rPr>
          <w:rFonts w:hAnsi="宋体"/>
          <w:color w:val="auto"/>
          <w:sz w:val="22"/>
        </w:rPr>
        <w:t>）</w:t>
      </w:r>
      <w:r>
        <w:rPr>
          <w:rFonts w:hint="eastAsia" w:hAnsi="宋体"/>
          <w:color w:val="auto"/>
          <w:sz w:val="22"/>
        </w:rPr>
        <w:t>磋商</w:t>
      </w:r>
      <w:r>
        <w:rPr>
          <w:rFonts w:hAnsi="宋体"/>
          <w:color w:val="auto"/>
          <w:sz w:val="22"/>
        </w:rPr>
        <w:t>函及其附录；</w:t>
      </w:r>
      <w:r>
        <w:rPr>
          <w:color w:val="auto"/>
          <w:sz w:val="22"/>
        </w:rPr>
        <w:t xml:space="preserve"> </w:t>
      </w:r>
    </w:p>
    <w:p w14:paraId="2D82BFE2">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3</w:t>
      </w:r>
      <w:r>
        <w:rPr>
          <w:rFonts w:hAnsi="宋体"/>
          <w:color w:val="auto"/>
          <w:sz w:val="22"/>
        </w:rPr>
        <w:t>）专用合同条款及其附件；</w:t>
      </w:r>
    </w:p>
    <w:p w14:paraId="21591E2F">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4</w:t>
      </w:r>
      <w:r>
        <w:rPr>
          <w:rFonts w:hAnsi="宋体"/>
          <w:color w:val="auto"/>
          <w:sz w:val="22"/>
        </w:rPr>
        <w:t>）通用合同条款；</w:t>
      </w:r>
    </w:p>
    <w:p w14:paraId="16DA7632">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5</w:t>
      </w:r>
      <w:r>
        <w:rPr>
          <w:rFonts w:hAnsi="宋体"/>
          <w:color w:val="auto"/>
          <w:sz w:val="22"/>
        </w:rPr>
        <w:t>）技术标准和要求；</w:t>
      </w:r>
    </w:p>
    <w:p w14:paraId="76E5DF85">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6</w:t>
      </w:r>
      <w:r>
        <w:rPr>
          <w:rFonts w:hAnsi="宋体"/>
          <w:color w:val="auto"/>
          <w:sz w:val="22"/>
        </w:rPr>
        <w:t>）已标价工程量清单或预算书；</w:t>
      </w:r>
      <w:r>
        <w:rPr>
          <w:color w:val="auto"/>
          <w:sz w:val="22"/>
        </w:rPr>
        <w:t xml:space="preserve"> </w:t>
      </w:r>
    </w:p>
    <w:p w14:paraId="2CE362E5">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7</w:t>
      </w:r>
      <w:r>
        <w:rPr>
          <w:rFonts w:hAnsi="宋体"/>
          <w:color w:val="auto"/>
          <w:sz w:val="22"/>
        </w:rPr>
        <w:t>）图纸；</w:t>
      </w:r>
    </w:p>
    <w:p w14:paraId="732A18BA">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8</w:t>
      </w:r>
      <w:r>
        <w:rPr>
          <w:rFonts w:hAnsi="宋体"/>
          <w:color w:val="auto"/>
          <w:sz w:val="22"/>
        </w:rPr>
        <w:t>）其他合同文件。</w:t>
      </w:r>
    </w:p>
    <w:p w14:paraId="3D562F4E">
      <w:pPr>
        <w:pStyle w:val="68"/>
        <w:autoSpaceDE w:val="0"/>
        <w:autoSpaceDN w:val="0"/>
        <w:adjustRightInd w:val="0"/>
        <w:spacing w:line="240" w:lineRule="auto"/>
        <w:ind w:firstLine="440" w:firstLineChars="200"/>
        <w:jc w:val="left"/>
        <w:rPr>
          <w:color w:val="auto"/>
          <w:sz w:val="22"/>
        </w:rPr>
      </w:pPr>
      <w:r>
        <w:rPr>
          <w:rFonts w:hAnsi="宋体"/>
          <w:color w:val="auto"/>
          <w:sz w:val="22"/>
        </w:rPr>
        <w:t>在合同订立及履行过程中形成的与合同有关的文件均构成合同文件组成部分。</w:t>
      </w:r>
    </w:p>
    <w:p w14:paraId="7185E28B">
      <w:pPr>
        <w:pStyle w:val="68"/>
        <w:autoSpaceDE w:val="0"/>
        <w:autoSpaceDN w:val="0"/>
        <w:adjustRightInd w:val="0"/>
        <w:spacing w:line="240" w:lineRule="auto"/>
        <w:ind w:firstLine="440" w:firstLineChars="200"/>
        <w:jc w:val="left"/>
        <w:rPr>
          <w:rFonts w:hAnsi="宋体"/>
          <w:color w:val="auto"/>
          <w:sz w:val="22"/>
        </w:rPr>
      </w:pPr>
      <w:r>
        <w:rPr>
          <w:rFonts w:hAnsi="宋体"/>
          <w:color w:val="auto"/>
          <w:sz w:val="22"/>
        </w:rPr>
        <w:t>上述各项合同文件包括合同当事人就该项合同文件所作出的补充和修改，属于同一类内容的文件，应以最新签署的为准。专用合同条款及其附件须经合同当事人签字或盖章。</w:t>
      </w:r>
    </w:p>
    <w:p w14:paraId="2799BF8C">
      <w:pPr>
        <w:pStyle w:val="68"/>
        <w:autoSpaceDE w:val="0"/>
        <w:autoSpaceDN w:val="0"/>
        <w:adjustRightInd w:val="0"/>
        <w:spacing w:line="240" w:lineRule="auto"/>
        <w:ind w:firstLine="442" w:firstLineChars="200"/>
        <w:jc w:val="left"/>
        <w:rPr>
          <w:b/>
          <w:bCs/>
          <w:color w:val="auto"/>
          <w:sz w:val="22"/>
        </w:rPr>
      </w:pPr>
      <w:bookmarkStart w:id="93" w:name="_Toc351203487"/>
      <w:r>
        <w:rPr>
          <w:rFonts w:hAnsi="宋体"/>
          <w:b/>
          <w:bCs/>
          <w:color w:val="auto"/>
          <w:sz w:val="22"/>
        </w:rPr>
        <w:t>七、承诺</w:t>
      </w:r>
      <w:bookmarkEnd w:id="93"/>
    </w:p>
    <w:p w14:paraId="0C8B8937">
      <w:pPr>
        <w:pStyle w:val="68"/>
        <w:spacing w:line="240" w:lineRule="auto"/>
        <w:ind w:firstLine="440" w:firstLineChars="200"/>
        <w:rPr>
          <w:bCs/>
          <w:color w:val="auto"/>
          <w:sz w:val="22"/>
        </w:rPr>
      </w:pPr>
      <w:r>
        <w:rPr>
          <w:bCs/>
          <w:color w:val="auto"/>
          <w:sz w:val="22"/>
        </w:rPr>
        <w:t>1.</w:t>
      </w:r>
      <w:r>
        <w:rPr>
          <w:rFonts w:hint="eastAsia"/>
          <w:bCs/>
          <w:color w:val="auto"/>
          <w:sz w:val="22"/>
        </w:rPr>
        <w:t xml:space="preserve"> </w:t>
      </w:r>
      <w:r>
        <w:rPr>
          <w:rFonts w:hAnsi="宋体"/>
          <w:bCs/>
          <w:color w:val="auto"/>
          <w:sz w:val="22"/>
        </w:rPr>
        <w:t>发包人承诺按照法律规定履行项目审批手续、筹集工程建设资金并按照合同约定的期限和方式支付合同价款。</w:t>
      </w:r>
    </w:p>
    <w:p w14:paraId="1CEB7C00">
      <w:pPr>
        <w:pStyle w:val="68"/>
        <w:spacing w:line="240" w:lineRule="auto"/>
        <w:ind w:firstLine="440" w:firstLineChars="200"/>
        <w:rPr>
          <w:bCs/>
          <w:color w:val="auto"/>
          <w:sz w:val="22"/>
        </w:rPr>
      </w:pPr>
      <w:r>
        <w:rPr>
          <w:bCs/>
          <w:color w:val="auto"/>
          <w:sz w:val="22"/>
        </w:rPr>
        <w:t>2.</w:t>
      </w:r>
      <w:r>
        <w:rPr>
          <w:rFonts w:hint="eastAsia"/>
          <w:bCs/>
          <w:color w:val="auto"/>
          <w:sz w:val="22"/>
        </w:rPr>
        <w:t xml:space="preserve"> </w:t>
      </w:r>
      <w:r>
        <w:rPr>
          <w:rFonts w:hAnsi="宋体"/>
          <w:bCs/>
          <w:color w:val="auto"/>
          <w:sz w:val="22"/>
        </w:rPr>
        <w:t>承包人承诺按照法律规定及合同约定组织完成工程施工，确保工程质量和安全，不进行转包及违法分包，并在缺陷责任期及保修期内承担相应的工程维修责任。</w:t>
      </w:r>
    </w:p>
    <w:p w14:paraId="78AE6196">
      <w:pPr>
        <w:pStyle w:val="68"/>
        <w:spacing w:line="240" w:lineRule="auto"/>
        <w:ind w:firstLine="440" w:firstLineChars="200"/>
        <w:rPr>
          <w:rFonts w:hAnsi="宋体"/>
          <w:bCs/>
          <w:color w:val="auto"/>
          <w:sz w:val="22"/>
        </w:rPr>
      </w:pPr>
      <w:r>
        <w:rPr>
          <w:bCs/>
          <w:color w:val="auto"/>
          <w:sz w:val="22"/>
        </w:rPr>
        <w:t>3.</w:t>
      </w:r>
      <w:r>
        <w:rPr>
          <w:rFonts w:hint="eastAsia"/>
          <w:bCs/>
          <w:color w:val="auto"/>
          <w:sz w:val="22"/>
        </w:rPr>
        <w:t xml:space="preserve"> </w:t>
      </w:r>
      <w:r>
        <w:rPr>
          <w:rFonts w:hAnsi="宋体"/>
          <w:bCs/>
          <w:color w:val="auto"/>
          <w:sz w:val="22"/>
        </w:rPr>
        <w:t>发包人和承包人通过招投标形式签订合同的，双方理解并承诺不再就同一工程另行签订与合同实质性内容相背离的协议。</w:t>
      </w:r>
      <w:bookmarkStart w:id="94" w:name="_Toc351203488"/>
    </w:p>
    <w:p w14:paraId="3FC83AE0">
      <w:pPr>
        <w:pStyle w:val="68"/>
        <w:spacing w:line="240" w:lineRule="auto"/>
        <w:ind w:firstLine="442" w:firstLineChars="200"/>
        <w:rPr>
          <w:b/>
          <w:bCs/>
          <w:color w:val="auto"/>
          <w:sz w:val="22"/>
        </w:rPr>
      </w:pPr>
      <w:r>
        <w:rPr>
          <w:rFonts w:hAnsi="宋体"/>
          <w:b/>
          <w:bCs/>
          <w:color w:val="auto"/>
          <w:sz w:val="22"/>
        </w:rPr>
        <w:t>八、词语含义</w:t>
      </w:r>
      <w:bookmarkEnd w:id="94"/>
    </w:p>
    <w:p w14:paraId="0CA56DB9">
      <w:pPr>
        <w:pStyle w:val="68"/>
        <w:spacing w:line="240" w:lineRule="auto"/>
        <w:ind w:firstLine="440" w:firstLineChars="200"/>
        <w:rPr>
          <w:rFonts w:hAnsi="宋体"/>
          <w:bCs/>
          <w:color w:val="auto"/>
          <w:sz w:val="22"/>
        </w:rPr>
      </w:pPr>
      <w:r>
        <w:rPr>
          <w:rFonts w:hint="eastAsia" w:hAnsi="宋体"/>
          <w:bCs/>
          <w:color w:val="auto"/>
          <w:sz w:val="22"/>
          <w:lang w:eastAsia="zh-CN"/>
        </w:rPr>
        <w:t>本合同</w:t>
      </w:r>
      <w:r>
        <w:rPr>
          <w:rFonts w:hAnsi="宋体"/>
          <w:bCs/>
          <w:color w:val="auto"/>
          <w:sz w:val="22"/>
        </w:rPr>
        <w:t>书中词语含义与第二部分通用合同条款中赋予的含义相同。</w:t>
      </w:r>
    </w:p>
    <w:p w14:paraId="7FC23327">
      <w:pPr>
        <w:pStyle w:val="68"/>
        <w:spacing w:line="240" w:lineRule="auto"/>
        <w:ind w:firstLine="442" w:firstLineChars="200"/>
        <w:rPr>
          <w:b/>
          <w:bCs/>
          <w:color w:val="auto"/>
          <w:sz w:val="22"/>
        </w:rPr>
      </w:pPr>
      <w:bookmarkStart w:id="95" w:name="_Toc351203489"/>
      <w:r>
        <w:rPr>
          <w:rFonts w:hAnsi="宋体"/>
          <w:b/>
          <w:bCs/>
          <w:color w:val="auto"/>
          <w:sz w:val="22"/>
        </w:rPr>
        <w:t>九、签订时间</w:t>
      </w:r>
      <w:bookmarkEnd w:id="95"/>
    </w:p>
    <w:p w14:paraId="0F180F25">
      <w:pPr>
        <w:pStyle w:val="68"/>
        <w:spacing w:line="240" w:lineRule="auto"/>
        <w:ind w:firstLine="440" w:firstLineChars="200"/>
        <w:rPr>
          <w:rFonts w:hAnsi="宋体"/>
          <w:bCs/>
          <w:color w:val="auto"/>
          <w:sz w:val="22"/>
        </w:rPr>
      </w:pPr>
      <w:r>
        <w:rPr>
          <w:rFonts w:hAnsi="宋体"/>
          <w:bCs/>
          <w:color w:val="auto"/>
          <w:sz w:val="22"/>
        </w:rPr>
        <w:t>本合同于</w:t>
      </w:r>
      <w:r>
        <w:rPr>
          <w:rFonts w:hint="eastAsia"/>
          <w:bCs/>
          <w:color w:val="auto"/>
          <w:sz w:val="22"/>
          <w:u w:val="single"/>
          <w:lang w:val="en-US" w:eastAsia="zh-CN"/>
        </w:rPr>
        <w:t xml:space="preserve">      </w:t>
      </w:r>
      <w:r>
        <w:rPr>
          <w:rFonts w:hAnsi="宋体"/>
          <w:bCs/>
          <w:color w:val="auto"/>
          <w:sz w:val="22"/>
        </w:rPr>
        <w:t>年</w:t>
      </w:r>
      <w:r>
        <w:rPr>
          <w:bCs/>
          <w:color w:val="auto"/>
          <w:sz w:val="22"/>
          <w:u w:val="single"/>
        </w:rPr>
        <w:t xml:space="preserve"> </w:t>
      </w:r>
      <w:r>
        <w:rPr>
          <w:rFonts w:hint="eastAsia"/>
          <w:bCs/>
          <w:color w:val="auto"/>
          <w:sz w:val="22"/>
          <w:u w:val="single"/>
          <w:lang w:val="en-US" w:eastAsia="zh-CN"/>
        </w:rPr>
        <w:t xml:space="preserve">    </w:t>
      </w:r>
      <w:r>
        <w:rPr>
          <w:bCs/>
          <w:color w:val="auto"/>
          <w:sz w:val="22"/>
          <w:u w:val="single"/>
        </w:rPr>
        <w:t xml:space="preserve"> </w:t>
      </w:r>
      <w:r>
        <w:rPr>
          <w:rFonts w:hAnsi="宋体"/>
          <w:bCs/>
          <w:color w:val="auto"/>
          <w:sz w:val="22"/>
        </w:rPr>
        <w:t>月</w:t>
      </w:r>
      <w:r>
        <w:rPr>
          <w:rFonts w:hint="eastAsia"/>
          <w:bCs/>
          <w:color w:val="auto"/>
          <w:sz w:val="22"/>
          <w:u w:val="single"/>
          <w:lang w:val="en-US" w:eastAsia="zh-CN"/>
        </w:rPr>
        <w:t xml:space="preserve">      </w:t>
      </w:r>
      <w:r>
        <w:rPr>
          <w:rFonts w:hAnsi="宋体"/>
          <w:bCs/>
          <w:color w:val="auto"/>
          <w:sz w:val="22"/>
        </w:rPr>
        <w:t>日签订。</w:t>
      </w:r>
    </w:p>
    <w:p w14:paraId="3F06EAFB">
      <w:pPr>
        <w:pStyle w:val="68"/>
        <w:spacing w:line="240" w:lineRule="auto"/>
        <w:ind w:firstLine="442" w:firstLineChars="200"/>
        <w:rPr>
          <w:b/>
          <w:bCs/>
          <w:color w:val="auto"/>
          <w:sz w:val="22"/>
        </w:rPr>
      </w:pPr>
      <w:bookmarkStart w:id="96" w:name="_Toc351203490"/>
      <w:r>
        <w:rPr>
          <w:rFonts w:hAnsi="宋体"/>
          <w:b/>
          <w:bCs/>
          <w:color w:val="auto"/>
          <w:sz w:val="22"/>
        </w:rPr>
        <w:t>十、签订地点</w:t>
      </w:r>
      <w:bookmarkEnd w:id="96"/>
    </w:p>
    <w:p w14:paraId="7B13D66C">
      <w:pPr>
        <w:pStyle w:val="68"/>
        <w:spacing w:line="240" w:lineRule="auto"/>
        <w:ind w:firstLine="440" w:firstLineChars="200"/>
        <w:rPr>
          <w:rFonts w:hAnsi="宋体"/>
          <w:bCs/>
          <w:color w:val="auto"/>
          <w:sz w:val="22"/>
          <w:u w:val="none"/>
        </w:rPr>
      </w:pPr>
      <w:r>
        <w:rPr>
          <w:rFonts w:hAnsi="宋体"/>
          <w:bCs/>
          <w:color w:val="auto"/>
          <w:sz w:val="22"/>
          <w:u w:val="none"/>
        </w:rPr>
        <w:t>本合同在</w:t>
      </w:r>
      <w:r>
        <w:rPr>
          <w:rFonts w:hint="eastAsia" w:ascii="Times New Roman" w:hAnsi="Times New Roman" w:eastAsia="宋体" w:cs="Times New Roman"/>
          <w:bCs/>
          <w:color w:val="auto"/>
          <w:sz w:val="22"/>
          <w:u w:val="single"/>
          <w:lang w:val="en-US" w:eastAsia="zh-CN"/>
        </w:rPr>
        <w:t xml:space="preserve"> 港口区 </w:t>
      </w:r>
      <w:r>
        <w:rPr>
          <w:rFonts w:hAnsi="宋体"/>
          <w:bCs/>
          <w:color w:val="auto"/>
          <w:sz w:val="22"/>
          <w:u w:val="none"/>
        </w:rPr>
        <w:t>签订。</w:t>
      </w:r>
    </w:p>
    <w:p w14:paraId="2435B951">
      <w:pPr>
        <w:pStyle w:val="68"/>
        <w:spacing w:line="240" w:lineRule="auto"/>
        <w:ind w:firstLine="442" w:firstLineChars="200"/>
        <w:rPr>
          <w:b/>
          <w:bCs/>
          <w:color w:val="auto"/>
          <w:sz w:val="22"/>
        </w:rPr>
      </w:pPr>
      <w:bookmarkStart w:id="97" w:name="_Toc351203491"/>
      <w:r>
        <w:rPr>
          <w:rFonts w:hAnsi="宋体"/>
          <w:b/>
          <w:bCs/>
          <w:color w:val="auto"/>
          <w:sz w:val="22"/>
        </w:rPr>
        <w:t>十一、补充协议</w:t>
      </w:r>
      <w:bookmarkEnd w:id="97"/>
    </w:p>
    <w:p w14:paraId="45A9C85A">
      <w:pPr>
        <w:pStyle w:val="68"/>
        <w:spacing w:line="240" w:lineRule="auto"/>
        <w:ind w:firstLine="440" w:firstLineChars="200"/>
        <w:rPr>
          <w:rFonts w:hAnsi="宋体"/>
          <w:bCs/>
          <w:color w:val="auto"/>
          <w:sz w:val="22"/>
        </w:rPr>
      </w:pPr>
      <w:r>
        <w:rPr>
          <w:rFonts w:hAnsi="宋体"/>
          <w:bCs/>
          <w:color w:val="auto"/>
          <w:sz w:val="22"/>
        </w:rPr>
        <w:t>合同未尽事宜，合同当事人另行签订补充协议，补充协议是合同的组成部分。</w:t>
      </w:r>
    </w:p>
    <w:p w14:paraId="63E41D82">
      <w:pPr>
        <w:pStyle w:val="68"/>
        <w:spacing w:line="240" w:lineRule="auto"/>
        <w:ind w:firstLine="442" w:firstLineChars="200"/>
        <w:rPr>
          <w:b/>
          <w:bCs/>
          <w:color w:val="auto"/>
          <w:sz w:val="22"/>
        </w:rPr>
      </w:pPr>
      <w:bookmarkStart w:id="98" w:name="_Toc351203492"/>
      <w:r>
        <w:rPr>
          <w:rFonts w:hAnsi="宋体"/>
          <w:b/>
          <w:bCs/>
          <w:color w:val="auto"/>
          <w:sz w:val="22"/>
        </w:rPr>
        <w:t>十二、合同生效</w:t>
      </w:r>
      <w:bookmarkEnd w:id="98"/>
    </w:p>
    <w:p w14:paraId="30BC8764">
      <w:pPr>
        <w:pStyle w:val="68"/>
        <w:spacing w:line="240" w:lineRule="auto"/>
        <w:ind w:firstLine="440" w:firstLineChars="200"/>
        <w:rPr>
          <w:rFonts w:hAnsi="宋体"/>
          <w:bCs/>
          <w:color w:val="auto"/>
          <w:sz w:val="22"/>
        </w:rPr>
      </w:pPr>
      <w:r>
        <w:rPr>
          <w:rFonts w:hAnsi="宋体"/>
          <w:bCs/>
          <w:color w:val="auto"/>
          <w:sz w:val="22"/>
        </w:rPr>
        <w:t>本合同自</w:t>
      </w:r>
      <w:r>
        <w:rPr>
          <w:bCs/>
          <w:color w:val="auto"/>
          <w:sz w:val="22"/>
          <w:u w:val="single"/>
        </w:rPr>
        <w:t xml:space="preserve"> </w:t>
      </w:r>
      <w:r>
        <w:rPr>
          <w:rFonts w:hint="eastAsia"/>
          <w:bCs/>
          <w:color w:val="auto"/>
          <w:sz w:val="22"/>
          <w:u w:val="single"/>
          <w:lang w:eastAsia="zh-CN"/>
        </w:rPr>
        <w:t>双方法定代表人签字或签章并加盖单位公章或合同专用章后</w:t>
      </w:r>
      <w:r>
        <w:rPr>
          <w:bCs/>
          <w:color w:val="auto"/>
          <w:sz w:val="22"/>
          <w:u w:val="single"/>
        </w:rPr>
        <w:t xml:space="preserve"> </w:t>
      </w:r>
      <w:r>
        <w:rPr>
          <w:rFonts w:hAnsi="宋体"/>
          <w:bCs/>
          <w:color w:val="auto"/>
          <w:sz w:val="22"/>
        </w:rPr>
        <w:t>生效。</w:t>
      </w:r>
    </w:p>
    <w:p w14:paraId="4E10A4C9">
      <w:pPr>
        <w:pStyle w:val="68"/>
        <w:spacing w:line="240" w:lineRule="auto"/>
        <w:ind w:firstLine="442" w:firstLineChars="200"/>
        <w:rPr>
          <w:b/>
          <w:bCs/>
          <w:color w:val="auto"/>
          <w:sz w:val="22"/>
        </w:rPr>
      </w:pPr>
      <w:bookmarkStart w:id="99" w:name="_Toc351203493"/>
      <w:r>
        <w:rPr>
          <w:rFonts w:hAnsi="宋体"/>
          <w:b/>
          <w:bCs/>
          <w:color w:val="auto"/>
          <w:sz w:val="22"/>
        </w:rPr>
        <w:t>十三、合同份数</w:t>
      </w:r>
      <w:bookmarkEnd w:id="99"/>
    </w:p>
    <w:p w14:paraId="0F604E6B">
      <w:pPr>
        <w:pStyle w:val="68"/>
        <w:spacing w:line="240" w:lineRule="auto"/>
        <w:ind w:firstLine="440" w:firstLineChars="200"/>
        <w:rPr>
          <w:bCs/>
          <w:color w:val="auto"/>
          <w:sz w:val="22"/>
        </w:rPr>
      </w:pPr>
      <w:r>
        <w:rPr>
          <w:rFonts w:hAnsi="宋体"/>
          <w:bCs/>
          <w:color w:val="auto"/>
          <w:sz w:val="22"/>
        </w:rPr>
        <w:t>本合同一式</w:t>
      </w:r>
      <w:r>
        <w:rPr>
          <w:bCs/>
          <w:color w:val="auto"/>
          <w:sz w:val="22"/>
          <w:u w:val="single"/>
        </w:rPr>
        <w:t xml:space="preserve"> </w:t>
      </w:r>
      <w:r>
        <w:rPr>
          <w:rFonts w:hint="eastAsia"/>
          <w:bCs/>
          <w:color w:val="auto"/>
          <w:sz w:val="22"/>
          <w:u w:val="single"/>
          <w:lang w:val="en-US" w:eastAsia="zh-CN"/>
        </w:rPr>
        <w:t>陆</w:t>
      </w:r>
      <w:r>
        <w:rPr>
          <w:bCs/>
          <w:color w:val="auto"/>
          <w:sz w:val="22"/>
          <w:u w:val="single"/>
        </w:rPr>
        <w:t xml:space="preserve"> </w:t>
      </w:r>
      <w:r>
        <w:rPr>
          <w:rFonts w:hAnsi="宋体"/>
          <w:bCs/>
          <w:color w:val="auto"/>
          <w:sz w:val="22"/>
        </w:rPr>
        <w:t>份，均具有同等法律效力，发包人执</w:t>
      </w:r>
      <w:r>
        <w:rPr>
          <w:bCs/>
          <w:color w:val="auto"/>
          <w:sz w:val="22"/>
          <w:u w:val="single"/>
        </w:rPr>
        <w:t xml:space="preserve">  </w:t>
      </w:r>
      <w:r>
        <w:rPr>
          <w:rFonts w:hint="eastAsia"/>
          <w:bCs/>
          <w:color w:val="auto"/>
          <w:sz w:val="22"/>
          <w:u w:val="single"/>
          <w:lang w:val="en-US" w:eastAsia="zh-CN"/>
        </w:rPr>
        <w:t>肆</w:t>
      </w:r>
      <w:r>
        <w:rPr>
          <w:bCs/>
          <w:color w:val="auto"/>
          <w:sz w:val="22"/>
          <w:u w:val="single"/>
        </w:rPr>
        <w:t xml:space="preserve">  </w:t>
      </w:r>
      <w:r>
        <w:rPr>
          <w:rFonts w:hAnsi="宋体"/>
          <w:bCs/>
          <w:color w:val="auto"/>
          <w:sz w:val="22"/>
        </w:rPr>
        <w:t>份，承包人执</w:t>
      </w:r>
      <w:r>
        <w:rPr>
          <w:bCs/>
          <w:color w:val="auto"/>
          <w:sz w:val="22"/>
          <w:u w:val="single"/>
        </w:rPr>
        <w:t xml:space="preserve">  </w:t>
      </w:r>
      <w:r>
        <w:rPr>
          <w:rFonts w:hint="eastAsia"/>
          <w:bCs/>
          <w:color w:val="auto"/>
          <w:sz w:val="22"/>
          <w:u w:val="single"/>
          <w:lang w:val="en-US" w:eastAsia="zh-CN"/>
        </w:rPr>
        <w:t>贰</w:t>
      </w:r>
      <w:r>
        <w:rPr>
          <w:bCs/>
          <w:color w:val="auto"/>
          <w:sz w:val="22"/>
          <w:u w:val="single"/>
        </w:rPr>
        <w:t xml:space="preserve">  </w:t>
      </w:r>
      <w:r>
        <w:rPr>
          <w:rFonts w:hAnsi="宋体"/>
          <w:bCs/>
          <w:color w:val="auto"/>
          <w:sz w:val="22"/>
        </w:rPr>
        <w:t>份。</w:t>
      </w:r>
    </w:p>
    <w:p w14:paraId="7D336733">
      <w:pPr>
        <w:pStyle w:val="68"/>
        <w:spacing w:line="240" w:lineRule="auto"/>
        <w:rPr>
          <w:bCs/>
          <w:color w:val="auto"/>
          <w:sz w:val="22"/>
        </w:rPr>
      </w:pPr>
    </w:p>
    <w:p w14:paraId="3621CE95">
      <w:pPr>
        <w:pStyle w:val="68"/>
        <w:spacing w:line="240" w:lineRule="auto"/>
        <w:ind w:firstLine="442" w:firstLineChars="200"/>
        <w:rPr>
          <w:rFonts w:hint="default"/>
          <w:b/>
          <w:bCs/>
          <w:color w:val="auto"/>
          <w:sz w:val="22"/>
          <w:lang w:val="en-US"/>
        </w:rPr>
      </w:pPr>
      <w:r>
        <w:rPr>
          <w:rFonts w:hAnsi="宋体"/>
          <w:b/>
          <w:bCs/>
          <w:color w:val="auto"/>
          <w:sz w:val="22"/>
        </w:rPr>
        <w:t>发包人：</w:t>
      </w:r>
      <w:r>
        <w:rPr>
          <w:rFonts w:hint="eastAsia" w:hAnsi="宋体"/>
          <w:b/>
          <w:bCs/>
          <w:color w:val="auto"/>
          <w:sz w:val="22"/>
          <w:u w:val="single"/>
          <w:lang w:eastAsia="zh-CN"/>
        </w:rPr>
        <w:t>防城港市港口区住房和城乡建设局</w:t>
      </w:r>
      <w:r>
        <w:rPr>
          <w:rFonts w:hint="eastAsia" w:hAnsi="宋体"/>
          <w:b/>
          <w:bCs/>
          <w:color w:val="auto"/>
          <w:sz w:val="22"/>
          <w:u w:val="single"/>
        </w:rPr>
        <w:t xml:space="preserve"> </w:t>
      </w:r>
      <w:r>
        <w:rPr>
          <w:b/>
          <w:bCs/>
          <w:color w:val="auto"/>
          <w:sz w:val="22"/>
        </w:rPr>
        <w:t xml:space="preserve">    </w:t>
      </w:r>
      <w:r>
        <w:rPr>
          <w:rFonts w:hint="eastAsia"/>
          <w:b/>
          <w:bCs/>
          <w:color w:val="auto"/>
          <w:sz w:val="22"/>
          <w:lang w:val="en-US" w:eastAsia="zh-CN"/>
        </w:rPr>
        <w:t xml:space="preserve">     </w:t>
      </w:r>
      <w:r>
        <w:rPr>
          <w:b/>
          <w:bCs/>
          <w:color w:val="auto"/>
          <w:sz w:val="22"/>
        </w:rPr>
        <w:t xml:space="preserve">  </w:t>
      </w:r>
      <w:r>
        <w:rPr>
          <w:rFonts w:hint="eastAsia"/>
          <w:b/>
          <w:bCs/>
          <w:color w:val="auto"/>
          <w:sz w:val="22"/>
          <w:lang w:val="en-US" w:eastAsia="zh-CN"/>
        </w:rPr>
        <w:t xml:space="preserve">      </w:t>
      </w:r>
      <w:r>
        <w:rPr>
          <w:rFonts w:hAnsi="宋体"/>
          <w:b/>
          <w:bCs/>
          <w:color w:val="auto"/>
          <w:sz w:val="22"/>
        </w:rPr>
        <w:t>承包人：</w:t>
      </w:r>
      <w:r>
        <w:rPr>
          <w:rFonts w:hint="eastAsia" w:hAnsi="宋体"/>
          <w:b/>
          <w:bCs/>
          <w:color w:val="auto"/>
          <w:sz w:val="22"/>
          <w:lang w:val="en-US" w:eastAsia="zh-CN"/>
        </w:rPr>
        <w:t xml:space="preserve"> </w:t>
      </w:r>
    </w:p>
    <w:p w14:paraId="2D3D07CB">
      <w:pPr>
        <w:pStyle w:val="68"/>
        <w:spacing w:line="240" w:lineRule="auto"/>
        <w:ind w:firstLine="442" w:firstLineChars="200"/>
        <w:rPr>
          <w:b/>
          <w:bCs/>
          <w:color w:val="auto"/>
          <w:sz w:val="22"/>
          <w:u w:val="single"/>
        </w:rPr>
      </w:pPr>
      <w:r>
        <w:rPr>
          <w:rFonts w:hint="eastAsia"/>
          <w:b/>
          <w:bCs/>
          <w:color w:val="auto"/>
          <w:sz w:val="22"/>
        </w:rPr>
        <w:t>（</w:t>
      </w:r>
      <w:r>
        <w:rPr>
          <w:rFonts w:hint="eastAsia"/>
          <w:b/>
          <w:bCs/>
          <w:color w:val="auto"/>
          <w:sz w:val="22"/>
          <w:lang w:eastAsia="zh-CN"/>
        </w:rPr>
        <w:t>公章或合同专用章</w:t>
      </w:r>
      <w:r>
        <w:rPr>
          <w:rFonts w:hint="eastAsia"/>
          <w:b/>
          <w:bCs/>
          <w:color w:val="auto"/>
          <w:sz w:val="22"/>
        </w:rPr>
        <w:t>）</w:t>
      </w:r>
      <w:r>
        <w:rPr>
          <w:b/>
          <w:bCs/>
          <w:color w:val="auto"/>
          <w:sz w:val="22"/>
        </w:rPr>
        <w:t xml:space="preserve"> </w:t>
      </w:r>
      <w:r>
        <w:rPr>
          <w:rFonts w:hint="eastAsia"/>
          <w:b/>
          <w:bCs/>
          <w:color w:val="auto"/>
          <w:sz w:val="22"/>
          <w:lang w:val="en-US" w:eastAsia="zh-CN"/>
        </w:rPr>
        <w:t xml:space="preserve">                            </w:t>
      </w:r>
      <w:r>
        <w:rPr>
          <w:rFonts w:hint="eastAsia"/>
          <w:b/>
          <w:bCs/>
          <w:color w:val="auto"/>
          <w:sz w:val="22"/>
        </w:rPr>
        <w:t>（</w:t>
      </w:r>
      <w:r>
        <w:rPr>
          <w:rFonts w:hint="eastAsia"/>
          <w:b/>
          <w:bCs/>
          <w:color w:val="auto"/>
          <w:sz w:val="22"/>
          <w:lang w:eastAsia="zh-CN"/>
        </w:rPr>
        <w:t>公章或合同专用章</w:t>
      </w:r>
      <w:r>
        <w:rPr>
          <w:rFonts w:hint="eastAsia"/>
          <w:b/>
          <w:bCs/>
          <w:color w:val="auto"/>
          <w:sz w:val="22"/>
        </w:rPr>
        <w:t>）</w:t>
      </w:r>
    </w:p>
    <w:p w14:paraId="0913A10D">
      <w:pPr>
        <w:pStyle w:val="68"/>
        <w:spacing w:line="240" w:lineRule="auto"/>
        <w:ind w:firstLine="442" w:firstLineChars="200"/>
        <w:rPr>
          <w:b/>
          <w:bCs/>
          <w:color w:val="auto"/>
          <w:sz w:val="22"/>
          <w:u w:val="none"/>
        </w:rPr>
      </w:pPr>
      <w:r>
        <w:rPr>
          <w:rFonts w:hAnsi="宋体"/>
          <w:b/>
          <w:bCs/>
          <w:color w:val="auto"/>
          <w:sz w:val="22"/>
        </w:rPr>
        <w:t>法定代表人</w:t>
      </w:r>
      <w:r>
        <w:rPr>
          <w:rFonts w:hAnsi="宋体"/>
          <w:b/>
          <w:bCs/>
          <w:color w:val="auto"/>
          <w:sz w:val="22"/>
          <w:u w:val="none"/>
        </w:rPr>
        <w:t>（</w:t>
      </w:r>
      <w:r>
        <w:rPr>
          <w:rFonts w:hint="eastAsia"/>
          <w:b/>
          <w:bCs/>
          <w:color w:val="auto"/>
          <w:sz w:val="22"/>
          <w:u w:val="none"/>
          <w:lang w:eastAsia="zh-CN"/>
        </w:rPr>
        <w:t>签字或签章</w:t>
      </w:r>
      <w:r>
        <w:rPr>
          <w:rFonts w:hAnsi="宋体"/>
          <w:b/>
          <w:bCs/>
          <w:color w:val="auto"/>
          <w:sz w:val="22"/>
          <w:u w:val="none"/>
        </w:rPr>
        <w:t>）</w:t>
      </w:r>
      <w:r>
        <w:rPr>
          <w:rFonts w:hAnsi="宋体"/>
          <w:b/>
          <w:bCs/>
          <w:color w:val="auto"/>
          <w:sz w:val="22"/>
        </w:rPr>
        <w:t>：</w:t>
      </w:r>
      <w:r>
        <w:rPr>
          <w:b/>
          <w:bCs/>
          <w:color w:val="auto"/>
          <w:sz w:val="22"/>
        </w:rPr>
        <w:t xml:space="preserve">                    </w:t>
      </w:r>
      <w:r>
        <w:rPr>
          <w:rFonts w:hAnsi="宋体"/>
          <w:b/>
          <w:bCs/>
          <w:color w:val="auto"/>
          <w:sz w:val="22"/>
        </w:rPr>
        <w:t>法定代表人</w:t>
      </w:r>
      <w:r>
        <w:rPr>
          <w:rFonts w:hAnsi="宋体"/>
          <w:b/>
          <w:bCs/>
          <w:color w:val="auto"/>
          <w:sz w:val="22"/>
          <w:u w:val="none"/>
        </w:rPr>
        <w:t>（</w:t>
      </w:r>
      <w:r>
        <w:rPr>
          <w:rFonts w:hint="eastAsia"/>
          <w:b/>
          <w:bCs/>
          <w:color w:val="auto"/>
          <w:sz w:val="22"/>
          <w:u w:val="none"/>
          <w:lang w:eastAsia="zh-CN"/>
        </w:rPr>
        <w:t>签字或签章</w:t>
      </w:r>
      <w:r>
        <w:rPr>
          <w:rFonts w:hAnsi="宋体"/>
          <w:b/>
          <w:bCs/>
          <w:color w:val="auto"/>
          <w:sz w:val="22"/>
          <w:u w:val="none"/>
        </w:rPr>
        <w:t>）</w:t>
      </w:r>
      <w:r>
        <w:rPr>
          <w:rFonts w:hAnsi="宋体"/>
          <w:b/>
          <w:bCs/>
          <w:color w:val="auto"/>
          <w:sz w:val="22"/>
        </w:rPr>
        <w:t>：</w:t>
      </w:r>
    </w:p>
    <w:p w14:paraId="485AED20">
      <w:pPr>
        <w:pStyle w:val="68"/>
        <w:spacing w:line="240" w:lineRule="auto"/>
        <w:rPr>
          <w:color w:val="auto"/>
          <w:sz w:val="22"/>
          <w:u w:val="none"/>
        </w:rPr>
      </w:pPr>
    </w:p>
    <w:p w14:paraId="05E1345E">
      <w:pPr>
        <w:pStyle w:val="68"/>
        <w:spacing w:line="240" w:lineRule="auto"/>
        <w:rPr>
          <w:color w:val="auto"/>
          <w:sz w:val="22"/>
          <w:u w:val="none"/>
        </w:rPr>
      </w:pPr>
    </w:p>
    <w:p w14:paraId="3F9E5C36">
      <w:pPr>
        <w:tabs>
          <w:tab w:val="left" w:pos="4410"/>
        </w:tabs>
        <w:spacing w:line="400" w:lineRule="exact"/>
        <w:ind w:firstLine="420" w:firstLineChars="200"/>
        <w:rPr>
          <w:rFonts w:ascii="宋体" w:hAnsi="宋体"/>
          <w:color w:val="auto"/>
          <w:szCs w:val="21"/>
          <w:highlight w:val="none"/>
        </w:rPr>
      </w:pPr>
      <w:r>
        <w:rPr>
          <w:rFonts w:ascii="宋体" w:hAnsi="宋体"/>
          <w:color w:val="auto"/>
          <w:szCs w:val="21"/>
          <w:highlight w:val="none"/>
        </w:rPr>
        <w:t>组织机构代码：</w:t>
      </w:r>
      <w:r>
        <w:rPr>
          <w:rFonts w:ascii="宋体" w:hAnsi="宋体"/>
          <w:color w:val="auto"/>
          <w:szCs w:val="21"/>
          <w:highlight w:val="none"/>
          <w:u w:val="single"/>
        </w:rPr>
        <w:t xml:space="preserve">       </w:t>
      </w:r>
      <w:r>
        <w:rPr>
          <w:rFonts w:ascii="宋体" w:hAnsi="宋体"/>
          <w:color w:val="auto"/>
          <w:szCs w:val="21"/>
          <w:highlight w:val="none"/>
        </w:rPr>
        <w:t xml:space="preserve">                  组织机构代码：</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 xml:space="preserve"> </w:t>
      </w:r>
    </w:p>
    <w:p w14:paraId="4E4EC3B3">
      <w:pPr>
        <w:spacing w:line="400" w:lineRule="exact"/>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地  址：</w:t>
      </w:r>
      <w:r>
        <w:rPr>
          <w:rFonts w:ascii="宋体" w:hAnsi="宋体"/>
          <w:color w:val="auto"/>
          <w:szCs w:val="21"/>
          <w:highlight w:val="none"/>
          <w:u w:val="single"/>
        </w:rPr>
        <w:t xml:space="preserve">     </w:t>
      </w:r>
      <w:r>
        <w:rPr>
          <w:rFonts w:ascii="宋体" w:hAnsi="宋体"/>
          <w:color w:val="auto"/>
          <w:szCs w:val="21"/>
          <w:highlight w:val="none"/>
        </w:rPr>
        <w:t xml:space="preserve">                  地  址：</w:t>
      </w:r>
      <w:r>
        <w:rPr>
          <w:rFonts w:hint="eastAsia" w:ascii="宋体" w:hAnsi="宋体"/>
          <w:color w:val="auto"/>
          <w:szCs w:val="21"/>
          <w:highlight w:val="none"/>
          <w:u w:val="single"/>
          <w:lang w:val="en-US" w:eastAsia="zh-CN"/>
        </w:rPr>
        <w:t xml:space="preserve">    （公司地址，必填）        </w:t>
      </w:r>
    </w:p>
    <w:p w14:paraId="080EA8D7">
      <w:pPr>
        <w:spacing w:line="400" w:lineRule="exact"/>
        <w:ind w:firstLine="420" w:firstLineChars="200"/>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     </w:t>
      </w:r>
      <w:r>
        <w:rPr>
          <w:rFonts w:ascii="宋体" w:hAnsi="宋体"/>
          <w:color w:val="auto"/>
          <w:szCs w:val="21"/>
          <w:highlight w:val="none"/>
        </w:rPr>
        <w:t xml:space="preserve">                 邮政编码：</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24737058">
      <w:pPr>
        <w:spacing w:line="400" w:lineRule="exact"/>
        <w:ind w:firstLine="420" w:firstLineChars="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      </w:t>
      </w:r>
      <w:r>
        <w:rPr>
          <w:rFonts w:ascii="宋体" w:hAnsi="宋体"/>
          <w:color w:val="auto"/>
          <w:szCs w:val="21"/>
          <w:highlight w:val="none"/>
        </w:rPr>
        <w:t xml:space="preserve">                  法定代表人：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139C7546">
      <w:pPr>
        <w:spacing w:line="400" w:lineRule="exact"/>
        <w:ind w:firstLine="420" w:firstLineChars="200"/>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 xml:space="preserve">   </w:t>
      </w:r>
      <w:r>
        <w:rPr>
          <w:rFonts w:ascii="宋体" w:hAnsi="宋体"/>
          <w:color w:val="auto"/>
          <w:szCs w:val="21"/>
          <w:highlight w:val="none"/>
        </w:rPr>
        <w:t xml:space="preserve">                  电  话：</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（固定电话，必填）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1A0A948E">
      <w:pPr>
        <w:spacing w:line="40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电子信箱</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（公司邮箱，必填）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66CDC36D">
      <w:pPr>
        <w:spacing w:line="400" w:lineRule="exact"/>
        <w:ind w:firstLine="420" w:firstLineChars="200"/>
        <w:rPr>
          <w:rFonts w:hint="default" w:ascii="宋体" w:hAnsi="宋体"/>
          <w:color w:val="auto"/>
          <w:szCs w:val="21"/>
          <w:highlight w:val="none"/>
          <w:lang w:val="en-US"/>
        </w:rPr>
      </w:pPr>
      <w:r>
        <w:rPr>
          <w:rFonts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开户银行：</w:t>
      </w:r>
      <w:r>
        <w:rPr>
          <w:rFonts w:hint="eastAsia" w:ascii="宋体" w:hAnsi="宋体"/>
          <w:color w:val="auto"/>
          <w:szCs w:val="21"/>
          <w:highlight w:val="none"/>
          <w:u w:val="single"/>
          <w:lang w:val="en-US" w:eastAsia="zh-CN"/>
        </w:rPr>
        <w:t xml:space="preserve">                            </w:t>
      </w:r>
    </w:p>
    <w:p w14:paraId="3611610F">
      <w:pPr>
        <w:spacing w:line="400" w:lineRule="exact"/>
        <w:ind w:firstLine="420" w:firstLineChars="200"/>
        <w:rPr>
          <w:rFonts w:hint="eastAsia"/>
          <w:color w:val="auto"/>
          <w:sz w:val="20"/>
          <w:highlight w:val="white"/>
        </w:rPr>
      </w:pPr>
      <w:r>
        <w:rPr>
          <w:rFonts w:ascii="宋体" w:hAnsi="宋体"/>
          <w:color w:val="auto"/>
          <w:szCs w:val="21"/>
          <w:highlight w:val="none"/>
        </w:rPr>
        <w:t>账  号：</w:t>
      </w:r>
      <w:r>
        <w:rPr>
          <w:rFonts w:ascii="宋体" w:hAnsi="宋体"/>
          <w:color w:val="auto"/>
          <w:szCs w:val="21"/>
          <w:highlight w:val="none"/>
          <w:u w:val="single"/>
        </w:rPr>
        <w:t xml:space="preserve">       </w:t>
      </w:r>
      <w:r>
        <w:rPr>
          <w:rFonts w:ascii="宋体" w:hAnsi="宋体"/>
          <w:color w:val="auto"/>
          <w:szCs w:val="21"/>
          <w:highlight w:val="none"/>
        </w:rPr>
        <w:t xml:space="preserve">                  账  号：</w:t>
      </w:r>
      <w:r>
        <w:rPr>
          <w:rFonts w:hint="eastAsia" w:ascii="宋体" w:hAnsi="宋体"/>
          <w:color w:val="auto"/>
          <w:szCs w:val="21"/>
          <w:highlight w:val="none"/>
          <w:u w:val="single"/>
          <w:lang w:val="en-US" w:eastAsia="zh-CN"/>
        </w:rPr>
        <w:t xml:space="preserve">                              </w:t>
      </w:r>
      <w:r>
        <w:rPr>
          <w:rFonts w:hint="eastAsia"/>
          <w:color w:val="auto"/>
          <w:sz w:val="20"/>
          <w:highlight w:val="white"/>
        </w:rPr>
        <w:t xml:space="preserve"> </w:t>
      </w:r>
      <w:bookmarkEnd w:id="86"/>
    </w:p>
    <w:p w14:paraId="117831AD">
      <w:pPr>
        <w:widowControl/>
        <w:spacing w:line="240" w:lineRule="auto"/>
        <w:jc w:val="left"/>
        <w:rPr>
          <w:color w:val="auto"/>
          <w:u w:val="single"/>
        </w:rPr>
      </w:pPr>
    </w:p>
    <w:p w14:paraId="432D8C00">
      <w:pPr>
        <w:widowControl/>
        <w:spacing w:line="240" w:lineRule="auto"/>
        <w:jc w:val="left"/>
        <w:rPr>
          <w:color w:val="auto"/>
          <w:u w:val="single"/>
        </w:rPr>
      </w:pPr>
    </w:p>
    <w:p w14:paraId="56C1EB5B">
      <w:pPr>
        <w:pStyle w:val="2"/>
        <w:keepNext w:val="0"/>
        <w:ind w:firstLine="602" w:firstLineChars="200"/>
        <w:jc w:val="center"/>
        <w:rPr>
          <w:rFonts w:hint="eastAsia" w:hAnsi="宋体" w:cs="黑体"/>
          <w:color w:val="auto"/>
          <w:sz w:val="30"/>
          <w:szCs w:val="30"/>
          <w:highlight w:val="white"/>
        </w:rPr>
      </w:pPr>
      <w:bookmarkStart w:id="100" w:name="_Toc407135192"/>
      <w:bookmarkStart w:id="101" w:name="_Toc256000100"/>
      <w:bookmarkStart w:id="102" w:name="_Toc9850520"/>
      <w:bookmarkStart w:id="103" w:name="_Toc389065256"/>
      <w:bookmarkStart w:id="104" w:name="_Toc351203632"/>
      <w:bookmarkStart w:id="105" w:name="_Toc373478338"/>
      <w:bookmarkStart w:id="106" w:name="_Toc373227691"/>
      <w:r>
        <w:rPr>
          <w:rFonts w:hint="eastAsia" w:hAnsi="宋体" w:cs="黑体"/>
          <w:color w:val="auto"/>
          <w:sz w:val="30"/>
          <w:szCs w:val="30"/>
          <w:highlight w:val="white"/>
        </w:rPr>
        <w:t>第二部分 通用合同条款</w:t>
      </w:r>
      <w:bookmarkEnd w:id="100"/>
      <w:bookmarkEnd w:id="101"/>
      <w:bookmarkEnd w:id="102"/>
      <w:bookmarkEnd w:id="103"/>
    </w:p>
    <w:p w14:paraId="49392557">
      <w:pPr>
        <w:spacing w:line="360" w:lineRule="auto"/>
        <w:ind w:firstLine="420" w:firstLineChars="200"/>
        <w:rPr>
          <w:rFonts w:hAnsi="宋体"/>
          <w:color w:val="auto"/>
          <w:kern w:val="0"/>
        </w:rPr>
      </w:pPr>
    </w:p>
    <w:p w14:paraId="1E8E2304">
      <w:pPr>
        <w:spacing w:line="360" w:lineRule="auto"/>
        <w:ind w:firstLine="422" w:firstLineChars="200"/>
        <w:rPr>
          <w:rFonts w:hAnsi="宋体"/>
          <w:color w:val="auto"/>
          <w:kern w:val="0"/>
        </w:rPr>
      </w:pPr>
      <w:r>
        <w:rPr>
          <w:rFonts w:hint="eastAsia" w:hAnsi="宋体" w:cs="宋体"/>
          <w:b/>
          <w:bCs/>
          <w:color w:val="auto"/>
          <w:kern w:val="0"/>
          <w:highlight w:val="white"/>
        </w:rPr>
        <w:t>采用《建设工程施工合同（示范文本）》（</w:t>
      </w:r>
      <w:r>
        <w:rPr>
          <w:rFonts w:hAnsi="宋体"/>
          <w:b/>
          <w:bCs/>
          <w:color w:val="auto"/>
          <w:kern w:val="0"/>
          <w:highlight w:val="white"/>
        </w:rPr>
        <w:t>GF</w:t>
      </w:r>
      <w:r>
        <w:rPr>
          <w:rFonts w:hAnsi="宋体" w:cs="宋体"/>
          <w:b/>
          <w:bCs/>
          <w:color w:val="auto"/>
          <w:kern w:val="0"/>
          <w:highlight w:val="white"/>
        </w:rPr>
        <w:t>—</w:t>
      </w:r>
      <w:r>
        <w:rPr>
          <w:rFonts w:hAnsi="宋体"/>
          <w:b/>
          <w:bCs/>
          <w:color w:val="auto"/>
          <w:kern w:val="0"/>
          <w:highlight w:val="white"/>
        </w:rPr>
        <w:t>201</w:t>
      </w:r>
      <w:r>
        <w:rPr>
          <w:rFonts w:hint="eastAsia" w:hAnsi="宋体"/>
          <w:b/>
          <w:bCs/>
          <w:color w:val="auto"/>
          <w:kern w:val="0"/>
          <w:highlight w:val="white"/>
        </w:rPr>
        <w:t>7</w:t>
      </w:r>
      <w:r>
        <w:rPr>
          <w:rFonts w:hAnsi="宋体" w:cs="宋体"/>
          <w:b/>
          <w:bCs/>
          <w:color w:val="auto"/>
          <w:kern w:val="0"/>
          <w:highlight w:val="white"/>
        </w:rPr>
        <w:t>—</w:t>
      </w:r>
      <w:r>
        <w:rPr>
          <w:rFonts w:hAnsi="宋体"/>
          <w:b/>
          <w:bCs/>
          <w:color w:val="auto"/>
          <w:kern w:val="0"/>
          <w:highlight w:val="white"/>
        </w:rPr>
        <w:t>0201</w:t>
      </w:r>
      <w:r>
        <w:rPr>
          <w:rFonts w:hint="eastAsia" w:hAnsi="宋体" w:cs="宋体"/>
          <w:b/>
          <w:bCs/>
          <w:color w:val="auto"/>
          <w:kern w:val="0"/>
          <w:highlight w:val="white"/>
        </w:rPr>
        <w:t>）。</w:t>
      </w:r>
    </w:p>
    <w:p w14:paraId="0855AB6F">
      <w:pPr>
        <w:spacing w:line="360" w:lineRule="auto"/>
        <w:ind w:firstLine="420" w:firstLineChars="200"/>
        <w:rPr>
          <w:rFonts w:hAnsi="宋体"/>
          <w:color w:val="auto"/>
          <w:kern w:val="0"/>
        </w:rPr>
      </w:pPr>
    </w:p>
    <w:p w14:paraId="5E40EA1D">
      <w:pPr>
        <w:spacing w:line="360" w:lineRule="auto"/>
        <w:ind w:firstLine="422" w:firstLineChars="200"/>
        <w:rPr>
          <w:rFonts w:hAnsi="宋体"/>
          <w:b/>
          <w:bCs/>
          <w:color w:val="auto"/>
          <w:kern w:val="0"/>
        </w:rPr>
      </w:pPr>
    </w:p>
    <w:p w14:paraId="185EF129">
      <w:pPr>
        <w:pStyle w:val="2"/>
        <w:keepNext w:val="0"/>
        <w:ind w:firstLine="602" w:firstLineChars="200"/>
        <w:jc w:val="center"/>
        <w:rPr>
          <w:rFonts w:hAnsi="宋体"/>
          <w:color w:val="auto"/>
          <w:sz w:val="30"/>
          <w:szCs w:val="30"/>
        </w:rPr>
      </w:pPr>
      <w:bookmarkStart w:id="107" w:name="_Toc389065257"/>
      <w:bookmarkStart w:id="108" w:name="_Toc407135193"/>
      <w:bookmarkStart w:id="109" w:name="_Toc9850521"/>
      <w:bookmarkStart w:id="110" w:name="_Toc256000101"/>
      <w:r>
        <w:rPr>
          <w:rFonts w:hint="eastAsia" w:hAnsi="宋体" w:cs="黑体"/>
          <w:color w:val="auto"/>
          <w:sz w:val="30"/>
          <w:szCs w:val="30"/>
          <w:highlight w:val="white"/>
        </w:rPr>
        <w:t>第三部分</w:t>
      </w:r>
      <w:r>
        <w:rPr>
          <w:color w:val="auto"/>
          <w:sz w:val="30"/>
          <w:szCs w:val="30"/>
          <w:highlight w:val="white"/>
        </w:rPr>
        <w:t xml:space="preserve"> </w:t>
      </w:r>
      <w:r>
        <w:rPr>
          <w:rFonts w:hint="eastAsia" w:hAnsi="宋体" w:cs="黑体"/>
          <w:color w:val="auto"/>
          <w:sz w:val="30"/>
          <w:szCs w:val="30"/>
          <w:highlight w:val="white"/>
        </w:rPr>
        <w:t>专用合同条款</w:t>
      </w:r>
      <w:bookmarkEnd w:id="104"/>
      <w:bookmarkEnd w:id="105"/>
      <w:bookmarkEnd w:id="106"/>
      <w:bookmarkEnd w:id="107"/>
      <w:bookmarkEnd w:id="108"/>
      <w:bookmarkEnd w:id="109"/>
      <w:bookmarkEnd w:id="110"/>
    </w:p>
    <w:p w14:paraId="29363317">
      <w:pPr>
        <w:spacing w:line="360" w:lineRule="auto"/>
        <w:ind w:firstLine="422" w:firstLineChars="200"/>
        <w:jc w:val="center"/>
        <w:rPr>
          <w:rFonts w:hAnsi="宋体"/>
          <w:b/>
          <w:bCs/>
          <w:color w:val="auto"/>
          <w:kern w:val="0"/>
        </w:rPr>
      </w:pPr>
      <w:r>
        <w:rPr>
          <w:rFonts w:hint="eastAsia" w:hAnsi="宋体" w:cs="宋体"/>
          <w:b/>
          <w:bCs/>
          <w:color w:val="auto"/>
          <w:kern w:val="0"/>
          <w:highlight w:val="white"/>
        </w:rPr>
        <w:t>（注：专用合同条款每一条均应填写完整）</w:t>
      </w:r>
    </w:p>
    <w:p w14:paraId="17D9740A">
      <w:pPr>
        <w:pStyle w:val="70"/>
        <w:spacing w:before="0" w:after="0" w:line="360" w:lineRule="exact"/>
        <w:ind w:firstLine="442" w:firstLineChars="200"/>
        <w:rPr>
          <w:rFonts w:hint="eastAsia" w:ascii="宋体" w:hAnsi="宋体" w:cs="宋体"/>
          <w:color w:val="auto"/>
          <w:sz w:val="22"/>
          <w:szCs w:val="22"/>
        </w:rPr>
      </w:pPr>
      <w:bookmarkStart w:id="111" w:name="_Toc389065258"/>
      <w:bookmarkStart w:id="112" w:name="_Toc373478339"/>
      <w:bookmarkStart w:id="113" w:name="_Toc395382494"/>
      <w:bookmarkStart w:id="114" w:name="_Toc351203633"/>
      <w:bookmarkStart w:id="115" w:name="_Toc373227692"/>
      <w:bookmarkStart w:id="116" w:name="_Toc533432717"/>
      <w:bookmarkStart w:id="117" w:name="_Toc12975882"/>
      <w:bookmarkStart w:id="118" w:name="_Toc351203652"/>
      <w:r>
        <w:rPr>
          <w:rFonts w:hint="eastAsia" w:ascii="宋体" w:hAnsi="宋体" w:cs="宋体"/>
          <w:color w:val="auto"/>
          <w:sz w:val="22"/>
          <w:szCs w:val="22"/>
        </w:rPr>
        <w:t>1</w:t>
      </w:r>
      <w:bookmarkStart w:id="119" w:name="_Toc296347155"/>
      <w:bookmarkStart w:id="120" w:name="_Toc296503156"/>
      <w:bookmarkStart w:id="121" w:name="_Toc296890984"/>
      <w:bookmarkStart w:id="122" w:name="_Toc297120456"/>
      <w:bookmarkStart w:id="123" w:name="_Toc296891196"/>
      <w:bookmarkStart w:id="124" w:name="_Toc297048342"/>
      <w:bookmarkStart w:id="125" w:name="_Toc296346657"/>
      <w:bookmarkStart w:id="126" w:name="_Toc292559361"/>
      <w:bookmarkStart w:id="127" w:name="_Toc292559866"/>
      <w:bookmarkStart w:id="128" w:name="_Toc296944495"/>
      <w:r>
        <w:rPr>
          <w:rFonts w:hint="eastAsia" w:ascii="宋体" w:hAnsi="宋体" w:cs="宋体"/>
          <w:color w:val="auto"/>
          <w:sz w:val="22"/>
          <w:szCs w:val="22"/>
        </w:rPr>
        <w:t>. 一般约定</w:t>
      </w:r>
      <w:bookmarkEnd w:id="111"/>
      <w:bookmarkEnd w:id="112"/>
      <w:bookmarkEnd w:id="113"/>
      <w:bookmarkEnd w:id="114"/>
      <w:bookmarkEnd w:id="115"/>
      <w:bookmarkEnd w:id="116"/>
      <w:bookmarkEnd w:id="117"/>
    </w:p>
    <w:bookmarkEnd w:id="119"/>
    <w:bookmarkEnd w:id="120"/>
    <w:bookmarkEnd w:id="121"/>
    <w:bookmarkEnd w:id="122"/>
    <w:bookmarkEnd w:id="123"/>
    <w:bookmarkEnd w:id="124"/>
    <w:bookmarkEnd w:id="125"/>
    <w:bookmarkEnd w:id="126"/>
    <w:bookmarkEnd w:id="127"/>
    <w:bookmarkEnd w:id="128"/>
    <w:p w14:paraId="2F58CCAA">
      <w:pPr>
        <w:pStyle w:val="39"/>
        <w:spacing w:line="360" w:lineRule="exact"/>
        <w:ind w:firstLine="442" w:firstLineChars="200"/>
        <w:rPr>
          <w:rFonts w:hint="eastAsia" w:ascii="宋体" w:hAnsi="宋体" w:cs="宋体"/>
          <w:color w:val="auto"/>
          <w:sz w:val="22"/>
          <w:szCs w:val="22"/>
        </w:rPr>
      </w:pPr>
      <w:bookmarkStart w:id="129" w:name="_Toc373227693"/>
      <w:bookmarkStart w:id="130" w:name="_Toc373478340"/>
      <w:bookmarkStart w:id="131" w:name="_Toc533432718"/>
      <w:bookmarkStart w:id="132" w:name="_Toc12975883"/>
      <w:bookmarkStart w:id="133" w:name="_Toc389065259"/>
      <w:bookmarkStart w:id="134" w:name="_Toc395382495"/>
      <w:r>
        <w:rPr>
          <w:rFonts w:hint="eastAsia" w:ascii="宋体" w:hAnsi="宋体" w:cs="宋体"/>
          <w:color w:val="auto"/>
          <w:sz w:val="22"/>
          <w:szCs w:val="22"/>
        </w:rPr>
        <w:t>1.1 词语定义</w:t>
      </w:r>
      <w:bookmarkEnd w:id="129"/>
      <w:bookmarkEnd w:id="130"/>
      <w:bookmarkEnd w:id="131"/>
      <w:bookmarkEnd w:id="132"/>
      <w:bookmarkEnd w:id="133"/>
      <w:bookmarkEnd w:id="134"/>
    </w:p>
    <w:p w14:paraId="0CDDC8B8">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1.1.1 合同</w:t>
      </w:r>
    </w:p>
    <w:p w14:paraId="2AE7B001">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1.1.1.10 其他合同文件包括：</w:t>
      </w:r>
      <w:r>
        <w:rPr>
          <w:rFonts w:hint="eastAsia" w:ascii="宋体" w:hAnsi="宋体" w:cs="宋体"/>
          <w:color w:val="auto"/>
          <w:kern w:val="0"/>
          <w:sz w:val="22"/>
          <w:u w:val="single"/>
        </w:rPr>
        <w:t>响应文件及其附件，磋商文件（含补充通知和答疑），农民工工资保证金缴纳证明；履行合同过程中双方法定代表人书面确认的对合同内容有实质性影响的补充协议。任何形式的会议纪要均不能作为合同的组成部分，也不能作为修改合同的依据。发包人及监理人作出的口头承诺均不属于合同的组成部分</w:t>
      </w:r>
      <w:r>
        <w:rPr>
          <w:rFonts w:hint="eastAsia" w:ascii="宋体" w:hAnsi="宋体" w:cs="宋体"/>
          <w:color w:val="auto"/>
          <w:sz w:val="22"/>
          <w:u w:val="none"/>
        </w:rPr>
        <w:t>。</w:t>
      </w:r>
    </w:p>
    <w:p w14:paraId="1391B9E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1.1.2 合同当事人及其他相关方</w:t>
      </w:r>
    </w:p>
    <w:p w14:paraId="28BCA21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1.1.2.4 监理人：</w:t>
      </w:r>
    </w:p>
    <w:p w14:paraId="7F769BD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名    称：</w:t>
      </w:r>
      <w:r>
        <w:rPr>
          <w:rFonts w:hint="eastAsia" w:ascii="宋体" w:hAnsi="宋体" w:cs="宋体"/>
          <w:color w:val="auto"/>
          <w:sz w:val="22"/>
          <w:u w:val="single"/>
        </w:rPr>
        <w:t xml:space="preserve">待定              </w:t>
      </w:r>
      <w:r>
        <w:rPr>
          <w:rFonts w:hint="eastAsia" w:ascii="宋体" w:hAnsi="宋体" w:cs="宋体"/>
          <w:color w:val="auto"/>
          <w:sz w:val="22"/>
        </w:rPr>
        <w:t>；</w:t>
      </w:r>
    </w:p>
    <w:p w14:paraId="116E24D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资质类别和等级：</w:t>
      </w:r>
      <w:r>
        <w:rPr>
          <w:rFonts w:hint="eastAsia" w:ascii="宋体" w:hAnsi="宋体" w:cs="宋体"/>
          <w:color w:val="auto"/>
          <w:sz w:val="22"/>
          <w:u w:val="single"/>
        </w:rPr>
        <w:t>               </w:t>
      </w:r>
      <w:r>
        <w:rPr>
          <w:rFonts w:hint="eastAsia" w:ascii="宋体" w:hAnsi="宋体" w:cs="宋体"/>
          <w:color w:val="auto"/>
          <w:sz w:val="22"/>
        </w:rPr>
        <w:t>；</w:t>
      </w:r>
    </w:p>
    <w:p w14:paraId="0DCB264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w:t>
      </w:r>
      <w:r>
        <w:rPr>
          <w:rFonts w:hint="eastAsia" w:ascii="宋体" w:hAnsi="宋体" w:cs="宋体"/>
          <w:color w:val="auto"/>
          <w:sz w:val="22"/>
        </w:rPr>
        <w:t>；</w:t>
      </w:r>
    </w:p>
    <w:p w14:paraId="0A1951F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w:t>
      </w:r>
      <w:r>
        <w:rPr>
          <w:rFonts w:hint="eastAsia" w:ascii="宋体" w:hAnsi="宋体" w:cs="宋体"/>
          <w:color w:val="auto"/>
          <w:sz w:val="22"/>
        </w:rPr>
        <w:t>；</w:t>
      </w:r>
    </w:p>
    <w:p w14:paraId="694D97D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43DD9CC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1.1.2.5 设计人：</w:t>
      </w:r>
    </w:p>
    <w:p w14:paraId="7E53613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名    称：</w:t>
      </w:r>
      <w:r>
        <w:rPr>
          <w:rFonts w:hint="eastAsia" w:ascii="宋体" w:hAnsi="宋体" w:cs="宋体"/>
          <w:color w:val="auto"/>
          <w:sz w:val="22"/>
          <w:u w:val="single"/>
        </w:rPr>
        <w:t xml:space="preserve">                 </w:t>
      </w:r>
      <w:r>
        <w:rPr>
          <w:rFonts w:hint="eastAsia" w:ascii="宋体" w:hAnsi="宋体" w:cs="宋体"/>
          <w:color w:val="auto"/>
          <w:sz w:val="22"/>
        </w:rPr>
        <w:t>；</w:t>
      </w:r>
    </w:p>
    <w:p w14:paraId="4DCD732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资质类别和等级：</w:t>
      </w:r>
      <w:r>
        <w:rPr>
          <w:rFonts w:hint="eastAsia" w:ascii="宋体" w:hAnsi="宋体" w:cs="宋体"/>
          <w:color w:val="auto"/>
          <w:sz w:val="22"/>
          <w:u w:val="single"/>
        </w:rPr>
        <w:t>               </w:t>
      </w:r>
      <w:r>
        <w:rPr>
          <w:rFonts w:hint="eastAsia" w:ascii="宋体" w:hAnsi="宋体" w:cs="宋体"/>
          <w:color w:val="auto"/>
          <w:sz w:val="22"/>
        </w:rPr>
        <w:t>；</w:t>
      </w:r>
    </w:p>
    <w:p w14:paraId="5182AF2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 </w:t>
      </w:r>
      <w:r>
        <w:rPr>
          <w:rFonts w:hint="eastAsia" w:ascii="宋体" w:hAnsi="宋体" w:cs="宋体"/>
          <w:color w:val="auto"/>
          <w:sz w:val="22"/>
        </w:rPr>
        <w:t>；</w:t>
      </w:r>
    </w:p>
    <w:p w14:paraId="2F07809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xml:space="preserve">                    </w:t>
      </w:r>
      <w:r>
        <w:rPr>
          <w:rFonts w:hint="eastAsia" w:ascii="宋体" w:hAnsi="宋体" w:cs="宋体"/>
          <w:color w:val="auto"/>
          <w:sz w:val="22"/>
        </w:rPr>
        <w:t>；</w:t>
      </w:r>
    </w:p>
    <w:p w14:paraId="0D70B63B">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3B287798">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1.1.3 工程和设备</w:t>
      </w:r>
    </w:p>
    <w:p w14:paraId="212F027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1.1.3.7 作为施工现场组成部分的其他场所包括：</w:t>
      </w:r>
      <w:r>
        <w:rPr>
          <w:rFonts w:hint="eastAsia" w:ascii="宋体" w:hAnsi="宋体" w:cs="宋体"/>
          <w:color w:val="auto"/>
          <w:sz w:val="22"/>
          <w:u w:val="single"/>
        </w:rPr>
        <w:t xml:space="preserve"> 指用于合同工程施工的场所，以及在合同中指定作为施工场地组成部分的其他场所，包括永久占地和临时占地。</w:t>
      </w:r>
    </w:p>
    <w:p w14:paraId="37B47CE3">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1.1.3.9 永久占地包括：</w:t>
      </w:r>
      <w:r>
        <w:rPr>
          <w:rFonts w:hint="eastAsia" w:ascii="宋体" w:hAnsi="宋体" w:cs="宋体"/>
          <w:color w:val="auto"/>
          <w:sz w:val="22"/>
          <w:u w:val="single"/>
        </w:rPr>
        <w:t xml:space="preserve">  依据选址图、设计图纸或其他文件规定的范围 </w:t>
      </w:r>
      <w:r>
        <w:rPr>
          <w:rFonts w:hint="eastAsia" w:ascii="宋体" w:hAnsi="宋体" w:cs="宋体"/>
          <w:color w:val="auto"/>
          <w:kern w:val="0"/>
          <w:sz w:val="22"/>
        </w:rPr>
        <w:t>。</w:t>
      </w:r>
    </w:p>
    <w:p w14:paraId="2AD91BB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kern w:val="0"/>
          <w:sz w:val="22"/>
          <w:szCs w:val="22"/>
        </w:rPr>
        <w:t>1.1.3.10 临时占地包括：</w:t>
      </w:r>
      <w:r>
        <w:rPr>
          <w:rFonts w:hint="eastAsia" w:ascii="宋体" w:hAnsi="宋体" w:cs="宋体"/>
          <w:color w:val="auto"/>
          <w:kern w:val="0"/>
          <w:sz w:val="22"/>
          <w:szCs w:val="22"/>
          <w:u w:val="single"/>
        </w:rPr>
        <w:t>指为完成合同约定的永久工程所修建的各类临时性工程所占用的土地</w:t>
      </w:r>
      <w:r>
        <w:rPr>
          <w:rFonts w:hint="eastAsia" w:ascii="宋体" w:hAnsi="宋体" w:cs="宋体"/>
          <w:color w:val="auto"/>
          <w:sz w:val="22"/>
          <w:szCs w:val="22"/>
          <w:u w:val="none"/>
        </w:rPr>
        <w:t>。</w:t>
      </w:r>
    </w:p>
    <w:p w14:paraId="62D90E55">
      <w:pPr>
        <w:pStyle w:val="39"/>
        <w:spacing w:line="360" w:lineRule="exact"/>
        <w:ind w:firstLine="442" w:firstLineChars="200"/>
        <w:rPr>
          <w:rFonts w:hint="eastAsia" w:ascii="宋体" w:hAnsi="宋体" w:cs="宋体"/>
          <w:color w:val="auto"/>
          <w:sz w:val="22"/>
          <w:szCs w:val="22"/>
        </w:rPr>
      </w:pPr>
      <w:bookmarkStart w:id="135" w:name="_Toc373478341"/>
      <w:bookmarkStart w:id="136" w:name="_Toc389065260"/>
      <w:bookmarkStart w:id="137" w:name="_Toc395382496"/>
      <w:bookmarkStart w:id="138" w:name="_Toc373227694"/>
      <w:bookmarkStart w:id="139" w:name="_Toc533432719"/>
      <w:bookmarkStart w:id="140" w:name="_Toc12975884"/>
      <w:r>
        <w:rPr>
          <w:rFonts w:hint="eastAsia" w:ascii="宋体" w:hAnsi="宋体" w:cs="宋体"/>
          <w:color w:val="auto"/>
          <w:sz w:val="22"/>
          <w:szCs w:val="22"/>
        </w:rPr>
        <w:t>1.3 法律</w:t>
      </w:r>
      <w:bookmarkEnd w:id="135"/>
      <w:bookmarkEnd w:id="136"/>
      <w:bookmarkEnd w:id="137"/>
      <w:bookmarkEnd w:id="138"/>
      <w:bookmarkEnd w:id="139"/>
      <w:bookmarkEnd w:id="140"/>
    </w:p>
    <w:p w14:paraId="13EE5785">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适用于合同的其他规范性文件：</w:t>
      </w:r>
      <w:r>
        <w:rPr>
          <w:rFonts w:hint="eastAsia" w:ascii="宋体" w:hAnsi="宋体" w:cs="宋体"/>
          <w:color w:val="auto"/>
          <w:sz w:val="22"/>
          <w:u w:val="single"/>
        </w:rPr>
        <w:t>现行的国家法律、行政法规及部门规章，工程所在地的政府及相关主管部门制定的规范性文件</w:t>
      </w:r>
      <w:r>
        <w:rPr>
          <w:rFonts w:hint="eastAsia" w:ascii="宋体" w:hAnsi="宋体" w:cs="宋体"/>
          <w:color w:val="auto"/>
          <w:sz w:val="22"/>
        </w:rPr>
        <w:t>。</w:t>
      </w:r>
    </w:p>
    <w:p w14:paraId="1858A238">
      <w:pPr>
        <w:pStyle w:val="39"/>
        <w:spacing w:line="360" w:lineRule="exact"/>
        <w:ind w:firstLine="442" w:firstLineChars="200"/>
        <w:rPr>
          <w:rFonts w:hint="eastAsia" w:ascii="宋体" w:hAnsi="宋体" w:cs="宋体"/>
          <w:color w:val="auto"/>
          <w:sz w:val="22"/>
          <w:szCs w:val="22"/>
        </w:rPr>
      </w:pPr>
      <w:bookmarkStart w:id="141" w:name="_Toc373478342"/>
      <w:bookmarkStart w:id="142" w:name="_Toc389065261"/>
      <w:bookmarkStart w:id="143" w:name="_Toc373227695"/>
      <w:bookmarkStart w:id="144" w:name="_Toc12975885"/>
      <w:bookmarkStart w:id="145" w:name="_Toc533432720"/>
      <w:bookmarkStart w:id="146" w:name="_Toc395382497"/>
      <w:r>
        <w:rPr>
          <w:rFonts w:hint="eastAsia" w:ascii="宋体" w:hAnsi="宋体" w:cs="宋体"/>
          <w:color w:val="auto"/>
          <w:sz w:val="22"/>
          <w:szCs w:val="22"/>
        </w:rPr>
        <w:t>1.4 标准和规范</w:t>
      </w:r>
      <w:bookmarkEnd w:id="141"/>
      <w:bookmarkEnd w:id="142"/>
      <w:bookmarkEnd w:id="143"/>
      <w:bookmarkEnd w:id="144"/>
      <w:bookmarkEnd w:id="145"/>
      <w:bookmarkEnd w:id="146"/>
    </w:p>
    <w:p w14:paraId="2B9600EF">
      <w:pPr>
        <w:pStyle w:val="40"/>
        <w:spacing w:line="360" w:lineRule="exact"/>
        <w:ind w:firstLine="440" w:firstLineChars="200"/>
        <w:rPr>
          <w:rFonts w:hint="eastAsia" w:ascii="宋体" w:hAnsi="宋体" w:cs="宋体"/>
          <w:color w:val="auto"/>
          <w:sz w:val="22"/>
          <w:u w:val="none"/>
        </w:rPr>
      </w:pPr>
      <w:r>
        <w:rPr>
          <w:rFonts w:hint="eastAsia" w:ascii="宋体" w:hAnsi="宋体" w:cs="宋体"/>
          <w:color w:val="auto"/>
          <w:sz w:val="22"/>
        </w:rPr>
        <w:t>1.4.1 适用于工程的标准规范包括：</w:t>
      </w:r>
      <w:r>
        <w:rPr>
          <w:rFonts w:hint="eastAsia" w:ascii="宋体" w:hAnsi="宋体" w:cs="宋体"/>
          <w:color w:val="auto"/>
          <w:sz w:val="22"/>
          <w:u w:val="single"/>
        </w:rPr>
        <w:t>国家现行的施工规范、验收规范、验收标准</w:t>
      </w:r>
      <w:r>
        <w:rPr>
          <w:rFonts w:hint="eastAsia" w:ascii="宋体" w:hAnsi="宋体" w:cs="宋体"/>
          <w:color w:val="auto"/>
          <w:sz w:val="22"/>
          <w:u w:val="none"/>
        </w:rPr>
        <w:t>。</w:t>
      </w:r>
    </w:p>
    <w:p w14:paraId="6E19DD08">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1.4.2 发包人提供国外标准、规范的名称：</w:t>
      </w:r>
      <w:r>
        <w:rPr>
          <w:rFonts w:hint="eastAsia" w:ascii="宋体" w:hAnsi="宋体" w:cs="宋体"/>
          <w:color w:val="auto"/>
          <w:sz w:val="22"/>
          <w:u w:val="single"/>
        </w:rPr>
        <w:t>无</w:t>
      </w:r>
      <w:r>
        <w:rPr>
          <w:rFonts w:hint="eastAsia" w:ascii="宋体" w:hAnsi="宋体" w:cs="宋体"/>
          <w:color w:val="auto"/>
          <w:sz w:val="22"/>
        </w:rPr>
        <w:t>；</w:t>
      </w:r>
    </w:p>
    <w:p w14:paraId="7F377840">
      <w:pPr>
        <w:pStyle w:val="40"/>
        <w:spacing w:line="360" w:lineRule="exact"/>
        <w:ind w:firstLine="440" w:firstLineChars="200"/>
        <w:rPr>
          <w:rFonts w:hint="eastAsia" w:ascii="宋体" w:hAnsi="宋体" w:cs="宋体"/>
          <w:color w:val="auto"/>
          <w:sz w:val="22"/>
        </w:rPr>
      </w:pPr>
      <w:r>
        <w:rPr>
          <w:rFonts w:hint="eastAsia" w:ascii="宋体" w:hAnsi="宋体" w:cs="宋体"/>
          <w:color w:val="auto"/>
          <w:kern w:val="0"/>
          <w:sz w:val="22"/>
        </w:rPr>
        <w:t>发包人提供国外标准、规范的份数：</w:t>
      </w:r>
      <w:r>
        <w:rPr>
          <w:rFonts w:hint="eastAsia" w:ascii="宋体" w:hAnsi="宋体" w:cs="宋体"/>
          <w:color w:val="auto"/>
          <w:kern w:val="0"/>
          <w:sz w:val="22"/>
          <w:u w:val="single"/>
        </w:rPr>
        <w:t xml:space="preserve">无 </w:t>
      </w:r>
      <w:r>
        <w:rPr>
          <w:rFonts w:hint="eastAsia" w:ascii="宋体" w:hAnsi="宋体" w:cs="宋体"/>
          <w:color w:val="auto"/>
          <w:kern w:val="0"/>
          <w:sz w:val="22"/>
        </w:rPr>
        <w:t>。</w:t>
      </w:r>
    </w:p>
    <w:p w14:paraId="58F9A4B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1.4.3 发包人对工程的技术标准和功能要求的特殊要求：</w:t>
      </w:r>
      <w:r>
        <w:rPr>
          <w:rFonts w:hint="eastAsia" w:ascii="宋体" w:hAnsi="宋体" w:cs="宋体"/>
          <w:color w:val="auto"/>
          <w:sz w:val="22"/>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rPr>
        <w:t>。</w:t>
      </w:r>
    </w:p>
    <w:p w14:paraId="4C7BD1E3">
      <w:pPr>
        <w:pStyle w:val="39"/>
        <w:spacing w:line="360" w:lineRule="exact"/>
        <w:ind w:firstLine="442" w:firstLineChars="200"/>
        <w:rPr>
          <w:rFonts w:hint="eastAsia" w:ascii="宋体" w:hAnsi="宋体" w:cs="宋体"/>
          <w:color w:val="auto"/>
          <w:sz w:val="22"/>
          <w:szCs w:val="22"/>
        </w:rPr>
      </w:pPr>
      <w:bookmarkStart w:id="147" w:name="_Toc12975886"/>
      <w:bookmarkStart w:id="148" w:name="_Toc373227696"/>
      <w:bookmarkStart w:id="149" w:name="_Toc533432721"/>
      <w:bookmarkStart w:id="150" w:name="_Toc389065262"/>
      <w:bookmarkStart w:id="151" w:name="_Toc395382498"/>
      <w:bookmarkStart w:id="152" w:name="_Toc373478343"/>
      <w:r>
        <w:rPr>
          <w:rFonts w:hint="eastAsia" w:ascii="宋体" w:hAnsi="宋体" w:cs="宋体"/>
          <w:color w:val="auto"/>
          <w:sz w:val="22"/>
          <w:szCs w:val="22"/>
        </w:rPr>
        <w:t>1.5 合同文件的优先顺序</w:t>
      </w:r>
      <w:bookmarkEnd w:id="147"/>
      <w:bookmarkEnd w:id="148"/>
      <w:bookmarkEnd w:id="149"/>
      <w:bookmarkEnd w:id="150"/>
      <w:bookmarkEnd w:id="151"/>
      <w:bookmarkEnd w:id="152"/>
    </w:p>
    <w:p w14:paraId="5800CB4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合同文件组成及优先顺序为：</w:t>
      </w:r>
    </w:p>
    <w:p w14:paraId="475A7854">
      <w:pPr>
        <w:pStyle w:val="40"/>
        <w:numPr>
          <w:ilvl w:val="0"/>
          <w:numId w:val="0"/>
        </w:numPr>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lang w:eastAsia="zh-CN"/>
        </w:rPr>
        <w:t>（</w:t>
      </w:r>
      <w:r>
        <w:rPr>
          <w:rFonts w:hint="eastAsia" w:ascii="宋体" w:hAnsi="宋体" w:cs="宋体"/>
          <w:color w:val="auto"/>
          <w:kern w:val="0"/>
          <w:sz w:val="22"/>
          <w:lang w:val="en-US" w:eastAsia="zh-CN"/>
        </w:rPr>
        <w:t>1</w:t>
      </w:r>
      <w:r>
        <w:rPr>
          <w:rFonts w:hint="eastAsia" w:ascii="宋体" w:hAnsi="宋体" w:cs="宋体"/>
          <w:color w:val="auto"/>
          <w:kern w:val="0"/>
          <w:sz w:val="22"/>
          <w:lang w:eastAsia="zh-CN"/>
        </w:rPr>
        <w:t>）</w:t>
      </w:r>
      <w:r>
        <w:rPr>
          <w:rFonts w:hint="eastAsia" w:ascii="宋体" w:hAnsi="宋体" w:cs="宋体"/>
          <w:color w:val="auto"/>
          <w:kern w:val="0"/>
          <w:sz w:val="22"/>
        </w:rPr>
        <w:t>合同协议书</w:t>
      </w:r>
    </w:p>
    <w:p w14:paraId="3E2D71FD">
      <w:pPr>
        <w:pStyle w:val="40"/>
        <w:spacing w:line="360" w:lineRule="exact"/>
        <w:ind w:left="420" w:leftChars="200" w:firstLine="440" w:firstLineChars="200"/>
        <w:rPr>
          <w:rFonts w:hint="eastAsia" w:ascii="宋体" w:hAnsi="宋体" w:cs="宋体"/>
          <w:color w:val="auto"/>
          <w:kern w:val="0"/>
          <w:sz w:val="22"/>
        </w:rPr>
      </w:pPr>
      <w:r>
        <w:rPr>
          <w:rFonts w:hint="eastAsia" w:ascii="宋体" w:hAnsi="宋体" w:cs="宋体"/>
          <w:color w:val="auto"/>
          <w:kern w:val="0"/>
          <w:sz w:val="22"/>
        </w:rPr>
        <w:t>（2）成交通知书；</w:t>
      </w:r>
    </w:p>
    <w:p w14:paraId="3F79FC85">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（3）磋商函及其附录；</w:t>
      </w:r>
    </w:p>
    <w:p w14:paraId="71FB3FFA">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（4）专用合同条款及其附件；</w:t>
      </w:r>
    </w:p>
    <w:p w14:paraId="1F1E4400">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（5）通用合同条款；</w:t>
      </w:r>
    </w:p>
    <w:p w14:paraId="0EB657A1">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（6）</w:t>
      </w:r>
      <w:r>
        <w:rPr>
          <w:rFonts w:hint="eastAsia" w:ascii="宋体" w:hAnsi="宋体" w:cs="宋体"/>
          <w:color w:val="auto"/>
          <w:kern w:val="0"/>
          <w:sz w:val="22"/>
          <w:u w:val="single"/>
        </w:rPr>
        <w:t xml:space="preserve">  技术标准和要求 </w:t>
      </w:r>
      <w:r>
        <w:rPr>
          <w:rFonts w:hint="eastAsia" w:ascii="宋体" w:hAnsi="宋体" w:cs="宋体"/>
          <w:color w:val="auto"/>
          <w:kern w:val="0"/>
          <w:sz w:val="22"/>
        </w:rPr>
        <w:t>；</w:t>
      </w:r>
    </w:p>
    <w:p w14:paraId="5400D79D">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（7）</w:t>
      </w:r>
      <w:r>
        <w:rPr>
          <w:rFonts w:hint="eastAsia" w:ascii="宋体" w:hAnsi="宋体" w:cs="宋体"/>
          <w:color w:val="auto"/>
          <w:kern w:val="0"/>
          <w:sz w:val="22"/>
          <w:u w:val="single"/>
        </w:rPr>
        <w:t xml:space="preserve">  已标价工程量清单或预算书 </w:t>
      </w:r>
      <w:r>
        <w:rPr>
          <w:rFonts w:hint="eastAsia" w:ascii="宋体" w:hAnsi="宋体" w:cs="宋体"/>
          <w:color w:val="auto"/>
          <w:kern w:val="0"/>
          <w:sz w:val="22"/>
        </w:rPr>
        <w:t>；</w:t>
      </w:r>
    </w:p>
    <w:p w14:paraId="2BD0AC81">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（8）</w:t>
      </w:r>
      <w:r>
        <w:rPr>
          <w:rFonts w:hint="eastAsia" w:ascii="宋体" w:hAnsi="宋体" w:cs="宋体"/>
          <w:color w:val="auto"/>
          <w:kern w:val="0"/>
          <w:sz w:val="22"/>
          <w:u w:val="single"/>
        </w:rPr>
        <w:t xml:space="preserve">  图纸  </w:t>
      </w:r>
      <w:r>
        <w:rPr>
          <w:rFonts w:hint="eastAsia" w:ascii="宋体" w:hAnsi="宋体" w:cs="宋体"/>
          <w:color w:val="auto"/>
          <w:kern w:val="0"/>
          <w:sz w:val="22"/>
        </w:rPr>
        <w:t>；</w:t>
      </w:r>
    </w:p>
    <w:p w14:paraId="44733D09">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（9）</w:t>
      </w:r>
      <w:r>
        <w:rPr>
          <w:rFonts w:hint="eastAsia" w:ascii="宋体" w:hAnsi="宋体" w:cs="宋体"/>
          <w:color w:val="auto"/>
          <w:kern w:val="0"/>
          <w:sz w:val="22"/>
          <w:u w:val="single"/>
        </w:rPr>
        <w:t xml:space="preserve">  其他合同文件</w:t>
      </w:r>
      <w:r>
        <w:rPr>
          <w:rFonts w:hint="eastAsia" w:ascii="宋体" w:hAnsi="宋体" w:cs="宋体"/>
          <w:color w:val="auto"/>
          <w:kern w:val="0"/>
          <w:sz w:val="22"/>
        </w:rPr>
        <w:t>。</w:t>
      </w:r>
    </w:p>
    <w:p w14:paraId="11192922">
      <w:pPr>
        <w:pStyle w:val="39"/>
        <w:spacing w:line="360" w:lineRule="exact"/>
        <w:ind w:firstLine="442" w:firstLineChars="200"/>
        <w:rPr>
          <w:rFonts w:hint="eastAsia" w:ascii="宋体" w:hAnsi="宋体" w:cs="宋体"/>
          <w:color w:val="auto"/>
          <w:sz w:val="22"/>
          <w:szCs w:val="22"/>
        </w:rPr>
      </w:pPr>
      <w:bookmarkStart w:id="153" w:name="_Toc395382499"/>
      <w:bookmarkStart w:id="154" w:name="_Toc389065263"/>
      <w:bookmarkStart w:id="155" w:name="_Toc533432722"/>
      <w:bookmarkStart w:id="156" w:name="_Toc12975887"/>
      <w:bookmarkStart w:id="157" w:name="_Toc373227697"/>
      <w:bookmarkStart w:id="158" w:name="_Toc373478344"/>
      <w:r>
        <w:rPr>
          <w:rFonts w:hint="eastAsia" w:ascii="宋体" w:hAnsi="宋体" w:cs="宋体"/>
          <w:color w:val="auto"/>
          <w:sz w:val="22"/>
          <w:szCs w:val="22"/>
        </w:rPr>
        <w:t>1.6 图纸和承包人文件</w:t>
      </w:r>
      <w:bookmarkEnd w:id="153"/>
      <w:bookmarkEnd w:id="154"/>
      <w:bookmarkEnd w:id="155"/>
      <w:bookmarkEnd w:id="156"/>
      <w:bookmarkEnd w:id="157"/>
      <w:bookmarkEnd w:id="158"/>
      <w:r>
        <w:rPr>
          <w:rFonts w:hint="eastAsia" w:ascii="宋体" w:hAnsi="宋体" w:cs="宋体"/>
          <w:color w:val="auto"/>
          <w:sz w:val="22"/>
          <w:szCs w:val="22"/>
        </w:rPr>
        <w:tab/>
      </w:r>
    </w:p>
    <w:p w14:paraId="09ADDBA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1.6.1 图纸的提供</w:t>
      </w:r>
    </w:p>
    <w:p w14:paraId="5FBC3D3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发包人向承包人提供图纸的期限：</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合同签订</w:t>
      </w:r>
      <w:r>
        <w:rPr>
          <w:rFonts w:hint="eastAsia" w:ascii="宋体" w:hAnsi="宋体" w:cs="宋体"/>
          <w:color w:val="auto"/>
          <w:sz w:val="22"/>
          <w:highlight w:val="none"/>
          <w:u w:val="single"/>
        </w:rPr>
        <w:t>后</w:t>
      </w:r>
      <w:r>
        <w:rPr>
          <w:rFonts w:hint="eastAsia" w:ascii="宋体" w:hAnsi="宋体" w:cs="宋体"/>
          <w:color w:val="auto"/>
          <w:sz w:val="22"/>
          <w:highlight w:val="none"/>
          <w:u w:val="single"/>
          <w:lang w:val="en-US" w:eastAsia="zh-CN"/>
        </w:rPr>
        <w:t>14</w:t>
      </w:r>
      <w:r>
        <w:rPr>
          <w:rFonts w:hint="eastAsia" w:ascii="宋体" w:hAnsi="宋体" w:cs="宋体"/>
          <w:color w:val="auto"/>
          <w:sz w:val="22"/>
          <w:highlight w:val="none"/>
          <w:u w:val="single"/>
        </w:rPr>
        <w:t>天</w:t>
      </w:r>
      <w:r>
        <w:rPr>
          <w:rFonts w:hint="eastAsia" w:ascii="宋体" w:hAnsi="宋体" w:cs="宋体"/>
          <w:color w:val="auto"/>
          <w:sz w:val="22"/>
          <w:u w:val="single"/>
        </w:rPr>
        <w:t>内</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4C576B70">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发包人向承包人提供图纸的数量：</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一套，承包人需要增加图纸套数的，发包人应代为复制，复制费用由承包人承担</w:t>
      </w:r>
      <w:r>
        <w:rPr>
          <w:rFonts w:hint="eastAsia" w:ascii="宋体" w:hAnsi="宋体" w:cs="宋体"/>
          <w:color w:val="auto"/>
          <w:sz w:val="22"/>
        </w:rPr>
        <w:t>；</w:t>
      </w:r>
    </w:p>
    <w:p w14:paraId="567364C6">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发包人向承包人提供图纸的内容：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以图纸内容为准 </w:t>
      </w:r>
      <w:r>
        <w:rPr>
          <w:rFonts w:hint="eastAsia" w:ascii="宋体" w:hAnsi="宋体" w:cs="宋体"/>
          <w:color w:val="auto"/>
          <w:sz w:val="22"/>
        </w:rPr>
        <w:t>。</w:t>
      </w:r>
    </w:p>
    <w:p w14:paraId="11843948">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1.6.4 承包人文件</w:t>
      </w:r>
    </w:p>
    <w:p w14:paraId="2245F839">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需要由承包人提供的文件，包括：</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（1）合同生效后15天内提供报建、报监及办理施工许可证等所需要的所有资料；（2）除另有约定外，合同生效后7天内应提供完善的（实施性）施工组织设计和安全专项方案及双方另行确定的其他文件</w:t>
      </w:r>
      <w:r>
        <w:rPr>
          <w:rFonts w:hint="eastAsia" w:ascii="宋体" w:hAnsi="宋体" w:cs="宋体"/>
          <w:color w:val="auto"/>
          <w:sz w:val="22"/>
          <w:szCs w:val="22"/>
        </w:rPr>
        <w:t>；</w:t>
      </w:r>
    </w:p>
    <w:p w14:paraId="2D63E886">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承包人提供的文件的期限为：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报建手续开始前7天内</w:t>
      </w:r>
      <w:r>
        <w:rPr>
          <w:rFonts w:hint="eastAsia" w:ascii="宋体" w:hAnsi="宋体" w:cs="宋体"/>
          <w:color w:val="auto"/>
          <w:sz w:val="22"/>
        </w:rPr>
        <w:t>；</w:t>
      </w:r>
    </w:p>
    <w:p w14:paraId="2B93606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承包人提供的文件的数量为：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按实提供</w:t>
      </w:r>
      <w:r>
        <w:rPr>
          <w:rFonts w:hint="eastAsia" w:ascii="宋体" w:hAnsi="宋体" w:cs="宋体"/>
          <w:color w:val="auto"/>
          <w:sz w:val="22"/>
        </w:rPr>
        <w:t>；</w:t>
      </w:r>
    </w:p>
    <w:p w14:paraId="15F048C1">
      <w:pPr>
        <w:pStyle w:val="4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rPr>
        <w:t>承包人提供的文件的形式为：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书</w:t>
      </w:r>
      <w:r>
        <w:rPr>
          <w:rFonts w:hint="eastAsia" w:ascii="宋体" w:hAnsi="宋体" w:cs="宋体"/>
          <w:color w:val="auto"/>
          <w:sz w:val="22"/>
          <w:highlight w:val="none"/>
          <w:u w:val="single"/>
        </w:rPr>
        <w:t>面</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含电子扫描版</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 xml:space="preserve">及电子文档 </w:t>
      </w:r>
      <w:r>
        <w:rPr>
          <w:rFonts w:hint="eastAsia" w:ascii="宋体" w:hAnsi="宋体" w:cs="宋体"/>
          <w:color w:val="auto"/>
          <w:sz w:val="22"/>
          <w:highlight w:val="none"/>
        </w:rPr>
        <w:t>；</w:t>
      </w:r>
    </w:p>
    <w:p w14:paraId="1D2A8F20">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highlight w:val="none"/>
        </w:rPr>
        <w:t>发包人审批承包人文件的期限：</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single"/>
        </w:rPr>
        <w:t>收到承包人提供的文件后</w:t>
      </w:r>
      <w:r>
        <w:rPr>
          <w:rFonts w:hint="eastAsia" w:ascii="宋体" w:hAnsi="宋体" w:cs="宋体"/>
          <w:color w:val="auto"/>
          <w:sz w:val="22"/>
          <w:highlight w:val="none"/>
          <w:u w:val="single"/>
          <w:lang w:val="en-US" w:eastAsia="zh-CN"/>
        </w:rPr>
        <w:t>28</w:t>
      </w:r>
      <w:r>
        <w:rPr>
          <w:rFonts w:hint="eastAsia" w:ascii="宋体" w:hAnsi="宋体" w:cs="宋体"/>
          <w:color w:val="auto"/>
          <w:sz w:val="22"/>
          <w:highlight w:val="none"/>
          <w:u w:val="single"/>
        </w:rPr>
        <w:t>天</w:t>
      </w:r>
      <w:r>
        <w:rPr>
          <w:rFonts w:hint="eastAsia" w:ascii="宋体" w:hAnsi="宋体" w:cs="宋体"/>
          <w:color w:val="auto"/>
          <w:sz w:val="22"/>
          <w:u w:val="single"/>
        </w:rPr>
        <w:t></w:t>
      </w:r>
      <w:r>
        <w:rPr>
          <w:rFonts w:hint="eastAsia" w:ascii="宋体" w:hAnsi="宋体" w:cs="宋体"/>
          <w:color w:val="auto"/>
          <w:sz w:val="22"/>
        </w:rPr>
        <w:t>。</w:t>
      </w:r>
    </w:p>
    <w:p w14:paraId="77AD109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1.6.5 现场图纸准备</w:t>
      </w:r>
    </w:p>
    <w:p w14:paraId="59C4815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关于现场图纸准备的约定：</w:t>
      </w:r>
      <w:r>
        <w:rPr>
          <w:rFonts w:hint="eastAsia" w:ascii="宋体" w:hAnsi="宋体" w:cs="宋体"/>
          <w:color w:val="auto"/>
          <w:sz w:val="22"/>
          <w:u w:val="single"/>
        </w:rPr>
        <w:t>承包人在施工现场保留一份完整的设计文件，供发包人及有关人员进行工程检查时使用</w:t>
      </w:r>
      <w:r>
        <w:rPr>
          <w:rFonts w:hint="eastAsia" w:ascii="宋体" w:hAnsi="宋体" w:cs="宋体"/>
          <w:color w:val="auto"/>
          <w:sz w:val="22"/>
        </w:rPr>
        <w:t>。</w:t>
      </w:r>
    </w:p>
    <w:p w14:paraId="65F9D630">
      <w:pPr>
        <w:pStyle w:val="39"/>
        <w:spacing w:line="360" w:lineRule="exact"/>
        <w:ind w:firstLine="442" w:firstLineChars="200"/>
        <w:rPr>
          <w:rFonts w:hint="eastAsia" w:ascii="宋体" w:hAnsi="宋体" w:cs="宋体"/>
          <w:color w:val="auto"/>
          <w:sz w:val="22"/>
          <w:szCs w:val="22"/>
        </w:rPr>
      </w:pPr>
      <w:bookmarkStart w:id="159" w:name="_Toc533432723"/>
      <w:bookmarkStart w:id="160" w:name="_Toc373478345"/>
      <w:bookmarkStart w:id="161" w:name="_Toc395382500"/>
      <w:bookmarkStart w:id="162" w:name="_Toc373227698"/>
      <w:bookmarkStart w:id="163" w:name="_Toc389065264"/>
      <w:bookmarkStart w:id="164" w:name="_Toc12975888"/>
      <w:r>
        <w:rPr>
          <w:rFonts w:hint="eastAsia" w:ascii="宋体" w:hAnsi="宋体" w:cs="宋体"/>
          <w:color w:val="auto"/>
          <w:sz w:val="22"/>
          <w:szCs w:val="22"/>
        </w:rPr>
        <w:t>1.7 联络</w:t>
      </w:r>
      <w:bookmarkEnd w:id="159"/>
      <w:bookmarkEnd w:id="160"/>
      <w:bookmarkEnd w:id="161"/>
      <w:bookmarkEnd w:id="162"/>
      <w:bookmarkEnd w:id="163"/>
      <w:bookmarkEnd w:id="164"/>
    </w:p>
    <w:p w14:paraId="2FED704F">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1.7.1发包人和承包人应当在</w:t>
      </w:r>
      <w:r>
        <w:rPr>
          <w:rFonts w:hint="eastAsia" w:ascii="宋体" w:hAnsi="宋体" w:cs="宋体"/>
          <w:color w:val="auto"/>
          <w:sz w:val="22"/>
          <w:u w:val="single"/>
        </w:rPr>
        <w:t xml:space="preserve"> 5 </w:t>
      </w:r>
      <w:r>
        <w:rPr>
          <w:rFonts w:hint="eastAsia" w:ascii="宋体" w:hAnsi="宋体" w:cs="宋体"/>
          <w:color w:val="auto"/>
          <w:kern w:val="0"/>
          <w:sz w:val="22"/>
        </w:rPr>
        <w:t>天内将与合同有关的通知、批准、证明、证书、指示、指令、要求、请求、同意、意见、确定和决定等书面函件送达对方当事人。</w:t>
      </w:r>
    </w:p>
    <w:p w14:paraId="7BB3AB8A">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1.7.2 发包人接收文件的地点：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发包人办公室</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7C8E174E">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发包人指定的接收人为：</w:t>
      </w:r>
      <w:r>
        <w:rPr>
          <w:rFonts w:hint="eastAsia" w:ascii="宋体" w:hAnsi="宋体" w:cs="宋体"/>
          <w:color w:val="auto"/>
          <w:sz w:val="22"/>
          <w:u w:val="single"/>
        </w:rPr>
        <w:t xml:space="preserve"> </w:t>
      </w:r>
      <w:r>
        <w:rPr>
          <w:rFonts w:hint="eastAsia" w:ascii="宋体" w:hAnsi="宋体" w:cs="宋体"/>
          <w:color w:val="auto"/>
          <w:sz w:val="22"/>
          <w:highlight w:val="none"/>
          <w:u w:val="single"/>
        </w:rPr>
        <w:t>发包人现场代表</w:t>
      </w:r>
      <w:r>
        <w:rPr>
          <w:rFonts w:hint="eastAsia" w:ascii="宋体" w:hAnsi="宋体" w:cs="宋体"/>
          <w:color w:val="auto"/>
          <w:sz w:val="22"/>
          <w:u w:val="single"/>
        </w:rPr>
        <w:t xml:space="preserve"> </w:t>
      </w:r>
      <w:r>
        <w:rPr>
          <w:rFonts w:hint="eastAsia" w:ascii="宋体" w:hAnsi="宋体" w:cs="宋体"/>
          <w:color w:val="auto"/>
          <w:kern w:val="0"/>
          <w:sz w:val="22"/>
        </w:rPr>
        <w:t>。</w:t>
      </w:r>
    </w:p>
    <w:p w14:paraId="791D9438">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承包人接收文件的地点：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项目所在地承包人项目部</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61CFD327">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承包人指定的接收人为：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承包人项目经理</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1A77684F">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监理人接收文件的地点：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项目所在地监理人办公室</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17046F4A">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监理人指定的接收人为：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总监理工程师</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2876124F">
      <w:pPr>
        <w:pStyle w:val="6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u w:val="single"/>
        </w:rPr>
        <w:t>与合同有关的工程联系单、变更申请、变更建议、通知、批准、证明、证书、指示、要求、请求、同意、意见、确定和决定等，均应采用书面</w:t>
      </w:r>
      <w:r>
        <w:rPr>
          <w:rFonts w:hint="eastAsia" w:ascii="宋体" w:hAnsi="宋体" w:cs="宋体"/>
          <w:color w:val="auto"/>
          <w:sz w:val="22"/>
          <w:szCs w:val="22"/>
          <w:highlight w:val="none"/>
          <w:u w:val="single"/>
        </w:rPr>
        <w:t>形式</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同时提供电子扫描版</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w:t>
      </w:r>
    </w:p>
    <w:p w14:paraId="523338EA">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发包人的工程管理部的印章（公章名称</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适用于：（1）通知、批准、证明、指示、要求、请求、同意、意见和确定等管理文件是有效的。（2）工程技术资料，包括所有与工程有关的技术资料。</w:t>
      </w:r>
    </w:p>
    <w:p w14:paraId="7EFB3F66">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发包人的工程管理部的印章（公章名称</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不适用于：不适用于任何修改合同、减轻（或增加）双方合同权利和义务的文件，如以上所述文件涉及到修改合同、减轻（或增加）双方合同权利和义务时，该工作无效。涉及到修改合同、减轻（或增加）双方合同权利和义务时，必须加盖发包人的公司公章</w:t>
      </w:r>
      <w:r>
        <w:rPr>
          <w:rFonts w:hint="eastAsia" w:ascii="宋体" w:hAnsi="宋体" w:cs="宋体"/>
          <w:color w:val="auto"/>
          <w:sz w:val="22"/>
          <w:szCs w:val="22"/>
          <w:u w:val="none"/>
        </w:rPr>
        <w:t>。</w:t>
      </w:r>
    </w:p>
    <w:p w14:paraId="3861FB3B">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本合同一方按照本合同约定向另一方送达的任何文件、通知、回复及其他任何文件，可采用以下任一方式送达：</w:t>
      </w:r>
      <w:r>
        <w:rPr>
          <w:rFonts w:hint="eastAsia" w:ascii="宋体" w:hAnsi="宋体" w:cs="宋体"/>
          <w:color w:val="auto"/>
          <w:sz w:val="22"/>
          <w:szCs w:val="22"/>
          <w:lang w:eastAsia="zh-CN"/>
        </w:rPr>
        <w:t>（1）</w:t>
      </w:r>
      <w:r>
        <w:rPr>
          <w:rFonts w:hint="eastAsia" w:ascii="宋体" w:hAnsi="宋体" w:cs="宋体"/>
          <w:color w:val="auto"/>
          <w:sz w:val="22"/>
          <w:szCs w:val="22"/>
        </w:rPr>
        <w:t>一方采用书面形式直接送达，另一方签收时视为已送达；</w:t>
      </w:r>
      <w:r>
        <w:rPr>
          <w:rFonts w:hint="eastAsia" w:ascii="宋体" w:hAnsi="宋体" w:cs="宋体"/>
          <w:color w:val="auto"/>
          <w:sz w:val="22"/>
          <w:szCs w:val="22"/>
          <w:lang w:eastAsia="zh-CN"/>
        </w:rPr>
        <w:t>（2）</w:t>
      </w:r>
      <w:r>
        <w:rPr>
          <w:rFonts w:hint="eastAsia" w:ascii="宋体" w:hAnsi="宋体" w:cs="宋体"/>
          <w:color w:val="auto"/>
          <w:sz w:val="22"/>
          <w:szCs w:val="22"/>
        </w:rPr>
        <w:t>一方采用传真形式送达，收到另一方确认时视为已送达；双方送达传真号以本合同注明号码为准，如果一方信息有变更的，须向另一方以书面形式通知更改后的信息。</w:t>
      </w:r>
      <w:r>
        <w:rPr>
          <w:rFonts w:hint="eastAsia" w:ascii="宋体" w:hAnsi="宋体" w:cs="宋体"/>
          <w:color w:val="auto"/>
          <w:sz w:val="22"/>
          <w:szCs w:val="22"/>
          <w:lang w:eastAsia="zh-CN"/>
        </w:rPr>
        <w:t>（3）</w:t>
      </w:r>
      <w:r>
        <w:rPr>
          <w:rFonts w:hint="eastAsia" w:ascii="宋体" w:hAnsi="宋体" w:cs="宋体"/>
          <w:color w:val="auto"/>
          <w:sz w:val="22"/>
          <w:szCs w:val="22"/>
        </w:rPr>
        <w:t>一方采用快递邮寄的方式送达，另一方已经签收时视为已送达另一方。双方送达地址以本合同落款地址为准，如果一方地址有变更的，须向另一方以书面形式通知更改后的地址。</w:t>
      </w:r>
      <w:r>
        <w:rPr>
          <w:rFonts w:hint="eastAsia" w:ascii="宋体" w:hAnsi="宋体" w:cs="宋体"/>
          <w:color w:val="auto"/>
          <w:sz w:val="22"/>
          <w:szCs w:val="22"/>
          <w:lang w:eastAsia="zh-CN"/>
        </w:rPr>
        <w:t>（4）</w:t>
      </w:r>
      <w:r>
        <w:rPr>
          <w:rFonts w:hint="eastAsia" w:ascii="宋体" w:hAnsi="宋体" w:cs="宋体"/>
          <w:color w:val="auto"/>
          <w:sz w:val="22"/>
          <w:szCs w:val="22"/>
        </w:rPr>
        <w:t>一方向对方送达的文件、通知、回复，受送达方应即时签收，如由于受送达方的原因不能送达或拒绝签收的，送达方可在《防城港日报》上公告送达，刊登文件、通知、回复的《防城港日报》作为受送达方收悉的证据，刊登7日后即视为已经送达。</w:t>
      </w:r>
    </w:p>
    <w:p w14:paraId="2EBDB58D">
      <w:pPr>
        <w:pStyle w:val="71"/>
        <w:spacing w:line="360" w:lineRule="exact"/>
        <w:ind w:firstLine="442" w:firstLineChars="200"/>
        <w:rPr>
          <w:rFonts w:hint="eastAsia" w:ascii="宋体" w:hAnsi="宋体" w:eastAsia="宋体" w:cs="宋体"/>
          <w:color w:val="auto"/>
          <w:sz w:val="22"/>
          <w:szCs w:val="22"/>
        </w:rPr>
      </w:pPr>
      <w:bookmarkStart w:id="165" w:name="_Toc513041281"/>
      <w:bookmarkStart w:id="166" w:name="_Toc529202535"/>
      <w:bookmarkStart w:id="167" w:name="_Toc54862501"/>
      <w:r>
        <w:rPr>
          <w:rFonts w:hint="eastAsia" w:ascii="宋体" w:hAnsi="宋体" w:eastAsia="宋体" w:cs="宋体"/>
          <w:color w:val="auto"/>
          <w:sz w:val="22"/>
          <w:szCs w:val="22"/>
        </w:rPr>
        <w:t>1.8严禁贿赂</w:t>
      </w:r>
      <w:bookmarkEnd w:id="165"/>
      <w:bookmarkEnd w:id="166"/>
      <w:bookmarkEnd w:id="167"/>
    </w:p>
    <w:p w14:paraId="35F83657">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u w:val="single"/>
        </w:rPr>
        <w:t>如果承包人或承包人的工作人员（不论承包人是否知晓）以贿赂或变相贿赂的方式，谋取不当利益或损害发包人权益的。承包人发生前述的违约情况时，发包人将根据相关法律规定及合同约定追究承包人的法律责任，承包人因此等行为获得的额外费用必须退还发包人，造成的工程损害、发包人的经济损失的，承包人应负一切责任，并予赔偿。情节严重者，发包人并有权解除本合同。同时向发包人支付违约金每次50万元</w:t>
      </w:r>
      <w:r>
        <w:rPr>
          <w:rFonts w:hint="eastAsia" w:ascii="宋体" w:hAnsi="宋体" w:cs="宋体"/>
          <w:color w:val="auto"/>
          <w:sz w:val="22"/>
          <w:szCs w:val="22"/>
          <w:u w:val="none"/>
        </w:rPr>
        <w:t>。</w:t>
      </w:r>
    </w:p>
    <w:p w14:paraId="7F351748">
      <w:pPr>
        <w:pStyle w:val="39"/>
        <w:spacing w:line="360" w:lineRule="exact"/>
        <w:ind w:firstLine="442" w:firstLineChars="200"/>
        <w:rPr>
          <w:rFonts w:hint="eastAsia" w:ascii="宋体" w:hAnsi="宋体" w:cs="宋体"/>
          <w:color w:val="auto"/>
          <w:sz w:val="22"/>
          <w:szCs w:val="22"/>
        </w:rPr>
      </w:pPr>
      <w:bookmarkStart w:id="168" w:name="_Toc12975889"/>
      <w:bookmarkStart w:id="169" w:name="_Toc373227699"/>
      <w:bookmarkStart w:id="170" w:name="_Toc373478346"/>
      <w:bookmarkStart w:id="171" w:name="_Toc395382501"/>
      <w:bookmarkStart w:id="172" w:name="_Toc533432724"/>
      <w:bookmarkStart w:id="173" w:name="_Toc389065265"/>
      <w:r>
        <w:rPr>
          <w:rFonts w:hint="eastAsia" w:ascii="宋体" w:hAnsi="宋体" w:cs="宋体"/>
          <w:color w:val="auto"/>
          <w:sz w:val="22"/>
          <w:szCs w:val="22"/>
        </w:rPr>
        <w:t>1.10 交通运输</w:t>
      </w:r>
      <w:bookmarkEnd w:id="168"/>
      <w:bookmarkEnd w:id="169"/>
      <w:bookmarkEnd w:id="170"/>
      <w:bookmarkEnd w:id="171"/>
      <w:bookmarkEnd w:id="172"/>
      <w:bookmarkEnd w:id="173"/>
    </w:p>
    <w:p w14:paraId="0128D25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w:t>
      </w:r>
      <w:bookmarkStart w:id="174" w:name="_Toc312677986"/>
      <w:bookmarkStart w:id="175" w:name="_Toc300934943"/>
      <w:bookmarkStart w:id="176" w:name="_Toc303539100"/>
      <w:bookmarkStart w:id="177" w:name="_Toc304295521"/>
      <w:bookmarkStart w:id="178" w:name="_Toc318581155"/>
      <w:r>
        <w:rPr>
          <w:rFonts w:hint="eastAsia" w:ascii="宋体" w:hAnsi="宋体" w:cs="宋体"/>
          <w:color w:val="auto"/>
          <w:sz w:val="22"/>
        </w:rPr>
        <w:t>.10.1 出入现场的权利</w:t>
      </w:r>
    </w:p>
    <w:p w14:paraId="5E112901">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关于出入现场的权利的约定：</w:t>
      </w:r>
      <w:r>
        <w:rPr>
          <w:rFonts w:hint="eastAsia" w:ascii="宋体" w:hAnsi="宋体" w:cs="宋体"/>
          <w:color w:val="auto"/>
          <w:sz w:val="22"/>
          <w:u w:val="single"/>
        </w:rPr>
        <w:t>由承包人按发包人要求负责取得出入施工现场所需的批准手续和全部权利，以及取得因施工所需修建道路、桥梁以及其他基础设施的权利，相关权利取得的手续费用和建设费用由承包人承担</w:t>
      </w:r>
      <w:r>
        <w:rPr>
          <w:rFonts w:hint="eastAsia" w:ascii="宋体" w:hAnsi="宋体" w:cs="宋体"/>
          <w:color w:val="auto"/>
          <w:sz w:val="22"/>
        </w:rPr>
        <w:t>。</w:t>
      </w:r>
    </w:p>
    <w:bookmarkEnd w:id="174"/>
    <w:bookmarkEnd w:id="175"/>
    <w:bookmarkEnd w:id="176"/>
    <w:bookmarkEnd w:id="177"/>
    <w:bookmarkEnd w:id="178"/>
    <w:p w14:paraId="04B3D2F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bookmarkStart w:id="179" w:name="_Toc312677987"/>
      <w:bookmarkStart w:id="180" w:name="_Toc300934944"/>
      <w:bookmarkStart w:id="181" w:name="_Toc303539101"/>
      <w:bookmarkStart w:id="182" w:name="_Toc318581156"/>
      <w:bookmarkStart w:id="183" w:name="_Toc304295522"/>
      <w:r>
        <w:rPr>
          <w:rFonts w:hint="eastAsia" w:ascii="宋体" w:hAnsi="宋体" w:cs="宋体"/>
          <w:color w:val="auto"/>
          <w:sz w:val="22"/>
        </w:rPr>
        <w:t>.10.3 场内交通</w:t>
      </w:r>
    </w:p>
    <w:p w14:paraId="525D3039">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关于场外交通和场内交通的边界的约定：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以规划批复总平用地红线为界 </w:t>
      </w:r>
      <w:r>
        <w:rPr>
          <w:rFonts w:hint="eastAsia" w:ascii="宋体" w:hAnsi="宋体" w:cs="宋体"/>
          <w:color w:val="auto"/>
          <w:sz w:val="22"/>
        </w:rPr>
        <w:t>。</w:t>
      </w:r>
    </w:p>
    <w:p w14:paraId="68352870">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关于发包人向承包人免费提供满足工程施工需要的场内道路和交通设施的约定：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发包人不提供任何满足工程施工需要的场内、场外道路和交通设施，由承包人根据实际需要自行解决</w:t>
      </w:r>
      <w:r>
        <w:rPr>
          <w:rFonts w:hint="eastAsia" w:ascii="宋体" w:hAnsi="宋体" w:cs="宋体"/>
          <w:color w:val="auto"/>
          <w:sz w:val="22"/>
        </w:rPr>
        <w:t>。</w:t>
      </w:r>
      <w:bookmarkEnd w:id="179"/>
      <w:bookmarkEnd w:id="180"/>
      <w:bookmarkEnd w:id="181"/>
      <w:bookmarkEnd w:id="182"/>
      <w:bookmarkEnd w:id="183"/>
      <w:bookmarkStart w:id="184" w:name="_Toc318581157"/>
    </w:p>
    <w:p w14:paraId="3929B7E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1.10.4 超大件和超重件的运输</w:t>
      </w:r>
    </w:p>
    <w:p w14:paraId="28D1ABBC">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运输超大件或超重件所需的道路和桥</w:t>
      </w:r>
      <w:bookmarkStart w:id="1250" w:name="_GoBack"/>
      <w:r>
        <w:rPr>
          <w:rFonts w:hint="eastAsia" w:ascii="宋体" w:hAnsi="宋体" w:cs="宋体"/>
          <w:color w:val="auto"/>
          <w:sz w:val="22"/>
        </w:rPr>
        <w:t>梁</w:t>
      </w:r>
      <w:bookmarkEnd w:id="1250"/>
      <w:r>
        <w:rPr>
          <w:rFonts w:hint="eastAsia" w:ascii="宋体" w:hAnsi="宋体" w:cs="宋体"/>
          <w:color w:val="auto"/>
          <w:sz w:val="22"/>
        </w:rPr>
        <w:t>临时加固改造费用和其他有关费用由</w:t>
      </w:r>
      <w:r>
        <w:rPr>
          <w:rFonts w:hint="eastAsia" w:ascii="宋体" w:hAnsi="宋体" w:cs="宋体"/>
          <w:color w:val="auto"/>
          <w:sz w:val="22"/>
          <w:u w:val="single"/>
        </w:rPr>
        <w:t xml:space="preserve"> 承包人</w:t>
      </w:r>
      <w:r>
        <w:rPr>
          <w:rFonts w:hint="eastAsia" w:ascii="宋体" w:hAnsi="宋体" w:cs="宋体"/>
          <w:color w:val="auto"/>
          <w:sz w:val="22"/>
        </w:rPr>
        <w:t>承担。</w:t>
      </w:r>
    </w:p>
    <w:bookmarkEnd w:id="184"/>
    <w:p w14:paraId="2A89A491">
      <w:pPr>
        <w:pStyle w:val="39"/>
        <w:spacing w:line="360" w:lineRule="exact"/>
        <w:ind w:firstLine="442" w:firstLineChars="200"/>
        <w:rPr>
          <w:rFonts w:hint="eastAsia" w:ascii="宋体" w:hAnsi="宋体" w:cs="宋体"/>
          <w:color w:val="auto"/>
          <w:sz w:val="22"/>
          <w:szCs w:val="22"/>
        </w:rPr>
      </w:pPr>
      <w:bookmarkStart w:id="185" w:name="_Toc395382502"/>
      <w:bookmarkStart w:id="186" w:name="_Toc12975890"/>
      <w:bookmarkStart w:id="187" w:name="_Toc373227700"/>
      <w:bookmarkStart w:id="188" w:name="_Toc389065266"/>
      <w:bookmarkStart w:id="189" w:name="_Toc373478347"/>
      <w:bookmarkStart w:id="190" w:name="_Toc533432725"/>
      <w:r>
        <w:rPr>
          <w:rFonts w:hint="eastAsia" w:ascii="宋体" w:hAnsi="宋体" w:cs="宋体"/>
          <w:color w:val="auto"/>
          <w:sz w:val="22"/>
          <w:szCs w:val="22"/>
        </w:rPr>
        <w:t>1.11 知识产权</w:t>
      </w:r>
      <w:bookmarkEnd w:id="185"/>
      <w:bookmarkEnd w:id="186"/>
      <w:bookmarkEnd w:id="187"/>
      <w:bookmarkEnd w:id="188"/>
      <w:bookmarkEnd w:id="189"/>
      <w:bookmarkEnd w:id="190"/>
    </w:p>
    <w:p w14:paraId="1630B6B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2"/>
          <w:u w:val="single"/>
          <w:lang w:val="en-US" w:eastAsia="zh-CN"/>
        </w:rPr>
        <w:t xml:space="preserve"> </w:t>
      </w:r>
      <w:r>
        <w:rPr>
          <w:rFonts w:hint="eastAsia" w:ascii="宋体" w:hAnsi="宋体" w:cs="宋体"/>
          <w:b/>
          <w:bCs/>
          <w:color w:val="auto"/>
          <w:sz w:val="22"/>
          <w:u w:val="single"/>
        </w:rPr>
        <w:t>归属发包人所有，承包人不得向其他人转借、出售或泄露与本项目有关的上述文件资料情况</w:t>
      </w:r>
      <w:r>
        <w:rPr>
          <w:rFonts w:hint="eastAsia" w:ascii="宋体" w:hAnsi="宋体" w:cs="宋体"/>
          <w:b/>
          <w:bCs/>
          <w:color w:val="auto"/>
          <w:sz w:val="22"/>
          <w:u w:val="single"/>
          <w:lang w:val="en-US" w:eastAsia="zh-CN"/>
        </w:rPr>
        <w:t xml:space="preserve"> </w:t>
      </w:r>
      <w:r>
        <w:rPr>
          <w:rFonts w:hint="eastAsia" w:ascii="宋体" w:hAnsi="宋体" w:cs="宋体"/>
          <w:color w:val="auto"/>
          <w:sz w:val="22"/>
        </w:rPr>
        <w:t>。</w:t>
      </w:r>
    </w:p>
    <w:p w14:paraId="7973D7A3">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关于发包人提供的上述文件的使用限制的要求：</w:t>
      </w:r>
      <w:r>
        <w:rPr>
          <w:rFonts w:hint="eastAsia" w:ascii="宋体" w:hAnsi="宋体" w:cs="宋体"/>
          <w:color w:val="auto"/>
          <w:sz w:val="22"/>
          <w:u w:val="single"/>
          <w:lang w:val="en-US" w:eastAsia="zh-CN"/>
        </w:rPr>
        <w:t xml:space="preserve"> </w:t>
      </w:r>
      <w:r>
        <w:rPr>
          <w:rFonts w:hint="eastAsia" w:ascii="宋体" w:hAnsi="宋体" w:cs="宋体"/>
          <w:b/>
          <w:bCs/>
          <w:color w:val="auto"/>
          <w:sz w:val="22"/>
          <w:u w:val="single"/>
        </w:rPr>
        <w:t>仅使用于本项目的建设</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93B8A8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1.11.2 关于承包人为实施工程所编制文件的著作权的归属：</w:t>
      </w:r>
      <w:r>
        <w:rPr>
          <w:rFonts w:hint="eastAsia" w:ascii="宋体" w:hAnsi="宋体" w:cs="宋体"/>
          <w:b/>
          <w:bCs/>
          <w:color w:val="auto"/>
          <w:sz w:val="22"/>
          <w:u w:val="single"/>
        </w:rPr>
        <w:t>发包人</w:t>
      </w:r>
      <w:r>
        <w:rPr>
          <w:rFonts w:hint="eastAsia" w:ascii="宋体" w:hAnsi="宋体" w:cs="宋体"/>
          <w:color w:val="auto"/>
          <w:sz w:val="22"/>
          <w:u w:val="single"/>
        </w:rPr>
        <w:t xml:space="preserve"> </w:t>
      </w:r>
      <w:r>
        <w:rPr>
          <w:rFonts w:hint="eastAsia" w:ascii="宋体" w:hAnsi="宋体" w:cs="宋体"/>
          <w:color w:val="auto"/>
          <w:sz w:val="22"/>
        </w:rPr>
        <w:t>。</w:t>
      </w:r>
    </w:p>
    <w:p w14:paraId="7C9835AE">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关于承包人提供的上述文件的使用限制的要求：</w:t>
      </w:r>
      <w:r>
        <w:rPr>
          <w:rFonts w:hint="eastAsia" w:ascii="宋体" w:hAnsi="宋体" w:cs="宋体"/>
          <w:color w:val="auto"/>
          <w:sz w:val="22"/>
          <w:u w:val="single"/>
          <w:lang w:val="en-US" w:eastAsia="zh-CN"/>
        </w:rPr>
        <w:t xml:space="preserve"> </w:t>
      </w:r>
      <w:r>
        <w:rPr>
          <w:rFonts w:hint="eastAsia" w:ascii="宋体" w:hAnsi="宋体" w:cs="宋体"/>
          <w:b/>
          <w:bCs/>
          <w:color w:val="auto"/>
          <w:sz w:val="22"/>
          <w:u w:val="single"/>
        </w:rPr>
        <w:t>仅限本项目使用</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FC04594">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sz w:val="22"/>
        </w:rPr>
        <w:t>1.11.4 承包人在施工过程中所采用的专利、专有技术、技术秘密的使用费的承担方式：</w:t>
      </w:r>
      <w:r>
        <w:rPr>
          <w:rFonts w:hint="eastAsia" w:ascii="宋体" w:hAnsi="宋体" w:cs="宋体"/>
          <w:b/>
          <w:bCs/>
          <w:color w:val="auto"/>
          <w:sz w:val="22"/>
          <w:u w:val="single"/>
        </w:rPr>
        <w:t>由承包人承担</w:t>
      </w:r>
      <w:r>
        <w:rPr>
          <w:rFonts w:hint="eastAsia" w:ascii="宋体" w:hAnsi="宋体" w:cs="宋体"/>
          <w:color w:val="auto"/>
          <w:sz w:val="22"/>
          <w:u w:val="single"/>
        </w:rPr>
        <w:t xml:space="preserve"> </w:t>
      </w:r>
      <w:r>
        <w:rPr>
          <w:rFonts w:hint="eastAsia" w:ascii="宋体" w:hAnsi="宋体" w:cs="宋体"/>
          <w:color w:val="auto"/>
          <w:kern w:val="0"/>
          <w:sz w:val="22"/>
        </w:rPr>
        <w:t>。</w:t>
      </w:r>
    </w:p>
    <w:p w14:paraId="3B620D18">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承包人在实施、完成并保修合同工程过程中使用任何材料设备或采用施工工艺时，因侵犯他人专利权或其他知识产权所引起的责任，由承包人承担。</w:t>
      </w:r>
    </w:p>
    <w:p w14:paraId="360E44EF">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承包人为实施本工程而采用专利技术等知识产权，知识产权的使用费已包含在签约合同价内。且承包人同意不受知识产权使用费限制</w:t>
      </w:r>
      <w:r>
        <w:rPr>
          <w:rFonts w:hint="eastAsia" w:ascii="宋体" w:hAnsi="宋体" w:cs="宋体"/>
          <w:color w:val="auto"/>
          <w:sz w:val="22"/>
          <w:szCs w:val="22"/>
          <w:lang w:eastAsia="zh-CN"/>
        </w:rPr>
        <w:t>，</w:t>
      </w:r>
      <w:r>
        <w:rPr>
          <w:rFonts w:hint="eastAsia" w:ascii="宋体" w:hAnsi="宋体" w:cs="宋体"/>
          <w:color w:val="auto"/>
          <w:sz w:val="22"/>
          <w:szCs w:val="22"/>
        </w:rPr>
        <w:t>许可发包人及其发包人集团公司内部</w:t>
      </w:r>
      <w:r>
        <w:rPr>
          <w:rFonts w:hint="eastAsia" w:ascii="宋体" w:hAnsi="宋体" w:cs="宋体"/>
          <w:color w:val="auto"/>
          <w:sz w:val="22"/>
          <w:szCs w:val="22"/>
          <w:lang w:eastAsia="zh-CN"/>
        </w:rPr>
        <w:t>其他成员</w:t>
      </w:r>
      <w:r>
        <w:rPr>
          <w:rFonts w:hint="eastAsia" w:ascii="宋体" w:hAnsi="宋体" w:cs="宋体"/>
          <w:color w:val="auto"/>
          <w:sz w:val="22"/>
          <w:szCs w:val="22"/>
        </w:rPr>
        <w:t>公司免费使用承包人所有或受其控制的有关知识产权。该知识产权包括发包人所需的任何与本项目有关的设备、机械、材料或与本项目有关或部分有关的任何方法、技术和工艺的实际经验。</w:t>
      </w:r>
    </w:p>
    <w:p w14:paraId="1E2DD4F1">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工程施工过程中，承包人应注意收集有关数据、资料和经验，工程施工完成后，承包人应向发包人提交完整的施工总结报告，包括对上述施工工艺、专利技术等的使用，承包人不得以任何理由拒绝。承包人收集相关数据、信息和编制施工总结报告的相关费用已包含在签约合同价内。</w:t>
      </w:r>
    </w:p>
    <w:p w14:paraId="333A3231">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4</w:t>
      </w:r>
      <w:r>
        <w:rPr>
          <w:rFonts w:hint="eastAsia" w:ascii="宋体" w:hAnsi="宋体" w:cs="宋体"/>
          <w:color w:val="auto"/>
          <w:sz w:val="22"/>
          <w:szCs w:val="22"/>
          <w:lang w:eastAsia="zh-CN"/>
        </w:rPr>
        <w:t>）</w:t>
      </w:r>
      <w:r>
        <w:rPr>
          <w:rFonts w:hint="eastAsia" w:ascii="宋体" w:hAnsi="宋体" w:cs="宋体"/>
          <w:color w:val="auto"/>
          <w:sz w:val="22"/>
          <w:szCs w:val="22"/>
        </w:rPr>
        <w:t>承包人在施工过程中形成的新的施工工艺的权属属于承包人，但如果发包人参与了该施工工艺形成主要决策过程的，则该施工工艺的权属属于承包人与发包人共有。无论该施工工艺属于承包人所有还是由承包人与发包人共有的情形下，发包人及其发包人集团公司内部</w:t>
      </w:r>
      <w:r>
        <w:rPr>
          <w:rFonts w:hint="eastAsia" w:ascii="宋体" w:hAnsi="宋体" w:cs="宋体"/>
          <w:color w:val="auto"/>
          <w:sz w:val="22"/>
          <w:szCs w:val="22"/>
          <w:lang w:eastAsia="zh-CN"/>
        </w:rPr>
        <w:t>其他成员</w:t>
      </w:r>
      <w:r>
        <w:rPr>
          <w:rFonts w:hint="eastAsia" w:ascii="宋体" w:hAnsi="宋体" w:cs="宋体"/>
          <w:color w:val="auto"/>
          <w:sz w:val="22"/>
          <w:szCs w:val="22"/>
        </w:rPr>
        <w:t>公司均可以永久免费使用该施工工艺。</w:t>
      </w:r>
    </w:p>
    <w:p w14:paraId="7CD3AE1B">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5</w:t>
      </w:r>
      <w:r>
        <w:rPr>
          <w:rFonts w:hint="eastAsia" w:ascii="宋体" w:hAnsi="宋体" w:cs="宋体"/>
          <w:color w:val="auto"/>
          <w:sz w:val="22"/>
          <w:szCs w:val="22"/>
          <w:lang w:eastAsia="zh-CN"/>
        </w:rPr>
        <w:t>）</w:t>
      </w:r>
      <w:r>
        <w:rPr>
          <w:rFonts w:hint="eastAsia" w:ascii="宋体" w:hAnsi="宋体" w:cs="宋体"/>
          <w:color w:val="auto"/>
          <w:sz w:val="22"/>
          <w:szCs w:val="22"/>
        </w:rPr>
        <w:t>承包人为本工程制作或提供的深化设计图纸等文件的知识产权均归发包人所有。</w:t>
      </w:r>
    </w:p>
    <w:p w14:paraId="546DCD28">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6</w:t>
      </w:r>
      <w:r>
        <w:rPr>
          <w:rFonts w:hint="eastAsia" w:ascii="宋体" w:hAnsi="宋体" w:cs="宋体"/>
          <w:color w:val="auto"/>
          <w:sz w:val="22"/>
          <w:szCs w:val="22"/>
          <w:lang w:eastAsia="zh-CN"/>
        </w:rPr>
        <w:t>）</w:t>
      </w:r>
      <w:r>
        <w:rPr>
          <w:rFonts w:hint="eastAsia" w:ascii="宋体" w:hAnsi="宋体" w:cs="宋体"/>
          <w:color w:val="auto"/>
          <w:sz w:val="22"/>
          <w:szCs w:val="22"/>
        </w:rPr>
        <w:t>如果发生因承包人责任造成的任何知识产权侵权而造成第三方向发包人索赔或诉讼，发包人应立即通知承包人，承包人则应在收到通知后7天内，自费处理上述问题并以发包人名义及时对由此而引起的诉讼进行协商或抗诉。承包人进行这种协商或争讼必须首先以保护发包人为条件，这种保护在任何时候都是必需的，承包人应设法保护发包人利益，避免或减少可能成为发包人责任义务的任何赔偿、损害、费用和损失。在承包人请求时，发包人应给予一切可能的协助，来争取索赔诉讼的顺利解决。若承包人未按时处理，发包人有权自行处理有关纠纷，发包人因此遭受的赔偿、损害、费用及损失，发包人有权从应付或拟付给承包人的任何款项中直接扣回。</w:t>
      </w:r>
    </w:p>
    <w:p w14:paraId="7CA63EAB">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7</w:t>
      </w:r>
      <w:r>
        <w:rPr>
          <w:rFonts w:hint="eastAsia" w:ascii="宋体" w:hAnsi="宋体" w:cs="宋体"/>
          <w:color w:val="auto"/>
          <w:sz w:val="22"/>
          <w:szCs w:val="22"/>
          <w:lang w:eastAsia="zh-CN"/>
        </w:rPr>
        <w:t>）</w:t>
      </w:r>
      <w:r>
        <w:rPr>
          <w:rFonts w:hint="eastAsia" w:ascii="宋体" w:hAnsi="宋体" w:cs="宋体"/>
          <w:color w:val="auto"/>
          <w:sz w:val="22"/>
          <w:szCs w:val="22"/>
        </w:rPr>
        <w:t>在任何时候，如果发包人有理由认为上一条的保护不充分或者发包人对承包人在涉及发包人利益所进行争讼不满意时，发包人有权自行应讼，但并不因此减轻承包人任何责任和义务，并且，与之有关的全部费用由承包人承担。</w:t>
      </w:r>
    </w:p>
    <w:p w14:paraId="3AB8BC79">
      <w:pPr>
        <w:pStyle w:val="71"/>
        <w:spacing w:line="360" w:lineRule="exact"/>
        <w:ind w:firstLine="442" w:firstLineChars="200"/>
        <w:rPr>
          <w:rFonts w:hint="eastAsia" w:ascii="宋体" w:hAnsi="宋体" w:eastAsia="宋体" w:cs="宋体"/>
          <w:color w:val="auto"/>
          <w:sz w:val="22"/>
          <w:szCs w:val="22"/>
        </w:rPr>
      </w:pPr>
      <w:bookmarkStart w:id="191" w:name="_Toc54862504"/>
      <w:bookmarkStart w:id="192" w:name="_Toc513041284"/>
      <w:bookmarkStart w:id="193" w:name="_Toc529202538"/>
      <w:r>
        <w:rPr>
          <w:rFonts w:hint="eastAsia" w:ascii="宋体" w:hAnsi="宋体" w:eastAsia="宋体" w:cs="宋体"/>
          <w:color w:val="auto"/>
          <w:sz w:val="22"/>
          <w:szCs w:val="22"/>
        </w:rPr>
        <w:t>1.12保密</w:t>
      </w:r>
      <w:bookmarkEnd w:id="191"/>
      <w:bookmarkEnd w:id="192"/>
      <w:bookmarkEnd w:id="193"/>
    </w:p>
    <w:p w14:paraId="295050DF">
      <w:pPr>
        <w:pStyle w:val="60"/>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sz w:val="22"/>
          <w:szCs w:val="22"/>
          <w:u w:val="single"/>
        </w:rPr>
        <w:t>除法律规定外，未经发包人同意，承包人不得将发包人提供的图纸、文件以及声明需要保密的资料信息等商业秘密泄露给第三方。</w:t>
      </w:r>
    </w:p>
    <w:p w14:paraId="4D482897">
      <w:pPr>
        <w:pStyle w:val="39"/>
        <w:spacing w:line="360" w:lineRule="exact"/>
        <w:ind w:firstLine="442" w:firstLineChars="200"/>
        <w:rPr>
          <w:rFonts w:hint="eastAsia" w:ascii="宋体" w:hAnsi="宋体" w:cs="宋体"/>
          <w:color w:val="auto"/>
          <w:sz w:val="22"/>
          <w:szCs w:val="22"/>
        </w:rPr>
      </w:pPr>
      <w:bookmarkStart w:id="194" w:name="_Toc373478348"/>
      <w:bookmarkStart w:id="195" w:name="_Toc395382503"/>
      <w:bookmarkStart w:id="196" w:name="_Toc373227701"/>
      <w:bookmarkStart w:id="197" w:name="_Toc12975891"/>
      <w:bookmarkStart w:id="198" w:name="_Toc533432726"/>
      <w:bookmarkStart w:id="199" w:name="_Toc389065267"/>
      <w:r>
        <w:rPr>
          <w:rFonts w:hint="eastAsia" w:ascii="宋体" w:hAnsi="宋体" w:cs="宋体"/>
          <w:color w:val="auto"/>
          <w:sz w:val="22"/>
          <w:szCs w:val="22"/>
        </w:rPr>
        <w:t>1.13工程量清单错误的修正</w:t>
      </w:r>
      <w:bookmarkEnd w:id="194"/>
      <w:bookmarkEnd w:id="195"/>
      <w:bookmarkEnd w:id="196"/>
      <w:bookmarkEnd w:id="197"/>
      <w:bookmarkEnd w:id="198"/>
      <w:bookmarkEnd w:id="199"/>
    </w:p>
    <w:p w14:paraId="592F8DA3">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出现工程量清单工程量偏差时，是否调整合同价格：</w:t>
      </w:r>
      <w:r>
        <w:rPr>
          <w:rFonts w:hint="eastAsia" w:ascii="宋体" w:hAnsi="宋体" w:cs="宋体"/>
          <w:color w:val="auto"/>
          <w:sz w:val="22"/>
          <w:szCs w:val="22"/>
          <w:u w:val="single"/>
        </w:rPr>
        <w:t>合同履行期间，由于磋商工程量清单错误、缺项、漏项，（1）新增部分项工程清单项目的，按照以下规定确定单价，并调整合同价格：1）合同中已有适用的综合单价，按合同中已有的综合单价确定；2）合同中有类似的综合单价，参照类似的综合单价确定；3）合同中没有适用或类似的综合单价，依据“专用合同条款10.4.1变更估价原则”执行。（2）由于磋商工程量清单项目多列或重复列项的，按照承包人磋商综合单价确定单价，并调整合同价格</w:t>
      </w:r>
    </w:p>
    <w:p w14:paraId="095797E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除以上情况之外出现工程量清单错误的，不调整合同价格。</w:t>
      </w:r>
      <w:r>
        <w:rPr>
          <w:rFonts w:hint="eastAsia" w:ascii="宋体" w:hAnsi="宋体" w:cs="宋体"/>
          <w:color w:val="auto"/>
          <w:sz w:val="22"/>
          <w:szCs w:val="22"/>
          <w:u w:val="single"/>
        </w:rPr>
        <w:t>发包人提供的措施费用清单仅供承包人参考，承包人可根据自身实际情况对措施项目进行增减，磋商工程量清单中的所有措施项目出现错误、缺项、漏项情况时，不属于调整价格范围。磋商图纸中的所有项目的措施费均包含在本合同价格中，承包人不得以措施项目漏项为由提出任何补偿及图纸修改</w:t>
      </w:r>
      <w:r>
        <w:rPr>
          <w:rFonts w:hint="eastAsia" w:ascii="宋体" w:hAnsi="宋体" w:cs="宋体"/>
          <w:color w:val="auto"/>
          <w:sz w:val="22"/>
          <w:szCs w:val="22"/>
        </w:rPr>
        <w:t>。</w:t>
      </w:r>
    </w:p>
    <w:p w14:paraId="58E11028">
      <w:pPr>
        <w:pStyle w:val="60"/>
        <w:spacing w:line="360" w:lineRule="exact"/>
        <w:ind w:firstLine="440" w:firstLineChars="200"/>
        <w:rPr>
          <w:rFonts w:hint="eastAsia" w:ascii="宋体" w:hAnsi="宋体" w:cs="宋体"/>
          <w:b/>
          <w:color w:val="auto"/>
          <w:sz w:val="22"/>
          <w:szCs w:val="22"/>
        </w:rPr>
      </w:pPr>
      <w:r>
        <w:rPr>
          <w:rFonts w:hint="eastAsia" w:ascii="宋体" w:hAnsi="宋体" w:cs="宋体"/>
          <w:color w:val="auto"/>
          <w:sz w:val="22"/>
          <w:szCs w:val="22"/>
        </w:rPr>
        <w:t>允许调整合同价格的工程量偏差范围及其调整办法：</w:t>
      </w:r>
      <w:r>
        <w:rPr>
          <w:rFonts w:hint="eastAsia" w:ascii="宋体" w:hAnsi="宋体" w:cs="宋体"/>
          <w:color w:val="auto"/>
          <w:sz w:val="22"/>
          <w:szCs w:val="22"/>
          <w:u w:val="single"/>
        </w:rPr>
        <w:t>无。</w:t>
      </w:r>
    </w:p>
    <w:p w14:paraId="74F30EB0">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承包人承诺，磋商合同总价中包含了本项目全部已</w:t>
      </w:r>
      <w:r>
        <w:rPr>
          <w:rFonts w:hint="eastAsia" w:ascii="宋体" w:hAnsi="宋体" w:cs="宋体"/>
          <w:color w:val="auto"/>
          <w:sz w:val="22"/>
          <w:szCs w:val="22"/>
          <w:u w:val="single"/>
          <w:lang w:val="en-US" w:eastAsia="zh-CN"/>
        </w:rPr>
        <w:t>预</w:t>
      </w:r>
      <w:r>
        <w:rPr>
          <w:rFonts w:hint="eastAsia" w:ascii="宋体" w:hAnsi="宋体" w:cs="宋体"/>
          <w:color w:val="auto"/>
          <w:sz w:val="22"/>
          <w:szCs w:val="22"/>
          <w:u w:val="single"/>
        </w:rPr>
        <w:t>料的和（或）未预料到的单价措施和总价措施费用，包括但不限于如下项目：临时设施、施工用电、柴油发电、围堰、基坑支护、作业平台、大型机械进出场</w:t>
      </w:r>
      <w:r>
        <w:rPr>
          <w:rFonts w:hint="eastAsia" w:ascii="宋体" w:hAnsi="宋体" w:cs="宋体"/>
          <w:color w:val="auto"/>
          <w:sz w:val="22"/>
          <w:szCs w:val="22"/>
          <w:u w:val="single"/>
          <w:lang w:val="en-US" w:eastAsia="zh-CN"/>
        </w:rPr>
        <w:t>及</w:t>
      </w:r>
      <w:r>
        <w:rPr>
          <w:rFonts w:hint="eastAsia" w:ascii="宋体" w:hAnsi="宋体" w:cs="宋体"/>
          <w:color w:val="auto"/>
          <w:sz w:val="22"/>
          <w:szCs w:val="22"/>
          <w:u w:val="single"/>
        </w:rPr>
        <w:t>安拆、便道及便桥、施工降排水、安全文明施工及其他措施项目，未按期竣工（其中包括承包人原因和征地拆迁等承包人原因引起的工期顺延）增加的全部费用。</w:t>
      </w:r>
    </w:p>
    <w:p w14:paraId="79D60CAF">
      <w:pPr>
        <w:pStyle w:val="70"/>
        <w:spacing w:before="0" w:after="0" w:line="360" w:lineRule="exact"/>
        <w:ind w:firstLine="442" w:firstLineChars="200"/>
        <w:rPr>
          <w:rFonts w:hint="eastAsia" w:ascii="宋体" w:hAnsi="宋体" w:cs="宋体"/>
          <w:color w:val="auto"/>
          <w:sz w:val="22"/>
          <w:szCs w:val="22"/>
        </w:rPr>
      </w:pPr>
      <w:bookmarkStart w:id="200" w:name="_Toc373227702"/>
      <w:bookmarkStart w:id="201" w:name="_Toc12975892"/>
      <w:bookmarkStart w:id="202" w:name="_Toc351203634"/>
      <w:bookmarkStart w:id="203" w:name="_Toc373478349"/>
      <w:bookmarkStart w:id="204" w:name="_Toc533432727"/>
      <w:bookmarkStart w:id="205" w:name="_Toc389065268"/>
      <w:bookmarkStart w:id="206" w:name="_Toc395382504"/>
      <w:r>
        <w:rPr>
          <w:rFonts w:hint="eastAsia" w:ascii="宋体" w:hAnsi="宋体" w:cs="宋体"/>
          <w:color w:val="auto"/>
          <w:sz w:val="22"/>
          <w:szCs w:val="22"/>
        </w:rPr>
        <w:t>2</w:t>
      </w:r>
      <w:bookmarkStart w:id="207" w:name="_Toc296890985"/>
      <w:bookmarkStart w:id="208" w:name="_Toc296944496"/>
      <w:bookmarkStart w:id="209" w:name="_Toc296891197"/>
      <w:bookmarkStart w:id="210" w:name="_Toc297120457"/>
      <w:bookmarkStart w:id="211" w:name="_Toc297048343"/>
      <w:bookmarkStart w:id="212" w:name="_Toc292559867"/>
      <w:bookmarkStart w:id="213" w:name="_Toc296346658"/>
      <w:bookmarkStart w:id="214" w:name="_Toc296503157"/>
      <w:bookmarkStart w:id="215" w:name="_Toc292559362"/>
      <w:bookmarkStart w:id="216" w:name="_Toc296347156"/>
      <w:r>
        <w:rPr>
          <w:rFonts w:hint="eastAsia" w:ascii="宋体" w:hAnsi="宋体" w:cs="宋体"/>
          <w:color w:val="auto"/>
          <w:sz w:val="22"/>
          <w:szCs w:val="22"/>
        </w:rPr>
        <w:t>. 发包人</w:t>
      </w:r>
      <w:bookmarkEnd w:id="200"/>
      <w:bookmarkEnd w:id="201"/>
      <w:bookmarkEnd w:id="202"/>
      <w:bookmarkEnd w:id="203"/>
      <w:bookmarkEnd w:id="204"/>
      <w:bookmarkEnd w:id="205"/>
      <w:bookmarkEnd w:id="206"/>
    </w:p>
    <w:bookmarkEnd w:id="207"/>
    <w:bookmarkEnd w:id="208"/>
    <w:bookmarkEnd w:id="209"/>
    <w:bookmarkEnd w:id="210"/>
    <w:bookmarkEnd w:id="211"/>
    <w:bookmarkEnd w:id="212"/>
    <w:bookmarkEnd w:id="213"/>
    <w:bookmarkEnd w:id="214"/>
    <w:bookmarkEnd w:id="215"/>
    <w:bookmarkEnd w:id="216"/>
    <w:p w14:paraId="3F91F293">
      <w:pPr>
        <w:pStyle w:val="39"/>
        <w:spacing w:line="360" w:lineRule="exact"/>
        <w:ind w:firstLine="442" w:firstLineChars="200"/>
        <w:rPr>
          <w:rFonts w:hint="eastAsia" w:ascii="宋体" w:hAnsi="宋体" w:cs="宋体"/>
          <w:color w:val="auto"/>
          <w:sz w:val="22"/>
          <w:szCs w:val="22"/>
        </w:rPr>
      </w:pPr>
      <w:bookmarkStart w:id="217" w:name="_Toc395382505"/>
      <w:bookmarkStart w:id="218" w:name="_Toc12975893"/>
      <w:bookmarkStart w:id="219" w:name="_Toc389065269"/>
      <w:bookmarkStart w:id="220" w:name="_Toc533432728"/>
      <w:bookmarkStart w:id="221" w:name="_Toc373227703"/>
      <w:bookmarkStart w:id="222" w:name="_Toc373478350"/>
      <w:r>
        <w:rPr>
          <w:rFonts w:hint="eastAsia" w:ascii="宋体" w:hAnsi="宋体" w:cs="宋体"/>
          <w:color w:val="auto"/>
          <w:sz w:val="22"/>
          <w:szCs w:val="22"/>
        </w:rPr>
        <w:t>2.2 发包人代表</w:t>
      </w:r>
      <w:bookmarkEnd w:id="217"/>
      <w:bookmarkEnd w:id="218"/>
      <w:bookmarkEnd w:id="219"/>
      <w:bookmarkEnd w:id="220"/>
      <w:bookmarkEnd w:id="221"/>
      <w:bookmarkEnd w:id="222"/>
    </w:p>
    <w:p w14:paraId="176B3A3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发包人代表：</w:t>
      </w:r>
    </w:p>
    <w:p w14:paraId="4BBBB51F">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姓    名：</w:t>
      </w:r>
      <w:r>
        <w:rPr>
          <w:rFonts w:hint="eastAsia" w:ascii="宋体" w:hAnsi="宋体" w:cs="宋体"/>
          <w:color w:val="auto"/>
          <w:sz w:val="22"/>
          <w:u w:val="single"/>
        </w:rPr>
        <w:t>     </w:t>
      </w:r>
      <w:r>
        <w:rPr>
          <w:rFonts w:hint="eastAsia" w:ascii="宋体" w:hAnsi="宋体" w:cs="宋体"/>
          <w:color w:val="auto"/>
          <w:sz w:val="22"/>
        </w:rPr>
        <w:t>；</w:t>
      </w:r>
    </w:p>
    <w:p w14:paraId="404EC01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身份证号：</w:t>
      </w:r>
      <w:r>
        <w:rPr>
          <w:rFonts w:hint="eastAsia" w:ascii="宋体" w:hAnsi="宋体" w:cs="宋体"/>
          <w:color w:val="auto"/>
          <w:sz w:val="22"/>
          <w:u w:val="single"/>
        </w:rPr>
        <w:t>      </w:t>
      </w:r>
      <w:r>
        <w:rPr>
          <w:rFonts w:hint="eastAsia" w:ascii="宋体" w:hAnsi="宋体" w:cs="宋体"/>
          <w:color w:val="auto"/>
          <w:sz w:val="22"/>
        </w:rPr>
        <w:t>；</w:t>
      </w:r>
    </w:p>
    <w:p w14:paraId="2A66DED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职    务：</w:t>
      </w:r>
      <w:r>
        <w:rPr>
          <w:rFonts w:hint="eastAsia" w:ascii="宋体" w:hAnsi="宋体" w:cs="宋体"/>
          <w:color w:val="auto"/>
          <w:sz w:val="22"/>
          <w:u w:val="single"/>
        </w:rPr>
        <w:t>    </w:t>
      </w:r>
      <w:r>
        <w:rPr>
          <w:rFonts w:hint="eastAsia" w:ascii="宋体" w:hAnsi="宋体" w:cs="宋体"/>
          <w:color w:val="auto"/>
          <w:sz w:val="22"/>
        </w:rPr>
        <w:t>；</w:t>
      </w:r>
    </w:p>
    <w:p w14:paraId="272D1AF1">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  </w:t>
      </w:r>
      <w:r>
        <w:rPr>
          <w:rFonts w:hint="eastAsia" w:ascii="宋体" w:hAnsi="宋体" w:cs="宋体"/>
          <w:color w:val="auto"/>
          <w:sz w:val="22"/>
        </w:rPr>
        <w:t>；</w:t>
      </w:r>
    </w:p>
    <w:p w14:paraId="799A78E3">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   </w:t>
      </w:r>
      <w:r>
        <w:rPr>
          <w:rFonts w:hint="eastAsia" w:ascii="宋体" w:hAnsi="宋体" w:cs="宋体"/>
          <w:color w:val="auto"/>
          <w:sz w:val="22"/>
        </w:rPr>
        <w:t>；</w:t>
      </w:r>
    </w:p>
    <w:p w14:paraId="35DD417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099A61B4">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发包人对发包人代表的授权范围如下：</w:t>
      </w:r>
      <w:r>
        <w:rPr>
          <w:rFonts w:hint="eastAsia" w:ascii="宋体" w:hAnsi="宋体" w:cs="宋体"/>
          <w:color w:val="auto"/>
          <w:sz w:val="22"/>
          <w:u w:val="single"/>
        </w:rPr>
        <w:t></w:t>
      </w:r>
      <w:r>
        <w:rPr>
          <w:rFonts w:hint="eastAsia" w:ascii="宋体" w:hAnsi="宋体" w:cs="宋体"/>
          <w:bCs/>
          <w:color w:val="auto"/>
          <w:sz w:val="22"/>
          <w:u w:val="single"/>
        </w:rPr>
        <w:t>对本工程质量、工期、进度、安全、文明施工及材料和设备进场进行监督检查；对涉及工期延长、设计变更和现场收方等的相关事项作出处理；办理中间交工工程验收手续；协调施工现场及外部有关事宜</w:t>
      </w:r>
      <w:r>
        <w:rPr>
          <w:rFonts w:hint="eastAsia" w:ascii="宋体" w:hAnsi="宋体" w:cs="宋体"/>
          <w:color w:val="auto"/>
          <w:sz w:val="22"/>
          <w:u w:val="single"/>
        </w:rPr>
        <w:t xml:space="preserve"> </w:t>
      </w:r>
      <w:r>
        <w:rPr>
          <w:rFonts w:hint="eastAsia" w:ascii="宋体" w:hAnsi="宋体" w:cs="宋体"/>
          <w:color w:val="auto"/>
          <w:sz w:val="22"/>
        </w:rPr>
        <w:t>。</w:t>
      </w:r>
    </w:p>
    <w:p w14:paraId="0865FC46">
      <w:pPr>
        <w:pStyle w:val="39"/>
        <w:spacing w:line="360" w:lineRule="exact"/>
        <w:ind w:firstLine="442" w:firstLineChars="200"/>
        <w:rPr>
          <w:rFonts w:hint="eastAsia" w:ascii="宋体" w:hAnsi="宋体" w:cs="宋体"/>
          <w:color w:val="auto"/>
          <w:sz w:val="22"/>
          <w:szCs w:val="22"/>
        </w:rPr>
      </w:pPr>
      <w:bookmarkStart w:id="223" w:name="_Toc395382506"/>
      <w:bookmarkStart w:id="224" w:name="_Toc389065270"/>
      <w:bookmarkStart w:id="225" w:name="_Toc373478351"/>
      <w:bookmarkStart w:id="226" w:name="_Toc373227704"/>
      <w:bookmarkStart w:id="227" w:name="_Toc12975894"/>
      <w:bookmarkStart w:id="228" w:name="_Toc533432729"/>
      <w:r>
        <w:rPr>
          <w:rFonts w:hint="eastAsia" w:ascii="宋体" w:hAnsi="宋体" w:cs="宋体"/>
          <w:color w:val="auto"/>
          <w:sz w:val="22"/>
          <w:szCs w:val="22"/>
        </w:rPr>
        <w:t>2.4 施工现场、施工条件和基础资料的提供</w:t>
      </w:r>
      <w:bookmarkEnd w:id="223"/>
      <w:bookmarkEnd w:id="224"/>
      <w:bookmarkEnd w:id="225"/>
      <w:bookmarkEnd w:id="226"/>
      <w:bookmarkEnd w:id="227"/>
      <w:bookmarkEnd w:id="228"/>
    </w:p>
    <w:p w14:paraId="4D3F6C2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2.4.1 提供施工现场</w:t>
      </w:r>
    </w:p>
    <w:p w14:paraId="620D1439">
      <w:pPr>
        <w:pStyle w:val="60"/>
        <w:spacing w:line="360" w:lineRule="exact"/>
        <w:ind w:firstLine="440" w:firstLineChars="200"/>
        <w:jc w:val="left"/>
        <w:rPr>
          <w:rFonts w:hint="eastAsia" w:ascii="宋体" w:hAnsi="宋体" w:cs="宋体"/>
          <w:b/>
          <w:color w:val="auto"/>
          <w:sz w:val="22"/>
          <w:szCs w:val="22"/>
        </w:rPr>
      </w:pPr>
      <w:r>
        <w:rPr>
          <w:rFonts w:hint="eastAsia" w:ascii="宋体" w:hAnsi="宋体" w:cs="宋体"/>
          <w:color w:val="auto"/>
          <w:sz w:val="22"/>
          <w:szCs w:val="22"/>
        </w:rPr>
        <w:t>关于发包人移交施工现场的期限要求：</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发包人应最迟于开工</w:t>
      </w:r>
      <w:r>
        <w:rPr>
          <w:rFonts w:hint="eastAsia" w:ascii="宋体" w:hAnsi="宋体" w:cs="宋体"/>
          <w:color w:val="auto"/>
          <w:sz w:val="22"/>
          <w:szCs w:val="22"/>
          <w:highlight w:val="none"/>
          <w:u w:val="single"/>
        </w:rPr>
        <w:t>日期</w:t>
      </w:r>
      <w:r>
        <w:rPr>
          <w:rFonts w:hint="eastAsia" w:ascii="宋体" w:hAnsi="宋体" w:cs="宋体"/>
          <w:color w:val="auto"/>
          <w:sz w:val="22"/>
          <w:szCs w:val="22"/>
          <w:highlight w:val="none"/>
          <w:u w:val="single"/>
          <w:lang w:val="en-US" w:eastAsia="zh-CN"/>
        </w:rPr>
        <w:t>14</w:t>
      </w:r>
      <w:r>
        <w:rPr>
          <w:rFonts w:hint="eastAsia" w:ascii="宋体" w:hAnsi="宋体" w:cs="宋体"/>
          <w:color w:val="auto"/>
          <w:sz w:val="22"/>
          <w:szCs w:val="22"/>
          <w:highlight w:val="none"/>
          <w:u w:val="single"/>
        </w:rPr>
        <w:t>天前</w:t>
      </w:r>
      <w:r>
        <w:rPr>
          <w:rFonts w:hint="eastAsia" w:ascii="宋体" w:hAnsi="宋体" w:cs="宋体"/>
          <w:color w:val="auto"/>
          <w:sz w:val="22"/>
          <w:szCs w:val="22"/>
          <w:u w:val="single"/>
        </w:rPr>
        <w:t>向承包人移交部分施工现场。发包人根据征地进展安排，分期</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也可以一次</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将施工所需的永久占地办妥征用以及拆迁赔偿手续，通知承包人使用，以使承包人能够连续不间断地施工</w:t>
      </w:r>
      <w:r>
        <w:rPr>
          <w:rFonts w:hint="eastAsia" w:ascii="宋体" w:hAnsi="宋体" w:cs="宋体"/>
          <w:color w:val="auto"/>
          <w:sz w:val="22"/>
          <w:szCs w:val="22"/>
          <w:u w:val="none"/>
        </w:rPr>
        <w:t>。</w:t>
      </w:r>
    </w:p>
    <w:p w14:paraId="5FC5FFEE">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本工程可供承包人使用的场地仅为经规划部门批准的红线范围或借地范围（具体以发包人提供的初步设计文件及资料为准），承包人应无条件接受现场条件。超出上述范围需要使用的场地，均由承包人自行解决，并自行办妥一切需要办理的手续，由此引起的一切纠纷、事故和赔偿责任，均由承包人承担。如果由于发包人未能按照本款规定办妥永久占地征用手续，而影响承包人工程的施工，承包人须及时调整工程施工组织安排并报监理人批准，合理组织和安排工程施工。因此导致承包人延误工期或增加费用时，发包人仅考虑适当延长工期作为补偿。</w:t>
      </w:r>
    </w:p>
    <w:p w14:paraId="61FBD90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2.4.2 提供施工条件</w:t>
      </w:r>
    </w:p>
    <w:p w14:paraId="6F84C858">
      <w:pPr>
        <w:pStyle w:val="60"/>
        <w:spacing w:line="360" w:lineRule="exact"/>
        <w:ind w:firstLine="440" w:firstLineChars="200"/>
        <w:rPr>
          <w:rFonts w:hint="eastAsia" w:ascii="宋体" w:hAnsi="宋体" w:cs="宋体"/>
          <w:bCs/>
          <w:color w:val="auto"/>
          <w:sz w:val="22"/>
          <w:szCs w:val="22"/>
          <w:u w:val="single"/>
        </w:rPr>
      </w:pPr>
      <w:r>
        <w:rPr>
          <w:rFonts w:hint="eastAsia" w:ascii="宋体" w:hAnsi="宋体" w:cs="宋体"/>
          <w:color w:val="auto"/>
          <w:sz w:val="22"/>
          <w:szCs w:val="22"/>
        </w:rPr>
        <w:t>关于发包人应负责提供施工所需要的条件，包括：</w:t>
      </w:r>
      <w:r>
        <w:rPr>
          <w:rFonts w:hint="eastAsia" w:ascii="宋体" w:hAnsi="宋体" w:cs="宋体"/>
          <w:bCs/>
          <w:color w:val="auto"/>
          <w:sz w:val="22"/>
          <w:szCs w:val="22"/>
          <w:u w:val="single"/>
        </w:rPr>
        <w:t>施工所需的水、电、气、通讯等管线接至施工场地的均由承包人自行负责，并承担相关费用。若供电和供水部门的原因造成停电停水或承包人未能及时报装，承包人必须自行解决，费用由承包人负责。发包人的协助不能免除或减轻承包人的任何责任</w:t>
      </w:r>
      <w:r>
        <w:rPr>
          <w:rFonts w:hint="eastAsia" w:ascii="宋体" w:hAnsi="宋体" w:cs="宋体"/>
          <w:bCs/>
          <w:color w:val="auto"/>
          <w:sz w:val="22"/>
          <w:szCs w:val="22"/>
          <w:u w:val="none"/>
        </w:rPr>
        <w:t>。</w:t>
      </w:r>
    </w:p>
    <w:p w14:paraId="0ACCD35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临时占地属于本合同内容的一部分，费用已包含在合同总价中，临时占地由承包人向当地政府土地管理部门申请，并办理租用手续，承包人按有关规定直接支付其费用。</w:t>
      </w:r>
    </w:p>
    <w:p w14:paraId="1C98224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临时占地范围包括承包人驻地的办公室、食堂、宿舍、道路和机械设备停放场、材料堆放场地、取土场、弃土场、预制场、拌和场、仓库、进场临时道路、临时便道、便桥等与本工程有关的临时占地。承包人应在“临时占地计划表”范围内按实际需要与先后次序，提出具体计划报监理人和发包人。临时占地的面积和使用期应满足工程需要，费用包括临时占地数量、时间及因此而发生的协调、租用、复耕、地面附着物的拆迁补偿等相关费用。尽管承包人按照磋商文件中的“临时占地计划表”所述用地开展施工，但仍不满足实际需要时，承包人需自费增加临时占地的面积和使用期。</w:t>
      </w:r>
    </w:p>
    <w:p w14:paraId="4DCD652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临时占地退还前，承包人应自费恢复到临时占地使用前的状况。如因承包人撤离后未按要求对临时占地进行恢复或虽进行了恢复但未达到使用标准的，将由发包人委托第三方对其恢复，所发生的费用将从应付或拟付给承包人的任何款项内扣除</w:t>
      </w:r>
      <w:r>
        <w:rPr>
          <w:rFonts w:hint="eastAsia" w:ascii="宋体" w:hAnsi="宋体" w:cs="宋体"/>
          <w:color w:val="auto"/>
          <w:sz w:val="22"/>
          <w:szCs w:val="22"/>
          <w:u w:val="none"/>
        </w:rPr>
        <w:t>。</w:t>
      </w:r>
    </w:p>
    <w:p w14:paraId="06C66A9D">
      <w:pPr>
        <w:pStyle w:val="39"/>
        <w:spacing w:line="360" w:lineRule="exact"/>
        <w:ind w:firstLine="442" w:firstLineChars="200"/>
        <w:rPr>
          <w:rFonts w:hint="eastAsia" w:ascii="宋体" w:hAnsi="宋体" w:cs="宋体"/>
          <w:color w:val="auto"/>
          <w:sz w:val="22"/>
          <w:szCs w:val="22"/>
        </w:rPr>
      </w:pPr>
      <w:bookmarkStart w:id="229" w:name="_Toc12975895"/>
      <w:bookmarkStart w:id="230" w:name="_Toc373478352"/>
      <w:bookmarkStart w:id="231" w:name="_Toc395382507"/>
      <w:bookmarkStart w:id="232" w:name="_Toc533432730"/>
      <w:bookmarkStart w:id="233" w:name="_Toc373227705"/>
      <w:bookmarkStart w:id="234" w:name="_Toc389065271"/>
      <w:r>
        <w:rPr>
          <w:rFonts w:hint="eastAsia" w:ascii="宋体" w:hAnsi="宋体" w:cs="宋体"/>
          <w:color w:val="auto"/>
          <w:sz w:val="22"/>
          <w:szCs w:val="22"/>
        </w:rPr>
        <w:t>2.5 资金来源证明及支付担保</w:t>
      </w:r>
      <w:bookmarkEnd w:id="229"/>
      <w:bookmarkEnd w:id="230"/>
      <w:bookmarkEnd w:id="231"/>
      <w:bookmarkEnd w:id="232"/>
      <w:bookmarkEnd w:id="233"/>
      <w:bookmarkEnd w:id="234"/>
    </w:p>
    <w:p w14:paraId="74FC754F">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发包人提供资金来源证明的期限要求：</w:t>
      </w:r>
      <w:r>
        <w:rPr>
          <w:rFonts w:hint="eastAsia" w:ascii="宋体" w:hAnsi="宋体" w:cs="宋体"/>
          <w:color w:val="auto"/>
          <w:sz w:val="22"/>
          <w:u w:val="single"/>
        </w:rPr>
        <w:t xml:space="preserve">不提供  </w:t>
      </w:r>
      <w:r>
        <w:rPr>
          <w:rFonts w:hint="eastAsia" w:ascii="宋体" w:hAnsi="宋体" w:cs="宋体"/>
          <w:color w:val="auto"/>
          <w:sz w:val="22"/>
        </w:rPr>
        <w:t>。</w:t>
      </w:r>
    </w:p>
    <w:p w14:paraId="1E7F2A6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发包人是否提供支付担保：</w:t>
      </w:r>
      <w:r>
        <w:rPr>
          <w:rFonts w:hint="eastAsia" w:ascii="宋体" w:hAnsi="宋体" w:cs="宋体"/>
          <w:color w:val="auto"/>
          <w:sz w:val="22"/>
          <w:u w:val="single"/>
        </w:rPr>
        <w:t xml:space="preserve">不提供  </w:t>
      </w:r>
      <w:r>
        <w:rPr>
          <w:rFonts w:hint="eastAsia" w:ascii="宋体" w:hAnsi="宋体" w:cs="宋体"/>
          <w:color w:val="auto"/>
          <w:sz w:val="22"/>
        </w:rPr>
        <w:t>。</w:t>
      </w:r>
    </w:p>
    <w:p w14:paraId="47BB35A1">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发包人提供支付担保的形式：</w:t>
      </w:r>
      <w:r>
        <w:rPr>
          <w:rFonts w:hint="eastAsia" w:ascii="宋体" w:hAnsi="宋体" w:cs="宋体"/>
          <w:color w:val="auto"/>
          <w:sz w:val="22"/>
          <w:u w:val="single"/>
        </w:rPr>
        <w:t>无</w:t>
      </w:r>
      <w:r>
        <w:rPr>
          <w:rFonts w:hint="eastAsia" w:ascii="宋体" w:hAnsi="宋体" w:cs="宋体"/>
          <w:color w:val="auto"/>
          <w:sz w:val="22"/>
        </w:rPr>
        <w:t>。</w:t>
      </w:r>
    </w:p>
    <w:p w14:paraId="5F6D765B">
      <w:pPr>
        <w:pStyle w:val="40"/>
        <w:spacing w:line="360" w:lineRule="exact"/>
        <w:ind w:firstLine="440" w:firstLineChars="200"/>
        <w:rPr>
          <w:rFonts w:hint="eastAsia" w:ascii="宋体" w:hAnsi="宋体" w:cs="宋体"/>
          <w:color w:val="auto"/>
          <w:sz w:val="22"/>
          <w:u w:val="single"/>
        </w:rPr>
      </w:pPr>
    </w:p>
    <w:p w14:paraId="0441EA2D">
      <w:pPr>
        <w:pStyle w:val="70"/>
        <w:spacing w:before="0" w:after="0" w:line="360" w:lineRule="exact"/>
        <w:ind w:firstLine="442" w:firstLineChars="200"/>
        <w:rPr>
          <w:rFonts w:hint="eastAsia" w:ascii="宋体" w:hAnsi="宋体" w:cs="宋体"/>
          <w:color w:val="auto"/>
          <w:sz w:val="22"/>
          <w:szCs w:val="22"/>
        </w:rPr>
      </w:pPr>
      <w:bookmarkStart w:id="235" w:name="_Toc533432731"/>
      <w:bookmarkStart w:id="236" w:name="_Toc373227706"/>
      <w:bookmarkStart w:id="237" w:name="_Toc395382508"/>
      <w:bookmarkStart w:id="238" w:name="_Toc12975896"/>
      <w:bookmarkStart w:id="239" w:name="_Toc389065272"/>
      <w:bookmarkStart w:id="240" w:name="_Toc351203635"/>
      <w:bookmarkStart w:id="241" w:name="_Toc373478353"/>
      <w:r>
        <w:rPr>
          <w:rFonts w:hint="eastAsia" w:ascii="宋体" w:hAnsi="宋体" w:cs="宋体"/>
          <w:color w:val="auto"/>
          <w:sz w:val="22"/>
          <w:szCs w:val="22"/>
        </w:rPr>
        <w:t>3</w:t>
      </w:r>
      <w:bookmarkStart w:id="242" w:name="_Toc296890986"/>
      <w:bookmarkStart w:id="243" w:name="_Toc292559363"/>
      <w:bookmarkStart w:id="244" w:name="_Toc292559868"/>
      <w:bookmarkStart w:id="245" w:name="_Toc297120458"/>
      <w:bookmarkStart w:id="246" w:name="_Toc296347157"/>
      <w:bookmarkStart w:id="247" w:name="_Toc296944497"/>
      <w:bookmarkStart w:id="248" w:name="_Toc296346659"/>
      <w:bookmarkStart w:id="249" w:name="_Toc296891198"/>
      <w:bookmarkStart w:id="250" w:name="_Toc297048344"/>
      <w:bookmarkStart w:id="251" w:name="_Toc296503158"/>
      <w:r>
        <w:rPr>
          <w:rFonts w:hint="eastAsia" w:ascii="宋体" w:hAnsi="宋体" w:cs="宋体"/>
          <w:color w:val="auto"/>
          <w:sz w:val="22"/>
          <w:szCs w:val="22"/>
        </w:rPr>
        <w:t>. 承包人</w:t>
      </w:r>
      <w:bookmarkEnd w:id="235"/>
      <w:bookmarkEnd w:id="236"/>
      <w:bookmarkEnd w:id="237"/>
      <w:bookmarkEnd w:id="238"/>
      <w:bookmarkEnd w:id="239"/>
      <w:bookmarkEnd w:id="240"/>
      <w:bookmarkEnd w:id="241"/>
    </w:p>
    <w:bookmarkEnd w:id="242"/>
    <w:bookmarkEnd w:id="243"/>
    <w:bookmarkEnd w:id="244"/>
    <w:bookmarkEnd w:id="245"/>
    <w:bookmarkEnd w:id="246"/>
    <w:bookmarkEnd w:id="247"/>
    <w:bookmarkEnd w:id="248"/>
    <w:bookmarkEnd w:id="249"/>
    <w:bookmarkEnd w:id="250"/>
    <w:bookmarkEnd w:id="251"/>
    <w:p w14:paraId="61BAB3E1">
      <w:pPr>
        <w:pStyle w:val="39"/>
        <w:spacing w:line="360" w:lineRule="exact"/>
        <w:ind w:firstLine="442" w:firstLineChars="200"/>
        <w:rPr>
          <w:rFonts w:hint="eastAsia" w:ascii="宋体" w:hAnsi="宋体" w:cs="宋体"/>
          <w:color w:val="auto"/>
          <w:sz w:val="22"/>
          <w:szCs w:val="22"/>
        </w:rPr>
      </w:pPr>
      <w:bookmarkStart w:id="252" w:name="_Toc533432732"/>
      <w:bookmarkStart w:id="253" w:name="_Toc12975897"/>
      <w:bookmarkStart w:id="254" w:name="_Toc389065273"/>
      <w:bookmarkStart w:id="255" w:name="_Toc373227707"/>
      <w:bookmarkStart w:id="256" w:name="_Toc373478354"/>
      <w:bookmarkStart w:id="257" w:name="_Toc395382509"/>
      <w:r>
        <w:rPr>
          <w:rFonts w:hint="eastAsia" w:ascii="宋体" w:hAnsi="宋体" w:cs="宋体"/>
          <w:color w:val="auto"/>
          <w:sz w:val="22"/>
          <w:szCs w:val="22"/>
        </w:rPr>
        <w:t>3.1 承包人的一般义务</w:t>
      </w:r>
      <w:bookmarkEnd w:id="252"/>
      <w:bookmarkEnd w:id="253"/>
      <w:bookmarkEnd w:id="254"/>
      <w:bookmarkEnd w:id="255"/>
      <w:bookmarkEnd w:id="256"/>
      <w:bookmarkEnd w:id="257"/>
    </w:p>
    <w:p w14:paraId="7A5009C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（9）</w:t>
      </w:r>
      <w:r>
        <w:rPr>
          <w:rFonts w:hint="eastAsia" w:ascii="宋体" w:hAnsi="宋体" w:cs="宋体"/>
          <w:color w:val="auto"/>
          <w:sz w:val="22"/>
        </w:rPr>
        <w:t>承包人提交的竣工资料的内容：</w:t>
      </w:r>
      <w:r>
        <w:rPr>
          <w:rFonts w:hint="eastAsia" w:ascii="宋体" w:hAnsi="宋体" w:cs="宋体"/>
          <w:color w:val="auto"/>
          <w:sz w:val="22"/>
          <w:u w:val="single"/>
        </w:rPr>
        <w:t>工程施工技术资料、工程质量资料、工程检验评定资料、竣工图，项目所在地建设主管部门规定的其他应交资料</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3451E0A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承包人需要提交的竣工资料套数：</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四套</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584DD88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承包人提交的竣工资料的费用承担：</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由承包人承担</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461AF29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承包人提交的竣工资料移交时间：</w:t>
      </w:r>
      <w:r>
        <w:rPr>
          <w:rFonts w:hint="eastAsia" w:ascii="宋体" w:hAnsi="宋体" w:cs="宋体"/>
          <w:color w:val="auto"/>
          <w:sz w:val="22"/>
          <w:u w:val="single"/>
        </w:rPr>
        <w:t xml:space="preserve">竣工验收合格之日起30天内 </w:t>
      </w:r>
      <w:r>
        <w:rPr>
          <w:rFonts w:hint="eastAsia" w:ascii="宋体" w:hAnsi="宋体" w:cs="宋体"/>
          <w:color w:val="auto"/>
          <w:sz w:val="22"/>
        </w:rPr>
        <w:t>。</w:t>
      </w:r>
    </w:p>
    <w:p w14:paraId="5E35B59B">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承包人提交的竣工资料形式要求：</w:t>
      </w:r>
      <w:r>
        <w:rPr>
          <w:rFonts w:hint="eastAsia" w:ascii="宋体" w:hAnsi="宋体" w:cs="宋体"/>
          <w:color w:val="auto"/>
          <w:sz w:val="22"/>
          <w:u w:val="single"/>
        </w:rPr>
        <w:t>书</w:t>
      </w:r>
      <w:r>
        <w:rPr>
          <w:rFonts w:hint="eastAsia" w:ascii="宋体" w:hAnsi="宋体" w:cs="宋体"/>
          <w:color w:val="auto"/>
          <w:sz w:val="22"/>
          <w:highlight w:val="none"/>
          <w:u w:val="single"/>
        </w:rPr>
        <w:t>面</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含电子扫描版</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及电子文</w:t>
      </w:r>
      <w:r>
        <w:rPr>
          <w:rFonts w:hint="eastAsia" w:ascii="宋体" w:hAnsi="宋体" w:cs="宋体"/>
          <w:color w:val="auto"/>
          <w:sz w:val="22"/>
          <w:u w:val="single"/>
        </w:rPr>
        <w:t xml:space="preserve">档 </w:t>
      </w:r>
      <w:r>
        <w:rPr>
          <w:rFonts w:hint="eastAsia" w:ascii="宋体" w:hAnsi="宋体" w:cs="宋体"/>
          <w:color w:val="auto"/>
          <w:sz w:val="22"/>
        </w:rPr>
        <w:t>。</w:t>
      </w:r>
    </w:p>
    <w:p w14:paraId="7D43061C">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rPr>
        <w:t>（10）承包人应履行的其他义务：</w:t>
      </w:r>
      <w:r>
        <w:rPr>
          <w:rFonts w:hint="eastAsia" w:ascii="宋体" w:hAnsi="宋体" w:cs="宋体"/>
          <w:color w:val="auto"/>
          <w:kern w:val="0"/>
          <w:sz w:val="22"/>
          <w:szCs w:val="22"/>
          <w:u w:val="single"/>
        </w:rPr>
        <w:t>1）协调处理施工场地内及场地周围地下管线和邻近市政公用物、构筑物（含文物保护市政公用）、古树名木的保护工作；若发生上述情况所产生的费用，由承包人承担（包含于合同总价中）。2）充分考虑工地现场的周围环境、交通道路、现场条件、施工图纸、施工组织设计、施工技术措施、安全文明施工措施等因素，应积极做好综合组织和协调，负责解决施工扰民和民扰问题。3）承包人负责补遗工作，即对于任何属于本工程的工作范围，但未以文字形式明确约定属于承包人的工作，且未在合同中以文字形式明确约定为属于发包人自行完成的工作范围，此类工作应由承包人作为本工程的责任和义务自行完成。4）对于施工过程中有需发包人配合完成的工作，承包人应提前足够时间通知发包人。5) 施工区内临时设施、水电管线安装和保养，施工现场内地下管线和临近市政公用物、构筑物及临街交通要道、人行道的保护，费用由承包人负担。因承包人防护不力而发生事故，相关责任和费用由承包人承担。承包人施工完毕后，对所破坏的公共设施、劳动成果及道路应修复原貌，若承包人无能力或未在规定的时间内修复，由发包人代为修复，费用由承包人承担，由工程款中相应核减。6) 承包人须在现场踏勘的基础上充分考虑场内临时道路的施工维护，并在合同总价中包含。7) 档案管理要求：</w:t>
      </w:r>
    </w:p>
    <w:p w14:paraId="7FD36900">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①承包人应设置负责施工档案管理的负责人。</w:t>
      </w:r>
    </w:p>
    <w:p w14:paraId="2521E565">
      <w:pPr>
        <w:pStyle w:val="60"/>
        <w:spacing w:line="360" w:lineRule="exact"/>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u w:val="single"/>
        </w:rPr>
        <w:t>②承包人应确保本单位施工档案的形</w:t>
      </w:r>
      <w:r>
        <w:rPr>
          <w:rFonts w:hint="eastAsia" w:ascii="宋体" w:hAnsi="宋体" w:cs="宋体"/>
          <w:color w:val="auto"/>
          <w:kern w:val="0"/>
          <w:sz w:val="22"/>
          <w:szCs w:val="22"/>
          <w:highlight w:val="none"/>
          <w:u w:val="single"/>
        </w:rPr>
        <w:t>成与施工进度同步，发包人在支付进度款时</w:t>
      </w:r>
      <w:r>
        <w:rPr>
          <w:rFonts w:hint="eastAsia" w:ascii="宋体" w:hAnsi="宋体" w:cs="宋体"/>
          <w:color w:val="auto"/>
          <w:kern w:val="0"/>
          <w:sz w:val="22"/>
          <w:szCs w:val="22"/>
          <w:highlight w:val="none"/>
          <w:u w:val="single"/>
          <w:lang w:val="en-US" w:eastAsia="zh-CN"/>
        </w:rPr>
        <w:t>同时提供施工档案（电子扫描版）</w:t>
      </w:r>
      <w:r>
        <w:rPr>
          <w:rFonts w:hint="eastAsia" w:ascii="宋体" w:hAnsi="宋体" w:cs="宋体"/>
          <w:color w:val="auto"/>
          <w:kern w:val="0"/>
          <w:sz w:val="22"/>
          <w:szCs w:val="22"/>
          <w:highlight w:val="none"/>
          <w:u w:val="single"/>
        </w:rPr>
        <w:t>，如发现档案形成未与施工进度同步，可延迟支付相应进度款，直至同步为止。</w:t>
      </w:r>
    </w:p>
    <w:p w14:paraId="70BD363E">
      <w:pPr>
        <w:pStyle w:val="60"/>
        <w:spacing w:line="360" w:lineRule="exact"/>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③承包人应在发包人组织的竣工验收后30日内，将本单位施工过程中形成的所有施工档案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含电子扫描版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，经监理单位审核确认后，移交给发包人，否则发包人拒绝向其颁发工程接收证书。</w:t>
      </w:r>
    </w:p>
    <w:p w14:paraId="39C1ECEA">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highlight w:val="none"/>
          <w:u w:val="single"/>
        </w:rPr>
        <w:t>④承包人在发包人组织的工程竣工投产验收（初验）前，将经监理单位审核确认的施工档案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含电子扫描版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移交给发包人，是发包人完全支付除质量保证金外剩余款项</w:t>
      </w:r>
      <w:r>
        <w:rPr>
          <w:rFonts w:hint="eastAsia" w:ascii="宋体" w:hAnsi="宋体" w:cs="宋体"/>
          <w:color w:val="auto"/>
          <w:kern w:val="0"/>
          <w:sz w:val="22"/>
          <w:szCs w:val="22"/>
          <w:u w:val="single"/>
        </w:rPr>
        <w:t>的必要条件之一，否则，发包人有权扣除一定比例款项。</w:t>
      </w:r>
    </w:p>
    <w:p w14:paraId="35CDA97A">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 xml:space="preserve">⑤移交给发包人的施工档案应符合以下要求： </w:t>
      </w:r>
    </w:p>
    <w:p w14:paraId="1923C9B1">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移交范围：承包人在合同约定的工程施工过程中形成的所有档案，包括但不限于发包人《科技文件归档范围与整理细则》附件3所列相应的清单及所有资料的电子版；</w:t>
      </w:r>
    </w:p>
    <w:p w14:paraId="13C62331">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移交档案质量要求：移交的档案应是原件而非复印件，每份档案齐全、无漏页与破损等情况，签字与盖章手续完备，档案清晰，档案载体能长久保存。</w:t>
      </w:r>
    </w:p>
    <w:p w14:paraId="6CB18CF0">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21A117F1">
      <w:pPr>
        <w:pStyle w:val="6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u w:val="single"/>
        </w:rPr>
        <w:t>工资支付表应如实记录支付单位、支付时</w:t>
      </w:r>
      <w:r>
        <w:rPr>
          <w:rFonts w:hint="eastAsia" w:ascii="宋体" w:hAnsi="宋体" w:cs="宋体"/>
          <w:color w:val="auto"/>
          <w:sz w:val="22"/>
          <w:szCs w:val="22"/>
          <w:highlight w:val="none"/>
          <w:u w:val="single"/>
        </w:rPr>
        <w:t>间、支付对象、支付数额、支付对象的身份证号</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工种、联系电话</w:t>
      </w:r>
      <w:r>
        <w:rPr>
          <w:rFonts w:hint="eastAsia" w:ascii="宋体" w:hAnsi="宋体" w:cs="宋体"/>
          <w:color w:val="auto"/>
          <w:sz w:val="22"/>
          <w:szCs w:val="22"/>
          <w:highlight w:val="none"/>
          <w:u w:val="single"/>
        </w:rPr>
        <w:t>和签字等信息。民工花名册和工资支付表应报监理人</w:t>
      </w:r>
      <w:r>
        <w:rPr>
          <w:rFonts w:hint="eastAsia" w:ascii="宋体" w:hAnsi="宋体" w:cs="宋体"/>
          <w:color w:val="auto"/>
          <w:sz w:val="22"/>
          <w:szCs w:val="22"/>
          <w:highlight w:val="none"/>
          <w:u w:val="single"/>
          <w:lang w:val="en-US" w:eastAsia="zh-CN"/>
        </w:rPr>
        <w:t>签字、</w:t>
      </w:r>
      <w:r>
        <w:rPr>
          <w:rFonts w:hint="eastAsia" w:ascii="宋体" w:hAnsi="宋体" w:cs="宋体"/>
          <w:color w:val="auto"/>
          <w:sz w:val="22"/>
          <w:szCs w:val="22"/>
          <w:highlight w:val="none"/>
          <w:u w:val="single"/>
        </w:rPr>
        <w:t>备查</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在申请工程款时同时提交一份给发包方</w:t>
      </w:r>
      <w:r>
        <w:rPr>
          <w:rFonts w:hint="eastAsia" w:ascii="宋体" w:hAnsi="宋体" w:cs="宋体"/>
          <w:color w:val="auto"/>
          <w:sz w:val="22"/>
          <w:szCs w:val="22"/>
          <w:highlight w:val="none"/>
          <w:u w:val="single"/>
        </w:rPr>
        <w:t>。</w:t>
      </w:r>
    </w:p>
    <w:p w14:paraId="3B8506D2">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承包人需根据国家相关法律法规要求提供正式的二次设计施工图及相关计算书，包括但不限于：设计说明、立面图、平面图、大样图、节点图及计算书等。此项费用已包含在合同总价中，承包人不得再要求发包人承担。</w:t>
      </w:r>
    </w:p>
    <w:p w14:paraId="67B76CBF">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财政局和审计局在处理本项目的造价文件时，可能由于核减率超过相应范围，尽管造成超出部分评审费名义上理应由发包人承担，但由于此部分费用是承包人主张追加合同价款造成的，因此此部分费用双方约定由承包人承担。</w:t>
      </w:r>
    </w:p>
    <w:p w14:paraId="0A7739A1">
      <w:pPr>
        <w:pStyle w:val="60"/>
        <w:spacing w:line="360" w:lineRule="exact"/>
        <w:ind w:firstLine="440" w:firstLineChars="200"/>
        <w:rPr>
          <w:rFonts w:hint="eastAsia" w:ascii="宋体" w:hAnsi="宋体" w:cs="宋体"/>
          <w:color w:val="auto"/>
          <w:kern w:val="0"/>
          <w:sz w:val="22"/>
        </w:rPr>
      </w:pPr>
      <w:r>
        <w:rPr>
          <w:rFonts w:hint="eastAsia" w:ascii="宋体" w:hAnsi="宋体" w:cs="宋体"/>
          <w:color w:val="auto"/>
          <w:sz w:val="22"/>
          <w:szCs w:val="22"/>
          <w:u w:val="single"/>
        </w:rPr>
        <w:t>发包人不提供取土和弃土场，承包人自行解决，并且需符合相关规定要求。</w:t>
      </w:r>
    </w:p>
    <w:p w14:paraId="27313025">
      <w:pPr>
        <w:pStyle w:val="39"/>
        <w:spacing w:line="360" w:lineRule="exact"/>
        <w:ind w:firstLine="442" w:firstLineChars="200"/>
        <w:rPr>
          <w:rFonts w:hint="eastAsia" w:ascii="宋体" w:hAnsi="宋体" w:cs="宋体"/>
          <w:color w:val="auto"/>
          <w:sz w:val="22"/>
          <w:szCs w:val="22"/>
        </w:rPr>
      </w:pPr>
      <w:bookmarkStart w:id="258" w:name="_Toc12975898"/>
      <w:bookmarkStart w:id="259" w:name="_Toc373478355"/>
      <w:bookmarkStart w:id="260" w:name="_Toc373227708"/>
      <w:bookmarkStart w:id="261" w:name="_Toc533432733"/>
      <w:bookmarkStart w:id="262" w:name="_Toc389065274"/>
      <w:bookmarkStart w:id="263" w:name="_Toc395382510"/>
      <w:r>
        <w:rPr>
          <w:rFonts w:hint="eastAsia" w:ascii="宋体" w:hAnsi="宋体" w:cs="宋体"/>
          <w:color w:val="auto"/>
          <w:sz w:val="22"/>
          <w:szCs w:val="22"/>
        </w:rPr>
        <w:t>3.2 项目经理</w:t>
      </w:r>
      <w:bookmarkEnd w:id="258"/>
      <w:bookmarkEnd w:id="259"/>
      <w:bookmarkEnd w:id="260"/>
      <w:bookmarkEnd w:id="261"/>
      <w:bookmarkEnd w:id="262"/>
      <w:bookmarkEnd w:id="263"/>
    </w:p>
    <w:p w14:paraId="5E8BF720">
      <w:pPr>
        <w:pStyle w:val="40"/>
        <w:spacing w:line="360" w:lineRule="exact"/>
        <w:ind w:firstLine="440" w:firstLineChars="200"/>
        <w:rPr>
          <w:rFonts w:hint="eastAsia" w:ascii="宋体" w:hAnsi="宋体" w:cs="宋体"/>
          <w:color w:val="auto"/>
          <w:sz w:val="22"/>
        </w:rPr>
      </w:pPr>
      <w:r>
        <w:rPr>
          <w:rFonts w:hint="eastAsia" w:ascii="宋体" w:hAnsi="宋体" w:cs="宋体"/>
          <w:color w:val="auto"/>
          <w:kern w:val="0"/>
          <w:sz w:val="22"/>
        </w:rPr>
        <w:t xml:space="preserve">3.2.1 </w:t>
      </w:r>
      <w:r>
        <w:rPr>
          <w:rFonts w:hint="eastAsia" w:ascii="宋体" w:hAnsi="宋体" w:cs="宋体"/>
          <w:color w:val="auto"/>
          <w:sz w:val="22"/>
        </w:rPr>
        <w:t>项目经理：</w:t>
      </w:r>
    </w:p>
    <w:p w14:paraId="11F3AC0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姓    名：</w:t>
      </w:r>
      <w:r>
        <w:rPr>
          <w:rFonts w:hint="eastAsia" w:ascii="宋体" w:hAnsi="宋体" w:cs="宋体"/>
          <w:color w:val="auto"/>
          <w:sz w:val="22"/>
          <w:u w:val="single"/>
        </w:rPr>
        <w:t>         </w:t>
      </w:r>
      <w:r>
        <w:rPr>
          <w:rFonts w:hint="eastAsia" w:ascii="宋体" w:hAnsi="宋体" w:cs="宋体"/>
          <w:color w:val="auto"/>
          <w:sz w:val="22"/>
        </w:rPr>
        <w:t>；</w:t>
      </w:r>
    </w:p>
    <w:p w14:paraId="2D12F86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身份证号：</w:t>
      </w:r>
      <w:r>
        <w:rPr>
          <w:rFonts w:hint="eastAsia" w:ascii="宋体" w:hAnsi="宋体" w:cs="宋体"/>
          <w:color w:val="auto"/>
          <w:sz w:val="22"/>
          <w:u w:val="single"/>
        </w:rPr>
        <w:t>         </w:t>
      </w:r>
      <w:r>
        <w:rPr>
          <w:rFonts w:hint="eastAsia" w:ascii="宋体" w:hAnsi="宋体" w:cs="宋体"/>
          <w:color w:val="auto"/>
          <w:sz w:val="22"/>
        </w:rPr>
        <w:t>；</w:t>
      </w:r>
    </w:p>
    <w:p w14:paraId="5DA9F70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建造师执业资格等级：</w:t>
      </w:r>
      <w:r>
        <w:rPr>
          <w:rFonts w:hint="eastAsia" w:ascii="宋体" w:hAnsi="宋体" w:cs="宋体"/>
          <w:color w:val="auto"/>
          <w:sz w:val="22"/>
          <w:u w:val="single"/>
        </w:rPr>
        <w:t>   </w:t>
      </w:r>
      <w:r>
        <w:rPr>
          <w:rFonts w:hint="eastAsia" w:ascii="宋体" w:hAnsi="宋体" w:cs="宋体"/>
          <w:color w:val="auto"/>
          <w:sz w:val="22"/>
        </w:rPr>
        <w:t>；</w:t>
      </w:r>
    </w:p>
    <w:p w14:paraId="539809E8">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建造师注册证书号：</w:t>
      </w:r>
      <w:r>
        <w:rPr>
          <w:rFonts w:hint="eastAsia" w:ascii="宋体" w:hAnsi="宋体" w:cs="宋体"/>
          <w:color w:val="auto"/>
          <w:sz w:val="22"/>
          <w:u w:val="single"/>
        </w:rPr>
        <w:t> </w:t>
      </w:r>
      <w:r>
        <w:rPr>
          <w:rFonts w:hint="eastAsia" w:ascii="宋体" w:hAnsi="宋体" w:cs="宋体"/>
          <w:color w:val="auto"/>
          <w:sz w:val="22"/>
        </w:rPr>
        <w:t>；</w:t>
      </w:r>
    </w:p>
    <w:p w14:paraId="6753681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建造师执业印章号：</w:t>
      </w:r>
      <w:r>
        <w:rPr>
          <w:rFonts w:hint="eastAsia" w:ascii="宋体" w:hAnsi="宋体" w:cs="宋体"/>
          <w:color w:val="auto"/>
          <w:sz w:val="22"/>
          <w:u w:val="single"/>
        </w:rPr>
        <w:t> </w:t>
      </w:r>
      <w:r>
        <w:rPr>
          <w:rFonts w:hint="eastAsia" w:ascii="宋体" w:hAnsi="宋体" w:cs="宋体"/>
          <w:color w:val="auto"/>
          <w:sz w:val="22"/>
        </w:rPr>
        <w:t>；</w:t>
      </w:r>
    </w:p>
    <w:p w14:paraId="2CC4D2C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安全生产考核合格证书号：</w:t>
      </w:r>
      <w:r>
        <w:rPr>
          <w:rFonts w:hint="eastAsia" w:ascii="宋体" w:hAnsi="宋体" w:cs="宋体"/>
          <w:color w:val="auto"/>
          <w:sz w:val="22"/>
          <w:u w:val="single"/>
        </w:rPr>
        <w:t> </w:t>
      </w:r>
      <w:r>
        <w:rPr>
          <w:rFonts w:hint="eastAsia" w:ascii="宋体" w:hAnsi="宋体" w:cs="宋体"/>
          <w:color w:val="auto"/>
          <w:sz w:val="22"/>
        </w:rPr>
        <w:t>；</w:t>
      </w:r>
    </w:p>
    <w:p w14:paraId="7CF4F69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广西建筑市场诚信卡卡号：</w:t>
      </w:r>
      <w:r>
        <w:rPr>
          <w:rFonts w:hint="eastAsia" w:ascii="宋体" w:hAnsi="宋体" w:cs="宋体"/>
          <w:color w:val="auto"/>
          <w:sz w:val="22"/>
          <w:u w:val="single"/>
        </w:rPr>
        <w:t xml:space="preserve">                       </w:t>
      </w:r>
      <w:r>
        <w:rPr>
          <w:rFonts w:hint="eastAsia" w:ascii="宋体" w:hAnsi="宋体" w:cs="宋体"/>
          <w:color w:val="auto"/>
          <w:sz w:val="22"/>
        </w:rPr>
        <w:t>；</w:t>
      </w:r>
    </w:p>
    <w:p w14:paraId="196B0048">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 </w:t>
      </w:r>
      <w:r>
        <w:rPr>
          <w:rFonts w:hint="eastAsia" w:ascii="宋体" w:hAnsi="宋体" w:cs="宋体"/>
          <w:color w:val="auto"/>
          <w:sz w:val="22"/>
        </w:rPr>
        <w:t>；</w:t>
      </w:r>
    </w:p>
    <w:p w14:paraId="307A492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 </w:t>
      </w:r>
      <w:r>
        <w:rPr>
          <w:rFonts w:hint="eastAsia" w:ascii="宋体" w:hAnsi="宋体" w:cs="宋体"/>
          <w:color w:val="auto"/>
          <w:sz w:val="22"/>
        </w:rPr>
        <w:t>；</w:t>
      </w:r>
    </w:p>
    <w:p w14:paraId="440A3E9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09620B2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 xml:space="preserve">承包人对项目经理的授权范围如下：  </w:t>
      </w:r>
      <w:r>
        <w:rPr>
          <w:rFonts w:hint="eastAsia" w:ascii="宋体" w:hAnsi="宋体" w:cs="宋体"/>
          <w:color w:val="auto"/>
          <w:sz w:val="22"/>
          <w:u w:val="single"/>
        </w:rPr>
        <w:t>代表承包人全面履行合同，但仅限于工程的现场施工管理，但未经过承包</w:t>
      </w:r>
      <w:r>
        <w:rPr>
          <w:rFonts w:hint="eastAsia" w:ascii="宋体" w:hAnsi="宋体" w:cs="宋体"/>
          <w:color w:val="auto"/>
          <w:sz w:val="22"/>
          <w:highlight w:val="none"/>
          <w:u w:val="single"/>
        </w:rPr>
        <w:t>人签</w:t>
      </w:r>
      <w:r>
        <w:rPr>
          <w:rFonts w:hint="eastAsia" w:ascii="宋体" w:hAnsi="宋体" w:cs="宋体"/>
          <w:color w:val="auto"/>
          <w:sz w:val="22"/>
          <w:highlight w:val="none"/>
          <w:u w:val="single"/>
          <w:lang w:val="en-US" w:eastAsia="zh-CN"/>
        </w:rPr>
        <w:t>字</w:t>
      </w:r>
      <w:r>
        <w:rPr>
          <w:rFonts w:hint="eastAsia" w:ascii="宋体" w:hAnsi="宋体" w:cs="宋体"/>
          <w:color w:val="auto"/>
          <w:sz w:val="22"/>
          <w:highlight w:val="none"/>
          <w:u w:val="single"/>
        </w:rPr>
        <w:t>、盖章同意，不得以承包人名义向外采购材料设备、租用建筑周转材料、雇佣劳动力、签订分包合同等从事一切为</w:t>
      </w:r>
      <w:r>
        <w:rPr>
          <w:rFonts w:hint="eastAsia" w:ascii="宋体" w:hAnsi="宋体" w:cs="宋体"/>
          <w:color w:val="auto"/>
          <w:sz w:val="22"/>
          <w:u w:val="single"/>
        </w:rPr>
        <w:t>承包人设立义务或责任的行为</w:t>
      </w:r>
      <w:r>
        <w:rPr>
          <w:rFonts w:hint="eastAsia" w:ascii="宋体" w:hAnsi="宋体" w:cs="宋体"/>
          <w:color w:val="auto"/>
          <w:sz w:val="22"/>
        </w:rPr>
        <w:t>。</w:t>
      </w:r>
    </w:p>
    <w:p w14:paraId="64F8143D">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关于项目经理每月在施工现场的时间要求：</w:t>
      </w:r>
      <w:r>
        <w:rPr>
          <w:rFonts w:hint="eastAsia" w:ascii="宋体" w:hAnsi="宋体" w:cs="宋体"/>
          <w:color w:val="auto"/>
          <w:sz w:val="22"/>
          <w:u w:val="single"/>
        </w:rPr>
        <w:t>21天以上，如磋商文件承诺时间超过21天的，按磋商文件执行</w:t>
      </w:r>
      <w:r>
        <w:rPr>
          <w:rFonts w:hint="eastAsia" w:ascii="宋体" w:hAnsi="宋体" w:cs="宋体"/>
          <w:color w:val="auto"/>
          <w:sz w:val="22"/>
        </w:rPr>
        <w:t>。</w:t>
      </w:r>
    </w:p>
    <w:p w14:paraId="40FE7EE9">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kern w:val="0"/>
          <w:sz w:val="22"/>
        </w:rPr>
        <w:t>承包人未提交劳动合同，以及没有为项目经理缴纳社会保险证明的违约责任：</w:t>
      </w:r>
      <w:r>
        <w:rPr>
          <w:rFonts w:hint="eastAsia" w:ascii="宋体" w:hAnsi="宋体" w:cs="宋体"/>
          <w:color w:val="auto"/>
          <w:sz w:val="22"/>
          <w:u w:val="single"/>
        </w:rPr>
        <w:t>处以3万元罚款，责令限期提交劳动合同并补缴社会保险</w:t>
      </w:r>
      <w:r>
        <w:rPr>
          <w:rFonts w:hint="eastAsia" w:ascii="宋体" w:hAnsi="宋体" w:cs="宋体"/>
          <w:color w:val="auto"/>
          <w:sz w:val="22"/>
        </w:rPr>
        <w:t>。</w:t>
      </w:r>
    </w:p>
    <w:p w14:paraId="4B484951">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kern w:val="0"/>
          <w:sz w:val="22"/>
        </w:rPr>
        <w:t>项目经理未经批准，擅自离开施工现场的违约责任：</w:t>
      </w:r>
      <w:r>
        <w:rPr>
          <w:rFonts w:hint="eastAsia" w:ascii="宋体" w:hAnsi="宋体" w:cs="宋体"/>
          <w:color w:val="auto"/>
          <w:sz w:val="22"/>
          <w:u w:val="single"/>
        </w:rPr>
        <w:t>未经发包人同意或正当理由，项目经理每月在岗带班时间少于每月在施工现场的时间要求的，少在岗带班一天，发包人有权处违约金5000元/日（人民币）</w:t>
      </w:r>
      <w:r>
        <w:rPr>
          <w:rFonts w:hint="eastAsia" w:ascii="宋体" w:hAnsi="宋体" w:cs="宋体"/>
          <w:color w:val="auto"/>
          <w:sz w:val="22"/>
        </w:rPr>
        <w:t>。</w:t>
      </w:r>
    </w:p>
    <w:p w14:paraId="31FD726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3.2.3 承包人擅自更换项目经理的违约责任：</w:t>
      </w:r>
      <w:r>
        <w:rPr>
          <w:rFonts w:hint="eastAsia" w:ascii="宋体" w:hAnsi="宋体" w:cs="宋体"/>
          <w:color w:val="auto"/>
          <w:sz w:val="22"/>
          <w:u w:val="single"/>
        </w:rPr>
        <w:t>承包人项目经理必须与承包人磋商时所承诺的人员一致，并在 本工程开工前到任。在监理人向承包人颁发经发包人签认的竣工验收证书前，项目经理不得同时兼任其他任何项目的项目经理</w:t>
      </w:r>
      <w:r>
        <w:rPr>
          <w:rFonts w:hint="eastAsia" w:ascii="宋体" w:hAnsi="宋体" w:cs="宋体"/>
          <w:color w:val="auto"/>
          <w:kern w:val="0"/>
          <w:sz w:val="22"/>
          <w:u w:val="single"/>
        </w:rPr>
        <w:t>（符合桂建管</w:t>
      </w:r>
      <w:r>
        <w:rPr>
          <w:rFonts w:hint="eastAsia" w:ascii="宋体" w:hAnsi="宋体" w:cs="宋体"/>
          <w:color w:val="auto"/>
          <w:sz w:val="22"/>
          <w:u w:val="single"/>
        </w:rPr>
        <w:t>﹝2013﹞</w:t>
      </w:r>
      <w:r>
        <w:rPr>
          <w:rFonts w:hint="eastAsia" w:ascii="宋体" w:hAnsi="宋体" w:cs="宋体"/>
          <w:color w:val="auto"/>
          <w:kern w:val="0"/>
          <w:sz w:val="22"/>
          <w:u w:val="single"/>
        </w:rPr>
        <w:t>17号和</w:t>
      </w:r>
      <w:r>
        <w:rPr>
          <w:rFonts w:hint="eastAsia" w:ascii="宋体" w:hAnsi="宋体" w:cs="宋体"/>
          <w:color w:val="auto"/>
          <w:sz w:val="22"/>
          <w:u w:val="single"/>
        </w:rPr>
        <w:t>桂建管﹝2014﹞25号</w:t>
      </w:r>
      <w:r>
        <w:rPr>
          <w:rFonts w:hint="eastAsia" w:ascii="宋体" w:hAnsi="宋体" w:cs="宋体"/>
          <w:color w:val="auto"/>
          <w:kern w:val="0"/>
          <w:sz w:val="22"/>
          <w:u w:val="single"/>
        </w:rPr>
        <w:t>文除外）</w:t>
      </w:r>
      <w:r>
        <w:rPr>
          <w:rFonts w:hint="eastAsia" w:ascii="宋体" w:hAnsi="宋体" w:cs="宋体"/>
          <w:color w:val="auto"/>
          <w:sz w:val="22"/>
          <w:u w:val="single"/>
        </w:rPr>
        <w:t>。未经发包人书面同意，承包人擅自更换项目经理的视为违约，违约金处20000元/人•次（人民币）</w:t>
      </w:r>
      <w:r>
        <w:rPr>
          <w:rFonts w:hint="eastAsia" w:ascii="宋体" w:hAnsi="宋体" w:cs="宋体"/>
          <w:color w:val="auto"/>
          <w:sz w:val="22"/>
        </w:rPr>
        <w:t>。</w:t>
      </w:r>
    </w:p>
    <w:p w14:paraId="569F810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3.2.4 承包人无正当理由拒绝更换项目经理的违约责任：</w:t>
      </w:r>
      <w:r>
        <w:rPr>
          <w:rFonts w:hint="eastAsia" w:ascii="宋体" w:hAnsi="宋体" w:cs="宋体"/>
          <w:color w:val="auto"/>
          <w:sz w:val="22"/>
          <w:u w:val="single"/>
        </w:rPr>
        <w:t>因承包人项目经理不称职（项目管理机构人员不称职的定义包括但不限于：本项目出现偷工减料现象的、出现人员死亡事故的、重复出现相同质量事故或出现问题不积极整改的、被相关部门要求停工整改的、进度</w:t>
      </w:r>
      <w:r>
        <w:rPr>
          <w:rFonts w:hint="eastAsia" w:ascii="宋体" w:hAnsi="宋体" w:cs="宋体"/>
          <w:color w:val="auto"/>
          <w:sz w:val="22"/>
          <w:highlight w:val="none"/>
          <w:u w:val="single"/>
        </w:rPr>
        <w:t>比原计划滞后</w:t>
      </w:r>
      <w:r>
        <w:rPr>
          <w:rFonts w:hint="eastAsia" w:ascii="宋体" w:hAnsi="宋体" w:cs="宋体"/>
          <w:color w:val="auto"/>
          <w:sz w:val="22"/>
          <w:highlight w:val="none"/>
          <w:u w:val="single"/>
          <w:lang w:val="en-US" w:eastAsia="zh-CN"/>
        </w:rPr>
        <w:t>3</w:t>
      </w:r>
      <w:r>
        <w:rPr>
          <w:rFonts w:hint="eastAsia" w:ascii="宋体" w:hAnsi="宋体" w:cs="宋体"/>
          <w:color w:val="auto"/>
          <w:sz w:val="22"/>
          <w:highlight w:val="none"/>
          <w:u w:val="single"/>
        </w:rPr>
        <w:t>0天以上的、拒绝执行监理人或发包人指令的、违反合同约定及相关规定擅自离开施工现场累计超过</w:t>
      </w:r>
      <w:r>
        <w:rPr>
          <w:rFonts w:hint="eastAsia" w:ascii="宋体" w:hAnsi="宋体" w:cs="宋体"/>
          <w:color w:val="auto"/>
          <w:sz w:val="22"/>
          <w:highlight w:val="none"/>
          <w:u w:val="single"/>
          <w:lang w:val="en-US" w:eastAsia="zh-CN"/>
        </w:rPr>
        <w:t>3</w:t>
      </w:r>
      <w:r>
        <w:rPr>
          <w:rFonts w:hint="eastAsia" w:ascii="宋体" w:hAnsi="宋体" w:cs="宋体"/>
          <w:color w:val="auto"/>
          <w:sz w:val="22"/>
          <w:highlight w:val="none"/>
          <w:u w:val="single"/>
        </w:rPr>
        <w:t>0天的、现场安全文明施工未达到规定要求的、出现打架斗殴的、违反相关法律法规的其他情形），发包人要求调换而未及时调换的，视为承包人违约，必须</w:t>
      </w:r>
      <w:r>
        <w:rPr>
          <w:rFonts w:hint="eastAsia" w:ascii="宋体" w:hAnsi="宋体" w:cs="宋体"/>
          <w:color w:val="auto"/>
          <w:sz w:val="22"/>
          <w:u w:val="single"/>
        </w:rPr>
        <w:t>向发包人交纳处罚金20000元/人•次（人民币）</w:t>
      </w:r>
      <w:r>
        <w:rPr>
          <w:rFonts w:hint="eastAsia" w:ascii="宋体" w:hAnsi="宋体" w:cs="宋体"/>
          <w:color w:val="auto"/>
          <w:sz w:val="22"/>
        </w:rPr>
        <w:t>。</w:t>
      </w:r>
    </w:p>
    <w:p w14:paraId="5DDF4CA6">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3.2.5 项目管理机构的主要人员（含项目经理、项目总工、质量员、安全员）必须是磋商文件中确认的人员，施工之后不能更换，确需更换人员的，须向发包人提出申请，并提供相关证明材料，经发包人同意后方可换人。尽管合同有其他约定，但新换项目经理及其余人员获得执业证书的时间、等级、学历、工作业绩等全部优于原项目经理。</w:t>
      </w:r>
    </w:p>
    <w:p w14:paraId="67B505D4">
      <w:pPr>
        <w:pStyle w:val="39"/>
        <w:spacing w:line="360" w:lineRule="exact"/>
        <w:ind w:firstLine="442" w:firstLineChars="200"/>
        <w:rPr>
          <w:rFonts w:hint="eastAsia" w:ascii="宋体" w:hAnsi="宋体" w:cs="宋体"/>
          <w:color w:val="auto"/>
          <w:sz w:val="22"/>
          <w:szCs w:val="22"/>
        </w:rPr>
      </w:pPr>
      <w:bookmarkStart w:id="264" w:name="_Toc373227709"/>
      <w:bookmarkStart w:id="265" w:name="_Toc373478356"/>
      <w:bookmarkStart w:id="266" w:name="_Toc12975899"/>
      <w:bookmarkStart w:id="267" w:name="_Toc395382511"/>
      <w:bookmarkStart w:id="268" w:name="_Toc389065275"/>
      <w:bookmarkStart w:id="269" w:name="_Toc533432734"/>
      <w:r>
        <w:rPr>
          <w:rFonts w:hint="eastAsia" w:ascii="宋体" w:hAnsi="宋体" w:cs="宋体"/>
          <w:color w:val="auto"/>
          <w:sz w:val="22"/>
          <w:szCs w:val="22"/>
        </w:rPr>
        <w:t>3.3 承包人人员</w:t>
      </w:r>
      <w:bookmarkEnd w:id="264"/>
      <w:bookmarkEnd w:id="265"/>
      <w:bookmarkEnd w:id="266"/>
      <w:bookmarkEnd w:id="267"/>
      <w:bookmarkEnd w:id="268"/>
      <w:bookmarkEnd w:id="269"/>
    </w:p>
    <w:p w14:paraId="0C2E13D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3.3.1 承包人提交项目管理机构及施工现场管理人员安排报告（格式见合同附件</w:t>
      </w:r>
      <w:r>
        <w:rPr>
          <w:rFonts w:hint="eastAsia" w:ascii="宋体" w:hAnsi="宋体" w:cs="宋体"/>
          <w:color w:val="auto"/>
          <w:sz w:val="22"/>
          <w:lang w:val="en-US" w:eastAsia="zh-CN"/>
        </w:rPr>
        <w:t>5</w:t>
      </w:r>
      <w:r>
        <w:rPr>
          <w:rFonts w:hint="eastAsia" w:ascii="宋体" w:hAnsi="宋体" w:cs="宋体"/>
          <w:color w:val="auto"/>
          <w:sz w:val="22"/>
        </w:rPr>
        <w:t>）的期限：</w:t>
      </w:r>
    </w:p>
    <w:p w14:paraId="6A82107C">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u w:val="single"/>
        </w:rPr>
        <w:t>开工时间前7</w:t>
      </w:r>
      <w:r>
        <w:rPr>
          <w:rFonts w:hint="eastAsia" w:ascii="宋体" w:hAnsi="宋体" w:cs="宋体"/>
          <w:color w:val="auto"/>
          <w:sz w:val="22"/>
          <w:u w:val="single"/>
          <w:lang w:eastAsia="zh-CN"/>
        </w:rPr>
        <w:t>天</w:t>
      </w:r>
      <w:r>
        <w:rPr>
          <w:rFonts w:hint="eastAsia" w:ascii="宋体" w:hAnsi="宋体" w:cs="宋体"/>
          <w:color w:val="auto"/>
          <w:sz w:val="22"/>
          <w:u w:val="single"/>
        </w:rPr>
        <w:t>。项目管理机构的主要人员必须是磋商文件中确认的人员，施工之后不能更换，确需更换人员的，更换后的人员相关资质及业绩、职称等要求不得低于磋商文件最低要求，且须向发包人提出申请，并提供相关证明</w:t>
      </w:r>
      <w:r>
        <w:rPr>
          <w:rFonts w:hint="eastAsia" w:ascii="宋体" w:hAnsi="宋体" w:cs="宋体"/>
          <w:color w:val="auto"/>
          <w:sz w:val="22"/>
          <w:highlight w:val="none"/>
          <w:u w:val="single"/>
        </w:rPr>
        <w:t>材料，经发包人</w:t>
      </w:r>
      <w:r>
        <w:rPr>
          <w:rFonts w:hint="eastAsia" w:ascii="宋体" w:hAnsi="宋体" w:cs="宋体"/>
          <w:color w:val="auto"/>
          <w:sz w:val="22"/>
          <w:highlight w:val="none"/>
          <w:u w:val="single"/>
          <w:lang w:val="en-US" w:eastAsia="zh-CN"/>
        </w:rPr>
        <w:t>签字</w:t>
      </w:r>
      <w:r>
        <w:rPr>
          <w:rFonts w:hint="eastAsia" w:ascii="宋体" w:hAnsi="宋体" w:cs="宋体"/>
          <w:color w:val="auto"/>
          <w:sz w:val="22"/>
          <w:highlight w:val="none"/>
          <w:u w:val="single"/>
        </w:rPr>
        <w:t>同意后</w:t>
      </w:r>
      <w:r>
        <w:rPr>
          <w:rFonts w:hint="eastAsia" w:ascii="宋体" w:hAnsi="宋体" w:cs="宋体"/>
          <w:color w:val="auto"/>
          <w:sz w:val="22"/>
          <w:u w:val="single"/>
        </w:rPr>
        <w:t>方可换人。</w:t>
      </w:r>
    </w:p>
    <w:p w14:paraId="00623332">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u w:val="single"/>
        </w:rPr>
        <w:t>关于项目管理机构及施工现场管理人员每月在施工现场的时间要求：21天以上，如磋商文件承诺时间超过21天的，按磋商文件执行</w:t>
      </w:r>
      <w:r>
        <w:rPr>
          <w:rFonts w:hint="eastAsia" w:ascii="宋体" w:hAnsi="宋体" w:cs="宋体"/>
          <w:color w:val="auto"/>
          <w:sz w:val="22"/>
        </w:rPr>
        <w:t>。</w:t>
      </w:r>
    </w:p>
    <w:p w14:paraId="1872E59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3.3.3 承包人无正当理由拒绝撤换主要施工管理人员的违约责任：</w:t>
      </w:r>
      <w:r>
        <w:rPr>
          <w:rFonts w:hint="eastAsia" w:ascii="宋体" w:hAnsi="宋体" w:cs="宋体"/>
          <w:color w:val="auto"/>
          <w:sz w:val="22"/>
          <w:u w:val="single"/>
        </w:rPr>
        <w:t>因承包人主要施工管理人员不称职，发包人要求调换而无正当理由拒绝撤换或未及时调换的，视为承包人违约，必须向发包人交纳处罚金，处罚标准：技术负责人20000元/人•次（人民币）；专业工程师10000元/人•次（人民币）</w:t>
      </w:r>
      <w:r>
        <w:rPr>
          <w:rFonts w:hint="eastAsia" w:ascii="宋体" w:hAnsi="宋体" w:cs="宋体"/>
          <w:color w:val="auto"/>
          <w:sz w:val="22"/>
        </w:rPr>
        <w:t>。</w:t>
      </w:r>
    </w:p>
    <w:p w14:paraId="0247E6E9">
      <w:pPr>
        <w:pStyle w:val="40"/>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rPr>
        <w:t>3.3.4 承包人主要施工管理人员离开施工现场的批准要求：</w:t>
      </w:r>
      <w:r>
        <w:rPr>
          <w:rFonts w:hint="eastAsia" w:ascii="宋体" w:hAnsi="宋体" w:cs="宋体"/>
          <w:color w:val="auto"/>
          <w:sz w:val="22"/>
          <w:u w:val="single"/>
        </w:rPr>
        <w:t>由总监理</w:t>
      </w:r>
      <w:r>
        <w:rPr>
          <w:rFonts w:hint="eastAsia" w:ascii="宋体" w:hAnsi="宋体" w:cs="宋体"/>
          <w:color w:val="auto"/>
          <w:sz w:val="22"/>
          <w:highlight w:val="none"/>
          <w:u w:val="single"/>
        </w:rPr>
        <w:t>工程师</w:t>
      </w:r>
      <w:r>
        <w:rPr>
          <w:rFonts w:hint="eastAsia" w:ascii="宋体" w:hAnsi="宋体" w:cs="宋体"/>
          <w:color w:val="auto"/>
          <w:sz w:val="22"/>
          <w:highlight w:val="none"/>
          <w:u w:val="single"/>
          <w:lang w:val="en-US" w:eastAsia="zh-CN"/>
        </w:rPr>
        <w:t>签字</w:t>
      </w:r>
      <w:r>
        <w:rPr>
          <w:rFonts w:hint="eastAsia" w:ascii="宋体" w:hAnsi="宋体" w:cs="宋体"/>
          <w:color w:val="auto"/>
          <w:sz w:val="22"/>
          <w:highlight w:val="none"/>
          <w:u w:val="single"/>
        </w:rPr>
        <w:t>批准，</w:t>
      </w:r>
      <w:r>
        <w:rPr>
          <w:rFonts w:hint="eastAsia" w:ascii="宋体" w:hAnsi="宋体" w:cs="宋体"/>
          <w:color w:val="auto"/>
          <w:sz w:val="22"/>
          <w:highlight w:val="none"/>
          <w:u w:val="single"/>
          <w:lang w:val="en-US" w:eastAsia="zh-CN"/>
        </w:rPr>
        <w:t>报</w:t>
      </w:r>
      <w:r>
        <w:rPr>
          <w:rFonts w:hint="eastAsia" w:ascii="宋体" w:hAnsi="宋体" w:cs="宋体"/>
          <w:color w:val="auto"/>
          <w:sz w:val="22"/>
          <w:highlight w:val="none"/>
          <w:u w:val="single"/>
        </w:rPr>
        <w:t>发包人</w:t>
      </w:r>
      <w:r>
        <w:rPr>
          <w:rFonts w:hint="eastAsia" w:ascii="宋体" w:hAnsi="宋体" w:cs="宋体"/>
          <w:color w:val="auto"/>
          <w:sz w:val="22"/>
          <w:highlight w:val="none"/>
          <w:u w:val="single"/>
          <w:lang w:val="en-US" w:eastAsia="zh-CN"/>
        </w:rPr>
        <w:t>确认同意</w:t>
      </w:r>
      <w:r>
        <w:rPr>
          <w:rFonts w:hint="eastAsia" w:ascii="宋体" w:hAnsi="宋体" w:cs="宋体"/>
          <w:color w:val="auto"/>
          <w:sz w:val="22"/>
          <w:highlight w:val="none"/>
          <w:u w:val="single"/>
        </w:rPr>
        <w:t xml:space="preserve">后方可离开 </w:t>
      </w:r>
      <w:r>
        <w:rPr>
          <w:rFonts w:hint="eastAsia" w:ascii="宋体" w:hAnsi="宋体" w:cs="宋体"/>
          <w:color w:val="auto"/>
          <w:sz w:val="22"/>
          <w:highlight w:val="none"/>
        </w:rPr>
        <w:t>。</w:t>
      </w:r>
    </w:p>
    <w:p w14:paraId="17BB1CD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highlight w:val="none"/>
        </w:rPr>
        <w:t>3.3.5 承包人擅自更换主要施工管理人员的违约责任：</w:t>
      </w:r>
      <w:r>
        <w:rPr>
          <w:rFonts w:hint="eastAsia" w:ascii="宋体" w:hAnsi="宋体" w:cs="宋体"/>
          <w:color w:val="auto"/>
          <w:sz w:val="22"/>
          <w:highlight w:val="none"/>
          <w:u w:val="single"/>
        </w:rPr>
        <w:t>项目技术负责人、专职安全员及其承诺的</w:t>
      </w:r>
      <w:r>
        <w:rPr>
          <w:rFonts w:hint="eastAsia" w:ascii="宋体" w:hAnsi="宋体" w:cs="宋体"/>
          <w:color w:val="auto"/>
          <w:sz w:val="22"/>
          <w:highlight w:val="none"/>
          <w:u w:val="single"/>
          <w:lang w:eastAsia="zh-CN"/>
        </w:rPr>
        <w:t>其他</w:t>
      </w:r>
      <w:r>
        <w:rPr>
          <w:rFonts w:hint="eastAsia" w:ascii="宋体" w:hAnsi="宋体" w:cs="宋体"/>
          <w:color w:val="auto"/>
          <w:sz w:val="22"/>
          <w:highlight w:val="none"/>
          <w:u w:val="single"/>
        </w:rPr>
        <w:t>在场管理人员未经发包人书面同意不准擅自更换，擅自更换项目技术负责人处</w:t>
      </w:r>
      <w:r>
        <w:rPr>
          <w:rFonts w:hint="eastAsia" w:ascii="宋体" w:hAnsi="宋体" w:cs="宋体"/>
          <w:color w:val="auto"/>
          <w:sz w:val="22"/>
          <w:highlight w:val="none"/>
          <w:u w:val="single"/>
          <w:lang w:val="en-US" w:eastAsia="zh-CN"/>
        </w:rPr>
        <w:t>2</w:t>
      </w:r>
      <w:r>
        <w:rPr>
          <w:rFonts w:hint="eastAsia" w:ascii="宋体" w:hAnsi="宋体" w:cs="宋体"/>
          <w:color w:val="auto"/>
          <w:sz w:val="22"/>
          <w:highlight w:val="none"/>
          <w:u w:val="single"/>
        </w:rPr>
        <w:t>000</w:t>
      </w:r>
      <w:r>
        <w:rPr>
          <w:rFonts w:hint="eastAsia" w:ascii="宋体" w:hAnsi="宋体" w:cs="宋体"/>
          <w:color w:val="auto"/>
          <w:sz w:val="22"/>
          <w:u w:val="single"/>
        </w:rPr>
        <w:t>0元/人•次（人民币）违约金；擅自更换专职安全员处20000元/人•次（人民币）违约金；擅自更换</w:t>
      </w:r>
      <w:r>
        <w:rPr>
          <w:rFonts w:hint="eastAsia" w:ascii="宋体" w:hAnsi="宋体" w:cs="宋体"/>
          <w:color w:val="auto"/>
          <w:sz w:val="22"/>
          <w:u w:val="single"/>
          <w:lang w:eastAsia="zh-CN"/>
        </w:rPr>
        <w:t>其他</w:t>
      </w:r>
      <w:r>
        <w:rPr>
          <w:rFonts w:hint="eastAsia" w:ascii="宋体" w:hAnsi="宋体" w:cs="宋体"/>
          <w:color w:val="auto"/>
          <w:sz w:val="22"/>
          <w:u w:val="single"/>
        </w:rPr>
        <w:t>在场管理人员处10000元/人•次（人民币）违约金</w:t>
      </w:r>
      <w:r>
        <w:rPr>
          <w:rFonts w:hint="eastAsia" w:ascii="宋体" w:hAnsi="宋体" w:cs="宋体"/>
          <w:color w:val="auto"/>
          <w:sz w:val="22"/>
        </w:rPr>
        <w:t>。</w:t>
      </w:r>
    </w:p>
    <w:p w14:paraId="4D22F23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承包人主要施工管理人员擅自离开施工现场的违约责任：</w:t>
      </w:r>
      <w:r>
        <w:rPr>
          <w:rFonts w:hint="eastAsia" w:ascii="宋体" w:hAnsi="宋体" w:cs="宋体"/>
          <w:color w:val="auto"/>
          <w:sz w:val="22"/>
          <w:u w:val="single"/>
        </w:rPr>
        <w:t>未经发包人同意，项目技术负责人擅自离岗的，视为承包人违约，发包人有权处违约金5000元/人•次（人民币）；未经发包人同意，专职安全员擅自离岗的，视为承包人违约，发包人有权处违约金3000元/人•次（人民币）；</w:t>
      </w:r>
      <w:r>
        <w:rPr>
          <w:rFonts w:hint="eastAsia" w:ascii="宋体" w:hAnsi="宋体" w:cs="宋体"/>
          <w:color w:val="auto"/>
          <w:sz w:val="22"/>
          <w:u w:val="single"/>
          <w:lang w:eastAsia="zh-CN"/>
        </w:rPr>
        <w:t>其他</w:t>
      </w:r>
      <w:r>
        <w:rPr>
          <w:rFonts w:hint="eastAsia" w:ascii="宋体" w:hAnsi="宋体" w:cs="宋体"/>
          <w:color w:val="auto"/>
          <w:sz w:val="22"/>
          <w:u w:val="single"/>
        </w:rPr>
        <w:t>在场管理人员擅自离岗的，视为承包人违约，发包人有权处违约金3000元/人•次（人民币）</w:t>
      </w:r>
      <w:r>
        <w:rPr>
          <w:rFonts w:hint="eastAsia" w:ascii="宋体" w:hAnsi="宋体" w:cs="宋体"/>
          <w:color w:val="auto"/>
          <w:sz w:val="22"/>
        </w:rPr>
        <w:t>。</w:t>
      </w:r>
    </w:p>
    <w:p w14:paraId="2CB1016A">
      <w:pPr>
        <w:pStyle w:val="39"/>
        <w:spacing w:line="360" w:lineRule="exact"/>
        <w:ind w:firstLine="442" w:firstLineChars="200"/>
        <w:rPr>
          <w:rFonts w:hint="eastAsia" w:ascii="宋体" w:hAnsi="宋体" w:cs="宋体"/>
          <w:color w:val="auto"/>
          <w:sz w:val="22"/>
          <w:szCs w:val="22"/>
        </w:rPr>
      </w:pPr>
      <w:bookmarkStart w:id="270" w:name="_Toc373227710"/>
      <w:bookmarkStart w:id="271" w:name="_Toc533432735"/>
      <w:bookmarkStart w:id="272" w:name="_Toc395382512"/>
      <w:bookmarkStart w:id="273" w:name="_Toc12975900"/>
      <w:bookmarkStart w:id="274" w:name="_Toc389065276"/>
      <w:bookmarkStart w:id="275" w:name="_Toc373478357"/>
      <w:r>
        <w:rPr>
          <w:rFonts w:hint="eastAsia" w:ascii="宋体" w:hAnsi="宋体" w:cs="宋体"/>
          <w:color w:val="auto"/>
          <w:sz w:val="22"/>
          <w:szCs w:val="22"/>
        </w:rPr>
        <w:t>3</w:t>
      </w:r>
      <w:bookmarkStart w:id="276" w:name="_Toc296503159"/>
      <w:bookmarkStart w:id="277" w:name="_Toc297216151"/>
      <w:bookmarkStart w:id="278" w:name="_Toc296890987"/>
      <w:bookmarkStart w:id="279" w:name="_Toc297120459"/>
      <w:bookmarkStart w:id="280" w:name="_Toc292559869"/>
      <w:bookmarkStart w:id="281" w:name="_Toc296944498"/>
      <w:bookmarkStart w:id="282" w:name="_Toc303539102"/>
      <w:bookmarkStart w:id="283" w:name="_Toc297123492"/>
      <w:bookmarkStart w:id="284" w:name="_Toc312677988"/>
      <w:bookmarkStart w:id="285" w:name="_Toc296891199"/>
      <w:bookmarkStart w:id="286" w:name="_Toc292559364"/>
      <w:bookmarkStart w:id="287" w:name="_Toc300934945"/>
      <w:bookmarkStart w:id="288" w:name="_Toc296347158"/>
      <w:bookmarkStart w:id="289" w:name="_Toc296346660"/>
      <w:bookmarkStart w:id="290" w:name="_Toc297048345"/>
      <w:bookmarkStart w:id="291" w:name="_Toc304295523"/>
      <w:r>
        <w:rPr>
          <w:rFonts w:hint="eastAsia" w:ascii="宋体" w:hAnsi="宋体" w:cs="宋体"/>
          <w:color w:val="auto"/>
          <w:sz w:val="22"/>
          <w:szCs w:val="22"/>
        </w:rPr>
        <w:t>.5 分包</w:t>
      </w:r>
      <w:bookmarkEnd w:id="270"/>
      <w:bookmarkEnd w:id="271"/>
      <w:bookmarkEnd w:id="272"/>
      <w:bookmarkEnd w:id="273"/>
      <w:bookmarkEnd w:id="274"/>
      <w:bookmarkEnd w:id="275"/>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55707B9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w:t>
      </w:r>
      <w:bookmarkStart w:id="292" w:name="_Toc296346661"/>
      <w:bookmarkStart w:id="293" w:name="_Toc297216152"/>
      <w:bookmarkStart w:id="294" w:name="_Toc300934946"/>
      <w:bookmarkStart w:id="295" w:name="_Toc296347159"/>
      <w:bookmarkStart w:id="296" w:name="_Toc303539103"/>
      <w:bookmarkStart w:id="297" w:name="_Toc296503160"/>
      <w:bookmarkStart w:id="298" w:name="_Toc297123493"/>
      <w:bookmarkStart w:id="299" w:name="_Toc296890988"/>
      <w:bookmarkStart w:id="300" w:name="_Toc297048346"/>
      <w:bookmarkStart w:id="301" w:name="_Toc312677989"/>
      <w:bookmarkStart w:id="302" w:name="_Toc292559870"/>
      <w:bookmarkStart w:id="303" w:name="_Toc304295524"/>
      <w:bookmarkStart w:id="304" w:name="_Toc297120460"/>
      <w:bookmarkStart w:id="305" w:name="_Toc296944499"/>
      <w:bookmarkStart w:id="306" w:name="_Toc292559365"/>
      <w:bookmarkStart w:id="307" w:name="_Toc296891200"/>
      <w:bookmarkStart w:id="308" w:name="_Toc318581158"/>
      <w:r>
        <w:rPr>
          <w:rFonts w:hint="eastAsia" w:ascii="宋体" w:hAnsi="宋体" w:cs="宋体"/>
          <w:color w:val="auto"/>
          <w:sz w:val="22"/>
        </w:rPr>
        <w:t>.5.1 分包的一般约定</w:t>
      </w:r>
    </w:p>
    <w:p w14:paraId="2E7FD88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禁止分包的工程包括：</w:t>
      </w:r>
      <w:r>
        <w:rPr>
          <w:rFonts w:hint="eastAsia" w:ascii="宋体" w:hAnsi="宋体" w:cs="宋体"/>
          <w:color w:val="auto"/>
          <w:sz w:val="22"/>
          <w:u w:val="single"/>
        </w:rPr>
        <w:t xml:space="preserve">本项目未经发包人批准禁止分包 </w:t>
      </w:r>
      <w:r>
        <w:rPr>
          <w:rFonts w:hint="eastAsia" w:ascii="宋体" w:hAnsi="宋体" w:cs="宋体"/>
          <w:color w:val="auto"/>
          <w:sz w:val="22"/>
        </w:rPr>
        <w:t>。</w:t>
      </w:r>
    </w:p>
    <w:p w14:paraId="2F97251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主体结构、关键性工作的范围：</w:t>
      </w:r>
      <w:r>
        <w:rPr>
          <w:rFonts w:hint="eastAsia" w:ascii="宋体" w:hAnsi="宋体" w:cs="宋体"/>
          <w:color w:val="auto"/>
          <w:sz w:val="22"/>
          <w:u w:val="single"/>
        </w:rPr>
        <w:t xml:space="preserve"> 无 </w:t>
      </w:r>
      <w:r>
        <w:rPr>
          <w:rFonts w:hint="eastAsia" w:ascii="宋体" w:hAnsi="宋体" w:cs="宋体"/>
          <w:color w:val="auto"/>
          <w:sz w:val="22"/>
        </w:rPr>
        <w: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40B6F49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3</w:t>
      </w:r>
      <w:bookmarkStart w:id="309" w:name="_Toc318581159"/>
      <w:bookmarkStart w:id="310" w:name="_Toc312677990"/>
      <w:r>
        <w:rPr>
          <w:rFonts w:hint="eastAsia" w:ascii="宋体" w:hAnsi="宋体" w:cs="宋体"/>
          <w:color w:val="auto"/>
          <w:sz w:val="22"/>
        </w:rPr>
        <w:t>.5.2 分包的确定</w:t>
      </w:r>
    </w:p>
    <w:p w14:paraId="21EFBC13">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允许分包的专业工程包括：</w:t>
      </w:r>
      <w:r>
        <w:rPr>
          <w:rFonts w:hint="eastAsia" w:ascii="宋体" w:hAnsi="宋体" w:cs="宋体"/>
          <w:color w:val="auto"/>
          <w:sz w:val="22"/>
          <w:u w:val="single"/>
        </w:rPr>
        <w:t xml:space="preserve">无  </w:t>
      </w:r>
      <w:r>
        <w:rPr>
          <w:rFonts w:hint="eastAsia" w:ascii="宋体" w:hAnsi="宋体" w:cs="宋体"/>
          <w:color w:val="auto"/>
          <w:sz w:val="22"/>
        </w:rPr>
        <w:t>。</w:t>
      </w:r>
    </w:p>
    <w:p w14:paraId="11129BD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其他关于分包的约定：</w:t>
      </w:r>
    </w:p>
    <w:p w14:paraId="78AE181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如本项目允许合法分包的，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ascii="宋体" w:hAnsi="宋体" w:cs="宋体"/>
          <w:color w:val="auto"/>
          <w:sz w:val="22"/>
          <w:lang w:val="en-US" w:eastAsia="zh-CN"/>
        </w:rPr>
        <w:t>6</w:t>
      </w:r>
      <w:r>
        <w:rPr>
          <w:rFonts w:hint="eastAsia" w:ascii="宋体" w:hAnsi="宋体" w:cs="宋体"/>
          <w:color w:val="auto"/>
          <w:sz w:val="22"/>
        </w:rPr>
        <w:t>。</w:t>
      </w:r>
    </w:p>
    <w:p w14:paraId="200C7F54">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（2）在相关分包合同签订并报送有关建设行政主管部门备案后7天内，承包人应当将一份副本提交给监理人，承包人应保障分包工作不得再次分包。</w:t>
      </w:r>
    </w:p>
    <w:p w14:paraId="6C60DC2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（3）未经承包人和监理人审批同意的分包工程和分包人，承包人有权拒绝验收分包工程和支付相应款项，由此引起的发包人费用增加和</w:t>
      </w:r>
      <w:r>
        <w:rPr>
          <w:rFonts w:hint="eastAsia" w:ascii="宋体" w:hAnsi="宋体" w:cs="宋体"/>
          <w:color w:val="auto"/>
          <w:sz w:val="22"/>
          <w:lang w:eastAsia="zh-CN"/>
        </w:rPr>
        <w:t>（</w:t>
      </w:r>
      <w:r>
        <w:rPr>
          <w:rFonts w:hint="eastAsia" w:ascii="宋体" w:hAnsi="宋体" w:cs="宋体"/>
          <w:color w:val="auto"/>
          <w:sz w:val="22"/>
        </w:rPr>
        <w:t>或</w:t>
      </w:r>
      <w:r>
        <w:rPr>
          <w:rFonts w:hint="eastAsia" w:ascii="宋体" w:hAnsi="宋体" w:cs="宋体"/>
          <w:color w:val="auto"/>
          <w:sz w:val="22"/>
          <w:lang w:eastAsia="zh-CN"/>
        </w:rPr>
        <w:t>）</w:t>
      </w:r>
      <w:r>
        <w:rPr>
          <w:rFonts w:hint="eastAsia" w:ascii="宋体" w:hAnsi="宋体" w:cs="宋体"/>
          <w:color w:val="auto"/>
          <w:sz w:val="22"/>
        </w:rPr>
        <w:t>延误的工期由发包人承担。</w:t>
      </w:r>
    </w:p>
    <w:p w14:paraId="3329555C">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（4）承包人有以下情况之一者，发包人有权解除合同：</w:t>
      </w:r>
    </w:p>
    <w:p w14:paraId="4F4BDAF6">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①个人承包工程，包括本人单位及外单位人员承包，发包人不承认其个人拥有任何资质等级及营业许可资格。</w:t>
      </w:r>
    </w:p>
    <w:p w14:paraId="56D395F8">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②几个人联合承包工程，就地组织暗分包队伍，不具备完成本工程的技术、机械能力，被发包人判定为没有能力履行的承包人。</w:t>
      </w:r>
    </w:p>
    <w:p w14:paraId="7E3D63B7">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③就地转包全部的工程，以谋取高额转让费、管理费的承包人。</w:t>
      </w:r>
    </w:p>
    <w:p w14:paraId="22C1EA33">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④承包人有部分分包现象（其中包括冒充承包人下属单位的挂勾单位，凭口头协议参与施工的分包人及其他暗分包个体户），一经发现核实，发包人将采取驱逐该暗分包人措施。</w:t>
      </w:r>
    </w:p>
    <w:p w14:paraId="6F28EDEB">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3.5.4 分包合同价款</w:t>
      </w:r>
    </w:p>
    <w:bookmarkEnd w:id="309"/>
    <w:bookmarkEnd w:id="310"/>
    <w:p w14:paraId="045536E8">
      <w:pPr>
        <w:pStyle w:val="40"/>
        <w:spacing w:line="360" w:lineRule="exact"/>
        <w:ind w:firstLine="440" w:firstLineChars="200"/>
        <w:rPr>
          <w:rFonts w:hint="eastAsia" w:ascii="宋体" w:hAnsi="宋体" w:cs="宋体"/>
          <w:color w:val="auto"/>
          <w:sz w:val="22"/>
        </w:rPr>
      </w:pPr>
      <w:bookmarkStart w:id="311" w:name="_Toc389065277"/>
      <w:bookmarkStart w:id="312" w:name="_Toc373478358"/>
      <w:bookmarkStart w:id="313" w:name="_Toc373227711"/>
      <w:r>
        <w:rPr>
          <w:rFonts w:hint="eastAsia" w:ascii="宋体" w:hAnsi="宋体" w:cs="宋体"/>
          <w:color w:val="auto"/>
          <w:sz w:val="22"/>
        </w:rPr>
        <w:t>关于分包合同价款支付的约定：</w:t>
      </w:r>
      <w:r>
        <w:rPr>
          <w:rFonts w:hint="eastAsia" w:ascii="宋体" w:hAnsi="宋体" w:cs="宋体"/>
          <w:color w:val="auto"/>
          <w:sz w:val="22"/>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34492056">
      <w:pPr>
        <w:pStyle w:val="39"/>
        <w:spacing w:line="360" w:lineRule="exact"/>
        <w:ind w:firstLine="442" w:firstLineChars="200"/>
        <w:rPr>
          <w:rFonts w:hint="eastAsia" w:ascii="宋体" w:hAnsi="宋体" w:cs="宋体"/>
          <w:color w:val="auto"/>
          <w:sz w:val="22"/>
          <w:szCs w:val="22"/>
        </w:rPr>
      </w:pPr>
      <w:bookmarkStart w:id="314" w:name="_Toc12975901"/>
      <w:bookmarkStart w:id="315" w:name="_Toc395382513"/>
      <w:bookmarkStart w:id="316" w:name="_Toc533432736"/>
      <w:r>
        <w:rPr>
          <w:rFonts w:hint="eastAsia" w:ascii="宋体" w:hAnsi="宋体" w:cs="宋体"/>
          <w:color w:val="auto"/>
          <w:sz w:val="22"/>
          <w:szCs w:val="22"/>
        </w:rPr>
        <w:t>3.6 工程照管与成品、半成品保护</w:t>
      </w:r>
      <w:bookmarkEnd w:id="311"/>
      <w:bookmarkEnd w:id="312"/>
      <w:bookmarkEnd w:id="313"/>
      <w:bookmarkEnd w:id="314"/>
      <w:bookmarkEnd w:id="315"/>
      <w:bookmarkEnd w:id="316"/>
    </w:p>
    <w:p w14:paraId="37959853">
      <w:pPr>
        <w:pStyle w:val="40"/>
        <w:spacing w:line="360" w:lineRule="exact"/>
        <w:ind w:firstLine="440" w:firstLineChars="200"/>
        <w:rPr>
          <w:rFonts w:hint="eastAsia" w:ascii="宋体" w:hAnsi="宋体" w:cs="宋体"/>
          <w:color w:val="auto"/>
          <w:kern w:val="0"/>
          <w:sz w:val="22"/>
          <w:u w:val="single"/>
        </w:rPr>
      </w:pPr>
      <w:r>
        <w:rPr>
          <w:rFonts w:hint="eastAsia" w:ascii="宋体" w:hAnsi="宋体" w:cs="宋体"/>
          <w:color w:val="auto"/>
          <w:kern w:val="0"/>
          <w:sz w:val="22"/>
        </w:rPr>
        <w:t>承包人负责照管工程及工程相关的材料、工程设备的起始时间：</w:t>
      </w:r>
      <w:r>
        <w:rPr>
          <w:rFonts w:hint="eastAsia" w:ascii="宋体" w:hAnsi="宋体" w:cs="宋体"/>
          <w:color w:val="auto"/>
          <w:kern w:val="0"/>
          <w:sz w:val="22"/>
          <w:u w:val="single"/>
        </w:rPr>
        <w:t xml:space="preserve">设备、人员进场至验收交付使用前由承包人负责保修，无其他特殊要求的，费用由承包人承担 </w:t>
      </w:r>
      <w:r>
        <w:rPr>
          <w:rFonts w:hint="eastAsia" w:ascii="宋体" w:hAnsi="宋体" w:cs="宋体"/>
          <w:color w:val="auto"/>
          <w:kern w:val="0"/>
          <w:sz w:val="22"/>
        </w:rPr>
        <w:t>。</w:t>
      </w:r>
    </w:p>
    <w:p w14:paraId="5120540A">
      <w:pPr>
        <w:pStyle w:val="39"/>
        <w:spacing w:line="360" w:lineRule="exact"/>
        <w:ind w:firstLine="442" w:firstLineChars="200"/>
        <w:rPr>
          <w:rFonts w:hint="eastAsia" w:ascii="宋体" w:hAnsi="宋体" w:cs="宋体"/>
          <w:color w:val="auto"/>
          <w:sz w:val="22"/>
          <w:szCs w:val="22"/>
        </w:rPr>
      </w:pPr>
      <w:bookmarkStart w:id="317" w:name="_Toc389065278"/>
      <w:bookmarkStart w:id="318" w:name="_Toc373478359"/>
      <w:bookmarkStart w:id="319" w:name="_Toc373227712"/>
      <w:bookmarkStart w:id="320" w:name="_Toc533432737"/>
      <w:bookmarkStart w:id="321" w:name="_Toc12975902"/>
      <w:bookmarkStart w:id="322" w:name="_Toc395382514"/>
      <w:r>
        <w:rPr>
          <w:rFonts w:hint="eastAsia" w:ascii="宋体" w:hAnsi="宋体" w:cs="宋体"/>
          <w:color w:val="auto"/>
          <w:sz w:val="22"/>
          <w:szCs w:val="22"/>
        </w:rPr>
        <w:t>3.7 履约</w:t>
      </w:r>
      <w:bookmarkEnd w:id="317"/>
      <w:bookmarkEnd w:id="318"/>
      <w:bookmarkEnd w:id="319"/>
      <w:r>
        <w:rPr>
          <w:rFonts w:hint="eastAsia" w:ascii="宋体" w:hAnsi="宋体" w:cs="宋体"/>
          <w:color w:val="auto"/>
          <w:sz w:val="22"/>
          <w:szCs w:val="22"/>
        </w:rPr>
        <w:t>保证金</w:t>
      </w:r>
      <w:bookmarkEnd w:id="320"/>
      <w:bookmarkEnd w:id="321"/>
      <w:bookmarkEnd w:id="322"/>
    </w:p>
    <w:p w14:paraId="7CD71AB6">
      <w:pPr>
        <w:pStyle w:val="70"/>
        <w:spacing w:before="0" w:after="0" w:line="360" w:lineRule="exact"/>
        <w:ind w:firstLine="440" w:firstLineChars="200"/>
        <w:rPr>
          <w:rFonts w:hint="default" w:ascii="宋体" w:hAnsi="宋体" w:eastAsia="宋体" w:cs="宋体"/>
          <w:b w:val="0"/>
          <w:bCs w:val="0"/>
          <w:color w:val="auto"/>
          <w:kern w:val="0"/>
          <w:sz w:val="22"/>
          <w:szCs w:val="22"/>
          <w:lang w:val="en-US" w:eastAsia="zh-CN" w:bidi="ar-SA"/>
        </w:rPr>
      </w:pPr>
      <w:bookmarkStart w:id="323" w:name="_Toc373478360"/>
      <w:bookmarkStart w:id="324" w:name="_Toc533432738"/>
      <w:bookmarkStart w:id="325" w:name="_Toc389065279"/>
      <w:bookmarkStart w:id="326" w:name="_Toc351203636"/>
      <w:bookmarkStart w:id="327" w:name="_Toc12975903"/>
      <w:bookmarkStart w:id="328" w:name="_Toc373227713"/>
      <w:bookmarkStart w:id="329" w:name="_Toc395382515"/>
      <w:r>
        <w:rPr>
          <w:rFonts w:hint="eastAsia" w:ascii="宋体" w:hAnsi="宋体" w:eastAsia="宋体" w:cs="宋体"/>
          <w:b w:val="0"/>
          <w:bCs w:val="0"/>
          <w:color w:val="auto"/>
          <w:kern w:val="0"/>
          <w:sz w:val="22"/>
          <w:szCs w:val="22"/>
          <w:lang w:val="en-US" w:eastAsia="zh-CN" w:bidi="ar-SA"/>
        </w:rPr>
        <w:t>本项目不收取履约保证金</w:t>
      </w:r>
    </w:p>
    <w:p w14:paraId="595FEEF3">
      <w:pPr>
        <w:pStyle w:val="70"/>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4</w:t>
      </w:r>
      <w:bookmarkStart w:id="330" w:name="_Toc296347161"/>
      <w:bookmarkStart w:id="331" w:name="_Toc292559366"/>
      <w:bookmarkStart w:id="332" w:name="_Toc297048348"/>
      <w:bookmarkStart w:id="333" w:name="_Toc296503162"/>
      <w:bookmarkStart w:id="334" w:name="_Toc296890990"/>
      <w:bookmarkStart w:id="335" w:name="_Toc292559871"/>
      <w:bookmarkStart w:id="336" w:name="_Toc296891202"/>
      <w:bookmarkStart w:id="337" w:name="_Toc267251413"/>
      <w:bookmarkStart w:id="338" w:name="_Toc296346663"/>
      <w:bookmarkStart w:id="339" w:name="_Toc296944501"/>
      <w:bookmarkStart w:id="340" w:name="_Toc297120462"/>
      <w:r>
        <w:rPr>
          <w:rFonts w:hint="eastAsia" w:ascii="宋体" w:hAnsi="宋体" w:cs="宋体"/>
          <w:color w:val="auto"/>
          <w:sz w:val="22"/>
          <w:szCs w:val="22"/>
        </w:rPr>
        <w:t>. 监</w:t>
      </w:r>
      <w:bookmarkEnd w:id="330"/>
      <w:bookmarkEnd w:id="331"/>
      <w:bookmarkEnd w:id="332"/>
      <w:bookmarkEnd w:id="333"/>
      <w:bookmarkEnd w:id="334"/>
      <w:bookmarkEnd w:id="335"/>
      <w:bookmarkEnd w:id="336"/>
      <w:bookmarkEnd w:id="337"/>
      <w:bookmarkEnd w:id="338"/>
      <w:bookmarkEnd w:id="339"/>
      <w:bookmarkEnd w:id="340"/>
      <w:r>
        <w:rPr>
          <w:rFonts w:hint="eastAsia" w:ascii="宋体" w:hAnsi="宋体" w:cs="宋体"/>
          <w:color w:val="auto"/>
          <w:sz w:val="22"/>
          <w:szCs w:val="22"/>
        </w:rPr>
        <w:t>理人</w:t>
      </w:r>
      <w:bookmarkEnd w:id="323"/>
      <w:bookmarkEnd w:id="324"/>
      <w:bookmarkEnd w:id="325"/>
      <w:bookmarkEnd w:id="326"/>
      <w:bookmarkEnd w:id="327"/>
      <w:bookmarkEnd w:id="328"/>
      <w:bookmarkEnd w:id="329"/>
    </w:p>
    <w:p w14:paraId="0FDD0D43">
      <w:pPr>
        <w:pStyle w:val="39"/>
        <w:spacing w:line="360" w:lineRule="exact"/>
        <w:ind w:firstLine="442" w:firstLineChars="200"/>
        <w:rPr>
          <w:rFonts w:hint="eastAsia" w:ascii="宋体" w:hAnsi="宋体" w:cs="宋体"/>
          <w:color w:val="auto"/>
          <w:sz w:val="22"/>
          <w:szCs w:val="22"/>
        </w:rPr>
      </w:pPr>
      <w:bookmarkStart w:id="341" w:name="_Toc533432739"/>
      <w:bookmarkStart w:id="342" w:name="_Toc12975904"/>
      <w:bookmarkStart w:id="343" w:name="_Toc389065280"/>
      <w:bookmarkStart w:id="344" w:name="_Toc373478361"/>
      <w:bookmarkStart w:id="345" w:name="_Toc395382516"/>
      <w:bookmarkStart w:id="346" w:name="_Toc373227714"/>
      <w:r>
        <w:rPr>
          <w:rFonts w:hint="eastAsia" w:ascii="宋体" w:hAnsi="宋体" w:cs="宋体"/>
          <w:color w:val="auto"/>
          <w:sz w:val="22"/>
          <w:szCs w:val="22"/>
        </w:rPr>
        <w:t>4.1 监理人的一般规定</w:t>
      </w:r>
      <w:bookmarkEnd w:id="341"/>
      <w:bookmarkEnd w:id="342"/>
      <w:bookmarkEnd w:id="343"/>
      <w:bookmarkEnd w:id="344"/>
      <w:bookmarkEnd w:id="345"/>
      <w:bookmarkEnd w:id="346"/>
    </w:p>
    <w:p w14:paraId="3287E910">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关于监理人的监理内容：</w:t>
      </w:r>
      <w:r>
        <w:rPr>
          <w:rFonts w:hint="eastAsia" w:ascii="宋体" w:hAnsi="宋体" w:cs="宋体"/>
          <w:color w:val="auto"/>
          <w:sz w:val="22"/>
          <w:szCs w:val="22"/>
          <w:u w:val="single"/>
        </w:rPr>
        <w:t>三控三管一协调（主要指：工程进度控制、工程质量、安全控制、工程投资（成本）控制；合同管理、职业健康安全与环境管理、信息管理；与本项目有关的全面组织协调）</w:t>
      </w:r>
      <w:r>
        <w:rPr>
          <w:rFonts w:hint="eastAsia" w:ascii="宋体" w:hAnsi="宋体" w:cs="宋体"/>
          <w:color w:val="auto"/>
          <w:sz w:val="22"/>
          <w:szCs w:val="22"/>
        </w:rPr>
        <w:t>。</w:t>
      </w:r>
    </w:p>
    <w:p w14:paraId="2A08590B">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rPr>
        <w:t>关于监理人的监理权限：</w:t>
      </w:r>
      <w:r>
        <w:rPr>
          <w:rFonts w:hint="eastAsia" w:ascii="宋体" w:hAnsi="宋体" w:cs="宋体"/>
          <w:color w:val="auto"/>
          <w:sz w:val="22"/>
          <w:szCs w:val="22"/>
          <w:u w:val="single"/>
        </w:rPr>
        <w:t>（1）监理人行使下列职权之前必须征得发包人的书面认可：①批准承包人的书面开工请求或延期开工申请，发布暂停施工指示、复工令或批准复工申请；②批准合同进度计划及合同进度计划的修订；③批准承包人的深化设计；④批准承包人的重大施工技术方案和技术规范的变更；⑤批准承包人或其分包人提出更换项目经理、技术负责人或</w:t>
      </w:r>
      <w:r>
        <w:rPr>
          <w:rFonts w:hint="eastAsia" w:ascii="宋体" w:hAnsi="宋体" w:cs="宋体"/>
          <w:color w:val="auto"/>
          <w:sz w:val="22"/>
          <w:szCs w:val="22"/>
          <w:u w:val="single"/>
          <w:lang w:eastAsia="zh-CN"/>
        </w:rPr>
        <w:t>其他主要</w:t>
      </w:r>
      <w:r>
        <w:rPr>
          <w:rFonts w:hint="eastAsia" w:ascii="宋体" w:hAnsi="宋体" w:cs="宋体"/>
          <w:color w:val="auto"/>
          <w:sz w:val="22"/>
          <w:szCs w:val="22"/>
          <w:u w:val="single"/>
        </w:rPr>
        <w:t>管理人员；⑥批准主要材料设备或替换材料设备的使用及分包人的选择；⑦工程量计量、工程款的审核和确认权；⑧发出可能导致增加合同价款或费用或延误或延长工期的任何指示或建议；⑨批准承包人拆除垂直运输设备、外墙脚手架及其他重要施工设备；⑩质量缺陷补救措施的认可；⑪签发工程竣工证书、单位工程验收证明书；⑫专用条款约定的需经发包人批准方能行使的职权。</w:t>
      </w:r>
    </w:p>
    <w:p w14:paraId="2695D8D5">
      <w:pPr>
        <w:pStyle w:val="60"/>
        <w:spacing w:line="360" w:lineRule="exact"/>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当监理人行使上述职权时，监理人应当提供经发包人认可的相关配套文件，承包人应当核实其真实性。如果无发包人事先认可文件时，发包人不承担由此产生的义务和责任，由此产生的一切后果（不限于工期延误和成本、费用支出等）均由承包人承担。</w:t>
      </w:r>
    </w:p>
    <w:p w14:paraId="5ED8AD8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监理人无权行使下列权利：①提出或批准变更、索赔（含工期、费用）；②批准暂列金额的使用；③暂估价费用确定；④同意分包本工程的某些非主体和非关键性主体；⑤专用条款约定的监理人无权行使的权力。</w:t>
      </w:r>
    </w:p>
    <w:p w14:paraId="24582893">
      <w:pPr>
        <w:pStyle w:val="60"/>
        <w:spacing w:line="360" w:lineRule="exact"/>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承包人在接到监理人指示时，应自行审核该指示是否属于上述监理人无权行使的权力的范围，因承包人疏于审核监理人指示所产生的一切后果均由承包人承担。</w:t>
      </w:r>
    </w:p>
    <w:p w14:paraId="3213A4D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监理人无权免除、减轻或变更合同约定的承包人的义务和责任。合同约定应由承包人承担的义务和责任，也不因监理人对承包人提交文件的审查或批准，对工程、材料设备的检查和检验，以及为实施监理作出的指示等职务行为而减轻、免除或变更。</w:t>
      </w:r>
    </w:p>
    <w:p w14:paraId="39607238">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（4）发包人有权单方修改监理人的职权，并书面通知承包人，修改的监理人的职权自通知到达承包人之日起生效。</w:t>
      </w:r>
    </w:p>
    <w:p w14:paraId="0834E4B1">
      <w:pPr>
        <w:pStyle w:val="60"/>
        <w:spacing w:line="360" w:lineRule="exact"/>
        <w:ind w:firstLine="440" w:firstLineChars="200"/>
        <w:rPr>
          <w:rFonts w:hint="eastAsia" w:ascii="宋体" w:hAnsi="宋体" w:cs="宋体"/>
          <w:color w:val="auto"/>
          <w:sz w:val="22"/>
          <w:szCs w:val="22"/>
        </w:rPr>
      </w:pPr>
      <w:r>
        <w:rPr>
          <w:rFonts w:hint="eastAsia" w:ascii="宋体" w:hAnsi="宋体" w:cs="宋体"/>
          <w:bCs/>
          <w:color w:val="auto"/>
          <w:sz w:val="22"/>
          <w:szCs w:val="22"/>
          <w:u w:val="single"/>
        </w:rPr>
        <w:t>（5）如果发生紧急情况，监理人认为将造成人员伤亡，或危及本工程或邻近的财产需立即采取行动，监理人有权在未征得发包人的批准的情况下发布处理紧急情况所必需的指令，承包人应予执行，由此造成的费用增加由监</w:t>
      </w:r>
      <w:r>
        <w:rPr>
          <w:rFonts w:hint="eastAsia" w:ascii="宋体" w:hAnsi="宋体" w:cs="宋体"/>
          <w:bCs/>
          <w:color w:val="auto"/>
          <w:sz w:val="22"/>
          <w:szCs w:val="22"/>
          <w:highlight w:val="none"/>
          <w:u w:val="single"/>
        </w:rPr>
        <w:t>理人按合同中的</w:t>
      </w:r>
      <w:r>
        <w:rPr>
          <w:rFonts w:hint="eastAsia" w:ascii="宋体" w:hAnsi="宋体" w:cs="宋体"/>
          <w:bCs/>
          <w:color w:val="auto"/>
          <w:sz w:val="22"/>
          <w:szCs w:val="22"/>
          <w:u w:val="single"/>
        </w:rPr>
        <w:t>其余条款商定或确定。</w:t>
      </w:r>
      <w:r>
        <w:rPr>
          <w:rFonts w:hint="eastAsia" w:ascii="宋体" w:hAnsi="宋体" w:cs="宋体"/>
          <w:color w:val="auto"/>
          <w:sz w:val="22"/>
          <w:szCs w:val="22"/>
        </w:rPr>
        <w:t xml:space="preserve"> </w:t>
      </w:r>
    </w:p>
    <w:p w14:paraId="1C9D54FA">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关于监理人在施工现场的办公场所、生活场所的提供和费用承担的约定：</w:t>
      </w:r>
      <w:r>
        <w:rPr>
          <w:rFonts w:hint="eastAsia" w:ascii="宋体" w:hAnsi="宋体" w:cs="宋体"/>
          <w:color w:val="auto"/>
          <w:sz w:val="22"/>
          <w:u w:val="single"/>
        </w:rPr>
        <w:t xml:space="preserve">承包人免费提供 </w:t>
      </w:r>
      <w:r>
        <w:rPr>
          <w:rFonts w:hint="eastAsia" w:ascii="宋体" w:hAnsi="宋体" w:cs="宋体"/>
          <w:color w:val="auto"/>
          <w:sz w:val="22"/>
        </w:rPr>
        <w:t>。</w:t>
      </w:r>
    </w:p>
    <w:p w14:paraId="0D56A290">
      <w:pPr>
        <w:pStyle w:val="39"/>
        <w:spacing w:line="360" w:lineRule="exact"/>
        <w:ind w:firstLine="442" w:firstLineChars="200"/>
        <w:rPr>
          <w:rFonts w:hint="eastAsia" w:ascii="宋体" w:hAnsi="宋体" w:cs="宋体"/>
          <w:color w:val="auto"/>
          <w:sz w:val="22"/>
          <w:szCs w:val="22"/>
        </w:rPr>
      </w:pPr>
      <w:bookmarkStart w:id="347" w:name="_Toc12975905"/>
      <w:bookmarkStart w:id="348" w:name="_Toc389065281"/>
      <w:bookmarkStart w:id="349" w:name="_Toc395382517"/>
      <w:bookmarkStart w:id="350" w:name="_Toc533432740"/>
      <w:bookmarkStart w:id="351" w:name="_Toc373478362"/>
      <w:bookmarkStart w:id="352" w:name="_Toc373227715"/>
      <w:r>
        <w:rPr>
          <w:rFonts w:hint="eastAsia" w:ascii="宋体" w:hAnsi="宋体" w:cs="宋体"/>
          <w:color w:val="auto"/>
          <w:sz w:val="22"/>
          <w:szCs w:val="22"/>
        </w:rPr>
        <w:t>4.2 监理人员</w:t>
      </w:r>
      <w:bookmarkEnd w:id="347"/>
      <w:bookmarkEnd w:id="348"/>
      <w:bookmarkEnd w:id="349"/>
      <w:bookmarkEnd w:id="350"/>
      <w:bookmarkEnd w:id="351"/>
      <w:bookmarkEnd w:id="352"/>
    </w:p>
    <w:p w14:paraId="6396C13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总监理工程师：</w:t>
      </w:r>
    </w:p>
    <w:p w14:paraId="6EC42F9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姓    名：</w:t>
      </w:r>
      <w:r>
        <w:rPr>
          <w:rFonts w:hint="eastAsia" w:ascii="宋体" w:hAnsi="宋体" w:cs="宋体"/>
          <w:color w:val="auto"/>
          <w:sz w:val="22"/>
          <w:u w:val="single"/>
        </w:rPr>
        <w:t>   </w:t>
      </w:r>
      <w:r>
        <w:rPr>
          <w:rFonts w:hint="eastAsia" w:ascii="宋体" w:hAnsi="宋体" w:cs="宋体"/>
          <w:color w:val="auto"/>
          <w:sz w:val="22"/>
        </w:rPr>
        <w:t>；</w:t>
      </w:r>
    </w:p>
    <w:p w14:paraId="19CD816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职    务：</w:t>
      </w:r>
      <w:r>
        <w:rPr>
          <w:rFonts w:hint="eastAsia" w:ascii="宋体" w:hAnsi="宋体" w:cs="宋体"/>
          <w:color w:val="auto"/>
          <w:sz w:val="22"/>
          <w:u w:val="single"/>
        </w:rPr>
        <w:t>   </w:t>
      </w:r>
      <w:r>
        <w:rPr>
          <w:rFonts w:hint="eastAsia" w:ascii="宋体" w:hAnsi="宋体" w:cs="宋体"/>
          <w:color w:val="auto"/>
          <w:sz w:val="22"/>
        </w:rPr>
        <w:t>；</w:t>
      </w:r>
    </w:p>
    <w:p w14:paraId="76ACD98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监理工程师执业资格证书号：</w:t>
      </w:r>
      <w:r>
        <w:rPr>
          <w:rFonts w:hint="eastAsia" w:ascii="宋体" w:hAnsi="宋体" w:cs="宋体"/>
          <w:color w:val="auto"/>
          <w:sz w:val="22"/>
          <w:u w:val="single"/>
        </w:rPr>
        <w:t> </w:t>
      </w:r>
      <w:r>
        <w:rPr>
          <w:rFonts w:hint="eastAsia" w:ascii="宋体" w:hAnsi="宋体" w:cs="宋体"/>
          <w:color w:val="auto"/>
          <w:sz w:val="22"/>
        </w:rPr>
        <w:t>；</w:t>
      </w:r>
    </w:p>
    <w:p w14:paraId="718F982B">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广西建筑市场诚信卡卡号：</w:t>
      </w:r>
      <w:r>
        <w:rPr>
          <w:rFonts w:hint="eastAsia" w:ascii="宋体" w:hAnsi="宋体" w:cs="宋体"/>
          <w:color w:val="auto"/>
          <w:sz w:val="22"/>
          <w:u w:val="single"/>
        </w:rPr>
        <w:t xml:space="preserve">                 </w:t>
      </w:r>
      <w:r>
        <w:rPr>
          <w:rFonts w:hint="eastAsia" w:ascii="宋体" w:hAnsi="宋体" w:cs="宋体"/>
          <w:color w:val="auto"/>
          <w:sz w:val="22"/>
        </w:rPr>
        <w:t>；</w:t>
      </w:r>
    </w:p>
    <w:p w14:paraId="5ED2318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w:t>
      </w:r>
      <w:r>
        <w:rPr>
          <w:rFonts w:hint="eastAsia" w:ascii="宋体" w:hAnsi="宋体" w:cs="宋体"/>
          <w:color w:val="auto"/>
          <w:sz w:val="22"/>
        </w:rPr>
        <w:t>；</w:t>
      </w:r>
    </w:p>
    <w:p w14:paraId="585D3CD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 </w:t>
      </w:r>
      <w:r>
        <w:rPr>
          <w:rFonts w:hint="eastAsia" w:ascii="宋体" w:hAnsi="宋体" w:cs="宋体"/>
          <w:color w:val="auto"/>
          <w:sz w:val="22"/>
        </w:rPr>
        <w:t>；</w:t>
      </w:r>
    </w:p>
    <w:p w14:paraId="2BDD8C4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2A548442">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关于监理人的其他约定：</w:t>
      </w:r>
      <w:r>
        <w:rPr>
          <w:rFonts w:hint="eastAsia" w:ascii="宋体" w:hAnsi="宋体" w:cs="宋体"/>
          <w:color w:val="auto"/>
          <w:sz w:val="22"/>
          <w:u w:val="single"/>
        </w:rPr>
        <w:t>   </w:t>
      </w:r>
      <w:r>
        <w:rPr>
          <w:rFonts w:hint="eastAsia" w:ascii="宋体" w:hAnsi="宋体" w:cs="宋体"/>
          <w:color w:val="auto"/>
          <w:sz w:val="22"/>
        </w:rPr>
        <w:t>。</w:t>
      </w:r>
    </w:p>
    <w:p w14:paraId="26298AF5">
      <w:pPr>
        <w:pStyle w:val="39"/>
        <w:spacing w:line="360" w:lineRule="exact"/>
        <w:ind w:firstLine="442" w:firstLineChars="200"/>
        <w:rPr>
          <w:rFonts w:hint="eastAsia" w:ascii="宋体" w:hAnsi="宋体" w:cs="宋体"/>
          <w:color w:val="auto"/>
          <w:sz w:val="22"/>
          <w:szCs w:val="22"/>
        </w:rPr>
      </w:pPr>
      <w:bookmarkStart w:id="353" w:name="_Toc12975906"/>
      <w:bookmarkStart w:id="354" w:name="_Toc373478363"/>
      <w:bookmarkStart w:id="355" w:name="_Toc389065282"/>
      <w:bookmarkStart w:id="356" w:name="_Toc373227716"/>
      <w:bookmarkStart w:id="357" w:name="_Toc533432741"/>
      <w:bookmarkStart w:id="358" w:name="_Toc395382518"/>
      <w:r>
        <w:rPr>
          <w:rFonts w:hint="eastAsia" w:ascii="宋体" w:hAnsi="宋体" w:cs="宋体"/>
          <w:color w:val="auto"/>
          <w:sz w:val="22"/>
          <w:szCs w:val="22"/>
        </w:rPr>
        <w:t>4.4 商定或确定</w:t>
      </w:r>
      <w:bookmarkEnd w:id="353"/>
      <w:bookmarkEnd w:id="354"/>
      <w:bookmarkEnd w:id="355"/>
      <w:bookmarkEnd w:id="356"/>
      <w:bookmarkEnd w:id="357"/>
      <w:bookmarkEnd w:id="358"/>
    </w:p>
    <w:p w14:paraId="2180BDE3">
      <w:pPr>
        <w:pStyle w:val="40"/>
        <w:spacing w:line="360" w:lineRule="exact"/>
        <w:ind w:firstLine="440" w:firstLineChars="200"/>
        <w:rPr>
          <w:rFonts w:hint="eastAsia" w:ascii="宋体" w:hAnsi="宋体" w:cs="宋体"/>
          <w:color w:val="auto"/>
          <w:sz w:val="22"/>
        </w:rPr>
      </w:pPr>
      <w:bookmarkStart w:id="359" w:name="_Toc267251418"/>
      <w:r>
        <w:rPr>
          <w:rFonts w:hint="eastAsia" w:ascii="宋体" w:hAnsi="宋体" w:cs="宋体"/>
          <w:color w:val="auto"/>
          <w:sz w:val="22"/>
        </w:rPr>
        <w:t>在发包人和承包人不能通过协商达成一致意见时，发包人授权监理人对以下事项进行确定：</w:t>
      </w:r>
    </w:p>
    <w:p w14:paraId="2787190F">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2152535">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EB884EF">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C9AF4C6">
      <w:pPr>
        <w:pStyle w:val="70"/>
        <w:spacing w:before="0" w:after="0" w:line="360" w:lineRule="exact"/>
        <w:ind w:firstLine="442" w:firstLineChars="200"/>
        <w:rPr>
          <w:rFonts w:hint="eastAsia" w:ascii="宋体" w:hAnsi="宋体" w:cs="宋体"/>
          <w:color w:val="auto"/>
          <w:sz w:val="22"/>
          <w:szCs w:val="22"/>
        </w:rPr>
      </w:pPr>
      <w:bookmarkStart w:id="360" w:name="_Toc373478364"/>
      <w:bookmarkStart w:id="361" w:name="_Toc12975907"/>
      <w:bookmarkStart w:id="362" w:name="_Toc395382519"/>
      <w:bookmarkStart w:id="363" w:name="_Toc389065283"/>
      <w:bookmarkStart w:id="364" w:name="_Toc351203637"/>
      <w:bookmarkStart w:id="365" w:name="_Toc373227717"/>
      <w:bookmarkStart w:id="366" w:name="_Toc533432742"/>
      <w:r>
        <w:rPr>
          <w:rFonts w:hint="eastAsia" w:ascii="宋体" w:hAnsi="宋体" w:cs="宋体"/>
          <w:color w:val="auto"/>
          <w:sz w:val="22"/>
          <w:szCs w:val="22"/>
        </w:rPr>
        <w:t>5</w:t>
      </w:r>
      <w:bookmarkEnd w:id="359"/>
      <w:bookmarkStart w:id="367" w:name="_Toc296890991"/>
      <w:bookmarkStart w:id="368" w:name="_Toc296944502"/>
      <w:bookmarkStart w:id="369" w:name="_Toc297120463"/>
      <w:bookmarkStart w:id="370" w:name="_Toc292559367"/>
      <w:bookmarkStart w:id="371" w:name="_Toc296503163"/>
      <w:bookmarkStart w:id="372" w:name="_Toc296891203"/>
      <w:bookmarkStart w:id="373" w:name="_Toc296346664"/>
      <w:bookmarkStart w:id="374" w:name="_Toc297048349"/>
      <w:bookmarkStart w:id="375" w:name="_Toc296347162"/>
      <w:bookmarkStart w:id="376" w:name="_Toc292559872"/>
      <w:r>
        <w:rPr>
          <w:rFonts w:hint="eastAsia" w:ascii="宋体" w:hAnsi="宋体" w:cs="宋体"/>
          <w:color w:val="auto"/>
          <w:sz w:val="22"/>
          <w:szCs w:val="22"/>
        </w:rPr>
        <w:t>. 工程质量</w:t>
      </w:r>
      <w:bookmarkEnd w:id="360"/>
      <w:bookmarkEnd w:id="361"/>
      <w:bookmarkEnd w:id="362"/>
      <w:bookmarkEnd w:id="363"/>
      <w:bookmarkEnd w:id="364"/>
      <w:bookmarkEnd w:id="365"/>
      <w:bookmarkEnd w:id="366"/>
    </w:p>
    <w:p w14:paraId="02A58D11">
      <w:pPr>
        <w:pStyle w:val="39"/>
        <w:spacing w:line="360" w:lineRule="exact"/>
        <w:ind w:firstLine="442" w:firstLineChars="200"/>
        <w:rPr>
          <w:rFonts w:hint="eastAsia" w:ascii="宋体" w:hAnsi="宋体" w:cs="宋体"/>
          <w:color w:val="auto"/>
          <w:sz w:val="22"/>
          <w:szCs w:val="22"/>
        </w:rPr>
      </w:pPr>
      <w:bookmarkStart w:id="377" w:name="_Toc373227718"/>
      <w:bookmarkStart w:id="378" w:name="_Toc12975908"/>
      <w:bookmarkStart w:id="379" w:name="_Toc533432743"/>
      <w:bookmarkStart w:id="380" w:name="_Toc373478365"/>
      <w:bookmarkStart w:id="381" w:name="_Toc389065284"/>
      <w:bookmarkStart w:id="382" w:name="_Toc395382520"/>
      <w:r>
        <w:rPr>
          <w:rFonts w:hint="eastAsia" w:ascii="宋体" w:hAnsi="宋体" w:cs="宋体"/>
          <w:color w:val="auto"/>
          <w:sz w:val="22"/>
          <w:szCs w:val="22"/>
        </w:rPr>
        <w:t>5.1 质量要求</w:t>
      </w:r>
      <w:bookmarkEnd w:id="377"/>
      <w:bookmarkEnd w:id="378"/>
      <w:bookmarkEnd w:id="379"/>
      <w:bookmarkEnd w:id="380"/>
      <w:bookmarkEnd w:id="381"/>
      <w:bookmarkEnd w:id="382"/>
    </w:p>
    <w:p w14:paraId="4CEAB656">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5</w:t>
      </w:r>
      <w:bookmarkStart w:id="383" w:name="_Toc304295527"/>
      <w:bookmarkStart w:id="384" w:name="_Toc318581164"/>
      <w:bookmarkStart w:id="385" w:name="_Toc297216155"/>
      <w:bookmarkStart w:id="386" w:name="_Toc300934949"/>
      <w:bookmarkStart w:id="387" w:name="_Toc303539106"/>
      <w:bookmarkStart w:id="388" w:name="_Toc312677997"/>
      <w:bookmarkStart w:id="389" w:name="_Toc297123496"/>
      <w:r>
        <w:rPr>
          <w:rFonts w:hint="eastAsia" w:ascii="宋体" w:hAnsi="宋体" w:cs="宋体"/>
          <w:color w:val="auto"/>
          <w:sz w:val="22"/>
        </w:rPr>
        <w:t>.1.1 特殊质量标准和要求：</w:t>
      </w:r>
      <w:r>
        <w:rPr>
          <w:rFonts w:hint="eastAsia" w:ascii="宋体" w:hAnsi="宋体" w:cs="宋体"/>
          <w:color w:val="auto"/>
          <w:sz w:val="22"/>
          <w:u w:val="single"/>
        </w:rPr>
        <w:t xml:space="preserve">   合格  </w:t>
      </w:r>
      <w:r>
        <w:rPr>
          <w:rFonts w:hint="eastAsia" w:ascii="宋体" w:hAnsi="宋体" w:cs="宋体"/>
          <w:color w:val="auto"/>
          <w:sz w:val="22"/>
        </w:rPr>
        <w:t>。</w:t>
      </w:r>
    </w:p>
    <w:p w14:paraId="0307B73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关于工程奖项的约定：</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5BBAE79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5.1.3因承包人原因造成工程质量未达到合同约定标准的，发包人有权要求承包人返工直至工程质量达到合同约定的标准为止，并由承包人承担由此增加的费用和（或）延误的工期。承包人必须在发包人规定的合理时间内完成，否则发包人有权扣罚该分项工程10%的工程款作为处罚。</w:t>
      </w:r>
    </w:p>
    <w:p w14:paraId="0152C11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5.3 隐蔽工程检查</w:t>
      </w:r>
    </w:p>
    <w:p w14:paraId="75D5786D">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5.3.2承包人提前通知监理人隐蔽工程检查的期限的约定：</w:t>
      </w:r>
      <w:r>
        <w:rPr>
          <w:rFonts w:hint="eastAsia" w:ascii="宋体" w:hAnsi="宋体" w:cs="宋体"/>
          <w:bCs/>
          <w:color w:val="auto"/>
          <w:sz w:val="22"/>
        </w:rPr>
        <w:t>工程隐蔽或中间验</w:t>
      </w:r>
      <w:r>
        <w:rPr>
          <w:rFonts w:hint="eastAsia" w:ascii="宋体" w:hAnsi="宋体" w:cs="宋体"/>
          <w:bCs/>
          <w:color w:val="auto"/>
          <w:sz w:val="22"/>
          <w:highlight w:val="none"/>
        </w:rPr>
        <w:t>收前</w:t>
      </w:r>
      <w:r>
        <w:rPr>
          <w:rFonts w:hint="eastAsia" w:ascii="宋体" w:hAnsi="宋体" w:cs="宋体"/>
          <w:bCs/>
          <w:color w:val="auto"/>
          <w:sz w:val="22"/>
          <w:highlight w:val="none"/>
          <w:lang w:val="en-US" w:eastAsia="zh-CN"/>
        </w:rPr>
        <w:t>24</w:t>
      </w:r>
      <w:r>
        <w:rPr>
          <w:rFonts w:hint="eastAsia" w:ascii="宋体" w:hAnsi="宋体" w:cs="宋体"/>
          <w:bCs/>
          <w:color w:val="auto"/>
          <w:sz w:val="22"/>
          <w:highlight w:val="none"/>
        </w:rPr>
        <w:t>小时</w:t>
      </w:r>
      <w:r>
        <w:rPr>
          <w:rFonts w:hint="eastAsia" w:ascii="宋体" w:hAnsi="宋体" w:cs="宋体"/>
          <w:bCs/>
          <w:color w:val="auto"/>
          <w:sz w:val="22"/>
        </w:rPr>
        <w:t>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6EBD60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监理人不能按时进行检查时，应提前</w:t>
      </w:r>
      <w:r>
        <w:rPr>
          <w:rFonts w:hint="eastAsia" w:ascii="宋体" w:hAnsi="宋体" w:cs="宋体"/>
          <w:color w:val="auto"/>
          <w:sz w:val="22"/>
          <w:u w:val="single"/>
        </w:rPr>
        <w:t xml:space="preserve"> 12 </w:t>
      </w:r>
      <w:r>
        <w:rPr>
          <w:rFonts w:hint="eastAsia" w:ascii="宋体" w:hAnsi="宋体" w:cs="宋体"/>
          <w:color w:val="auto"/>
          <w:sz w:val="22"/>
        </w:rPr>
        <w:t>小时提交书面延期要求。</w:t>
      </w:r>
    </w:p>
    <w:p w14:paraId="11AD6B5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关于延期最长不得超过：</w:t>
      </w:r>
      <w:r>
        <w:rPr>
          <w:rFonts w:hint="eastAsia" w:ascii="宋体" w:hAnsi="宋体" w:cs="宋体"/>
          <w:color w:val="auto"/>
          <w:sz w:val="22"/>
          <w:u w:val="single"/>
        </w:rPr>
        <w:t xml:space="preserve">  24  </w:t>
      </w:r>
      <w:r>
        <w:rPr>
          <w:rFonts w:hint="eastAsia" w:ascii="宋体" w:hAnsi="宋体" w:cs="宋体"/>
          <w:color w:val="auto"/>
          <w:sz w:val="22"/>
        </w:rPr>
        <w:t>小时。</w:t>
      </w:r>
    </w:p>
    <w:p w14:paraId="5B3CD6C1">
      <w:pPr>
        <w:pStyle w:val="40"/>
        <w:spacing w:line="360" w:lineRule="exact"/>
        <w:ind w:firstLine="440" w:firstLineChars="200"/>
        <w:jc w:val="left"/>
        <w:rPr>
          <w:rFonts w:hint="eastAsia" w:ascii="宋体" w:hAnsi="宋体" w:cs="宋体"/>
          <w:color w:val="auto"/>
          <w:sz w:val="22"/>
        </w:rPr>
      </w:pPr>
    </w:p>
    <w:p w14:paraId="0B45B0CF">
      <w:pPr>
        <w:pStyle w:val="70"/>
        <w:spacing w:before="0" w:after="0" w:line="360" w:lineRule="exact"/>
        <w:ind w:firstLine="442" w:firstLineChars="200"/>
        <w:rPr>
          <w:rFonts w:hint="eastAsia" w:ascii="宋体" w:hAnsi="宋体" w:cs="宋体"/>
          <w:color w:val="auto"/>
          <w:sz w:val="22"/>
          <w:szCs w:val="22"/>
        </w:rPr>
      </w:pPr>
      <w:bookmarkStart w:id="390" w:name="_Toc373478366"/>
      <w:bookmarkStart w:id="391" w:name="_Toc373227719"/>
      <w:bookmarkStart w:id="392" w:name="_Toc533432744"/>
      <w:bookmarkStart w:id="393" w:name="_Toc395382521"/>
      <w:bookmarkStart w:id="394" w:name="_Toc389065285"/>
      <w:bookmarkStart w:id="395" w:name="_Toc351203638"/>
      <w:bookmarkStart w:id="396" w:name="_Toc12975909"/>
      <w:r>
        <w:rPr>
          <w:rFonts w:hint="eastAsia" w:ascii="宋体" w:hAnsi="宋体" w:cs="宋体"/>
          <w:color w:val="auto"/>
          <w:sz w:val="22"/>
          <w:szCs w:val="22"/>
        </w:rPr>
        <w:t>6. 安全文明施工与环境保护</w:t>
      </w:r>
      <w:bookmarkEnd w:id="390"/>
      <w:bookmarkEnd w:id="391"/>
      <w:bookmarkEnd w:id="392"/>
      <w:bookmarkEnd w:id="393"/>
      <w:bookmarkEnd w:id="394"/>
      <w:bookmarkEnd w:id="395"/>
      <w:bookmarkEnd w:id="396"/>
    </w:p>
    <w:p w14:paraId="143598E3">
      <w:pPr>
        <w:pStyle w:val="39"/>
        <w:spacing w:line="360" w:lineRule="exact"/>
        <w:ind w:firstLine="442" w:firstLineChars="200"/>
        <w:rPr>
          <w:rFonts w:hint="eastAsia" w:ascii="宋体" w:hAnsi="宋体" w:cs="宋体"/>
          <w:color w:val="auto"/>
          <w:sz w:val="22"/>
          <w:szCs w:val="22"/>
        </w:rPr>
      </w:pPr>
      <w:bookmarkStart w:id="397" w:name="_Toc395382522"/>
      <w:bookmarkStart w:id="398" w:name="_Toc12975910"/>
      <w:bookmarkStart w:id="399" w:name="_Toc373227720"/>
      <w:bookmarkStart w:id="400" w:name="_Toc389065286"/>
      <w:bookmarkStart w:id="401" w:name="_Toc533432745"/>
      <w:bookmarkStart w:id="402" w:name="_Toc373478367"/>
      <w:r>
        <w:rPr>
          <w:rFonts w:hint="eastAsia" w:ascii="宋体" w:hAnsi="宋体" w:cs="宋体"/>
          <w:color w:val="auto"/>
          <w:sz w:val="22"/>
          <w:szCs w:val="22"/>
        </w:rPr>
        <w:t>6.1 安全文明施工</w:t>
      </w:r>
      <w:bookmarkEnd w:id="397"/>
      <w:bookmarkEnd w:id="398"/>
      <w:bookmarkEnd w:id="399"/>
      <w:bookmarkEnd w:id="400"/>
      <w:bookmarkEnd w:id="401"/>
      <w:bookmarkEnd w:id="402"/>
    </w:p>
    <w:p w14:paraId="124B29A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6.1.1 项目安全生产的达标目标及相应事项的约定：</w:t>
      </w:r>
      <w:r>
        <w:rPr>
          <w:rFonts w:hint="eastAsia" w:ascii="宋体" w:hAnsi="宋体" w:cs="宋体"/>
          <w:color w:val="auto"/>
          <w:sz w:val="22"/>
          <w:u w:val="single"/>
        </w:rPr>
        <w:t>要求达到《建筑施工安全检查标准》（JGJ59-2011）的标准和符合《广西壮族自治区建设工程安全文明施工措施费及使用管理细则》（桂建质安</w:t>
      </w:r>
      <w:r>
        <w:rPr>
          <w:rFonts w:hint="eastAsia" w:ascii="宋体" w:hAnsi="宋体" w:cs="宋体"/>
          <w:color w:val="auto"/>
          <w:sz w:val="22"/>
          <w:u w:val="single"/>
          <w:lang w:eastAsia="zh-CN"/>
        </w:rPr>
        <w:t>〔2015〕16号</w:t>
      </w:r>
      <w:r>
        <w:rPr>
          <w:rFonts w:hint="eastAsia" w:ascii="宋体" w:hAnsi="宋体" w:cs="宋体"/>
          <w:color w:val="auto"/>
          <w:sz w:val="22"/>
          <w:u w:val="single"/>
        </w:rPr>
        <w:t xml:space="preserve">文）的要求 </w:t>
      </w:r>
      <w:r>
        <w:rPr>
          <w:rFonts w:hint="eastAsia" w:ascii="宋体" w:hAnsi="宋体" w:cs="宋体"/>
          <w:color w:val="auto"/>
          <w:sz w:val="22"/>
        </w:rPr>
        <w:t>。</w:t>
      </w:r>
    </w:p>
    <w:p w14:paraId="76EA47A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关于安全文明施工奖项的约定：</w:t>
      </w:r>
      <w:r>
        <w:rPr>
          <w:rFonts w:hint="eastAsia" w:ascii="宋体" w:hAnsi="宋体" w:cs="宋体"/>
          <w:color w:val="auto"/>
          <w:sz w:val="22"/>
          <w:u w:val="single"/>
        </w:rPr>
        <w:t xml:space="preserve">  无 </w:t>
      </w:r>
      <w:r>
        <w:rPr>
          <w:rFonts w:hint="eastAsia" w:ascii="宋体" w:hAnsi="宋体" w:cs="宋体"/>
          <w:color w:val="auto"/>
          <w:sz w:val="22"/>
        </w:rPr>
        <w:t>。</w:t>
      </w:r>
    </w:p>
    <w:p w14:paraId="1DFFE3BD">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6.1.4 关于治安保卫的特别约定：</w:t>
      </w:r>
      <w:r>
        <w:rPr>
          <w:rFonts w:hint="eastAsia" w:ascii="宋体" w:hAnsi="宋体" w:cs="宋体"/>
          <w:color w:val="auto"/>
          <w:sz w:val="22"/>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C49B36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关于编制施工场地治安管理计划的约定：</w:t>
      </w:r>
      <w:r>
        <w:rPr>
          <w:rFonts w:hint="eastAsia" w:ascii="宋体" w:hAnsi="宋体" w:cs="宋体"/>
          <w:color w:val="auto"/>
          <w:sz w:val="22"/>
          <w:u w:val="single"/>
        </w:rPr>
        <w:t xml:space="preserve">  开工前3天提供  </w:t>
      </w:r>
      <w:r>
        <w:rPr>
          <w:rFonts w:hint="eastAsia" w:ascii="宋体" w:hAnsi="宋体" w:cs="宋体"/>
          <w:color w:val="auto"/>
          <w:sz w:val="22"/>
        </w:rPr>
        <w:t>。</w:t>
      </w:r>
    </w:p>
    <w:p w14:paraId="678C1CC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6.1.5 文明施工</w:t>
      </w:r>
    </w:p>
    <w:p w14:paraId="1C43A5D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合同当事人对文明施工的要求：</w:t>
      </w:r>
      <w:r>
        <w:rPr>
          <w:rFonts w:hint="eastAsia" w:ascii="宋体" w:hAnsi="宋体" w:cs="宋体"/>
          <w:color w:val="auto"/>
          <w:sz w:val="22"/>
          <w:u w:val="single"/>
        </w:rPr>
        <w:t>要求达到《建筑施工现场环境与卫生标准》（JGJ146-20</w:t>
      </w:r>
      <w:r>
        <w:rPr>
          <w:rFonts w:hint="eastAsia" w:ascii="宋体" w:hAnsi="宋体" w:cs="宋体"/>
          <w:color w:val="auto"/>
          <w:sz w:val="22"/>
          <w:u w:val="single"/>
          <w:lang w:val="en-US" w:eastAsia="zh-CN"/>
        </w:rPr>
        <w:t>13</w:t>
      </w:r>
      <w:r>
        <w:rPr>
          <w:rFonts w:hint="eastAsia" w:ascii="宋体" w:hAnsi="宋体" w:cs="宋体"/>
          <w:color w:val="auto"/>
          <w:sz w:val="22"/>
          <w:u w:val="single"/>
        </w:rPr>
        <w:t>）的标准和符合《广西壮族自治区建筑工程安全文明施工措施费及使用管理细则》（桂建质安</w:t>
      </w:r>
      <w:r>
        <w:rPr>
          <w:rFonts w:hint="eastAsia" w:ascii="宋体" w:hAnsi="宋体" w:cs="宋体"/>
          <w:color w:val="auto"/>
          <w:sz w:val="22"/>
          <w:u w:val="single"/>
          <w:lang w:eastAsia="zh-CN"/>
        </w:rPr>
        <w:t>〔2015〕16号</w:t>
      </w:r>
      <w:r>
        <w:rPr>
          <w:rFonts w:hint="eastAsia" w:ascii="宋体" w:hAnsi="宋体" w:cs="宋体"/>
          <w:color w:val="auto"/>
          <w:sz w:val="22"/>
          <w:u w:val="single"/>
        </w:rPr>
        <w:t xml:space="preserve">文）的要求 </w:t>
      </w:r>
      <w:r>
        <w:rPr>
          <w:rFonts w:hint="eastAsia" w:ascii="宋体" w:hAnsi="宋体" w:cs="宋体"/>
          <w:color w:val="auto"/>
          <w:sz w:val="22"/>
        </w:rPr>
        <w:t>。</w:t>
      </w:r>
    </w:p>
    <w:p w14:paraId="7E08C0F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6.1.6 关于安全文明施工费支付比例和支付期限的约定：</w:t>
      </w:r>
    </w:p>
    <w:p w14:paraId="3D5BA1B7">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（1）本合同价款已包含安全文明施工费</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元。</w:t>
      </w:r>
    </w:p>
    <w:p w14:paraId="05D6A6C0">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（2）使用要求：专款专用。具体按《广西壮族自治区建设工程安全文明施工措施费及管理细则》（桂建质〔2015〕16号）和</w:t>
      </w:r>
      <w:r>
        <w:rPr>
          <w:rFonts w:hint="eastAsia" w:ascii="宋体" w:hAnsi="宋体" w:cs="宋体"/>
          <w:color w:val="auto"/>
          <w:kern w:val="0"/>
          <w:sz w:val="22"/>
          <w:u w:val="single"/>
        </w:rPr>
        <w:t xml:space="preserve">   防城港  </w:t>
      </w:r>
      <w:r>
        <w:rPr>
          <w:rFonts w:hint="eastAsia" w:ascii="宋体" w:hAnsi="宋体" w:cs="宋体"/>
          <w:color w:val="auto"/>
          <w:kern w:val="0"/>
          <w:sz w:val="22"/>
        </w:rPr>
        <w:t>市相关规定执行。</w:t>
      </w:r>
    </w:p>
    <w:p w14:paraId="05A79D3D">
      <w:pPr>
        <w:pStyle w:val="60"/>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（3）支付约定：</w:t>
      </w:r>
      <w:r>
        <w:rPr>
          <w:rFonts w:hint="eastAsia" w:ascii="宋体" w:hAnsi="宋体" w:cs="宋体"/>
          <w:color w:val="auto"/>
          <w:kern w:val="0"/>
          <w:sz w:val="22"/>
          <w:szCs w:val="22"/>
          <w:u w:val="single"/>
        </w:rPr>
        <w:t>安全文明施工费与进度款同期支付。（1）但如承包人某个时期的安全文明施工费投入不足或未达到磋商文件和合同要求的，发包人可根据承包人实际投入及履行情况扣除部分费用，此部分费用被扣除后承包人无权要求发包人再支付。（2）发包人如果认为有必要，可以要求承包人提供满足发包人要求的安全投入详细清单</w:t>
      </w:r>
      <w:r>
        <w:rPr>
          <w:rFonts w:hint="eastAsia" w:ascii="宋体" w:hAnsi="宋体" w:cs="宋体"/>
          <w:color w:val="auto"/>
          <w:kern w:val="0"/>
          <w:sz w:val="22"/>
          <w:szCs w:val="22"/>
        </w:rPr>
        <w:t>。</w:t>
      </w:r>
    </w:p>
    <w:p w14:paraId="73425F72">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（1）</w:t>
      </w:r>
      <w:r>
        <w:rPr>
          <w:rFonts w:hint="eastAsia" w:ascii="宋体" w:hAnsi="宋体" w:cs="宋体"/>
          <w:b/>
          <w:color w:val="auto"/>
          <w:sz w:val="22"/>
          <w:szCs w:val="22"/>
        </w:rPr>
        <w:t>人员基本素质</w:t>
      </w:r>
    </w:p>
    <w:p w14:paraId="3E46DF22">
      <w:pPr>
        <w:pStyle w:val="60"/>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承包商应保证参与本工程人员的基本素质满足下列要求：</w:t>
      </w:r>
    </w:p>
    <w:p w14:paraId="2A0D61B0">
      <w:pPr>
        <w:pStyle w:val="60"/>
        <w:numPr>
          <w:ilvl w:val="0"/>
          <w:numId w:val="4"/>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身体健康，无影响工作的残疾、无工作</w:t>
      </w:r>
      <w:r>
        <w:rPr>
          <w:rFonts w:hint="eastAsia" w:ascii="宋体" w:hAnsi="宋体" w:cs="宋体"/>
          <w:color w:val="auto"/>
          <w:sz w:val="22"/>
          <w:szCs w:val="22"/>
          <w:lang w:eastAsia="zh-CN"/>
        </w:rPr>
        <w:t>禁忌</w:t>
      </w:r>
      <w:r>
        <w:rPr>
          <w:rFonts w:hint="eastAsia" w:ascii="宋体" w:hAnsi="宋体" w:eastAsia="宋体" w:cs="宋体"/>
          <w:color w:val="auto"/>
          <w:sz w:val="22"/>
          <w:szCs w:val="22"/>
          <w:lang w:val="en-US" w:eastAsia="zh-CN"/>
        </w:rPr>
        <w:t>症</w:t>
      </w:r>
      <w:r>
        <w:rPr>
          <w:rFonts w:hint="eastAsia" w:ascii="宋体" w:hAnsi="宋体" w:eastAsia="宋体" w:cs="宋体"/>
          <w:color w:val="auto"/>
          <w:sz w:val="22"/>
          <w:szCs w:val="22"/>
        </w:rPr>
        <w:t>、</w:t>
      </w:r>
      <w:r>
        <w:rPr>
          <w:rFonts w:hint="eastAsia" w:ascii="宋体" w:hAnsi="宋体" w:cs="宋体"/>
          <w:color w:val="auto"/>
          <w:sz w:val="22"/>
          <w:szCs w:val="22"/>
        </w:rPr>
        <w:t>无传染病和其他重大疾病。</w:t>
      </w:r>
    </w:p>
    <w:p w14:paraId="3BE73212">
      <w:pPr>
        <w:pStyle w:val="60"/>
        <w:numPr>
          <w:ilvl w:val="0"/>
          <w:numId w:val="4"/>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无刑事案件牵连。</w:t>
      </w:r>
    </w:p>
    <w:p w14:paraId="5BB6587B">
      <w:pPr>
        <w:pStyle w:val="60"/>
        <w:numPr>
          <w:ilvl w:val="0"/>
          <w:numId w:val="4"/>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无吸毒、酗酒、赌博、嫖娼等恶习。</w:t>
      </w:r>
    </w:p>
    <w:p w14:paraId="7F38BE56">
      <w:pPr>
        <w:pStyle w:val="60"/>
        <w:numPr>
          <w:ilvl w:val="0"/>
          <w:numId w:val="4"/>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文化程度（教育水平）或技能水平与所从事的工种相适应（说明主要工种的文化水平、技能水平要求）。</w:t>
      </w:r>
    </w:p>
    <w:p w14:paraId="0E588573">
      <w:pPr>
        <w:pStyle w:val="60"/>
        <w:numPr>
          <w:ilvl w:val="0"/>
          <w:numId w:val="4"/>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工作经验（经历）与所从事的工种相适应（说明主要工种的工作经验/经历基本要求）</w:t>
      </w:r>
    </w:p>
    <w:p w14:paraId="0053957F">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（2）</w:t>
      </w:r>
      <w:r>
        <w:rPr>
          <w:rFonts w:hint="eastAsia" w:ascii="宋体" w:hAnsi="宋体" w:cs="宋体"/>
          <w:b/>
          <w:color w:val="auto"/>
          <w:sz w:val="22"/>
          <w:szCs w:val="22"/>
        </w:rPr>
        <w:t>职业健康与卫生防疫</w:t>
      </w:r>
    </w:p>
    <w:p w14:paraId="4B88B372">
      <w:pPr>
        <w:pStyle w:val="60"/>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承包商应根据发包人要求提供以下文件：</w:t>
      </w:r>
    </w:p>
    <w:p w14:paraId="34DB7293">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承包商应有职工体检制度和健康推进计划，其中应包括工时控制、休息娱乐、体育活动方面的内容。</w:t>
      </w:r>
    </w:p>
    <w:p w14:paraId="6BE582EC">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承包商应有特殊健康检查制度，预防有</w:t>
      </w:r>
      <w:r>
        <w:rPr>
          <w:rFonts w:hint="eastAsia" w:ascii="宋体" w:hAnsi="宋体" w:cs="宋体"/>
          <w:color w:val="auto"/>
          <w:sz w:val="22"/>
          <w:szCs w:val="22"/>
          <w:lang w:eastAsia="zh-CN"/>
        </w:rPr>
        <w:t>禁忌证</w:t>
      </w:r>
      <w:r>
        <w:rPr>
          <w:rFonts w:hint="eastAsia" w:ascii="宋体" w:hAnsi="宋体" w:cs="宋体"/>
          <w:color w:val="auto"/>
          <w:sz w:val="22"/>
          <w:szCs w:val="22"/>
        </w:rPr>
        <w:t>患者从事有关职业，如恐高 症患者不得从事高处作业，患有心血管疾病的人员不得从事繁重的体力劳动，特殊工种人员的体检应符合国家的规定。</w:t>
      </w:r>
    </w:p>
    <w:p w14:paraId="0158E5DF">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建立卫生防疫措施计划，做好生活区和施工区的卫生防疫工作。有灭蚊、灭鼠和消毒的专项工作计划，有针对性地制订预防SARS、H1N1流感、禽流感、疟疾、霍乱、肠道传染病、肝炎等传染性疾病的措施，有确保饮水卫生、饮食卫生、环境卫生和预防集体食物中毒的措施。</w:t>
      </w:r>
    </w:p>
    <w:p w14:paraId="22D3DB45">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承包商应服从发包人卫生防疫部门的统一协调和管理。</w:t>
      </w:r>
    </w:p>
    <w:p w14:paraId="6D0980EC">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（3）</w:t>
      </w:r>
      <w:r>
        <w:rPr>
          <w:rFonts w:hint="eastAsia" w:ascii="宋体" w:hAnsi="宋体" w:cs="宋体"/>
          <w:b/>
          <w:color w:val="auto"/>
          <w:sz w:val="22"/>
          <w:szCs w:val="22"/>
        </w:rPr>
        <w:t>交通、运输安全、环境管理</w:t>
      </w:r>
    </w:p>
    <w:p w14:paraId="7C7D93AA">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承包商应充分考虑本工程的特点，采取科学的施工工艺和有效的安全防护措施，确保施工期间道路的畅通及安全。</w:t>
      </w:r>
    </w:p>
    <w:p w14:paraId="18E40D3F">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上山道路的最小曲率半径不得小于15米；最大纵向坡度不得超过12％。</w:t>
      </w:r>
    </w:p>
    <w:p w14:paraId="11F85D73">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双车道的路面宽度，应保证会车安全。陡长坡道的尽端弯道，不宜采用最小平曲线半径。弯道处会车视距若不能满足要求，则应分设车道。</w:t>
      </w:r>
    </w:p>
    <w:p w14:paraId="63380469">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山坡填方的弯道、坡度较大的填方地段以及高堤路基路段外侧应设置护栏、挡车墙、挡车防护土坎、安全标志牌等。</w:t>
      </w:r>
    </w:p>
    <w:p w14:paraId="5A44C4FC">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上山道路应经常维护，保持道路畅通；上山道路的排水系统经常维护，保持其有效可用。</w:t>
      </w:r>
    </w:p>
    <w:p w14:paraId="36C8892B">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通向装卸地点道路的坡度大于10％时，禁止汽车倒车行驶。</w:t>
      </w:r>
    </w:p>
    <w:p w14:paraId="425896D0">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驾驶员必须严格执行</w:t>
      </w:r>
      <w:r>
        <w:rPr>
          <w:rFonts w:hint="eastAsia" w:ascii="宋体" w:hAnsi="宋体" w:cs="宋体"/>
          <w:color w:val="auto"/>
          <w:sz w:val="22"/>
          <w:szCs w:val="22"/>
          <w:lang w:eastAsia="zh-CN"/>
        </w:rPr>
        <w:t>交通运输部</w:t>
      </w:r>
      <w:r>
        <w:rPr>
          <w:rFonts w:hint="eastAsia" w:ascii="宋体" w:hAnsi="宋体" w:cs="宋体"/>
          <w:color w:val="auto"/>
          <w:sz w:val="22"/>
          <w:szCs w:val="22"/>
        </w:rPr>
        <w:t>颁布的交通规则和技术操作规程，严禁无证、酒后、超速、超载、抢道、遗洒等违章行为。</w:t>
      </w:r>
    </w:p>
    <w:p w14:paraId="4BFE5DB6">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驾驶机动车辆时严禁服用国家管制的精神药品或麻醉药品。</w:t>
      </w:r>
    </w:p>
    <w:p w14:paraId="167AB445">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装车时驾驶员禁止检查、维护车辆。</w:t>
      </w:r>
    </w:p>
    <w:p w14:paraId="50154637">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装车时驾驶员不宜离开驾驶室，禁止将头和手臂伸出驾驶室外。</w:t>
      </w:r>
    </w:p>
    <w:p w14:paraId="0BD0B898">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严禁穿拖鞋驾驶车辆，或拖拉工作鞋驾驶车辆。</w:t>
      </w:r>
    </w:p>
    <w:p w14:paraId="117899C5">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卸载作业场地应经常保持平整，并保有3%</w:t>
      </w:r>
      <w:r>
        <w:rPr>
          <w:rFonts w:hint="eastAsia" w:ascii="宋体" w:hAnsi="宋体" w:cs="宋体"/>
          <w:color w:val="auto"/>
          <w:sz w:val="22"/>
          <w:szCs w:val="22"/>
          <w:lang w:eastAsia="zh-CN"/>
        </w:rPr>
        <w:t>～</w:t>
      </w:r>
      <w:r>
        <w:rPr>
          <w:rFonts w:hint="eastAsia" w:ascii="宋体" w:hAnsi="宋体" w:cs="宋体"/>
          <w:color w:val="auto"/>
          <w:sz w:val="22"/>
          <w:szCs w:val="22"/>
        </w:rPr>
        <w:t>5%的反坡。</w:t>
      </w:r>
    </w:p>
    <w:p w14:paraId="569449E9">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卸载作业场地应有专人指挥，在同一地段不准同时进行卸载和推排作业。</w:t>
      </w:r>
    </w:p>
    <w:p w14:paraId="139563A3">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卸载场地的倒车指挥人员，须穿反光衣、手持指挥小红旗、夜间配手持照明工具。</w:t>
      </w:r>
    </w:p>
    <w:p w14:paraId="3CBCBAC7">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车辆外缘至平台临边应保持3米以上距离。</w:t>
      </w:r>
    </w:p>
    <w:p w14:paraId="3798E73F">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承包商的车辆必须证照齐全，车容车貌良好、车辆安全附属装置完好；严禁使用报废车辆或无牌无证车辆。</w:t>
      </w:r>
    </w:p>
    <w:p w14:paraId="5071552C">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车辆超长、超宽、超高运输，必须征得发包人的许可。</w:t>
      </w:r>
    </w:p>
    <w:p w14:paraId="44B78097">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承包商的运输车辆必须满足安全要求，刹车系统、灯光系统良好。</w:t>
      </w:r>
    </w:p>
    <w:p w14:paraId="3E7740BA">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载重土石方运输车辆的土、石不得超过车厢边沿。</w:t>
      </w:r>
    </w:p>
    <w:p w14:paraId="7936E6EF">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车辆的装载必须符合车辆装载规定的要求，禁止超高、超宽、超重装载，禁止车辆在道路上的遗洒。</w:t>
      </w:r>
    </w:p>
    <w:p w14:paraId="1F2ACA3A">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车辆的检查、保养、维修必须有本质的安全防护措施。</w:t>
      </w:r>
    </w:p>
    <w:p w14:paraId="47035DB9">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车辆在</w:t>
      </w:r>
      <w:r>
        <w:rPr>
          <w:rFonts w:hint="eastAsia" w:ascii="宋体" w:hAnsi="宋体" w:cs="宋体"/>
          <w:color w:val="auto"/>
          <w:sz w:val="22"/>
          <w:szCs w:val="22"/>
          <w:lang w:eastAsia="zh-CN"/>
        </w:rPr>
        <w:t>行驶</w:t>
      </w:r>
      <w:r>
        <w:rPr>
          <w:rFonts w:hint="eastAsia" w:ascii="宋体" w:hAnsi="宋体" w:cs="宋体"/>
          <w:color w:val="auto"/>
          <w:sz w:val="22"/>
          <w:szCs w:val="22"/>
        </w:rPr>
        <w:t>中故障，必须有警示措施，这些警示措施需符合道路交通安全的规定。</w:t>
      </w:r>
    </w:p>
    <w:p w14:paraId="1F8D3AAE">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土石方运输车辆的转向轮胎严禁使用翻新胎或套胎；中、后桥的轮胎使用翻新胎或套胎的，需制定发包人许可的更换标准并严格遵守。</w:t>
      </w:r>
    </w:p>
    <w:p w14:paraId="37B2D6A6">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承包商必须对施工道路、运输道路进行日常的保养和维护，防止坑洼不平。</w:t>
      </w:r>
    </w:p>
    <w:p w14:paraId="2DAE7BF5">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承包商应配备洒水车对施工道路、运输道路进行洒水除尘；当洒水除尘效果不能满足发包人的环保要求时，承包商有责任增加洒水车洒水除尘。</w:t>
      </w:r>
    </w:p>
    <w:p w14:paraId="6BEBFA73">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上山道路雨天泥泞、湿滑应停止施工。</w:t>
      </w:r>
    </w:p>
    <w:p w14:paraId="54D61A12">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车辆在运输时不能</w:t>
      </w:r>
      <w:r>
        <w:rPr>
          <w:rFonts w:hint="eastAsia" w:ascii="宋体" w:hAnsi="宋体" w:cs="宋体"/>
          <w:color w:val="auto"/>
          <w:sz w:val="22"/>
          <w:szCs w:val="22"/>
          <w:lang w:eastAsia="zh-CN"/>
        </w:rPr>
        <w:t>装得</w:t>
      </w:r>
      <w:r>
        <w:rPr>
          <w:rFonts w:hint="eastAsia" w:ascii="宋体" w:hAnsi="宋体" w:cs="宋体"/>
          <w:color w:val="auto"/>
          <w:sz w:val="22"/>
          <w:szCs w:val="22"/>
        </w:rPr>
        <w:t>太满导致沿路遗洒，对洒落的渣料应及时清理。</w:t>
      </w:r>
    </w:p>
    <w:p w14:paraId="0E1CF4AF">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车辆在运输过程中应依限速要求行驶，严禁超速、超载。</w:t>
      </w:r>
    </w:p>
    <w:p w14:paraId="6BE3E11A">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承包商应建立占用公用道路施工控制程序，实施占道施工许可证管理并得到发包人的书面批准。</w:t>
      </w:r>
    </w:p>
    <w:p w14:paraId="32EE392F">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根据属地管理的原则，对进入施工区的人员和车辆进行统一的协调和管理。</w:t>
      </w:r>
    </w:p>
    <w:p w14:paraId="199EE92A">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（4）</w:t>
      </w:r>
      <w:r>
        <w:rPr>
          <w:rFonts w:hint="eastAsia" w:ascii="宋体" w:hAnsi="宋体" w:cs="宋体"/>
          <w:color w:val="auto"/>
          <w:sz w:val="22"/>
          <w:szCs w:val="22"/>
        </w:rPr>
        <w:t xml:space="preserve"> </w:t>
      </w:r>
      <w:r>
        <w:rPr>
          <w:rFonts w:hint="eastAsia" w:ascii="宋体" w:hAnsi="宋体" w:cs="宋体"/>
          <w:b/>
          <w:color w:val="auto"/>
          <w:sz w:val="22"/>
          <w:szCs w:val="22"/>
        </w:rPr>
        <w:t>施工队劳务（劳务工）安全、环境管理</w:t>
      </w:r>
    </w:p>
    <w:p w14:paraId="07AB2305">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承包商应向发包人提供施工队伍中分包商、劳务工的信息。这些信息应包括活动的内容、人数、与承包商合作的历史、劳务工来源等。</w:t>
      </w:r>
    </w:p>
    <w:p w14:paraId="1016350A">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承包商应对分包商、施工队、劳务提供单位的安全、环境资质实行有效控制，其安全、环境资质的审查文件应提供给发包人检查。</w:t>
      </w:r>
    </w:p>
    <w:p w14:paraId="1F50F4DE">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承包商的安全、环境管理组织机构和岗位职责必须覆盖到分包队伍和所有人员。</w:t>
      </w:r>
    </w:p>
    <w:p w14:paraId="39A895DB">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承包商必须确保以下各方面的安全、环境管理：</w:t>
      </w:r>
    </w:p>
    <w:p w14:paraId="1AB1D9FA">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不得使用童工。</w:t>
      </w:r>
    </w:p>
    <w:p w14:paraId="652B48FA">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保障妇女的劳动保护权益。</w:t>
      </w:r>
    </w:p>
    <w:p w14:paraId="21260928">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施工队的劳务工工资按时足量发放，不得克扣、拖延。</w:t>
      </w:r>
    </w:p>
    <w:p w14:paraId="5884C802">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施工队员工和临时劳务工的工作时间合理，不得超量加班，避免疲劳过度而发生事故。</w:t>
      </w:r>
    </w:p>
    <w:p w14:paraId="7261E660">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为劳务工免费提供满足本合同要求的劳动保护用品。</w:t>
      </w:r>
    </w:p>
    <w:p w14:paraId="07F7B782">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为施工队劳务工提供符合三防、卫生、消防、安全要求的生活居住条件，并将居住场所和人数以书面形式报给发包人。</w:t>
      </w:r>
    </w:p>
    <w:p w14:paraId="5CA26B89">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必须为劳务人员购买工伤保险或意外伤害保险、办理暂住证，并将证明文件的复印件提交给发包人备案。</w:t>
      </w:r>
    </w:p>
    <w:p w14:paraId="0D00B828">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必须为劳务人员提供符合安全要求的上下班交通客车。</w:t>
      </w:r>
    </w:p>
    <w:p w14:paraId="63CBAA86">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劳务工必须和职工一起编队分配工作并进行管理，严禁没有工作经验的劳务工单独承担独立工作。</w:t>
      </w:r>
    </w:p>
    <w:p w14:paraId="48111703">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（5）</w:t>
      </w:r>
      <w:r>
        <w:rPr>
          <w:rFonts w:hint="eastAsia" w:ascii="宋体" w:hAnsi="宋体" w:cs="宋体"/>
          <w:b/>
          <w:color w:val="auto"/>
          <w:sz w:val="22"/>
          <w:szCs w:val="22"/>
        </w:rPr>
        <w:t>施工临建安全</w:t>
      </w:r>
    </w:p>
    <w:p w14:paraId="0FC4613D">
      <w:pPr>
        <w:pStyle w:val="60"/>
        <w:numPr>
          <w:ilvl w:val="1"/>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承包商禁止擅动现场公用设施，如占据消防通道、非事故情况下动用消防水、拆除安全围栏和标志、揭开沟道、堵塞泄洪道、私接电源、擅自堆放物料等等。</w:t>
      </w:r>
    </w:p>
    <w:p w14:paraId="1122818C">
      <w:pPr>
        <w:pStyle w:val="60"/>
        <w:numPr>
          <w:ilvl w:val="1"/>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承包商应维持责任范围内的道路、给排水、厕所、污水处理等基础设施的安全状态。</w:t>
      </w:r>
    </w:p>
    <w:p w14:paraId="2DD83DF3">
      <w:pPr>
        <w:pStyle w:val="60"/>
        <w:numPr>
          <w:ilvl w:val="1"/>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在发包人管辖区域内所建立的临建设施，如车间、仓库、加工场地、预制场地等等，必须满足发包人的规划要求，这些临建设施必须具备基本的安全性能，包括抗震、防台、防雷、消防、逃生通道、安全距离、应急照明、通风空调、卫生、安全标志、防盗等性能。对于有特殊风险的厂房，则必须配置专设安全装置。厂房内使用的特种机械，如行车、机床、充电设备等，必须符合国家强制性标准和特种设备的监察要求。存放危险化学品、压缩气体、射线探伤装置和放射源的设施，必须满足分隔存放等安全要求，禁止混放。</w:t>
      </w:r>
    </w:p>
    <w:p w14:paraId="044378E8">
      <w:pPr>
        <w:pStyle w:val="60"/>
        <w:numPr>
          <w:ilvl w:val="1"/>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长期使用（超过半年）的临时施工建筑的建设标准应不低于地方规范，建筑设计应报送消防大队进行建筑设计消防审查。禁止使用毛竹、芦席、油毛毡等可燃材料搭制临时工棚和仓库。</w:t>
      </w:r>
    </w:p>
    <w:p w14:paraId="13E90CE1">
      <w:pPr>
        <w:pStyle w:val="60"/>
        <w:numPr>
          <w:ilvl w:val="1"/>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建立“施工区域安全管理”制度，包括指定施工区域的安全负责人或协调人，建立安全检查制度，包括防火、照明、通风、防雷、防涝、防台风、物料管理、危险品管理、用电安全管理、灭火器材管理、安全警示牌管理、清洁卫生等内容。</w:t>
      </w:r>
    </w:p>
    <w:p w14:paraId="110368C2">
      <w:pPr>
        <w:pStyle w:val="60"/>
        <w:numPr>
          <w:ilvl w:val="1"/>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禁止使用或出租发包人管辖区域内的设施从事与合同无关的活动，与设施的安全生产条件不符的活动或</w:t>
      </w:r>
      <w:r>
        <w:rPr>
          <w:rFonts w:hint="eastAsia" w:ascii="宋体" w:hAnsi="宋体" w:cs="宋体"/>
          <w:color w:val="auto"/>
          <w:sz w:val="22"/>
          <w:szCs w:val="22"/>
          <w:lang w:eastAsia="zh-CN"/>
        </w:rPr>
        <w:t>改作</w:t>
      </w:r>
      <w:r>
        <w:rPr>
          <w:rFonts w:hint="eastAsia" w:ascii="宋体" w:hAnsi="宋体" w:cs="宋体"/>
          <w:color w:val="auto"/>
          <w:sz w:val="22"/>
          <w:szCs w:val="22"/>
        </w:rPr>
        <w:t>与设施的安全生产条件不符的用途。</w:t>
      </w:r>
    </w:p>
    <w:p w14:paraId="2679C1BA">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（6）</w:t>
      </w:r>
      <w:r>
        <w:rPr>
          <w:rFonts w:hint="eastAsia" w:ascii="宋体" w:hAnsi="宋体" w:cs="宋体"/>
          <w:b/>
          <w:color w:val="auto"/>
          <w:sz w:val="22"/>
          <w:szCs w:val="22"/>
        </w:rPr>
        <w:t xml:space="preserve"> 生活区安全、环境管理</w:t>
      </w:r>
    </w:p>
    <w:p w14:paraId="451BD2D3">
      <w:pPr>
        <w:pStyle w:val="60"/>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承包商应制定生活营地管理规定（包括劳务工的生活营地）并报发包人备案。</w:t>
      </w:r>
    </w:p>
    <w:p w14:paraId="661E0B44">
      <w:pPr>
        <w:pStyle w:val="60"/>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开工前承包商需将所有人员的居住场所和人员数量以书面的形式提交给发包人，发包人方将进行核查，如不满足安全、环境保护要求，将建议整改，在限期内达不到要求的，发包人将不予支付临建经费。</w:t>
      </w:r>
    </w:p>
    <w:p w14:paraId="505EE01A">
      <w:pPr>
        <w:pStyle w:val="60"/>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施工现场不允许安排生活临建。</w:t>
      </w:r>
    </w:p>
    <w:p w14:paraId="40DF29A1">
      <w:pPr>
        <w:pStyle w:val="60"/>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承包商的生活临建不允许是工棚、铁皮房、石棉瓦房等不符合三防要求的建筑物，严禁租赁“危房”做生活营地。</w:t>
      </w:r>
    </w:p>
    <w:p w14:paraId="40B666EC">
      <w:pPr>
        <w:pStyle w:val="60"/>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生活营地应满足消防、安全用电、卫生防疫、防抗台风、暴雨、雷击等方面的安全条件，并建立相应的管理制度；尤其严格消防管理，禁止封锁逃生通道，禁止使用工作场所、仓库、生活场所“三合一”的设施。</w:t>
      </w:r>
    </w:p>
    <w:p w14:paraId="6FD6D6AD">
      <w:pPr>
        <w:pStyle w:val="60"/>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承包商的食堂要满足卫生要求，人员要定期体检，不能有传染病；要有消毒、冷藏设施，生、熟食要分开。</w:t>
      </w:r>
    </w:p>
    <w:p w14:paraId="5618CF22">
      <w:pPr>
        <w:pStyle w:val="60"/>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sz w:val="22"/>
          <w:szCs w:val="22"/>
        </w:rPr>
        <w:t>在采购食品时要注意食品安全，禁止提供变质、过期食品，防止集体食物中毒。</w:t>
      </w:r>
    </w:p>
    <w:p w14:paraId="2C466AFA">
      <w:pPr>
        <w:pStyle w:val="39"/>
        <w:spacing w:line="360" w:lineRule="exact"/>
        <w:ind w:firstLine="442" w:firstLineChars="200"/>
        <w:rPr>
          <w:rFonts w:hint="eastAsia" w:ascii="宋体" w:hAnsi="宋体" w:cs="宋体"/>
          <w:color w:val="auto"/>
          <w:sz w:val="22"/>
          <w:szCs w:val="22"/>
        </w:rPr>
      </w:pPr>
      <w:bookmarkStart w:id="403" w:name="_Toc395382523"/>
      <w:bookmarkStart w:id="404" w:name="_Toc389065287"/>
      <w:bookmarkStart w:id="405" w:name="_Toc12975911"/>
      <w:bookmarkStart w:id="406" w:name="_Toc373227721"/>
      <w:bookmarkStart w:id="407" w:name="_Toc533432746"/>
      <w:bookmarkStart w:id="408" w:name="_Toc373478368"/>
      <w:r>
        <w:rPr>
          <w:rFonts w:hint="eastAsia" w:ascii="宋体" w:hAnsi="宋体" w:cs="宋体"/>
          <w:color w:val="auto"/>
          <w:sz w:val="22"/>
          <w:szCs w:val="22"/>
        </w:rPr>
        <w:t>6.3 环境保护</w:t>
      </w:r>
      <w:bookmarkEnd w:id="403"/>
      <w:bookmarkEnd w:id="404"/>
      <w:bookmarkEnd w:id="405"/>
      <w:bookmarkEnd w:id="406"/>
      <w:bookmarkEnd w:id="407"/>
      <w:bookmarkEnd w:id="408"/>
    </w:p>
    <w:p w14:paraId="0CAF0716">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因施工需要，经发包人批准，由承包人办理有关施工场地交通、环卫和施工噪音管理等手续，费用由承包人负责。</w:t>
      </w:r>
    </w:p>
    <w:p w14:paraId="17B116E0">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经过城市道路的施工车辆，必须按交警、城管、运输等部门相关规定执行。由于施工车辆造成的道路、环境等污染，其责任和费用均由承包人承担。</w:t>
      </w:r>
    </w:p>
    <w:p w14:paraId="5C137CE4">
      <w:pPr>
        <w:pStyle w:val="60"/>
        <w:spacing w:line="360" w:lineRule="exact"/>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一、土地资源的保护</w:t>
      </w:r>
    </w:p>
    <w:p w14:paraId="10615BC4">
      <w:pPr>
        <w:pStyle w:val="60"/>
        <w:numPr>
          <w:ilvl w:val="0"/>
          <w:numId w:val="11"/>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妥善处理废方，山坡弃土应尽量避免破坏或掩埋路基（场地）下侧的林木、农田</w:t>
      </w:r>
      <w:r>
        <w:rPr>
          <w:rFonts w:hint="eastAsia" w:ascii="宋体" w:hAnsi="宋体" w:cs="宋体"/>
          <w:color w:val="auto"/>
          <w:sz w:val="22"/>
          <w:szCs w:val="22"/>
          <w:u w:val="single"/>
          <w:lang w:eastAsia="zh-CN"/>
        </w:rPr>
        <w:t>及其他</w:t>
      </w:r>
      <w:r>
        <w:rPr>
          <w:rFonts w:hint="eastAsia" w:ascii="宋体" w:hAnsi="宋体" w:cs="宋体"/>
          <w:color w:val="auto"/>
          <w:sz w:val="22"/>
          <w:szCs w:val="22"/>
          <w:u w:val="single"/>
        </w:rPr>
        <w:t>工程设施。沿河弃土应避免壅塞河道、改变水流方向和抬高水位而淹没或冲毁农田、房屋。应重视弃土堆的复垦，有条件时，宜在弃土堆顶面绿化，或整平成为耕地。</w:t>
      </w:r>
    </w:p>
    <w:p w14:paraId="12D646CA">
      <w:pPr>
        <w:pStyle w:val="60"/>
        <w:numPr>
          <w:ilvl w:val="0"/>
          <w:numId w:val="11"/>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取土坑应选在高地、荒地上，尽量不占耕地；当必须从耕地取土时，应将表面种植土铲除，集中成堆保存，并在工程交工前做好还地工作。对于深而宽的取土坑，可根据当地需要，用作蓄水池或鱼塘。在多年的经济作物区或重要的绿化带，不得设置取土坑。</w:t>
      </w:r>
    </w:p>
    <w:p w14:paraId="3539F51C">
      <w:pPr>
        <w:pStyle w:val="60"/>
        <w:numPr>
          <w:ilvl w:val="0"/>
          <w:numId w:val="11"/>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在河床采砂砾材料时，必须注意防止对河流状态的改变，并应符合</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中华人民共和国水法</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的规定，即：“在行洪、排涝河流和航道范围内开采砂石、砂金，必须经河道主管部门批准，按照批准的范围和作业方式开采，涉及航道的，由河道主管部门会</w:t>
      </w:r>
      <w:r>
        <w:rPr>
          <w:rFonts w:hint="eastAsia" w:ascii="宋体" w:hAnsi="宋体" w:eastAsia="宋体" w:cs="宋体"/>
          <w:color w:val="auto"/>
          <w:sz w:val="22"/>
          <w:szCs w:val="22"/>
          <w:u w:val="single"/>
        </w:rPr>
        <w:t>同</w:t>
      </w:r>
      <w:r>
        <w:rPr>
          <w:rFonts w:hint="eastAsia" w:ascii="宋体" w:hAnsi="宋体" w:eastAsia="宋体" w:cs="宋体"/>
          <w:color w:val="auto"/>
          <w:sz w:val="22"/>
          <w:szCs w:val="22"/>
          <w:u w:val="single"/>
          <w:lang w:val="en-US" w:eastAsia="zh-CN"/>
        </w:rPr>
        <w:t>航</w:t>
      </w:r>
      <w:r>
        <w:rPr>
          <w:rFonts w:hint="eastAsia" w:ascii="宋体" w:hAnsi="宋体" w:eastAsia="宋体" w:cs="宋体"/>
          <w:color w:val="auto"/>
          <w:sz w:val="22"/>
          <w:szCs w:val="22"/>
          <w:u w:val="single"/>
        </w:rPr>
        <w:t>道主管部门</w:t>
      </w:r>
      <w:r>
        <w:rPr>
          <w:rFonts w:hint="eastAsia" w:ascii="宋体" w:hAnsi="宋体" w:cs="宋体"/>
          <w:color w:val="auto"/>
          <w:sz w:val="22"/>
          <w:szCs w:val="22"/>
          <w:u w:val="single"/>
        </w:rPr>
        <w:t>批准”的规定。</w:t>
      </w:r>
    </w:p>
    <w:p w14:paraId="5D93533F">
      <w:pPr>
        <w:pStyle w:val="60"/>
        <w:numPr>
          <w:ilvl w:val="0"/>
          <w:numId w:val="11"/>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采石场的位置，应结合环境保护的要求选择，其中包括噪声、爆破引起的地下振动、公共安全问题等。采石场的位置，应征得当地政府及环境管理部门的同意并办理必要的手续。</w:t>
      </w:r>
    </w:p>
    <w:p w14:paraId="1E854290">
      <w:pPr>
        <w:pStyle w:val="60"/>
        <w:numPr>
          <w:ilvl w:val="0"/>
          <w:numId w:val="11"/>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对施工人员加强保护自然资源及野生植物的教育，在雇用合同中规定严禁偷猎和随意砍伐树木。</w:t>
      </w:r>
    </w:p>
    <w:p w14:paraId="2C4A0D4C">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二、防止水土流失和废料废方处理</w:t>
      </w:r>
    </w:p>
    <w:p w14:paraId="59738553">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（1）</w:t>
      </w:r>
      <w:r>
        <w:rPr>
          <w:rFonts w:hint="eastAsia" w:ascii="宋体" w:hAnsi="宋体" w:cs="宋体"/>
          <w:color w:val="auto"/>
          <w:sz w:val="22"/>
          <w:szCs w:val="22"/>
          <w:u w:val="single"/>
        </w:rPr>
        <w:t>防水排水</w:t>
      </w:r>
    </w:p>
    <w:p w14:paraId="5BCAA76D">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1）在施工期间应始终保持工地的良好的排水状态，修建必要的临时排水渠道，并与永久性排水设施相连接，且不得引起淤积和冲刷。</w:t>
      </w:r>
    </w:p>
    <w:p w14:paraId="5950B2B2">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2）因承包商未设置足够的排水设施致使土方工程遭受破坏时，其责任由承包商自负。</w:t>
      </w:r>
    </w:p>
    <w:p w14:paraId="3E936A9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3）雨季填筑路堤应随挖、随运、随填、随压实，依次进行；每层表面应筑成适当的横坡，使不积水。</w:t>
      </w:r>
    </w:p>
    <w:p w14:paraId="13163B72">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（2）</w:t>
      </w:r>
      <w:r>
        <w:rPr>
          <w:rFonts w:hint="eastAsia" w:ascii="宋体" w:hAnsi="宋体" w:cs="宋体"/>
          <w:color w:val="auto"/>
          <w:sz w:val="22"/>
          <w:szCs w:val="22"/>
          <w:u w:val="single"/>
        </w:rPr>
        <w:t>冲刷与淤积</w:t>
      </w:r>
    </w:p>
    <w:p w14:paraId="65D0408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1）承包商应采取有效预防措施，防止施工场所占用的土地或临时使用的土地受到冲刷。</w:t>
      </w:r>
    </w:p>
    <w:p w14:paraId="56069C4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2）承包商应采取有效预防措施，防止从本工程施工中开挖的土石材料，对河流、水道、灌溉或排水系统产生淤积或堵塞。</w:t>
      </w:r>
    </w:p>
    <w:p w14:paraId="2D0B5355">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3）施工中的临时排水系统，应能最大限度地减少水土流失及对水文状态的改变。</w:t>
      </w:r>
    </w:p>
    <w:p w14:paraId="1D1B29D5">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4）开挖或填筑的土质路基边坡应及时采取防护措施，防止雨季到来时水流对坡面的冲刷而影响排水系统的功能，减少对附近水域的污染。</w:t>
      </w:r>
    </w:p>
    <w:p w14:paraId="19E825FB">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5）承包商不管出于任何需要，未经发包人的事先书面同意，不得干扰河道、水道或现有灌溉或排水系统的自然流动，以免导致冲刷与淤积的发生。</w:t>
      </w:r>
    </w:p>
    <w:p w14:paraId="742570C0">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（3）</w:t>
      </w:r>
      <w:r>
        <w:rPr>
          <w:rFonts w:hint="eastAsia" w:ascii="宋体" w:hAnsi="宋体" w:cs="宋体"/>
          <w:color w:val="auto"/>
          <w:sz w:val="22"/>
          <w:szCs w:val="22"/>
          <w:u w:val="single"/>
        </w:rPr>
        <w:t>废料废方的处理</w:t>
      </w:r>
    </w:p>
    <w:p w14:paraId="6AB2CF7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1）清理场地的废料和土石方工程的废方处理，不得影响排灌系统及农田水利设施，不得向江河、湖泊、水库和专门堆放地以外的</w:t>
      </w:r>
      <w:r>
        <w:rPr>
          <w:rFonts w:hint="eastAsia" w:ascii="宋体" w:hAnsi="宋体" w:cs="宋体"/>
          <w:color w:val="auto"/>
          <w:sz w:val="22"/>
          <w:szCs w:val="22"/>
          <w:u w:val="single"/>
          <w:lang w:eastAsia="zh-CN"/>
        </w:rPr>
        <w:t>地方</w:t>
      </w:r>
      <w:r>
        <w:rPr>
          <w:rFonts w:hint="eastAsia" w:ascii="宋体" w:hAnsi="宋体" w:cs="宋体"/>
          <w:color w:val="auto"/>
          <w:sz w:val="22"/>
          <w:szCs w:val="22"/>
          <w:u w:val="single"/>
        </w:rPr>
        <w:t>倾倒。应按图纸规定或发包人的指示在适当地点设置弃土场，有条件时，力求少占土地，并对弃土进行整治利用。</w:t>
      </w:r>
    </w:p>
    <w:p w14:paraId="3647E8E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2）当设置弃土堆时，应按相关规定执行。</w:t>
      </w:r>
    </w:p>
    <w:p w14:paraId="7C3865C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桥梁施工过程中的泥浆及废弃物等，应在工程完工时即时清除干净，以免堵塞河道和妨碍交通，禁止直接排放到原有水系。</w:t>
      </w:r>
    </w:p>
    <w:p w14:paraId="4C0E5ED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挖方工程及隧道工程的大型弃方场地，应采取以下水土保持措施：</w:t>
      </w:r>
    </w:p>
    <w:p w14:paraId="69542E18">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a.废方堆放点应统筹安排，堆放点应远离河道，尽量不要压盖植被，尽可能选择荒地；</w:t>
      </w:r>
    </w:p>
    <w:p w14:paraId="3B93961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b.及时对弃方进行压实，并在其表面植被覆盖。可以种植草皮、灌木或树木，达到防止水土流失、美化环境的目的；</w:t>
      </w:r>
    </w:p>
    <w:p w14:paraId="7F48DAA8">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c.尽可能对弃土方整平用作耕地；</w:t>
      </w:r>
    </w:p>
    <w:p w14:paraId="5B124B7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d.隧道度渣点应选择植被稀疏的荒地，弃渣的下部和边角宜砌筑拦渣坝或墙，以防止水土流失。</w:t>
      </w:r>
    </w:p>
    <w:p w14:paraId="2AAB1860">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三、防止和减轻水、大气受污染</w:t>
      </w:r>
    </w:p>
    <w:p w14:paraId="663B682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（1）</w:t>
      </w:r>
      <w:r>
        <w:rPr>
          <w:rFonts w:hint="eastAsia" w:ascii="宋体" w:hAnsi="宋体" w:cs="宋体"/>
          <w:color w:val="auto"/>
          <w:sz w:val="22"/>
          <w:szCs w:val="22"/>
          <w:u w:val="single"/>
        </w:rPr>
        <w:t>保护水质</w:t>
      </w:r>
    </w:p>
    <w:p w14:paraId="6363794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1）施工废水、生活污水不得直接排入农田、耕地、灌溉渠和水库。严禁排入饮用水源。</w:t>
      </w:r>
    </w:p>
    <w:p w14:paraId="54C11233">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2）工程施工区域、砂石料场，在施工期间和完工以后，应妥善处理以减少对河道、溪流的侵蚀，防止沉渣进入河道或溪流。</w:t>
      </w:r>
    </w:p>
    <w:p w14:paraId="6582D8F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3）冲洗集料或含有沉积物的操作用水，应采取过滤、沉淀池处理或</w:t>
      </w:r>
      <w:r>
        <w:rPr>
          <w:rFonts w:hint="eastAsia" w:ascii="宋体" w:hAnsi="宋体" w:cs="宋体"/>
          <w:color w:val="auto"/>
          <w:sz w:val="22"/>
          <w:szCs w:val="22"/>
          <w:u w:val="single"/>
          <w:lang w:eastAsia="zh-CN"/>
        </w:rPr>
        <w:t>其他</w:t>
      </w:r>
      <w:r>
        <w:rPr>
          <w:rFonts w:hint="eastAsia" w:ascii="宋体" w:hAnsi="宋体" w:cs="宋体"/>
          <w:color w:val="auto"/>
          <w:sz w:val="22"/>
          <w:szCs w:val="22"/>
          <w:u w:val="single"/>
        </w:rPr>
        <w:t>措施，做到达标排放。</w:t>
      </w:r>
    </w:p>
    <w:p w14:paraId="714B642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4）施工期间，施工物料如水泥、油料、化学品等应堆放管理严格，防止在雨季或暴雨将物料随雨水径流排入地表及附近水域造成污染。</w:t>
      </w:r>
    </w:p>
    <w:p w14:paraId="729A302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5）施工机械应防止严重漏油，禁止机械在</w:t>
      </w:r>
      <w:r>
        <w:rPr>
          <w:rFonts w:hint="eastAsia" w:ascii="宋体" w:hAnsi="宋体" w:cs="宋体"/>
          <w:color w:val="auto"/>
          <w:sz w:val="22"/>
          <w:szCs w:val="22"/>
          <w:u w:val="single"/>
          <w:lang w:eastAsia="zh-CN"/>
        </w:rPr>
        <w:t>运转</w:t>
      </w:r>
      <w:r>
        <w:rPr>
          <w:rFonts w:hint="eastAsia" w:ascii="宋体" w:hAnsi="宋体" w:cs="宋体"/>
          <w:color w:val="auto"/>
          <w:sz w:val="22"/>
          <w:szCs w:val="22"/>
          <w:u w:val="single"/>
        </w:rPr>
        <w:t>中产生的油污水未经处理就直接排放，或维修施工机械时油污水直接排放。</w:t>
      </w:r>
    </w:p>
    <w:p w14:paraId="12C45CA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（2）</w:t>
      </w:r>
      <w:r>
        <w:rPr>
          <w:rFonts w:hint="eastAsia" w:ascii="宋体" w:hAnsi="宋体" w:cs="宋体"/>
          <w:color w:val="auto"/>
          <w:sz w:val="22"/>
          <w:szCs w:val="22"/>
          <w:u w:val="single"/>
        </w:rPr>
        <w:t>控制扬尘</w:t>
      </w:r>
    </w:p>
    <w:p w14:paraId="5D5E7829">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1）为了减少施工作业产生的灰尘，在施工区域内应随时进行洒水或其他抑尘措施，使不出现明显的降尘。</w:t>
      </w:r>
    </w:p>
    <w:p w14:paraId="7BCBA37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2）易于引起粉尘的细料或松散料应予遮盖或适当洒水润湿。运输时应用帆布、盖套及类似遮盖物覆盖。</w:t>
      </w:r>
    </w:p>
    <w:p w14:paraId="6ABE3D4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3）运转时有粉尘发生的施工场地，如水泥混凝土拌和机站</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场</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、大型轧石机场等投料器均应有防尘设备，在这些场所作业的工作人员，应配备必要的劳保防护用品。</w:t>
      </w:r>
    </w:p>
    <w:p w14:paraId="4B234A8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4）如果承包商预防措施不力，并已对邻近的河流、湖泊、池塘、农田或卫生环境造成了危害，则由此而引起的一切损失及后果，应有承包商负责。</w:t>
      </w:r>
    </w:p>
    <w:p w14:paraId="133CD34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（3）</w:t>
      </w:r>
      <w:r>
        <w:rPr>
          <w:rFonts w:hint="eastAsia" w:ascii="宋体" w:hAnsi="宋体" w:cs="宋体"/>
          <w:color w:val="auto"/>
          <w:sz w:val="22"/>
          <w:szCs w:val="22"/>
          <w:u w:val="single"/>
        </w:rPr>
        <w:t>减少噪声、废气污染</w:t>
      </w:r>
    </w:p>
    <w:p w14:paraId="13972B65">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1）各种临时设施和场地，如堆料场、加工厂、轧石厂等距居民区不宜小于300 mm，而且应设于居民区主要风向的下风处。</w:t>
      </w:r>
    </w:p>
    <w:p w14:paraId="237E306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2）使用机械设备的工艺操作，要尽量减少噪声、废气等污染；建筑施工场地的噪声应符合《建筑施工场界噪声限值》</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GB 12523-1990</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的规定，并应遵守当地有关部门对夜间施工的规定。</w:t>
      </w:r>
    </w:p>
    <w:p w14:paraId="576331D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如果承包商预防措施不力，并已对邻近区域的环境卫生造成了危害，则由此而引起的一切损失及后果，应有承包商负责。</w:t>
      </w:r>
    </w:p>
    <w:p w14:paraId="2BC1A8F1">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四、保护绿色植被</w:t>
      </w:r>
    </w:p>
    <w:p w14:paraId="33217CB9">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（1）</w:t>
      </w:r>
      <w:r>
        <w:rPr>
          <w:rFonts w:hint="eastAsia" w:ascii="宋体" w:hAnsi="宋体" w:cs="宋体"/>
          <w:color w:val="auto"/>
          <w:sz w:val="22"/>
          <w:szCs w:val="22"/>
          <w:u w:val="single"/>
        </w:rPr>
        <w:t>承包商应尽量保护公路用地范围之外的现有绿色植被。若因修建临时工程破坏了现有的绿色植被，应负责在拆除临时工程时予以恢复。</w:t>
      </w:r>
    </w:p>
    <w:p w14:paraId="359D776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（2）</w:t>
      </w:r>
      <w:r>
        <w:rPr>
          <w:rFonts w:hint="eastAsia" w:ascii="宋体" w:hAnsi="宋体" w:cs="宋体"/>
          <w:color w:val="auto"/>
          <w:sz w:val="22"/>
          <w:szCs w:val="22"/>
          <w:u w:val="single"/>
        </w:rPr>
        <w:t>要保护道路两旁的古树、名木和法定保护的树种，即使处在用地范围内，有可能时也要尽量设法保护。</w:t>
      </w:r>
    </w:p>
    <w:p w14:paraId="7BB8F039">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（3）</w:t>
      </w:r>
      <w:r>
        <w:rPr>
          <w:rFonts w:hint="eastAsia" w:ascii="宋体" w:hAnsi="宋体" w:cs="宋体"/>
          <w:color w:val="auto"/>
          <w:sz w:val="22"/>
          <w:szCs w:val="22"/>
          <w:u w:val="single"/>
        </w:rPr>
        <w:t>施工期间工程破坏植被的面积应严格控制，除了不可避免的工程占地、砍伐以外，不应再发生</w:t>
      </w:r>
      <w:r>
        <w:rPr>
          <w:rFonts w:hint="eastAsia" w:ascii="宋体" w:hAnsi="宋体" w:cs="宋体"/>
          <w:color w:val="auto"/>
          <w:sz w:val="22"/>
          <w:szCs w:val="22"/>
          <w:u w:val="single"/>
          <w:lang w:eastAsia="zh-CN"/>
        </w:rPr>
        <w:t>其他形式的</w:t>
      </w:r>
      <w:r>
        <w:rPr>
          <w:rFonts w:hint="eastAsia" w:ascii="宋体" w:hAnsi="宋体" w:cs="宋体"/>
          <w:color w:val="auto"/>
          <w:sz w:val="22"/>
          <w:szCs w:val="22"/>
          <w:u w:val="single"/>
        </w:rPr>
        <w:t>人为破坏。</w:t>
      </w:r>
    </w:p>
    <w:p w14:paraId="5492B017">
      <w:pPr>
        <w:pStyle w:val="40"/>
        <w:spacing w:line="360" w:lineRule="exact"/>
        <w:ind w:firstLine="440" w:firstLineChars="200"/>
        <w:jc w:val="left"/>
        <w:rPr>
          <w:rFonts w:hint="eastAsia" w:ascii="宋体" w:hAnsi="宋体" w:cs="宋体"/>
          <w:color w:val="auto"/>
          <w:sz w:val="22"/>
          <w:u w:val="single"/>
        </w:rPr>
      </w:pPr>
    </w:p>
    <w:bookmarkEnd w:id="383"/>
    <w:bookmarkEnd w:id="384"/>
    <w:bookmarkEnd w:id="385"/>
    <w:bookmarkEnd w:id="386"/>
    <w:bookmarkEnd w:id="387"/>
    <w:bookmarkEnd w:id="388"/>
    <w:bookmarkEnd w:id="389"/>
    <w:p w14:paraId="2B0DEA7D">
      <w:pPr>
        <w:pStyle w:val="70"/>
        <w:spacing w:before="0" w:after="0" w:line="360" w:lineRule="exact"/>
        <w:ind w:firstLine="442" w:firstLineChars="200"/>
        <w:rPr>
          <w:rFonts w:hint="eastAsia" w:ascii="宋体" w:hAnsi="宋体" w:cs="宋体"/>
          <w:color w:val="auto"/>
          <w:sz w:val="22"/>
          <w:szCs w:val="22"/>
        </w:rPr>
      </w:pPr>
      <w:bookmarkStart w:id="409" w:name="_Toc351203639"/>
      <w:bookmarkStart w:id="410" w:name="_Toc12975912"/>
      <w:bookmarkStart w:id="411" w:name="_Toc389065288"/>
      <w:bookmarkStart w:id="412" w:name="_Toc373478369"/>
      <w:bookmarkStart w:id="413" w:name="_Toc373227722"/>
      <w:bookmarkStart w:id="414" w:name="_Toc395382524"/>
      <w:bookmarkStart w:id="415" w:name="_Toc533432747"/>
      <w:r>
        <w:rPr>
          <w:rFonts w:hint="eastAsia" w:ascii="宋体" w:hAnsi="宋体" w:cs="宋体"/>
          <w:color w:val="auto"/>
          <w:sz w:val="22"/>
          <w:szCs w:val="22"/>
        </w:rPr>
        <w:t>7. 工期和进度</w:t>
      </w:r>
      <w:bookmarkEnd w:id="409"/>
      <w:bookmarkEnd w:id="410"/>
      <w:bookmarkEnd w:id="411"/>
      <w:bookmarkEnd w:id="412"/>
      <w:bookmarkEnd w:id="413"/>
      <w:bookmarkEnd w:id="414"/>
      <w:bookmarkEnd w:id="415"/>
    </w:p>
    <w:p w14:paraId="69850ABE">
      <w:pPr>
        <w:pStyle w:val="39"/>
        <w:spacing w:line="360" w:lineRule="exact"/>
        <w:ind w:firstLine="442" w:firstLineChars="200"/>
        <w:rPr>
          <w:rFonts w:hint="eastAsia" w:ascii="宋体" w:hAnsi="宋体" w:cs="宋体"/>
          <w:color w:val="auto"/>
          <w:sz w:val="22"/>
          <w:szCs w:val="22"/>
        </w:rPr>
      </w:pPr>
      <w:bookmarkStart w:id="416" w:name="_Toc373478370"/>
      <w:bookmarkStart w:id="417" w:name="_Toc373227723"/>
      <w:bookmarkStart w:id="418" w:name="_Toc395382525"/>
      <w:bookmarkStart w:id="419" w:name="_Toc12975913"/>
      <w:bookmarkStart w:id="420" w:name="_Toc533432748"/>
      <w:bookmarkStart w:id="421" w:name="_Toc389065289"/>
      <w:r>
        <w:rPr>
          <w:rFonts w:hint="eastAsia" w:ascii="宋体" w:hAnsi="宋体" w:cs="宋体"/>
          <w:color w:val="auto"/>
          <w:sz w:val="22"/>
          <w:szCs w:val="22"/>
        </w:rPr>
        <w:t>7.1 施工组织设计</w:t>
      </w:r>
      <w:bookmarkEnd w:id="416"/>
      <w:bookmarkEnd w:id="417"/>
      <w:bookmarkEnd w:id="418"/>
      <w:bookmarkEnd w:id="419"/>
      <w:bookmarkEnd w:id="420"/>
      <w:bookmarkEnd w:id="421"/>
    </w:p>
    <w:p w14:paraId="0AE7A505">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7.1.1 合</w:t>
      </w:r>
      <w:r>
        <w:rPr>
          <w:rFonts w:hint="eastAsia" w:ascii="宋体" w:hAnsi="宋体" w:cs="宋体"/>
          <w:color w:val="auto"/>
          <w:kern w:val="0"/>
          <w:sz w:val="22"/>
          <w:szCs w:val="22"/>
        </w:rPr>
        <w:t>同当事人约定的施工组织设计应包括的其他内容：</w:t>
      </w:r>
      <w:r>
        <w:rPr>
          <w:rFonts w:hint="eastAsia" w:ascii="宋体" w:hAnsi="宋体" w:cs="宋体"/>
          <w:color w:val="auto"/>
          <w:sz w:val="22"/>
          <w:szCs w:val="22"/>
          <w:u w:val="single"/>
        </w:rPr>
        <w:t xml:space="preserve">  按磋商文件约定，磋商文件无约定的按通用合同条款或双方另行约定 。</w:t>
      </w:r>
      <w:r>
        <w:rPr>
          <w:rFonts w:hint="eastAsia" w:ascii="宋体" w:hAnsi="宋体" w:cs="宋体"/>
          <w:b/>
          <w:bCs/>
          <w:color w:val="auto"/>
          <w:sz w:val="22"/>
          <w:szCs w:val="22"/>
          <w:u w:val="single"/>
        </w:rPr>
        <w:t>如实际施工时发现承包人提供的施工组织设计方案存在缺陷，发包人可要求其对方案进行完善、修改，承包人必须无条件执行，直到发包人、监理人批准通过，承包人不能以施工组织设计方案调整为由要求调整合同单价子目单价或总价子目合价，也不能以此为由提出任何变更或索赔。发包人、监理人认为有必要，承包人除完善施工组织设计以外，还需编制临时工程或永久性工程的专项方案。但发包人及监理人的任何同意并不减轻或免除承包人的任何责任</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14:paraId="108AE6C7">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 xml:space="preserve">7.1.2 </w:t>
      </w:r>
      <w:r>
        <w:rPr>
          <w:rFonts w:hint="eastAsia" w:ascii="宋体" w:hAnsi="宋体" w:cs="宋体"/>
          <w:color w:val="auto"/>
          <w:kern w:val="0"/>
          <w:sz w:val="22"/>
        </w:rPr>
        <w:t>施工组织设计的提交和修改</w:t>
      </w:r>
    </w:p>
    <w:p w14:paraId="4F06245A">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承包人提交详细施工组织设计的期限的约定：</w:t>
      </w:r>
      <w:r>
        <w:rPr>
          <w:rFonts w:hint="eastAsia" w:ascii="宋体" w:hAnsi="宋体" w:cs="宋体"/>
          <w:color w:val="auto"/>
          <w:sz w:val="22"/>
          <w:u w:val="single"/>
        </w:rPr>
        <w:t>开工前7天</w:t>
      </w:r>
      <w:r>
        <w:rPr>
          <w:rFonts w:hint="eastAsia" w:ascii="宋体" w:hAnsi="宋体" w:cs="宋体"/>
          <w:color w:val="auto"/>
          <w:sz w:val="22"/>
        </w:rPr>
        <w:t>。</w:t>
      </w:r>
    </w:p>
    <w:p w14:paraId="1170D5B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发包人和监理人在收到详细的施工组织设计后确认或提出修改意见的期限：</w:t>
      </w:r>
      <w:r>
        <w:rPr>
          <w:rFonts w:hint="eastAsia" w:ascii="宋体" w:hAnsi="宋体" w:cs="宋体"/>
          <w:color w:val="auto"/>
          <w:sz w:val="22"/>
          <w:u w:val="single"/>
        </w:rPr>
        <w:t>收到后5天内</w:t>
      </w:r>
      <w:r>
        <w:rPr>
          <w:rFonts w:hint="eastAsia" w:ascii="宋体" w:hAnsi="宋体" w:cs="宋体"/>
          <w:color w:val="auto"/>
          <w:sz w:val="22"/>
        </w:rPr>
        <w:t>。</w:t>
      </w:r>
    </w:p>
    <w:p w14:paraId="3AE0778A">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承包人应在合同生效后14天内（但至迟不得晚于开工日期前7天），承包人应编制详细的施工进度计划、施工组织设计和施工方案说明以及详细的分阶段或分项进度计划报送监理人和发包人审查批准，该施工进度计划须涵盖整个工程施工各阶段的详细施工计划安排（包括主要材料采购及人员进场计划）。该详细施工进度计划应采用P3E/C或Project2000以上版本软件编制。监理人和发包人的批准或回复意见，不解除承包人的任何责任。其中，施工组织设计不应对磋商文件的施工组织设计做实质性改变，只能是对其进一步细化。同时，在施工过程中，承包人应按发包人的要求提交发包人认为有必要进一步细化的方案和操作规程的文件。施工组织设计应当说明相应的施工方案、流程、人员组织、技术、设备力量、技术措施、质量保证措施、进度控制措施、安全生产的技术组织措施，经发包人审核批准后执行。施工组织设计中应有明确的施工组织机构图，应建立以其项目经理为核心的进度控制体系，并明确落实包括项目经理、技术负责人、各专业工程师、质检员、安全员在内的各具体负责人员。组织机构中必须设置进度控制部门并配置具有相应资历的人员；并且项目经理、质检员、安全员必须是专职人员，不得兼职。</w:t>
      </w:r>
    </w:p>
    <w:p w14:paraId="24560B6C">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（2）承包人提供的劳力和施工机械应不低于磋商文件或经批准的施工组织设计中承诺的标准</w:t>
      </w:r>
      <w:r>
        <w:rPr>
          <w:rFonts w:hint="eastAsia" w:ascii="宋体" w:hAnsi="宋体" w:cs="宋体"/>
          <w:color w:val="auto"/>
          <w:sz w:val="22"/>
          <w:szCs w:val="22"/>
          <w:lang w:eastAsia="zh-CN"/>
        </w:rPr>
        <w:t>，</w:t>
      </w:r>
      <w:r>
        <w:rPr>
          <w:rFonts w:hint="eastAsia" w:ascii="宋体" w:hAnsi="宋体" w:cs="宋体"/>
          <w:color w:val="auto"/>
          <w:sz w:val="22"/>
          <w:szCs w:val="22"/>
        </w:rPr>
        <w:t>以实现工程进度的需要。承包人应按发包人代表要求的格式和时间填写劳力和施工机械报表并呈送，该报表详细说明承包人及其分包人在各个时期雇用在现场的各类劳力数量、管理</w:t>
      </w:r>
      <w:r>
        <w:rPr>
          <w:rFonts w:hint="eastAsia" w:ascii="宋体" w:hAnsi="宋体" w:cs="宋体"/>
          <w:color w:val="auto"/>
          <w:sz w:val="22"/>
          <w:szCs w:val="22"/>
          <w:lang w:val="en-US" w:eastAsia="zh-CN"/>
        </w:rPr>
        <w:t>人员</w:t>
      </w:r>
      <w:r>
        <w:rPr>
          <w:rFonts w:hint="eastAsia" w:ascii="宋体" w:hAnsi="宋体" w:cs="宋体"/>
          <w:color w:val="auto"/>
          <w:sz w:val="22"/>
          <w:szCs w:val="22"/>
        </w:rPr>
        <w:t>姓名、以及施工机械，包括但不限于名称及识别号码，这些号码应在施工机械的明显位置上，并指示出它是自备的还是租用的。对于承包人投入本工程的施工机械，在发包人要求时，承包人应向发包人提供该施工机械的所有权或使用权归属于承包人的证明。对于承包人投入本工程的</w:t>
      </w:r>
      <w:r>
        <w:rPr>
          <w:rFonts w:hint="eastAsia" w:ascii="宋体" w:hAnsi="宋体" w:cs="宋体"/>
          <w:color w:val="auto"/>
          <w:sz w:val="22"/>
          <w:szCs w:val="22"/>
          <w:lang w:val="en-US" w:eastAsia="zh-CN"/>
        </w:rPr>
        <w:t>劳动力</w:t>
      </w:r>
      <w:r>
        <w:rPr>
          <w:rFonts w:hint="eastAsia" w:ascii="宋体" w:hAnsi="宋体" w:cs="宋体"/>
          <w:color w:val="auto"/>
          <w:sz w:val="22"/>
          <w:szCs w:val="22"/>
        </w:rPr>
        <w:t>，在发包人要求时，承包人应向发包人提供雇佣证明，其中：承包人自有雇员：应提供劳动合同（或聘用合同）或该人员在承包人单位半年以上社保缴费证明；劳务分包人的雇员：应提供劳务分包合同；劳务分包人的雇员的人身意外伤害保险投保证明。承包人未按要求提供前述机械和人员的真实有效的证明文件的，视为承包人未足额投入劳力和施工机械，发包人有权参照本合同中承包人未能按约定足额投入劳力和施工机械的条款处理。</w:t>
      </w:r>
    </w:p>
    <w:p w14:paraId="28387C76">
      <w:pPr>
        <w:pStyle w:val="39"/>
        <w:spacing w:line="360" w:lineRule="exact"/>
        <w:ind w:firstLine="442" w:firstLineChars="200"/>
        <w:rPr>
          <w:rFonts w:hint="eastAsia" w:ascii="宋体" w:hAnsi="宋体" w:cs="宋体"/>
          <w:color w:val="auto"/>
          <w:sz w:val="22"/>
          <w:szCs w:val="22"/>
        </w:rPr>
      </w:pPr>
      <w:bookmarkStart w:id="422" w:name="_Toc373478371"/>
      <w:bookmarkStart w:id="423" w:name="_Toc395382526"/>
      <w:bookmarkStart w:id="424" w:name="_Toc373227724"/>
      <w:bookmarkStart w:id="425" w:name="_Toc389065290"/>
      <w:bookmarkStart w:id="426" w:name="_Toc12975914"/>
      <w:bookmarkStart w:id="427" w:name="_Toc533432749"/>
      <w:r>
        <w:rPr>
          <w:rFonts w:hint="eastAsia" w:ascii="宋体" w:hAnsi="宋体" w:cs="宋体"/>
          <w:color w:val="auto"/>
          <w:sz w:val="22"/>
          <w:szCs w:val="22"/>
        </w:rPr>
        <w:t>7</w:t>
      </w:r>
      <w:bookmarkStart w:id="428" w:name="_Toc300934966"/>
      <w:bookmarkStart w:id="429" w:name="_Toc297123514"/>
      <w:bookmarkStart w:id="430" w:name="_Toc303539123"/>
      <w:bookmarkStart w:id="431" w:name="_Toc297216173"/>
      <w:bookmarkStart w:id="432" w:name="_Toc304295541"/>
      <w:bookmarkStart w:id="433" w:name="_Toc312678005"/>
      <w:bookmarkStart w:id="434" w:name="_Toc312677479"/>
      <w:r>
        <w:rPr>
          <w:rFonts w:hint="eastAsia" w:ascii="宋体" w:hAnsi="宋体" w:cs="宋体"/>
          <w:color w:val="auto"/>
          <w:sz w:val="22"/>
          <w:szCs w:val="22"/>
        </w:rPr>
        <w:t>.2 施工进度计划</w:t>
      </w:r>
      <w:bookmarkEnd w:id="422"/>
      <w:bookmarkEnd w:id="423"/>
      <w:bookmarkEnd w:id="424"/>
      <w:bookmarkEnd w:id="425"/>
      <w:bookmarkEnd w:id="426"/>
      <w:bookmarkEnd w:id="427"/>
    </w:p>
    <w:p w14:paraId="12DF8E5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7.2.2 施工进度计划的修订</w:t>
      </w:r>
    </w:p>
    <w:p w14:paraId="663AD69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发包人和监理人在收到修订的施工进度计划后确认或提出修改意见的期限：</w:t>
      </w:r>
      <w:r>
        <w:rPr>
          <w:rFonts w:hint="eastAsia" w:ascii="宋体" w:hAnsi="宋体" w:cs="宋体"/>
          <w:color w:val="auto"/>
          <w:sz w:val="22"/>
          <w:u w:val="single"/>
        </w:rPr>
        <w:t>收到后5天内</w:t>
      </w:r>
      <w:r>
        <w:rPr>
          <w:rFonts w:hint="eastAsia" w:ascii="宋体" w:hAnsi="宋体" w:cs="宋体"/>
          <w:color w:val="auto"/>
          <w:sz w:val="22"/>
        </w:rPr>
        <w:t>。</w:t>
      </w:r>
    </w:p>
    <w:p w14:paraId="5EDCF539">
      <w:pPr>
        <w:pStyle w:val="39"/>
        <w:spacing w:line="360" w:lineRule="exact"/>
        <w:ind w:firstLine="442" w:firstLineChars="200"/>
        <w:rPr>
          <w:rFonts w:hint="eastAsia" w:ascii="宋体" w:hAnsi="宋体" w:cs="宋体"/>
          <w:color w:val="auto"/>
          <w:sz w:val="22"/>
          <w:szCs w:val="22"/>
        </w:rPr>
      </w:pPr>
      <w:bookmarkStart w:id="435" w:name="_Toc373227725"/>
      <w:bookmarkStart w:id="436" w:name="_Toc389065291"/>
      <w:bookmarkStart w:id="437" w:name="_Toc395382527"/>
      <w:bookmarkStart w:id="438" w:name="_Toc12975915"/>
      <w:bookmarkStart w:id="439" w:name="_Toc533432750"/>
      <w:bookmarkStart w:id="440" w:name="_Toc373478372"/>
      <w:r>
        <w:rPr>
          <w:rFonts w:hint="eastAsia" w:ascii="宋体" w:hAnsi="宋体" w:cs="宋体"/>
          <w:color w:val="auto"/>
          <w:sz w:val="22"/>
          <w:szCs w:val="22"/>
        </w:rPr>
        <w:t>7.3 开工</w:t>
      </w:r>
      <w:bookmarkEnd w:id="435"/>
      <w:bookmarkEnd w:id="436"/>
      <w:bookmarkEnd w:id="437"/>
      <w:bookmarkEnd w:id="438"/>
      <w:bookmarkEnd w:id="439"/>
      <w:bookmarkEnd w:id="440"/>
    </w:p>
    <w:p w14:paraId="157779C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7.3.1 开工准备</w:t>
      </w:r>
    </w:p>
    <w:p w14:paraId="608AE206">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关于承包人提交</w:t>
      </w:r>
      <w:r>
        <w:rPr>
          <w:rFonts w:hint="eastAsia" w:ascii="宋体" w:hAnsi="宋体" w:cs="宋体"/>
          <w:color w:val="auto"/>
          <w:kern w:val="0"/>
          <w:sz w:val="22"/>
        </w:rPr>
        <w:t>工程开工报审表的期限：</w:t>
      </w:r>
      <w:r>
        <w:rPr>
          <w:rFonts w:hint="eastAsia" w:ascii="宋体" w:hAnsi="宋体" w:cs="宋体"/>
          <w:color w:val="auto"/>
          <w:sz w:val="22"/>
          <w:u w:val="single"/>
        </w:rPr>
        <w:t>开工前7天</w:t>
      </w:r>
      <w:r>
        <w:rPr>
          <w:rFonts w:hint="eastAsia" w:ascii="宋体" w:hAnsi="宋体" w:cs="宋体"/>
          <w:color w:val="auto"/>
          <w:sz w:val="22"/>
        </w:rPr>
        <w:t>。</w:t>
      </w:r>
    </w:p>
    <w:p w14:paraId="0511D82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关于发包人应完成的其他开工准备工作及期限：</w:t>
      </w:r>
      <w:r>
        <w:rPr>
          <w:rFonts w:hint="eastAsia" w:ascii="宋体" w:hAnsi="宋体" w:cs="宋体"/>
          <w:color w:val="auto"/>
          <w:sz w:val="22"/>
          <w:u w:val="single"/>
        </w:rPr>
        <w:t>开工前7天</w:t>
      </w:r>
      <w:r>
        <w:rPr>
          <w:rFonts w:hint="eastAsia" w:ascii="宋体" w:hAnsi="宋体" w:cs="宋体"/>
          <w:color w:val="auto"/>
          <w:sz w:val="22"/>
        </w:rPr>
        <w:t>。</w:t>
      </w:r>
    </w:p>
    <w:p w14:paraId="2592FEBB">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关于承包人应完成的其他开工准备工作及期限：</w:t>
      </w:r>
      <w:r>
        <w:rPr>
          <w:rFonts w:hint="eastAsia" w:ascii="宋体" w:hAnsi="宋体" w:cs="宋体"/>
          <w:color w:val="auto"/>
          <w:sz w:val="22"/>
          <w:u w:val="single"/>
        </w:rPr>
        <w:t>开工前3天</w:t>
      </w:r>
      <w:r>
        <w:rPr>
          <w:rFonts w:hint="eastAsia" w:ascii="宋体" w:hAnsi="宋体" w:cs="宋体"/>
          <w:color w:val="auto"/>
          <w:sz w:val="22"/>
        </w:rPr>
        <w:t>。</w:t>
      </w:r>
    </w:p>
    <w:p w14:paraId="51D9AD6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7.3.2 开工通知</w:t>
      </w:r>
    </w:p>
    <w:p w14:paraId="3F355D4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因发包人原因造成监理人未能在计划开工日期之日起</w:t>
      </w:r>
      <w:r>
        <w:rPr>
          <w:rFonts w:hint="eastAsia" w:ascii="宋体" w:hAnsi="宋体" w:cs="宋体"/>
          <w:color w:val="auto"/>
          <w:sz w:val="22"/>
          <w:u w:val="single"/>
        </w:rPr>
        <w:t xml:space="preserve"> 90 </w:t>
      </w:r>
      <w:r>
        <w:rPr>
          <w:rFonts w:hint="eastAsia" w:ascii="宋体" w:hAnsi="宋体" w:cs="宋体"/>
          <w:color w:val="auto"/>
          <w:sz w:val="22"/>
        </w:rPr>
        <w:t>天内发出开工通知的，承包人有权提出价格调整要求，或者解除合同。</w:t>
      </w:r>
    </w:p>
    <w:bookmarkEnd w:id="428"/>
    <w:bookmarkEnd w:id="429"/>
    <w:bookmarkEnd w:id="430"/>
    <w:bookmarkEnd w:id="431"/>
    <w:bookmarkEnd w:id="432"/>
    <w:bookmarkEnd w:id="433"/>
    <w:bookmarkEnd w:id="434"/>
    <w:p w14:paraId="4982787A">
      <w:pPr>
        <w:pStyle w:val="39"/>
        <w:spacing w:line="360" w:lineRule="exact"/>
        <w:ind w:firstLine="442" w:firstLineChars="200"/>
        <w:rPr>
          <w:rFonts w:hint="eastAsia" w:ascii="宋体" w:hAnsi="宋体" w:cs="宋体"/>
          <w:color w:val="auto"/>
          <w:sz w:val="22"/>
          <w:szCs w:val="22"/>
        </w:rPr>
      </w:pPr>
      <w:bookmarkStart w:id="441" w:name="_Toc12975916"/>
      <w:bookmarkStart w:id="442" w:name="_Toc373478373"/>
      <w:bookmarkStart w:id="443" w:name="_Toc395382528"/>
      <w:bookmarkStart w:id="444" w:name="_Toc373227726"/>
      <w:bookmarkStart w:id="445" w:name="_Toc533432751"/>
      <w:bookmarkStart w:id="446" w:name="_Toc389065292"/>
      <w:r>
        <w:rPr>
          <w:rFonts w:hint="eastAsia" w:ascii="宋体" w:hAnsi="宋体" w:cs="宋体"/>
          <w:color w:val="auto"/>
          <w:sz w:val="22"/>
          <w:szCs w:val="22"/>
        </w:rPr>
        <w:t>7.4 测量放线</w:t>
      </w:r>
      <w:bookmarkEnd w:id="441"/>
      <w:bookmarkEnd w:id="442"/>
      <w:bookmarkEnd w:id="443"/>
      <w:bookmarkEnd w:id="444"/>
      <w:bookmarkEnd w:id="445"/>
      <w:bookmarkEnd w:id="446"/>
    </w:p>
    <w:p w14:paraId="6EFF42A2">
      <w:pPr>
        <w:pStyle w:val="4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rPr>
        <w:t>7.4.1发包人通过监理人向承包人提供测量基准点、基准线和水准点及其书面资料的期限：</w:t>
      </w:r>
      <w:r>
        <w:rPr>
          <w:rFonts w:hint="eastAsia" w:ascii="宋体" w:hAnsi="宋体" w:cs="宋体"/>
          <w:color w:val="auto"/>
          <w:sz w:val="22"/>
          <w:szCs w:val="22"/>
          <w:u w:val="single"/>
        </w:rPr>
        <w:t>计划开工日期之日起7天内提供测量基准点和水准点，测量基准点和水准点距离本项目最近红线距离小于2km。如承包人需发包人增加测量基准点和水准点时，每增加一个点需向发包人支付1万元</w:t>
      </w:r>
      <w:r>
        <w:rPr>
          <w:rFonts w:hint="eastAsia" w:ascii="宋体" w:hAnsi="宋体" w:cs="宋体"/>
          <w:color w:val="auto"/>
          <w:sz w:val="22"/>
          <w:szCs w:val="22"/>
        </w:rPr>
        <w:t>。</w:t>
      </w:r>
    </w:p>
    <w:p w14:paraId="166C9534">
      <w:pPr>
        <w:pStyle w:val="39"/>
        <w:spacing w:line="360" w:lineRule="exact"/>
        <w:ind w:firstLine="442" w:firstLineChars="200"/>
        <w:rPr>
          <w:rFonts w:hint="eastAsia" w:ascii="宋体" w:hAnsi="宋体" w:cs="宋体"/>
          <w:color w:val="auto"/>
          <w:sz w:val="22"/>
          <w:szCs w:val="22"/>
        </w:rPr>
      </w:pPr>
      <w:bookmarkStart w:id="447" w:name="_Toc373478374"/>
      <w:bookmarkStart w:id="448" w:name="_Toc533432752"/>
      <w:bookmarkStart w:id="449" w:name="_Toc12975917"/>
      <w:bookmarkStart w:id="450" w:name="_Toc373227727"/>
      <w:bookmarkStart w:id="451" w:name="_Toc389065293"/>
      <w:bookmarkStart w:id="452" w:name="_Toc395382529"/>
      <w:r>
        <w:rPr>
          <w:rFonts w:hint="eastAsia" w:ascii="宋体" w:hAnsi="宋体" w:cs="宋体"/>
          <w:color w:val="auto"/>
          <w:sz w:val="22"/>
          <w:szCs w:val="22"/>
        </w:rPr>
        <w:t>7</w:t>
      </w:r>
      <w:bookmarkStart w:id="453" w:name="_Toc312678010"/>
      <w:bookmarkStart w:id="454" w:name="_Toc297216175"/>
      <w:bookmarkStart w:id="455" w:name="_Toc300934968"/>
      <w:bookmarkStart w:id="456" w:name="_Toc312677484"/>
      <w:bookmarkStart w:id="457" w:name="_Toc297123516"/>
      <w:bookmarkStart w:id="458" w:name="_Toc303539125"/>
      <w:bookmarkStart w:id="459" w:name="_Toc304295546"/>
      <w:r>
        <w:rPr>
          <w:rFonts w:hint="eastAsia" w:ascii="宋体" w:hAnsi="宋体" w:cs="宋体"/>
          <w:color w:val="auto"/>
          <w:sz w:val="22"/>
          <w:szCs w:val="22"/>
        </w:rPr>
        <w:t>.5 工期延误</w:t>
      </w:r>
      <w:bookmarkEnd w:id="447"/>
      <w:bookmarkEnd w:id="448"/>
      <w:bookmarkEnd w:id="449"/>
      <w:bookmarkEnd w:id="450"/>
      <w:bookmarkEnd w:id="451"/>
      <w:bookmarkEnd w:id="452"/>
    </w:p>
    <w:bookmarkEnd w:id="453"/>
    <w:bookmarkEnd w:id="454"/>
    <w:bookmarkEnd w:id="455"/>
    <w:bookmarkEnd w:id="456"/>
    <w:bookmarkEnd w:id="457"/>
    <w:bookmarkEnd w:id="458"/>
    <w:bookmarkEnd w:id="459"/>
    <w:p w14:paraId="3E816BE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7.5.1 因发包人原因导致工期延误</w:t>
      </w:r>
    </w:p>
    <w:p w14:paraId="73AF6CF8">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（7）因发包人原因导致工期延误的其他情形：</w:t>
      </w:r>
      <w:r>
        <w:rPr>
          <w:rFonts w:hint="eastAsia" w:ascii="宋体" w:hAnsi="宋体" w:cs="宋体"/>
          <w:color w:val="auto"/>
          <w:sz w:val="22"/>
          <w:u w:val="single"/>
        </w:rPr>
        <w:t>①图纸变更影响关</w:t>
      </w:r>
      <w:r>
        <w:rPr>
          <w:rFonts w:hint="eastAsia" w:ascii="宋体" w:hAnsi="宋体" w:cs="宋体"/>
          <w:color w:val="auto"/>
          <w:sz w:val="22"/>
          <w:u w:val="single"/>
          <w:lang w:val="en-US" w:eastAsia="zh-CN"/>
        </w:rPr>
        <w:t>键</w:t>
      </w:r>
      <w:r>
        <w:rPr>
          <w:rFonts w:hint="eastAsia" w:ascii="宋体" w:hAnsi="宋体" w:cs="宋体"/>
          <w:color w:val="auto"/>
          <w:sz w:val="22"/>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 w:val="22"/>
        </w:rPr>
        <w:t>。</w:t>
      </w:r>
    </w:p>
    <w:p w14:paraId="482F9A2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因发包人原因导致工期延误的，发包人不承担任何费用，不支付承包人合理的利润，工期相应顺延。</w:t>
      </w:r>
    </w:p>
    <w:p w14:paraId="1491844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w:t>
      </w:r>
      <w:bookmarkStart w:id="460" w:name="_Toc318581169"/>
      <w:bookmarkStart w:id="461" w:name="_Toc312677486"/>
      <w:bookmarkStart w:id="462" w:name="_Toc312678012"/>
      <w:bookmarkStart w:id="463" w:name="_Toc303539127"/>
      <w:bookmarkStart w:id="464" w:name="_Toc304295548"/>
      <w:bookmarkStart w:id="465" w:name="_Toc297216177"/>
      <w:bookmarkStart w:id="466" w:name="_Toc300934970"/>
      <w:bookmarkStart w:id="467" w:name="_Toc297123518"/>
      <w:r>
        <w:rPr>
          <w:rFonts w:hint="eastAsia" w:ascii="宋体" w:hAnsi="宋体" w:cs="宋体"/>
          <w:color w:val="auto"/>
          <w:sz w:val="22"/>
        </w:rPr>
        <w:t>.5.2 因承包人原因导致工期延误</w:t>
      </w:r>
    </w:p>
    <w:bookmarkEnd w:id="460"/>
    <w:bookmarkEnd w:id="461"/>
    <w:bookmarkEnd w:id="462"/>
    <w:p w14:paraId="7954EAE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双方约定经监理工程师确认，工期相应顺延的情况：</w:t>
      </w:r>
      <w:r>
        <w:rPr>
          <w:rFonts w:hint="eastAsia" w:ascii="宋体" w:hAnsi="宋体" w:cs="宋体"/>
          <w:color w:val="auto"/>
          <w:sz w:val="22"/>
          <w:u w:val="single"/>
        </w:rPr>
        <w:t xml:space="preserve"> 因发包人原因或不可抗力或不利物质条件造成的工期顺延，其他因承包人原因造成的工期不得相应顺延</w:t>
      </w:r>
      <w:r>
        <w:rPr>
          <w:rFonts w:hint="eastAsia" w:ascii="宋体" w:hAnsi="宋体" w:cs="宋体"/>
          <w:color w:val="auto"/>
          <w:sz w:val="22"/>
        </w:rPr>
        <w:t>。</w:t>
      </w:r>
    </w:p>
    <w:p w14:paraId="7014D34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因</w:t>
      </w:r>
      <w:bookmarkStart w:id="468" w:name="_Toc312677487"/>
      <w:bookmarkStart w:id="469" w:name="_Toc312678013"/>
      <w:bookmarkStart w:id="470" w:name="_Toc318581170"/>
      <w:r>
        <w:rPr>
          <w:rFonts w:hint="eastAsia" w:ascii="宋体" w:hAnsi="宋体" w:cs="宋体"/>
          <w:color w:val="auto"/>
          <w:sz w:val="22"/>
        </w:rPr>
        <w:t>承包人原因造成工期延误，逾期竣工违约金的计算方法为：</w:t>
      </w:r>
      <w:r>
        <w:rPr>
          <w:rFonts w:hint="eastAsia" w:ascii="宋体" w:hAnsi="宋体" w:cs="宋体"/>
          <w:color w:val="auto"/>
          <w:sz w:val="22"/>
          <w:u w:val="single"/>
        </w:rPr>
        <w:t>非上述原因，承包人不能按合同约定的时间竣工，承包人应承担违约责任。应向发包人支付误期赔偿费（每天赔偿金额为合同价款扣除建安劳保费、发包人材料价款、暂估专业工程、暂列金额后的万分之四），误期时间从规定竣工日期起直到全部工程或相应部分工程竣工验收各方签章日期之间的天数（扣除发包人批准顺延的工期）。发包人可从应向承包人支付的任何金额中扣除此项赔</w:t>
      </w:r>
      <w:r>
        <w:rPr>
          <w:rFonts w:hint="eastAsia" w:ascii="宋体" w:hAnsi="宋体" w:cs="宋体"/>
          <w:color w:val="auto"/>
          <w:sz w:val="22"/>
          <w:u w:val="single"/>
          <w:lang w:val="en-US" w:eastAsia="zh-CN"/>
        </w:rPr>
        <w:t>偿</w:t>
      </w:r>
      <w:r>
        <w:rPr>
          <w:rFonts w:hint="eastAsia" w:ascii="宋体" w:hAnsi="宋体" w:cs="宋体"/>
          <w:color w:val="auto"/>
          <w:sz w:val="22"/>
          <w:u w:val="single"/>
        </w:rPr>
        <w:t>费或其他方式收回此款，此赔偿款的支付并不能解除承包人应完成工程的责任或合同规定的其他责任。</w:t>
      </w:r>
    </w:p>
    <w:bookmarkEnd w:id="463"/>
    <w:bookmarkEnd w:id="464"/>
    <w:bookmarkEnd w:id="465"/>
    <w:bookmarkEnd w:id="466"/>
    <w:bookmarkEnd w:id="467"/>
    <w:bookmarkEnd w:id="468"/>
    <w:bookmarkEnd w:id="469"/>
    <w:bookmarkEnd w:id="470"/>
    <w:p w14:paraId="160167B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w:t>
      </w:r>
      <w:bookmarkStart w:id="471" w:name="OLE_LINK5"/>
      <w:r>
        <w:rPr>
          <w:rFonts w:hint="eastAsia" w:ascii="宋体" w:hAnsi="宋体" w:cs="宋体"/>
          <w:color w:val="auto"/>
          <w:sz w:val="22"/>
        </w:rPr>
        <w:t>承包人</w:t>
      </w:r>
      <w:bookmarkEnd w:id="471"/>
      <w:r>
        <w:rPr>
          <w:rFonts w:hint="eastAsia" w:ascii="宋体" w:hAnsi="宋体" w:cs="宋体"/>
          <w:color w:val="auto"/>
          <w:sz w:val="22"/>
        </w:rPr>
        <w:t>原因造成工期延误，逾</w:t>
      </w:r>
      <w:bookmarkStart w:id="472" w:name="_Toc318581171"/>
      <w:bookmarkStart w:id="473" w:name="_Toc312678014"/>
      <w:r>
        <w:rPr>
          <w:rFonts w:hint="eastAsia" w:ascii="宋体" w:hAnsi="宋体" w:cs="宋体"/>
          <w:color w:val="auto"/>
          <w:sz w:val="22"/>
        </w:rPr>
        <w:t>期竣工违约金的上限：</w:t>
      </w:r>
      <w:r>
        <w:rPr>
          <w:rFonts w:hint="eastAsia" w:ascii="宋体" w:hAnsi="宋体" w:cs="宋体"/>
          <w:color w:val="auto"/>
          <w:sz w:val="22"/>
          <w:u w:val="single"/>
        </w:rPr>
        <w:t>合同价扣除建安劳保费、发包人材料价款、暂估专业工程、暂列金额后的 4 %</w:t>
      </w:r>
      <w:r>
        <w:rPr>
          <w:rFonts w:hint="eastAsia" w:ascii="宋体" w:hAnsi="宋体" w:cs="宋体"/>
          <w:color w:val="auto"/>
          <w:sz w:val="22"/>
        </w:rPr>
        <w:t>。</w:t>
      </w:r>
    </w:p>
    <w:p w14:paraId="018E2CB0">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施工过程中，因承包人的原因造成工程进度严重滞后并有可能</w:t>
      </w:r>
      <w:r>
        <w:rPr>
          <w:rFonts w:hint="eastAsia" w:ascii="宋体" w:hAnsi="宋体" w:cs="宋体"/>
          <w:color w:val="auto"/>
          <w:sz w:val="22"/>
          <w:highlight w:val="none"/>
          <w:u w:val="single"/>
        </w:rPr>
        <w:t>导致延误工期的，经</w:t>
      </w:r>
      <w:r>
        <w:rPr>
          <w:rFonts w:hint="eastAsia" w:ascii="宋体" w:hAnsi="宋体" w:cs="宋体"/>
          <w:color w:val="auto"/>
          <w:sz w:val="22"/>
          <w:highlight w:val="none"/>
          <w:u w:val="single"/>
          <w:lang w:val="en-US" w:eastAsia="zh-CN"/>
        </w:rPr>
        <w:t>港口区</w:t>
      </w:r>
      <w:r>
        <w:rPr>
          <w:rFonts w:hint="eastAsia" w:ascii="宋体" w:hAnsi="宋体" w:cs="宋体"/>
          <w:color w:val="auto"/>
          <w:sz w:val="22"/>
          <w:highlight w:val="none"/>
          <w:u w:val="single"/>
        </w:rPr>
        <w:t>人民政府分管领导审定后，业主有权分割部分工程进行发包，单价按承包人原成交价格执行，如确需上调价格，经分管领导审定，款项从总包单位的工程款扣除；造成施工中断或延误累计超过21天的，经</w:t>
      </w:r>
      <w:r>
        <w:rPr>
          <w:rFonts w:hint="eastAsia" w:ascii="宋体" w:hAnsi="宋体" w:cs="宋体"/>
          <w:color w:val="auto"/>
          <w:sz w:val="22"/>
          <w:highlight w:val="none"/>
          <w:u w:val="single"/>
          <w:lang w:val="en-US" w:eastAsia="zh-CN"/>
        </w:rPr>
        <w:t>港口区</w:t>
      </w:r>
      <w:r>
        <w:rPr>
          <w:rFonts w:hint="eastAsia" w:ascii="宋体" w:hAnsi="宋体" w:cs="宋体"/>
          <w:color w:val="auto"/>
          <w:sz w:val="22"/>
          <w:highlight w:val="none"/>
          <w:u w:val="single"/>
        </w:rPr>
        <w:t>人民政府分管领导审定后，业主有权终止合同，将未完</w:t>
      </w:r>
      <w:r>
        <w:rPr>
          <w:rFonts w:hint="eastAsia" w:ascii="宋体" w:hAnsi="宋体" w:cs="宋体"/>
          <w:color w:val="auto"/>
          <w:sz w:val="22"/>
          <w:u w:val="single"/>
        </w:rPr>
        <w:t>工工程另行发包，单价按承包人原成交价格执行，已完工程经双方验收确认后，待整个工程竣工后结算。</w:t>
      </w:r>
    </w:p>
    <w:bookmarkEnd w:id="472"/>
    <w:bookmarkEnd w:id="473"/>
    <w:p w14:paraId="13AF12E7">
      <w:pPr>
        <w:pStyle w:val="39"/>
        <w:spacing w:line="360" w:lineRule="exact"/>
        <w:ind w:firstLine="442" w:firstLineChars="200"/>
        <w:rPr>
          <w:rFonts w:hint="eastAsia" w:ascii="宋体" w:hAnsi="宋体" w:cs="宋体"/>
          <w:color w:val="auto"/>
          <w:sz w:val="22"/>
          <w:szCs w:val="22"/>
        </w:rPr>
      </w:pPr>
      <w:bookmarkStart w:id="474" w:name="_Toc12975918"/>
      <w:bookmarkStart w:id="475" w:name="_Toc533432753"/>
      <w:bookmarkStart w:id="476" w:name="_Toc389065294"/>
      <w:bookmarkStart w:id="477" w:name="_Toc395382530"/>
      <w:bookmarkStart w:id="478" w:name="_Toc373227728"/>
      <w:bookmarkStart w:id="479" w:name="_Toc373478375"/>
      <w:r>
        <w:rPr>
          <w:rFonts w:hint="eastAsia" w:ascii="宋体" w:hAnsi="宋体" w:cs="宋体"/>
          <w:color w:val="auto"/>
          <w:sz w:val="22"/>
          <w:szCs w:val="22"/>
        </w:rPr>
        <w:t>7</w:t>
      </w:r>
      <w:bookmarkStart w:id="480" w:name="_Toc312678015"/>
      <w:bookmarkStart w:id="481" w:name="_Toc304295549"/>
      <w:bookmarkStart w:id="482" w:name="_Toc303539128"/>
      <w:bookmarkStart w:id="483" w:name="_Toc300934971"/>
      <w:bookmarkStart w:id="484" w:name="_Toc297216178"/>
      <w:bookmarkStart w:id="485" w:name="_Toc297123519"/>
      <w:r>
        <w:rPr>
          <w:rFonts w:hint="eastAsia" w:ascii="宋体" w:hAnsi="宋体" w:cs="宋体"/>
          <w:color w:val="auto"/>
          <w:sz w:val="22"/>
          <w:szCs w:val="22"/>
        </w:rPr>
        <w:t>.6 不</w:t>
      </w:r>
      <w:bookmarkEnd w:id="480"/>
      <w:bookmarkEnd w:id="481"/>
      <w:bookmarkEnd w:id="482"/>
      <w:bookmarkEnd w:id="483"/>
      <w:bookmarkEnd w:id="484"/>
      <w:bookmarkEnd w:id="485"/>
      <w:r>
        <w:rPr>
          <w:rFonts w:hint="eastAsia" w:ascii="宋体" w:hAnsi="宋体" w:cs="宋体"/>
          <w:color w:val="auto"/>
          <w:sz w:val="22"/>
          <w:szCs w:val="22"/>
        </w:rPr>
        <w:t>利物质条件</w:t>
      </w:r>
      <w:bookmarkEnd w:id="474"/>
      <w:bookmarkEnd w:id="475"/>
      <w:bookmarkEnd w:id="476"/>
      <w:bookmarkEnd w:id="477"/>
      <w:bookmarkEnd w:id="478"/>
      <w:bookmarkEnd w:id="479"/>
    </w:p>
    <w:p w14:paraId="1AD12D21">
      <w:pPr>
        <w:pStyle w:val="40"/>
        <w:spacing w:line="360" w:lineRule="exact"/>
        <w:ind w:firstLine="440" w:firstLineChars="200"/>
        <w:jc w:val="left"/>
        <w:rPr>
          <w:rFonts w:hint="eastAsia" w:ascii="宋体" w:hAnsi="宋体" w:cs="宋体"/>
          <w:color w:val="auto"/>
          <w:sz w:val="22"/>
          <w:u w:val="single"/>
        </w:rPr>
      </w:pPr>
      <w:bookmarkStart w:id="486" w:name="_Toc300934972"/>
      <w:bookmarkStart w:id="487" w:name="_Toc297123520"/>
      <w:bookmarkStart w:id="488" w:name="_Toc297216179"/>
      <w:bookmarkStart w:id="489" w:name="_Toc304295550"/>
      <w:bookmarkStart w:id="490" w:name="_Toc318581172"/>
      <w:bookmarkStart w:id="491" w:name="_Toc312678016"/>
      <w:bookmarkStart w:id="492" w:name="_Toc303539129"/>
      <w:r>
        <w:rPr>
          <w:rFonts w:hint="eastAsia" w:ascii="宋体" w:hAnsi="宋体" w:cs="宋体"/>
          <w:color w:val="auto"/>
          <w:sz w:val="22"/>
        </w:rPr>
        <w:t>不利物质条件的其他情形和有关约定：</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bookmarkEnd w:id="486"/>
    <w:bookmarkEnd w:id="487"/>
    <w:bookmarkEnd w:id="488"/>
    <w:bookmarkEnd w:id="489"/>
    <w:bookmarkEnd w:id="490"/>
    <w:bookmarkEnd w:id="491"/>
    <w:bookmarkEnd w:id="492"/>
    <w:p w14:paraId="25F2A7CB">
      <w:pPr>
        <w:pStyle w:val="39"/>
        <w:spacing w:line="360" w:lineRule="exact"/>
        <w:ind w:firstLine="442" w:firstLineChars="200"/>
        <w:rPr>
          <w:rFonts w:hint="eastAsia" w:ascii="宋体" w:hAnsi="宋体" w:cs="宋体"/>
          <w:color w:val="auto"/>
          <w:sz w:val="22"/>
          <w:szCs w:val="22"/>
        </w:rPr>
      </w:pPr>
      <w:bookmarkStart w:id="493" w:name="_Toc533432754"/>
      <w:bookmarkStart w:id="494" w:name="_Toc373227729"/>
      <w:bookmarkStart w:id="495" w:name="_Toc395382531"/>
      <w:bookmarkStart w:id="496" w:name="_Toc373478376"/>
      <w:bookmarkStart w:id="497" w:name="_Toc389065295"/>
      <w:bookmarkStart w:id="498" w:name="_Toc12975919"/>
      <w:r>
        <w:rPr>
          <w:rFonts w:hint="eastAsia" w:ascii="宋体" w:hAnsi="宋体" w:cs="宋体"/>
          <w:color w:val="auto"/>
          <w:sz w:val="22"/>
          <w:szCs w:val="22"/>
        </w:rPr>
        <w:t>7</w:t>
      </w:r>
      <w:bookmarkStart w:id="499" w:name="_Toc312678017"/>
      <w:bookmarkStart w:id="500" w:name="_Toc303539130"/>
      <w:bookmarkStart w:id="501" w:name="_Toc297123521"/>
      <w:bookmarkStart w:id="502" w:name="_Toc297216180"/>
      <w:bookmarkStart w:id="503" w:name="_Toc304295551"/>
      <w:bookmarkStart w:id="504" w:name="_Toc300934973"/>
      <w:r>
        <w:rPr>
          <w:rFonts w:hint="eastAsia" w:ascii="宋体" w:hAnsi="宋体" w:cs="宋体"/>
          <w:color w:val="auto"/>
          <w:sz w:val="22"/>
          <w:szCs w:val="22"/>
        </w:rPr>
        <w:t>.7 异常恶劣的气候条件</w:t>
      </w:r>
      <w:bookmarkEnd w:id="493"/>
      <w:bookmarkEnd w:id="494"/>
      <w:bookmarkEnd w:id="495"/>
      <w:bookmarkEnd w:id="496"/>
      <w:bookmarkEnd w:id="497"/>
      <w:bookmarkEnd w:id="498"/>
    </w:p>
    <w:bookmarkEnd w:id="499"/>
    <w:bookmarkEnd w:id="500"/>
    <w:bookmarkEnd w:id="501"/>
    <w:bookmarkEnd w:id="502"/>
    <w:bookmarkEnd w:id="503"/>
    <w:bookmarkEnd w:id="504"/>
    <w:p w14:paraId="72438C4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发包人和承包人同意以下情形视为异常恶劣的气候条件：</w:t>
      </w:r>
    </w:p>
    <w:p w14:paraId="5EA915F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r>
        <w:rPr>
          <w:rFonts w:hint="eastAsia" w:ascii="宋体" w:hAnsi="宋体" w:cs="宋体"/>
          <w:color w:val="auto"/>
          <w:sz w:val="22"/>
          <w:u w:val="single"/>
        </w:rPr>
        <w:t>指本工程所在地30年以上一遇的罕见气候现象</w:t>
      </w:r>
      <w:r>
        <w:rPr>
          <w:rFonts w:hint="eastAsia" w:ascii="宋体" w:hAnsi="宋体" w:cs="宋体"/>
          <w:color w:val="auto"/>
          <w:sz w:val="22"/>
        </w:rPr>
        <w:t>；</w:t>
      </w:r>
    </w:p>
    <w:p w14:paraId="7DEA2080">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lang w:eastAsia="zh-CN"/>
        </w:rPr>
        <w:t>(</w:t>
      </w:r>
      <w:r>
        <w:rPr>
          <w:rFonts w:hint="eastAsia" w:ascii="宋体" w:hAnsi="宋体" w:cs="宋体"/>
          <w:color w:val="auto"/>
          <w:sz w:val="22"/>
        </w:rPr>
        <w:t>2</w:t>
      </w:r>
      <w:r>
        <w:rPr>
          <w:rFonts w:hint="eastAsia" w:ascii="宋体" w:hAnsi="宋体" w:cs="宋体"/>
          <w:color w:val="auto"/>
          <w:sz w:val="22"/>
          <w:lang w:eastAsia="zh-CN"/>
        </w:rPr>
        <w:t>)</w:t>
      </w:r>
      <w:r>
        <w:rPr>
          <w:rFonts w:hint="eastAsia" w:ascii="宋体" w:hAnsi="宋体" w:cs="宋体"/>
          <w:color w:val="auto"/>
          <w:sz w:val="22"/>
          <w:u w:val="single"/>
        </w:rPr>
        <w:t xml:space="preserve">  / </w:t>
      </w:r>
      <w:r>
        <w:rPr>
          <w:rFonts w:hint="eastAsia" w:ascii="宋体" w:hAnsi="宋体" w:cs="宋体"/>
          <w:color w:val="auto"/>
          <w:sz w:val="22"/>
          <w:u w:val="single"/>
          <w:lang w:eastAsia="zh-CN"/>
        </w:rPr>
        <w:t>;</w:t>
      </w:r>
    </w:p>
    <w:p w14:paraId="030FD7ED">
      <w:pPr>
        <w:pStyle w:val="39"/>
        <w:spacing w:line="360" w:lineRule="exact"/>
        <w:ind w:firstLine="442" w:firstLineChars="200"/>
        <w:rPr>
          <w:rFonts w:hint="eastAsia" w:ascii="宋体" w:hAnsi="宋体" w:cs="宋体"/>
          <w:color w:val="auto"/>
          <w:sz w:val="22"/>
          <w:szCs w:val="22"/>
        </w:rPr>
      </w:pPr>
      <w:bookmarkStart w:id="505" w:name="_Toc373478377"/>
      <w:bookmarkStart w:id="506" w:name="_Toc373227730"/>
      <w:bookmarkStart w:id="507" w:name="_Toc389065296"/>
      <w:bookmarkStart w:id="508" w:name="_Toc12975920"/>
      <w:bookmarkStart w:id="509" w:name="_Toc533432755"/>
      <w:bookmarkStart w:id="510" w:name="_Toc395382532"/>
      <w:r>
        <w:rPr>
          <w:rFonts w:hint="eastAsia" w:ascii="宋体" w:hAnsi="宋体" w:cs="宋体"/>
          <w:color w:val="auto"/>
          <w:sz w:val="22"/>
          <w:szCs w:val="22"/>
        </w:rPr>
        <w:t>7.8 提前竣工</w:t>
      </w:r>
      <w:bookmarkEnd w:id="505"/>
      <w:bookmarkEnd w:id="506"/>
      <w:bookmarkEnd w:id="507"/>
      <w:bookmarkEnd w:id="508"/>
      <w:bookmarkEnd w:id="509"/>
      <w:bookmarkEnd w:id="510"/>
    </w:p>
    <w:p w14:paraId="76DB9B2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7.8.2提前竣工（赶工）增加费的计算方法：</w:t>
      </w:r>
      <w:r>
        <w:rPr>
          <w:rFonts w:hint="eastAsia" w:ascii="宋体" w:hAnsi="宋体" w:cs="宋体"/>
          <w:color w:val="auto"/>
          <w:sz w:val="22"/>
          <w:u w:val="single"/>
        </w:rPr>
        <w:t xml:space="preserve"> 无 </w:t>
      </w:r>
      <w:r>
        <w:rPr>
          <w:rFonts w:hint="eastAsia" w:ascii="宋体" w:hAnsi="宋体" w:cs="宋体"/>
          <w:color w:val="auto"/>
          <w:sz w:val="22"/>
        </w:rPr>
        <w:t>。</w:t>
      </w:r>
    </w:p>
    <w:p w14:paraId="0A45027E">
      <w:pPr>
        <w:pStyle w:val="70"/>
        <w:spacing w:before="0" w:after="0" w:line="360" w:lineRule="exact"/>
        <w:rPr>
          <w:rFonts w:hint="eastAsia" w:ascii="宋体" w:hAnsi="宋体" w:cs="宋体"/>
          <w:color w:val="auto"/>
          <w:sz w:val="22"/>
          <w:szCs w:val="22"/>
        </w:rPr>
      </w:pPr>
      <w:bookmarkStart w:id="511" w:name="_Toc373478378"/>
      <w:bookmarkStart w:id="512" w:name="_Toc373227731"/>
      <w:bookmarkStart w:id="513" w:name="_Toc533432756"/>
      <w:bookmarkStart w:id="514" w:name="_Toc351203640"/>
      <w:bookmarkStart w:id="515" w:name="_Toc395382533"/>
      <w:bookmarkStart w:id="516" w:name="_Toc389065297"/>
      <w:bookmarkStart w:id="517" w:name="_Toc12975921"/>
    </w:p>
    <w:p w14:paraId="19935C07">
      <w:pPr>
        <w:pStyle w:val="70"/>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8. 材料与设备</w:t>
      </w:r>
      <w:bookmarkEnd w:id="511"/>
      <w:bookmarkEnd w:id="512"/>
      <w:bookmarkEnd w:id="513"/>
      <w:bookmarkEnd w:id="514"/>
      <w:bookmarkEnd w:id="515"/>
      <w:bookmarkEnd w:id="516"/>
      <w:bookmarkEnd w:id="517"/>
    </w:p>
    <w:bookmarkEnd w:id="367"/>
    <w:bookmarkEnd w:id="368"/>
    <w:bookmarkEnd w:id="369"/>
    <w:bookmarkEnd w:id="370"/>
    <w:bookmarkEnd w:id="371"/>
    <w:bookmarkEnd w:id="372"/>
    <w:bookmarkEnd w:id="373"/>
    <w:bookmarkEnd w:id="374"/>
    <w:bookmarkEnd w:id="375"/>
    <w:bookmarkEnd w:id="376"/>
    <w:p w14:paraId="5B0EEF91">
      <w:pPr>
        <w:pStyle w:val="39"/>
        <w:spacing w:line="360" w:lineRule="exact"/>
        <w:ind w:firstLine="442" w:firstLineChars="200"/>
        <w:rPr>
          <w:rFonts w:hint="eastAsia" w:ascii="宋体" w:hAnsi="宋体" w:cs="宋体"/>
          <w:color w:val="auto"/>
          <w:sz w:val="22"/>
          <w:szCs w:val="22"/>
        </w:rPr>
      </w:pPr>
      <w:bookmarkStart w:id="518" w:name="_Toc389065298"/>
      <w:bookmarkStart w:id="519" w:name="_Toc373227732"/>
      <w:bookmarkStart w:id="520" w:name="_Toc12975922"/>
      <w:bookmarkStart w:id="521" w:name="_Toc533432757"/>
      <w:bookmarkStart w:id="522" w:name="_Toc395382534"/>
      <w:bookmarkStart w:id="523" w:name="_Toc373478379"/>
      <w:r>
        <w:rPr>
          <w:rFonts w:hint="eastAsia" w:ascii="宋体" w:hAnsi="宋体" w:cs="宋体"/>
          <w:color w:val="auto"/>
          <w:sz w:val="22"/>
          <w:szCs w:val="22"/>
        </w:rPr>
        <w:t>8.2 承包人采购材料与工程设备</w:t>
      </w:r>
      <w:bookmarkEnd w:id="518"/>
      <w:bookmarkEnd w:id="519"/>
      <w:bookmarkEnd w:id="520"/>
      <w:bookmarkEnd w:id="521"/>
      <w:bookmarkEnd w:id="522"/>
      <w:bookmarkEnd w:id="523"/>
    </w:p>
    <w:p w14:paraId="4309F710">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除已标价工程量清单《发包人提供主要材料和工程设备一览表》（表-21）中明确的材料、工程设备外，由承包人负责材料和工程设备的采购、运输和保管。《</w:t>
      </w:r>
      <w:r>
        <w:rPr>
          <w:rFonts w:hint="eastAsia" w:ascii="宋体" w:hAnsi="宋体" w:cs="宋体"/>
          <w:color w:val="auto"/>
          <w:sz w:val="22"/>
        </w:rPr>
        <w:t>承包人提供主要材料和工程设备一览表》</w:t>
      </w:r>
      <w:r>
        <w:rPr>
          <w:rFonts w:hint="eastAsia" w:ascii="宋体" w:hAnsi="宋体" w:cs="宋体"/>
          <w:color w:val="auto"/>
          <w:kern w:val="0"/>
          <w:sz w:val="22"/>
        </w:rPr>
        <w:t>（表-22）见已标价工程量清单。</w:t>
      </w:r>
    </w:p>
    <w:p w14:paraId="750533AF">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对发包人在磋商时有“参照或相当于**品牌、级别”约定的材料或设备，承包人采购时必须按类似于或优于所约定品牌、等级进行采购，施工期间该部分材料或设备如未超过磋商约定的风险幅度的，结算时按磋商单价支付，不得调整。</w:t>
      </w:r>
    </w:p>
    <w:p w14:paraId="148BA4FD">
      <w:pPr>
        <w:pStyle w:val="39"/>
        <w:spacing w:line="360" w:lineRule="exact"/>
        <w:ind w:firstLine="442" w:firstLineChars="200"/>
        <w:rPr>
          <w:rFonts w:hint="eastAsia" w:ascii="宋体" w:hAnsi="宋体" w:cs="宋体"/>
          <w:color w:val="auto"/>
          <w:sz w:val="22"/>
          <w:szCs w:val="22"/>
        </w:rPr>
      </w:pPr>
      <w:bookmarkStart w:id="524" w:name="_Toc12975923"/>
      <w:bookmarkStart w:id="525" w:name="_Toc389065299"/>
      <w:bookmarkStart w:id="526" w:name="_Toc373478380"/>
      <w:bookmarkStart w:id="527" w:name="_Toc533432758"/>
      <w:bookmarkStart w:id="528" w:name="_Toc373227733"/>
      <w:bookmarkStart w:id="529" w:name="_Toc395382535"/>
      <w:r>
        <w:rPr>
          <w:rFonts w:hint="eastAsia" w:ascii="宋体" w:hAnsi="宋体" w:cs="宋体"/>
          <w:color w:val="auto"/>
          <w:sz w:val="22"/>
          <w:szCs w:val="22"/>
        </w:rPr>
        <w:t>8</w:t>
      </w:r>
      <w:bookmarkStart w:id="530" w:name="_Toc297216186"/>
      <w:bookmarkStart w:id="531" w:name="_Toc297048353"/>
      <w:bookmarkStart w:id="532" w:name="_Toc296346668"/>
      <w:bookmarkStart w:id="533" w:name="_Toc296891207"/>
      <w:bookmarkStart w:id="534" w:name="_Toc312677493"/>
      <w:bookmarkStart w:id="535" w:name="_Toc312678019"/>
      <w:bookmarkStart w:id="536" w:name="_Toc280868654"/>
      <w:bookmarkStart w:id="537" w:name="_Toc296503167"/>
      <w:bookmarkStart w:id="538" w:name="_Toc292559877"/>
      <w:bookmarkStart w:id="539" w:name="_Toc296890995"/>
      <w:bookmarkStart w:id="540" w:name="_Toc297123527"/>
      <w:bookmarkStart w:id="541" w:name="_Toc304295556"/>
      <w:bookmarkStart w:id="542" w:name="_Toc297120467"/>
      <w:bookmarkStart w:id="543" w:name="_Toc303539136"/>
      <w:bookmarkStart w:id="544" w:name="_Toc292559372"/>
      <w:bookmarkStart w:id="545" w:name="_Toc300934979"/>
      <w:bookmarkStart w:id="546" w:name="_Toc296347166"/>
      <w:bookmarkStart w:id="547" w:name="_Toc296944506"/>
      <w:bookmarkStart w:id="548" w:name="_Toc280868656"/>
      <w:bookmarkStart w:id="549" w:name="_Toc280868655"/>
      <w:bookmarkStart w:id="550" w:name="_Toc267251424"/>
      <w:r>
        <w:rPr>
          <w:rFonts w:hint="eastAsia" w:ascii="宋体" w:hAnsi="宋体" w:cs="宋体"/>
          <w:color w:val="auto"/>
          <w:sz w:val="22"/>
          <w:szCs w:val="22"/>
        </w:rPr>
        <w:t>.4 材料与工程设备的保管与使用</w:t>
      </w:r>
      <w:bookmarkEnd w:id="524"/>
      <w:bookmarkEnd w:id="525"/>
      <w:bookmarkEnd w:id="526"/>
      <w:bookmarkEnd w:id="527"/>
      <w:bookmarkEnd w:id="528"/>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14:paraId="60A1FD8F">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8</w:t>
      </w:r>
      <w:bookmarkStart w:id="551" w:name="_Toc292559373"/>
      <w:bookmarkStart w:id="552" w:name="_Toc292559878"/>
      <w:bookmarkStart w:id="553" w:name="_Toc318581173"/>
      <w:bookmarkStart w:id="554" w:name="_Toc297120468"/>
      <w:bookmarkStart w:id="555" w:name="_Toc303539137"/>
      <w:bookmarkStart w:id="556" w:name="_Toc296891208"/>
      <w:bookmarkStart w:id="557" w:name="_Toc296890996"/>
      <w:bookmarkStart w:id="558" w:name="_Toc312678020"/>
      <w:bookmarkStart w:id="559" w:name="_Toc312677494"/>
      <w:bookmarkStart w:id="560" w:name="_Toc297216187"/>
      <w:bookmarkStart w:id="561" w:name="_Toc304295557"/>
      <w:bookmarkStart w:id="562" w:name="_Toc297123528"/>
      <w:bookmarkStart w:id="563" w:name="_Toc297048354"/>
      <w:bookmarkStart w:id="564" w:name="_Toc300934980"/>
      <w:bookmarkStart w:id="565" w:name="_Toc296346669"/>
      <w:bookmarkStart w:id="566" w:name="_Toc296347167"/>
      <w:bookmarkStart w:id="567" w:name="_Toc296503168"/>
      <w:bookmarkStart w:id="568" w:name="_Toc296944507"/>
      <w:r>
        <w:rPr>
          <w:rFonts w:hint="eastAsia" w:ascii="宋体" w:hAnsi="宋体" w:cs="宋体"/>
          <w:color w:val="auto"/>
          <w:sz w:val="22"/>
        </w:rPr>
        <w:t>.4.1发包人供应的材料设备的保管费用的承担：</w:t>
      </w:r>
      <w:r>
        <w:rPr>
          <w:rFonts w:hint="eastAsia" w:ascii="宋体" w:hAnsi="宋体" w:cs="宋体"/>
          <w:color w:val="auto"/>
          <w:sz w:val="22"/>
          <w:u w:val="single"/>
        </w:rPr>
        <w:t>由承包人承担</w:t>
      </w:r>
      <w:r>
        <w:rPr>
          <w:rFonts w:hint="eastAsia" w:ascii="宋体" w:hAnsi="宋体" w:cs="宋体"/>
          <w:color w:val="auto"/>
          <w:sz w:val="22"/>
        </w:rPr>
        <w:t>。</w:t>
      </w:r>
    </w:p>
    <w:bookmarkEnd w:id="551"/>
    <w:bookmarkEnd w:id="552"/>
    <w:p w14:paraId="69FF3AA6">
      <w:pPr>
        <w:pStyle w:val="39"/>
        <w:spacing w:line="360" w:lineRule="exact"/>
        <w:ind w:firstLine="442" w:firstLineChars="200"/>
        <w:rPr>
          <w:rFonts w:hint="eastAsia" w:ascii="宋体" w:hAnsi="宋体" w:cs="宋体"/>
          <w:color w:val="auto"/>
          <w:sz w:val="22"/>
          <w:szCs w:val="22"/>
        </w:rPr>
      </w:pPr>
      <w:bookmarkStart w:id="569" w:name="_Toc373227734"/>
      <w:bookmarkStart w:id="570" w:name="_Toc12975924"/>
      <w:bookmarkStart w:id="571" w:name="_Toc395382536"/>
      <w:bookmarkStart w:id="572" w:name="_Toc533432759"/>
      <w:bookmarkStart w:id="573" w:name="_Toc389065300"/>
      <w:bookmarkStart w:id="574" w:name="_Toc373478381"/>
      <w:r>
        <w:rPr>
          <w:rFonts w:hint="eastAsia" w:ascii="宋体" w:hAnsi="宋体" w:cs="宋体"/>
          <w:color w:val="auto"/>
          <w:sz w:val="22"/>
          <w:szCs w:val="22"/>
        </w:rPr>
        <w:t>8.6 样品</w:t>
      </w:r>
      <w:bookmarkEnd w:id="569"/>
      <w:bookmarkEnd w:id="570"/>
      <w:bookmarkEnd w:id="571"/>
      <w:bookmarkEnd w:id="572"/>
      <w:bookmarkEnd w:id="573"/>
      <w:bookmarkEnd w:id="574"/>
    </w:p>
    <w:p w14:paraId="2F55C3FD">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8.6.1 样品的报送与封存</w:t>
      </w:r>
    </w:p>
    <w:p w14:paraId="434075F3">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需要承包人报送样品的材料或工程设备，样品的种类、名称、规格、数量要求：</w:t>
      </w:r>
      <w:r>
        <w:rPr>
          <w:rFonts w:hint="eastAsia" w:ascii="宋体" w:hAnsi="宋体" w:cs="宋体"/>
          <w:color w:val="auto"/>
          <w:sz w:val="22"/>
          <w:u w:val="single"/>
        </w:rPr>
        <w:t>主要材料涉及品种、款式、颜色等方面内容的，承包人应提交准备合格的材料样品送发包人选定。</w:t>
      </w:r>
    </w:p>
    <w:p w14:paraId="510B2508">
      <w:pPr>
        <w:pStyle w:val="39"/>
        <w:spacing w:line="360" w:lineRule="exact"/>
        <w:ind w:firstLine="442" w:firstLineChars="200"/>
        <w:rPr>
          <w:rFonts w:hint="eastAsia" w:ascii="宋体" w:hAnsi="宋体" w:cs="宋体"/>
          <w:color w:val="auto"/>
          <w:sz w:val="22"/>
          <w:szCs w:val="22"/>
        </w:rPr>
      </w:pPr>
      <w:bookmarkStart w:id="575" w:name="_Toc389065301"/>
      <w:bookmarkStart w:id="576" w:name="_Toc395382537"/>
      <w:bookmarkStart w:id="577" w:name="_Toc373227735"/>
      <w:bookmarkStart w:id="578" w:name="_Toc373478382"/>
      <w:bookmarkStart w:id="579" w:name="_Toc12975925"/>
      <w:bookmarkStart w:id="580" w:name="_Toc533432760"/>
      <w:r>
        <w:rPr>
          <w:rFonts w:hint="eastAsia" w:ascii="宋体" w:hAnsi="宋体" w:cs="宋体"/>
          <w:color w:val="auto"/>
          <w:sz w:val="22"/>
          <w:szCs w:val="22"/>
        </w:rPr>
        <w:t>8.8 施工设备和临时设施</w:t>
      </w:r>
      <w:bookmarkEnd w:id="575"/>
      <w:bookmarkEnd w:id="576"/>
      <w:bookmarkEnd w:id="577"/>
      <w:bookmarkEnd w:id="578"/>
      <w:bookmarkEnd w:id="579"/>
      <w:bookmarkEnd w:id="580"/>
    </w:p>
    <w:p w14:paraId="6B9CFBCD">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8.8.1 承包人提供的施工设备和临时设施</w:t>
      </w:r>
    </w:p>
    <w:p w14:paraId="0E69E0B0">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ascii="宋体" w:hAnsi="宋体" w:cs="宋体"/>
          <w:color w:val="auto"/>
          <w:sz w:val="22"/>
          <w:lang w:val="en-US" w:eastAsia="zh-CN"/>
        </w:rPr>
        <w:t>4</w:t>
      </w:r>
      <w:r>
        <w:rPr>
          <w:rFonts w:hint="eastAsia" w:ascii="宋体" w:hAnsi="宋体" w:cs="宋体"/>
          <w:color w:val="auto"/>
          <w:sz w:val="22"/>
        </w:rPr>
        <w:t>。</w:t>
      </w:r>
    </w:p>
    <w:p w14:paraId="36AB6523">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关于修建临时设施费用承担的约定：</w:t>
      </w:r>
    </w:p>
    <w:p w14:paraId="5F2A51AF">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①承包人的临时用地（含项目部驻地等）租用费（含拆迁补偿）、临时用地的环保、恢复、临时用地的青苗补偿及地面附着物拆除等费用均由承包人负责，以上费用在磋商报价中综合考虑</w:t>
      </w:r>
      <w:r>
        <w:rPr>
          <w:rFonts w:hint="eastAsia" w:ascii="宋体" w:hAnsi="宋体" w:cs="宋体"/>
          <w:color w:val="auto"/>
          <w:sz w:val="22"/>
          <w:u w:val="single"/>
          <w:lang w:eastAsia="zh-CN"/>
        </w:rPr>
        <w:t>，</w:t>
      </w:r>
      <w:r>
        <w:rPr>
          <w:rFonts w:hint="eastAsia" w:ascii="宋体" w:hAnsi="宋体" w:cs="宋体"/>
          <w:color w:val="auto"/>
          <w:kern w:val="0"/>
          <w:sz w:val="22"/>
          <w:u w:val="single"/>
        </w:rPr>
        <w:t>费用总价包干，由于承包人预估费用低于实际费用，不足部分由承包人补齐。承包人不得以预估费用低于实际费用或实际情况发生变化为由向发包人提出费用补偿。</w:t>
      </w:r>
    </w:p>
    <w:p w14:paraId="2270E5F2">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②承包人负责合同实施期间其合同段内临时交通道路（含场内道路及场外连接公共交通道路）和交通设施的修建、维修、养护和交通管理工作，并承担一切费用，</w:t>
      </w:r>
      <w:r>
        <w:rPr>
          <w:rFonts w:hint="eastAsia" w:ascii="宋体" w:hAnsi="宋体" w:cs="宋体"/>
          <w:color w:val="auto"/>
          <w:kern w:val="0"/>
          <w:sz w:val="22"/>
          <w:u w:val="single"/>
        </w:rPr>
        <w:t>费用总价包干，由于承包人预估费用低于实际费用，不足部分由承包人补齐。承包人不得以预估费用低于实际费用或实际情况发生变化为由向发包人提出费用补偿。</w:t>
      </w:r>
    </w:p>
    <w:p w14:paraId="2AD7181C">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F8B9844">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8.8.2 发包人提供的施工设备和临时设施</w:t>
      </w:r>
    </w:p>
    <w:p w14:paraId="799EA271">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发包人提供的施工设备和临时设施：</w:t>
      </w:r>
      <w:r>
        <w:rPr>
          <w:rFonts w:hint="eastAsia" w:ascii="宋体" w:hAnsi="宋体" w:cs="宋体"/>
          <w:color w:val="auto"/>
          <w:sz w:val="22"/>
          <w:u w:val="single"/>
        </w:rPr>
        <w:t xml:space="preserve">无 </w:t>
      </w:r>
      <w:r>
        <w:rPr>
          <w:rFonts w:hint="eastAsia" w:ascii="宋体" w:hAnsi="宋体" w:cs="宋体"/>
          <w:color w:val="auto"/>
          <w:sz w:val="22"/>
        </w:rPr>
        <w:t>。</w:t>
      </w:r>
    </w:p>
    <w:p w14:paraId="1124B0B5">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发包人提供的施工设备和临时设施的运行、维护、拆除、清运费用的承担人：</w:t>
      </w:r>
      <w:r>
        <w:rPr>
          <w:rFonts w:hint="eastAsia" w:ascii="宋体" w:hAnsi="宋体" w:cs="宋体"/>
          <w:color w:val="auto"/>
          <w:sz w:val="22"/>
          <w:u w:val="single"/>
        </w:rPr>
        <w:t xml:space="preserve">  无  </w:t>
      </w:r>
      <w:r>
        <w:rPr>
          <w:rFonts w:hint="eastAsia" w:ascii="宋体" w:hAnsi="宋体" w:cs="宋体"/>
          <w:color w:val="auto"/>
          <w:sz w:val="22"/>
        </w:rPr>
        <w:t>。</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79593D09">
      <w:pPr>
        <w:pStyle w:val="70"/>
        <w:spacing w:before="0" w:after="0" w:line="360" w:lineRule="exact"/>
        <w:ind w:firstLine="442" w:firstLineChars="200"/>
        <w:rPr>
          <w:rFonts w:hint="eastAsia" w:ascii="宋体" w:hAnsi="宋体" w:cs="宋体"/>
          <w:color w:val="auto"/>
          <w:sz w:val="22"/>
          <w:szCs w:val="22"/>
        </w:rPr>
      </w:pPr>
      <w:bookmarkStart w:id="581" w:name="_Toc351203641"/>
      <w:bookmarkStart w:id="582" w:name="_Toc373478383"/>
      <w:bookmarkStart w:id="583" w:name="_Toc389065302"/>
      <w:bookmarkStart w:id="584" w:name="_Toc533432761"/>
      <w:bookmarkStart w:id="585" w:name="_Toc12975926"/>
      <w:bookmarkStart w:id="586" w:name="_Toc373227736"/>
      <w:bookmarkStart w:id="587" w:name="_Toc395382538"/>
      <w:r>
        <w:rPr>
          <w:rFonts w:hint="eastAsia" w:ascii="宋体" w:hAnsi="宋体" w:cs="宋体"/>
          <w:color w:val="auto"/>
          <w:sz w:val="22"/>
          <w:szCs w:val="22"/>
        </w:rPr>
        <w:t>9</w:t>
      </w:r>
      <w:bookmarkEnd w:id="548"/>
      <w:bookmarkEnd w:id="549"/>
      <w:bookmarkEnd w:id="550"/>
      <w:bookmarkStart w:id="588" w:name="_Toc297123533"/>
      <w:bookmarkStart w:id="589" w:name="_Toc297216192"/>
      <w:bookmarkStart w:id="590" w:name="_Toc312677495"/>
      <w:bookmarkStart w:id="591" w:name="_Toc303539139"/>
      <w:bookmarkStart w:id="592" w:name="_Toc312678021"/>
      <w:bookmarkStart w:id="593" w:name="_Toc304295559"/>
      <w:bookmarkStart w:id="594" w:name="_Toc300934982"/>
      <w:bookmarkStart w:id="595" w:name="_Toc297120473"/>
      <w:bookmarkStart w:id="596" w:name="_Toc296944512"/>
      <w:bookmarkStart w:id="597" w:name="_Toc296347172"/>
      <w:bookmarkStart w:id="598" w:name="_Toc296891213"/>
      <w:bookmarkStart w:id="599" w:name="_Toc296891001"/>
      <w:bookmarkStart w:id="600" w:name="_Toc297048359"/>
      <w:bookmarkStart w:id="601" w:name="_Toc292559378"/>
      <w:bookmarkStart w:id="602" w:name="_Toc267251427"/>
      <w:bookmarkStart w:id="603" w:name="_Toc292559883"/>
      <w:bookmarkStart w:id="604" w:name="_Toc267251428"/>
      <w:bookmarkStart w:id="605" w:name="_Toc296346674"/>
      <w:bookmarkStart w:id="606" w:name="_Toc296503173"/>
      <w:r>
        <w:rPr>
          <w:rFonts w:hint="eastAsia" w:ascii="宋体" w:hAnsi="宋体" w:cs="宋体"/>
          <w:color w:val="auto"/>
          <w:sz w:val="22"/>
          <w:szCs w:val="22"/>
        </w:rPr>
        <w:t>. 试验与检验</w:t>
      </w:r>
      <w:bookmarkEnd w:id="581"/>
      <w:bookmarkEnd w:id="582"/>
      <w:bookmarkEnd w:id="583"/>
      <w:bookmarkEnd w:id="584"/>
      <w:bookmarkEnd w:id="585"/>
      <w:bookmarkEnd w:id="586"/>
      <w:bookmarkEnd w:id="587"/>
    </w:p>
    <w:bookmarkEnd w:id="588"/>
    <w:bookmarkEnd w:id="589"/>
    <w:bookmarkEnd w:id="590"/>
    <w:bookmarkEnd w:id="591"/>
    <w:bookmarkEnd w:id="592"/>
    <w:bookmarkEnd w:id="593"/>
    <w:bookmarkEnd w:id="594"/>
    <w:p w14:paraId="17CCFE5E">
      <w:pPr>
        <w:pStyle w:val="39"/>
        <w:spacing w:line="360" w:lineRule="exact"/>
        <w:ind w:firstLine="442" w:firstLineChars="200"/>
        <w:rPr>
          <w:rFonts w:hint="eastAsia" w:ascii="宋体" w:hAnsi="宋体" w:cs="宋体"/>
          <w:color w:val="auto"/>
          <w:sz w:val="22"/>
          <w:szCs w:val="22"/>
        </w:rPr>
      </w:pPr>
      <w:bookmarkStart w:id="607" w:name="_Toc389065303"/>
      <w:bookmarkStart w:id="608" w:name="_Toc533432762"/>
      <w:bookmarkStart w:id="609" w:name="_Toc395382539"/>
      <w:bookmarkStart w:id="610" w:name="_Toc373478384"/>
      <w:bookmarkStart w:id="611" w:name="_Toc373227737"/>
      <w:bookmarkStart w:id="612" w:name="_Toc12975927"/>
      <w:r>
        <w:rPr>
          <w:rFonts w:hint="eastAsia" w:ascii="宋体" w:hAnsi="宋体" w:cs="宋体"/>
          <w:color w:val="auto"/>
          <w:sz w:val="22"/>
          <w:szCs w:val="22"/>
        </w:rPr>
        <w:t>9</w:t>
      </w:r>
      <w:bookmarkStart w:id="613" w:name="_Toc300934983"/>
      <w:bookmarkStart w:id="614" w:name="_Toc297123534"/>
      <w:bookmarkStart w:id="615" w:name="_Toc312677496"/>
      <w:bookmarkStart w:id="616" w:name="_Toc297216193"/>
      <w:bookmarkStart w:id="617" w:name="_Toc312678022"/>
      <w:bookmarkStart w:id="618" w:name="_Toc304295560"/>
      <w:bookmarkStart w:id="619" w:name="_Toc303539140"/>
      <w:r>
        <w:rPr>
          <w:rFonts w:hint="eastAsia" w:ascii="宋体" w:hAnsi="宋体" w:cs="宋体"/>
          <w:color w:val="auto"/>
          <w:sz w:val="22"/>
          <w:szCs w:val="22"/>
        </w:rPr>
        <w:t>.1 试验设备与试验人员</w:t>
      </w:r>
      <w:bookmarkEnd w:id="607"/>
      <w:bookmarkEnd w:id="608"/>
      <w:bookmarkEnd w:id="609"/>
      <w:bookmarkEnd w:id="610"/>
      <w:bookmarkEnd w:id="611"/>
      <w:bookmarkEnd w:id="612"/>
    </w:p>
    <w:bookmarkEnd w:id="613"/>
    <w:bookmarkEnd w:id="614"/>
    <w:bookmarkEnd w:id="615"/>
    <w:bookmarkEnd w:id="616"/>
    <w:bookmarkEnd w:id="617"/>
    <w:bookmarkEnd w:id="618"/>
    <w:bookmarkEnd w:id="619"/>
    <w:p w14:paraId="74FEAA0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9</w:t>
      </w:r>
      <w:bookmarkStart w:id="620" w:name="_Toc297123535"/>
      <w:bookmarkStart w:id="621" w:name="_Toc300934984"/>
      <w:bookmarkStart w:id="622" w:name="_Toc312677497"/>
      <w:bookmarkStart w:id="623" w:name="_Toc304295561"/>
      <w:bookmarkStart w:id="624" w:name="_Toc297216194"/>
      <w:bookmarkStart w:id="625" w:name="_Toc312678023"/>
      <w:bookmarkStart w:id="626" w:name="_Toc303539141"/>
      <w:bookmarkStart w:id="627" w:name="_Toc318581174"/>
      <w:r>
        <w:rPr>
          <w:rFonts w:hint="eastAsia" w:ascii="宋体" w:hAnsi="宋体" w:cs="宋体"/>
          <w:color w:val="auto"/>
          <w:sz w:val="22"/>
        </w:rPr>
        <w:t>.1.2 试验设备</w:t>
      </w:r>
    </w:p>
    <w:p w14:paraId="2F46BC3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施工现场需要配置的试验场所：</w:t>
      </w:r>
      <w:bookmarkEnd w:id="620"/>
      <w:bookmarkEnd w:id="621"/>
      <w:bookmarkEnd w:id="622"/>
      <w:bookmarkEnd w:id="623"/>
      <w:bookmarkEnd w:id="624"/>
      <w:bookmarkEnd w:id="625"/>
      <w:bookmarkEnd w:id="626"/>
      <w:bookmarkStart w:id="628" w:name="_Toc297216195"/>
      <w:bookmarkStart w:id="629" w:name="_Toc300934985"/>
      <w:bookmarkStart w:id="630" w:name="_Toc312678024"/>
      <w:bookmarkStart w:id="631" w:name="_Toc303539142"/>
      <w:bookmarkStart w:id="632" w:name="_Toc312677498"/>
      <w:bookmarkStart w:id="633" w:name="_Toc304295562"/>
      <w:bookmarkStart w:id="634" w:name="_Toc297123536"/>
      <w:r>
        <w:rPr>
          <w:rFonts w:hint="eastAsia" w:ascii="宋体" w:hAnsi="宋体" w:cs="宋体"/>
          <w:color w:val="auto"/>
          <w:sz w:val="22"/>
          <w:u w:val="single"/>
        </w:rPr>
        <w:t>按有关规定执行</w:t>
      </w:r>
      <w:r>
        <w:rPr>
          <w:rFonts w:hint="eastAsia" w:ascii="宋体" w:hAnsi="宋体" w:cs="宋体"/>
          <w:color w:val="auto"/>
          <w:sz w:val="22"/>
        </w:rPr>
        <w:t>。</w:t>
      </w:r>
    </w:p>
    <w:p w14:paraId="64488C50">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施工现场需要配备的试验设备：</w:t>
      </w:r>
      <w:r>
        <w:rPr>
          <w:rFonts w:hint="eastAsia" w:ascii="宋体" w:hAnsi="宋体" w:cs="宋体"/>
          <w:color w:val="auto"/>
          <w:sz w:val="22"/>
          <w:u w:val="single"/>
        </w:rPr>
        <w:t>按有关规定执行</w:t>
      </w:r>
      <w:r>
        <w:rPr>
          <w:rFonts w:hint="eastAsia" w:ascii="宋体" w:hAnsi="宋体" w:cs="宋体"/>
          <w:color w:val="auto"/>
          <w:sz w:val="22"/>
        </w:rPr>
        <w:t>。</w:t>
      </w:r>
    </w:p>
    <w:p w14:paraId="040B47C7">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施工现场需要具备的其他试验条件：</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392C300">
      <w:pPr>
        <w:pStyle w:val="39"/>
        <w:spacing w:line="360" w:lineRule="exact"/>
        <w:ind w:firstLine="442" w:firstLineChars="200"/>
        <w:rPr>
          <w:rFonts w:hint="eastAsia" w:ascii="宋体" w:hAnsi="宋体" w:cs="宋体"/>
          <w:color w:val="auto"/>
          <w:sz w:val="22"/>
          <w:szCs w:val="22"/>
        </w:rPr>
      </w:pPr>
      <w:bookmarkStart w:id="635" w:name="_Toc12975928"/>
      <w:bookmarkStart w:id="636" w:name="_Toc373227738"/>
      <w:bookmarkStart w:id="637" w:name="_Toc533432763"/>
      <w:bookmarkStart w:id="638" w:name="_Toc373478385"/>
      <w:bookmarkStart w:id="639" w:name="_Toc389065304"/>
      <w:bookmarkStart w:id="640" w:name="_Toc395382540"/>
      <w:r>
        <w:rPr>
          <w:rFonts w:hint="eastAsia" w:ascii="宋体" w:hAnsi="宋体" w:cs="宋体"/>
          <w:color w:val="auto"/>
          <w:sz w:val="22"/>
          <w:szCs w:val="22"/>
        </w:rPr>
        <w:t>9.4 现场工艺试验</w:t>
      </w:r>
      <w:bookmarkEnd w:id="635"/>
      <w:bookmarkEnd w:id="636"/>
      <w:bookmarkEnd w:id="637"/>
      <w:bookmarkEnd w:id="638"/>
      <w:bookmarkEnd w:id="639"/>
      <w:bookmarkEnd w:id="640"/>
      <w:r>
        <w:rPr>
          <w:rFonts w:hint="eastAsia" w:ascii="宋体" w:hAnsi="宋体" w:cs="宋体"/>
          <w:color w:val="auto"/>
          <w:sz w:val="22"/>
          <w:szCs w:val="22"/>
        </w:rPr>
        <w:t xml:space="preserve"> </w:t>
      </w:r>
    </w:p>
    <w:p w14:paraId="789455A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现场工艺试验的有关约定：</w:t>
      </w:r>
      <w:r>
        <w:rPr>
          <w:rFonts w:hint="eastAsia" w:ascii="宋体" w:hAnsi="宋体" w:cs="宋体"/>
          <w:color w:val="auto"/>
          <w:sz w:val="22"/>
          <w:u w:val="single"/>
        </w:rPr>
        <w:t>按有关规定执行</w:t>
      </w:r>
      <w:r>
        <w:rPr>
          <w:rFonts w:hint="eastAsia" w:ascii="宋体" w:hAnsi="宋体" w:cs="宋体"/>
          <w:color w:val="auto"/>
          <w:sz w:val="22"/>
        </w:rPr>
        <w:t>。</w:t>
      </w:r>
    </w:p>
    <w:p w14:paraId="3A08CA8D">
      <w:pPr>
        <w:pStyle w:val="39"/>
        <w:spacing w:line="360" w:lineRule="exact"/>
        <w:ind w:firstLine="442" w:firstLineChars="200"/>
        <w:rPr>
          <w:rFonts w:hint="eastAsia" w:ascii="宋体" w:hAnsi="宋体" w:cs="宋体"/>
          <w:color w:val="auto"/>
          <w:sz w:val="22"/>
          <w:szCs w:val="22"/>
        </w:rPr>
      </w:pPr>
      <w:bookmarkStart w:id="641" w:name="_Toc12975929"/>
      <w:bookmarkStart w:id="642" w:name="_Toc395382541"/>
      <w:bookmarkStart w:id="643" w:name="_Toc533432764"/>
      <w:r>
        <w:rPr>
          <w:rFonts w:hint="eastAsia" w:ascii="宋体" w:hAnsi="宋体" w:cs="宋体"/>
          <w:color w:val="auto"/>
          <w:sz w:val="22"/>
          <w:szCs w:val="22"/>
        </w:rPr>
        <w:t>9.5 检验费用</w:t>
      </w:r>
      <w:bookmarkEnd w:id="641"/>
      <w:bookmarkEnd w:id="642"/>
      <w:bookmarkEnd w:id="643"/>
    </w:p>
    <w:p w14:paraId="07D6CB52">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根据《建设工程质量检测管理办法》（住房和城乡建设部令第57号）以及《广西壮族自治区建设工程质量检测管理规定》规定，工程质量检测业务由发包人委托有相应资质的检测机构检测。费用由发包人直接支付给检测机构，不计入合同价款内。检验试验配合费按费用定额规定计取，计入本合同价款内。</w:t>
      </w:r>
    </w:p>
    <w:bookmarkEnd w:id="627"/>
    <w:bookmarkEnd w:id="628"/>
    <w:bookmarkEnd w:id="629"/>
    <w:bookmarkEnd w:id="630"/>
    <w:bookmarkEnd w:id="631"/>
    <w:bookmarkEnd w:id="632"/>
    <w:bookmarkEnd w:id="633"/>
    <w:bookmarkEnd w:id="634"/>
    <w:p w14:paraId="08F4FA96">
      <w:pPr>
        <w:pStyle w:val="70"/>
        <w:spacing w:before="0" w:after="0" w:line="360" w:lineRule="exact"/>
        <w:ind w:firstLine="442" w:firstLineChars="200"/>
        <w:rPr>
          <w:rFonts w:hint="eastAsia" w:ascii="宋体" w:hAnsi="宋体" w:cs="宋体"/>
          <w:color w:val="auto"/>
          <w:sz w:val="22"/>
          <w:szCs w:val="22"/>
        </w:rPr>
      </w:pPr>
      <w:bookmarkStart w:id="644" w:name="_Toc395382542"/>
      <w:bookmarkStart w:id="645" w:name="_Toc533432765"/>
      <w:bookmarkStart w:id="646" w:name="_Toc373227739"/>
      <w:bookmarkStart w:id="647" w:name="_Toc351203642"/>
      <w:bookmarkStart w:id="648" w:name="_Toc373478386"/>
      <w:bookmarkStart w:id="649" w:name="_Toc12975930"/>
      <w:bookmarkStart w:id="650" w:name="_Toc389065305"/>
      <w:r>
        <w:rPr>
          <w:rFonts w:hint="eastAsia" w:ascii="宋体" w:hAnsi="宋体" w:cs="宋体"/>
          <w:color w:val="auto"/>
          <w:sz w:val="22"/>
          <w:szCs w:val="22"/>
        </w:rPr>
        <w:t>1</w:t>
      </w:r>
      <w:bookmarkEnd w:id="595"/>
      <w:bookmarkEnd w:id="596"/>
      <w:bookmarkEnd w:id="597"/>
      <w:bookmarkEnd w:id="598"/>
      <w:bookmarkEnd w:id="599"/>
      <w:bookmarkEnd w:id="600"/>
      <w:bookmarkEnd w:id="601"/>
      <w:bookmarkEnd w:id="602"/>
      <w:bookmarkEnd w:id="603"/>
      <w:bookmarkEnd w:id="604"/>
      <w:bookmarkEnd w:id="605"/>
      <w:bookmarkEnd w:id="606"/>
      <w:bookmarkStart w:id="651" w:name="_Toc304295566"/>
      <w:bookmarkStart w:id="652" w:name="_Toc303539146"/>
      <w:bookmarkStart w:id="653" w:name="_Toc292559903"/>
      <w:bookmarkStart w:id="654" w:name="_Toc292559398"/>
      <w:bookmarkStart w:id="655" w:name="_Toc296891021"/>
      <w:bookmarkStart w:id="656" w:name="_Toc296503193"/>
      <w:bookmarkStart w:id="657" w:name="_Toc296891233"/>
      <w:bookmarkStart w:id="658" w:name="_Toc297216199"/>
      <w:bookmarkStart w:id="659" w:name="_Toc297120493"/>
      <w:bookmarkStart w:id="660" w:name="_Toc296347192"/>
      <w:bookmarkStart w:id="661" w:name="_Toc297123540"/>
      <w:bookmarkStart w:id="662" w:name="_Toc297048379"/>
      <w:bookmarkStart w:id="663" w:name="_Toc296346694"/>
      <w:bookmarkStart w:id="664" w:name="_Toc296944532"/>
      <w:bookmarkStart w:id="665" w:name="_Toc300934989"/>
      <w:bookmarkStart w:id="666" w:name="_Toc312678025"/>
      <w:bookmarkStart w:id="667" w:name="_Toc312677499"/>
      <w:bookmarkStart w:id="668" w:name="_Toc267251441"/>
      <w:bookmarkStart w:id="669" w:name="_Toc267251435"/>
      <w:bookmarkStart w:id="670" w:name="_Toc267251437"/>
      <w:bookmarkStart w:id="671" w:name="_Toc267251433"/>
      <w:bookmarkStart w:id="672" w:name="_Toc267251439"/>
      <w:bookmarkStart w:id="673" w:name="_Toc267251440"/>
      <w:bookmarkStart w:id="674" w:name="_Toc267251442"/>
      <w:r>
        <w:rPr>
          <w:rFonts w:hint="eastAsia" w:ascii="宋体" w:hAnsi="宋体" w:cs="宋体"/>
          <w:color w:val="auto"/>
          <w:sz w:val="22"/>
          <w:szCs w:val="22"/>
        </w:rPr>
        <w:t>0. 变更</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bookmarkEnd w:id="666"/>
    <w:bookmarkEnd w:id="667"/>
    <w:p w14:paraId="4854BEC5">
      <w:pPr>
        <w:pStyle w:val="39"/>
        <w:spacing w:line="360" w:lineRule="exact"/>
        <w:ind w:firstLine="442" w:firstLineChars="200"/>
        <w:rPr>
          <w:rFonts w:hint="eastAsia" w:ascii="宋体" w:hAnsi="宋体" w:cs="宋体"/>
          <w:color w:val="auto"/>
          <w:sz w:val="22"/>
          <w:szCs w:val="22"/>
        </w:rPr>
      </w:pPr>
      <w:bookmarkStart w:id="675" w:name="_Toc12975931"/>
      <w:bookmarkStart w:id="676" w:name="_Toc395382543"/>
      <w:bookmarkStart w:id="677" w:name="_Toc389065306"/>
      <w:bookmarkStart w:id="678" w:name="_Toc533432766"/>
      <w:bookmarkStart w:id="679" w:name="_Toc373227740"/>
      <w:bookmarkStart w:id="680" w:name="_Toc373478387"/>
      <w:r>
        <w:rPr>
          <w:rFonts w:hint="eastAsia" w:ascii="宋体" w:hAnsi="宋体" w:cs="宋体"/>
          <w:color w:val="auto"/>
          <w:sz w:val="22"/>
          <w:szCs w:val="22"/>
        </w:rPr>
        <w:t>1</w:t>
      </w:r>
      <w:bookmarkStart w:id="681" w:name="_Toc297123541"/>
      <w:bookmarkStart w:id="682" w:name="_Toc297216200"/>
      <w:bookmarkStart w:id="683" w:name="_Toc296503194"/>
      <w:bookmarkStart w:id="684" w:name="_Toc292559904"/>
      <w:bookmarkStart w:id="685" w:name="_Toc297048380"/>
      <w:bookmarkStart w:id="686" w:name="_Toc296891022"/>
      <w:bookmarkStart w:id="687" w:name="_Toc292559399"/>
      <w:bookmarkStart w:id="688" w:name="_Toc300934990"/>
      <w:bookmarkStart w:id="689" w:name="_Toc297120494"/>
      <w:bookmarkStart w:id="690" w:name="_Toc303539147"/>
      <w:bookmarkStart w:id="691" w:name="_Toc296346695"/>
      <w:bookmarkStart w:id="692" w:name="_Toc296347193"/>
      <w:bookmarkStart w:id="693" w:name="_Toc296944533"/>
      <w:bookmarkStart w:id="694" w:name="_Toc312678026"/>
      <w:bookmarkStart w:id="695" w:name="_Toc312677500"/>
      <w:bookmarkStart w:id="696" w:name="_Toc304295567"/>
      <w:bookmarkStart w:id="697" w:name="_Toc296891234"/>
      <w:r>
        <w:rPr>
          <w:rFonts w:hint="eastAsia" w:ascii="宋体" w:hAnsi="宋体" w:cs="宋体"/>
          <w:color w:val="auto"/>
          <w:sz w:val="22"/>
          <w:szCs w:val="22"/>
        </w:rPr>
        <w:t>0.1 变更的范围</w:t>
      </w:r>
      <w:bookmarkEnd w:id="675"/>
      <w:bookmarkEnd w:id="676"/>
      <w:bookmarkEnd w:id="677"/>
      <w:bookmarkEnd w:id="678"/>
      <w:bookmarkEnd w:id="679"/>
      <w:bookmarkEnd w:id="680"/>
    </w:p>
    <w:p w14:paraId="5EB7A589">
      <w:pPr>
        <w:pStyle w:val="60"/>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关于变更的范围的约定：</w:t>
      </w:r>
    </w:p>
    <w:p w14:paraId="7A29BD4C">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增加以下内容：</w:t>
      </w:r>
    </w:p>
    <w:p w14:paraId="406BC80E">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发包人可以以书面的形式通知承包人暂停执行本合同或本合同范围内的任何部分，也可以以书面的形式通知承包人将要暂停的工作内容和暂停生效的日期；承包人应从这一生效日起暂停所述工作内容，但应继续执行未被暂停的其他工作。</w:t>
      </w:r>
    </w:p>
    <w:p w14:paraId="024D4020">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发包人可以以书面的形式通知承包人取消（或变更）执行本合同范围内的任何部分，也可以以书面的形式通知承包人将要取消（或变更）的工作内容和暂停生效的日期；承包人应从这一生效日起取消（或变更）所述工作内容，但应继续执行未被取消（或变更）的其他工作。</w:t>
      </w:r>
    </w:p>
    <w:p w14:paraId="3EEFE996">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尽管合同有其他约定，尽管变更或增加部分与本合同无实质性关联，发包人根据自身需要，需要由承包人承担其相关施工，承包人不得拒绝。发包人发出的变更指令，承包人必须执行，承包人必须考虑其磋商报价的平衡性，不得以变更项目子目单价低或超出施工能力范围等为由拒绝施工，也不得以变更或者增加部分不属于本合同范围为由而拒绝执行。经发包人催告后3天仍不执行或不完全执行指令的，视承包人违约，发包人根据变更或增加部分的总费用及事情的重要性对承包人进行罚款，罚款金额1～5万元/次。</w:t>
      </w:r>
    </w:p>
    <w:p w14:paraId="335FB2B0">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（4）不属于变更范围的包括但不限于以下内容：</w:t>
      </w:r>
    </w:p>
    <w:p w14:paraId="5638F8D3">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①如果工程量的增减并不是执行发包人按本条规定发出的变更指示的结果，而是由于实际工程量超过或少于工程量清单中开列的数量，则此类增减不需要任何变更指示。</w:t>
      </w:r>
    </w:p>
    <w:p w14:paraId="208F938D">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②工程图纸和现场条件没有发生变化，承包人在磋商阶段也未提出澄清，但在施工阶段因现场情况（包括但不限于地质条件限制、场地限制、安全要求限制等）不能完成施工或不能按期完成整个工程，需要修改图纸或施工方案（包括施工工艺、施工设备、施工方法和施工顺序等），不构成变更。因此导致费用增加或工期延长时，发包人不承担任何相关费用，相关费用及损失由承包人承担，工期亦不予顺延。</w:t>
      </w:r>
    </w:p>
    <w:p w14:paraId="595E0618">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③承包人为了便于组织施工，或为了施工安全、避免干扰等原因需采取相应的技术措施而提出的局部变更设计，不构成变更。但局部变更设计须经发包人的批准，且由此而增加的费用应由承包人承担。</w:t>
      </w:r>
    </w:p>
    <w:p w14:paraId="0B70EA00">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④若竣工图与发包人在施工过程中确认的施工图及工程变更不一致，则发包人对竣工图的接收或确认不能证明发包人同意上述不一致之处的施工，也不构成本条约定的变更，因上述不一致而增加的费用由承包人承担。</w:t>
      </w:r>
    </w:p>
    <w:p w14:paraId="190593C6">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⑤承包人编制的商务标取费与技术标的施工方案不能一一对应的，如工程图纸没有发生实质性变化，但按照技术标的施工方案不能完成施工或不能按期完成整个工程，需要修改施工方案（包括施工工艺、施工设备、施工方法和施工顺序等），不构成变更。因此导致费用增加或工期延长时，发包人不承担任何相关费用，相关费用及损失由承包人承担，工期亦不予顺延。</w:t>
      </w:r>
    </w:p>
    <w:p w14:paraId="1C159AFD">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⑥如工程图纸没有发生实质性变化，不管图纸和工程量清单中是否有描述，承包人在磋商阶段也未提出澄清，但为完成工程图所发生的任何措施项目均不构成变更。</w:t>
      </w:r>
    </w:p>
    <w:p w14:paraId="6CFC3862">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⑦本项目施工用水、用电由承包人自理，承包人应在磋商阶段通过实地考察水电接入点位置及用电容量，如通过自发电或其他方式取得时，均不构成变更。</w:t>
      </w:r>
    </w:p>
    <w:p w14:paraId="54977217">
      <w:pPr>
        <w:pStyle w:val="39"/>
        <w:spacing w:line="360" w:lineRule="exact"/>
        <w:ind w:firstLine="442" w:firstLineChars="200"/>
        <w:rPr>
          <w:rFonts w:hint="eastAsia" w:ascii="宋体" w:hAnsi="宋体" w:cs="宋体"/>
          <w:color w:val="auto"/>
          <w:sz w:val="22"/>
          <w:szCs w:val="22"/>
        </w:rPr>
      </w:pPr>
      <w:bookmarkStart w:id="698" w:name="_Toc373227741"/>
      <w:bookmarkStart w:id="699" w:name="_Toc12975932"/>
      <w:bookmarkStart w:id="700" w:name="_Toc533432767"/>
      <w:bookmarkStart w:id="701" w:name="_Toc395382544"/>
      <w:bookmarkStart w:id="702" w:name="_Toc389065307"/>
      <w:bookmarkStart w:id="703" w:name="_Toc373478388"/>
      <w:r>
        <w:rPr>
          <w:rFonts w:hint="eastAsia" w:ascii="宋体" w:hAnsi="宋体" w:cs="宋体"/>
          <w:color w:val="auto"/>
          <w:sz w:val="22"/>
          <w:szCs w:val="22"/>
        </w:rPr>
        <w:t>10.3 变更程序</w:t>
      </w:r>
      <w:bookmarkEnd w:id="698"/>
      <w:bookmarkEnd w:id="699"/>
      <w:bookmarkEnd w:id="700"/>
      <w:bookmarkEnd w:id="701"/>
      <w:bookmarkEnd w:id="702"/>
      <w:bookmarkEnd w:id="703"/>
    </w:p>
    <w:p w14:paraId="1A27BF52">
      <w:pPr>
        <w:pStyle w:val="56"/>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10.3.1 国有投资项目：</w:t>
      </w:r>
    </w:p>
    <w:p w14:paraId="13283CCA">
      <w:pPr>
        <w:pStyle w:val="56"/>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⑴设计变更和工程签证，按各市政府或相关部门的规定办理。属不可抗力（自然灾害、突发事件等）造成变更的，按特事特办原则予以办理。</w:t>
      </w:r>
    </w:p>
    <w:p w14:paraId="3067903B">
      <w:pPr>
        <w:pStyle w:val="56"/>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⑵建设单位在实施项目过程中，若发生单价变动，由建设单位、监理单位、施工单位及其他相关单位共同商定并签字确认。</w:t>
      </w:r>
    </w:p>
    <w:p w14:paraId="77802161">
      <w:pPr>
        <w:pStyle w:val="40"/>
        <w:spacing w:line="360" w:lineRule="exact"/>
        <w:ind w:firstLine="440" w:firstLineChars="200"/>
        <w:jc w:val="left"/>
        <w:rPr>
          <w:rFonts w:hint="eastAsia" w:ascii="宋体" w:hAnsi="宋体" w:cs="宋体"/>
          <w:bCs/>
          <w:color w:val="auto"/>
          <w:sz w:val="22"/>
        </w:rPr>
      </w:pPr>
      <w:r>
        <w:rPr>
          <w:rFonts w:hint="eastAsia" w:ascii="宋体" w:hAnsi="宋体" w:cs="宋体"/>
          <w:bCs/>
          <w:color w:val="auto"/>
          <w:sz w:val="22"/>
        </w:rPr>
        <w:t>⑶ 当合同规定的合同价款调整情况发生后，承包人未在规定时间内通知发包人，或者未在规定时间内提出调整报告，发包人可以根据有关资料，决定是否调整和调整的金额，并书面通知承包人。</w:t>
      </w:r>
    </w:p>
    <w:p w14:paraId="2C4C8EDF">
      <w:pPr>
        <w:pStyle w:val="60"/>
        <w:spacing w:line="360" w:lineRule="exact"/>
        <w:ind w:firstLine="440" w:firstLineChars="200"/>
        <w:rPr>
          <w:rFonts w:hint="eastAsia" w:ascii="宋体" w:hAnsi="宋体" w:cs="宋体"/>
          <w:bCs/>
          <w:color w:val="auto"/>
          <w:sz w:val="22"/>
          <w:szCs w:val="22"/>
        </w:rPr>
      </w:pPr>
      <w:r>
        <w:rPr>
          <w:rFonts w:hint="eastAsia" w:ascii="宋体" w:hAnsi="宋体" w:cs="宋体"/>
          <w:bCs/>
          <w:color w:val="auto"/>
          <w:sz w:val="22"/>
          <w:szCs w:val="22"/>
        </w:rPr>
        <w:t>（4）</w:t>
      </w:r>
      <w:r>
        <w:rPr>
          <w:rFonts w:hint="eastAsia" w:ascii="宋体" w:hAnsi="宋体" w:cs="宋体"/>
          <w:color w:val="auto"/>
          <w:sz w:val="22"/>
          <w:szCs w:val="22"/>
          <w:u w:val="single"/>
        </w:rPr>
        <w:t>所有设计变更，双方均应办理变更前签证，需要变更的工程（或新增工程），由设计单位、监理单位对变更理由和变更内容提出审核意见后报发包人，由发包人向相关审批部门报告，相关审批部门批复意见后方可实施。变更造价累计超出工程施工合同价中建安工程费用总和的10%且单项工程变更造价大于人民币100万</w:t>
      </w:r>
      <w:r>
        <w:rPr>
          <w:rFonts w:hint="eastAsia" w:ascii="宋体" w:hAnsi="宋体" w:cs="宋体"/>
          <w:color w:val="auto"/>
          <w:sz w:val="22"/>
          <w:szCs w:val="22"/>
          <w:u w:val="single"/>
          <w:lang w:val="en-US" w:eastAsia="zh-CN"/>
        </w:rPr>
        <w:t>元</w:t>
      </w:r>
      <w:r>
        <w:rPr>
          <w:rFonts w:hint="eastAsia" w:ascii="宋体" w:hAnsi="宋体" w:cs="宋体"/>
          <w:color w:val="auto"/>
          <w:sz w:val="22"/>
          <w:szCs w:val="22"/>
          <w:u w:val="single"/>
        </w:rPr>
        <w:t>的，由设计单位、监理单位及发包人提出审核意见，经发包人或项目委托后，经发包人集体研究，主要负责人签字后，</w:t>
      </w:r>
      <w:r>
        <w:rPr>
          <w:rFonts w:hint="eastAsia" w:ascii="宋体" w:hAnsi="宋体" w:cs="宋体"/>
          <w:bCs/>
          <w:color w:val="auto"/>
          <w:sz w:val="22"/>
          <w:szCs w:val="22"/>
          <w:u w:val="single"/>
        </w:rPr>
        <w:t>报相关审批部门批准后须报市人民政府备案方可实施</w:t>
      </w:r>
      <w:r>
        <w:rPr>
          <w:rFonts w:hint="eastAsia" w:ascii="宋体" w:hAnsi="宋体" w:cs="宋体"/>
          <w:color w:val="auto"/>
          <w:sz w:val="22"/>
          <w:szCs w:val="22"/>
          <w:u w:val="single"/>
        </w:rPr>
        <w:t>。项目变更后总投资超过概算批复的，必须报投资审批部门同意调整概算方可实施。</w:t>
      </w:r>
    </w:p>
    <w:p w14:paraId="4E880F3E">
      <w:pPr>
        <w:pStyle w:val="40"/>
        <w:spacing w:line="360" w:lineRule="exact"/>
        <w:ind w:firstLine="440" w:firstLineChars="200"/>
        <w:jc w:val="left"/>
        <w:rPr>
          <w:rFonts w:hint="eastAsia" w:ascii="宋体" w:hAnsi="宋体" w:cs="宋体"/>
          <w:bCs/>
          <w:color w:val="auto"/>
          <w:sz w:val="22"/>
          <w:u w:val="single"/>
        </w:rPr>
      </w:pPr>
      <w:r>
        <w:rPr>
          <w:rFonts w:hint="eastAsia" w:ascii="宋体" w:hAnsi="宋体" w:cs="宋体"/>
          <w:bCs/>
          <w:color w:val="auto"/>
          <w:sz w:val="22"/>
        </w:rPr>
        <w:t>10.3.2 非国有投资项目：</w:t>
      </w:r>
      <w:r>
        <w:rPr>
          <w:rFonts w:hint="eastAsia" w:ascii="宋体" w:hAnsi="宋体" w:cs="宋体"/>
          <w:bCs/>
          <w:color w:val="auto"/>
          <w:sz w:val="22"/>
          <w:u w:val="single"/>
        </w:rPr>
        <w:t xml:space="preserve">  /  </w:t>
      </w:r>
      <w:r>
        <w:rPr>
          <w:rFonts w:hint="eastAsia" w:ascii="宋体" w:hAnsi="宋体" w:cs="宋体"/>
          <w:bCs/>
          <w:color w:val="auto"/>
          <w:sz w:val="22"/>
          <w:u w:val="none"/>
        </w:rPr>
        <w:t>。</w:t>
      </w:r>
    </w:p>
    <w:p w14:paraId="1D0B7BBB">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bCs/>
          <w:color w:val="auto"/>
          <w:sz w:val="22"/>
          <w:szCs w:val="22"/>
        </w:rPr>
        <w:t>变更的提出</w:t>
      </w:r>
    </w:p>
    <w:p w14:paraId="5B10DAF9">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1）在合同履行过程中，发包人向承包人发出指令后，如果承包人认为该指令属于变更的，承包人应当在收到指令之日起14天内，向监理人提出变更建议书。变更建议书应当阐明变更原因、依据、内容，并同时提供图纸/施工方案等相关技术资料及变更报价书。</w:t>
      </w:r>
    </w:p>
    <w:p w14:paraId="07544EA9">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2）监理人收到承包人报送的变更建议书后，认为变更不成立的可将变更建议书直接退回承包人；若监理人认为变更成立的，则应上报发包人审查，发包人认为变更不成立的，应在收到监理人报送的意见书后14天内向承包人发出书面通知；发包人认为变更是否成立不明确或需要承包人进一步提交资料的，发包人应书面通知承包人补充资料。承包人应在收到发包人通知之日起14天内提交补充资料，发包人收到承包人提交的补充资料后28天内，应当向承包人发出正式变更令或变更不成立的书面通知。</w:t>
      </w:r>
    </w:p>
    <w:p w14:paraId="3A1714AD">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（3）尽管合同有其他约定，但承包人未在收到指令</w:t>
      </w:r>
      <w:r>
        <w:rPr>
          <w:rFonts w:hint="eastAsia" w:ascii="宋体" w:hAnsi="宋体" w:cs="宋体"/>
          <w:color w:val="auto"/>
          <w:sz w:val="22"/>
          <w:szCs w:val="22"/>
          <w:u w:val="single"/>
        </w:rPr>
        <w:t>（包括但不限于书面指令、口头指令、会议纪要等形式）</w:t>
      </w:r>
      <w:r>
        <w:rPr>
          <w:rFonts w:hint="eastAsia" w:ascii="宋体" w:hAnsi="宋体" w:cs="宋体"/>
          <w:bCs/>
          <w:color w:val="auto"/>
          <w:sz w:val="22"/>
          <w:szCs w:val="22"/>
        </w:rPr>
        <w:t>之日起14天内向监理人提出变更建议书的，则视为该指令并不涉及费用增加或工期顺延，或承包人放弃要求补偿由于该指令而导致的费用增加和工期顺延等一切权利。</w:t>
      </w:r>
    </w:p>
    <w:p w14:paraId="3742B941">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（4）承包人未在收到发包人要求补充资料的书面通知之日起14天内向发包人提交补充资料的，则视为承包人放弃要求补偿由于发包人指令而导致的费用增加和工期顺延等一切权利。</w:t>
      </w:r>
    </w:p>
    <w:p w14:paraId="26FF90C7">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（5）承包人在收到发包人发出的正式变更令或变更不成立的书面通知之日起14天内，未向发包人提出书面异议的，则视为承包人对正式变更令或书面通知的认可。</w:t>
      </w:r>
    </w:p>
    <w:p w14:paraId="2C7E7FCD">
      <w:pPr>
        <w:pStyle w:val="60"/>
        <w:spacing w:line="360" w:lineRule="exact"/>
        <w:ind w:firstLine="440" w:firstLineChars="200"/>
        <w:rPr>
          <w:rFonts w:hint="eastAsia" w:ascii="宋体" w:hAnsi="宋体" w:cs="宋体"/>
          <w:bCs/>
          <w:color w:val="auto"/>
          <w:sz w:val="22"/>
          <w:szCs w:val="22"/>
          <w:u w:val="single"/>
        </w:rPr>
      </w:pPr>
      <w:r>
        <w:rPr>
          <w:rFonts w:hint="eastAsia" w:ascii="宋体" w:hAnsi="宋体" w:cs="宋体"/>
          <w:bCs/>
          <w:color w:val="auto"/>
          <w:sz w:val="22"/>
          <w:szCs w:val="22"/>
        </w:rPr>
        <w:t>（6）竣工验收证书签发后，承包人无权就工程竣工证书签发前发包人的任何指令要求增加费用。</w:t>
      </w:r>
    </w:p>
    <w:p w14:paraId="70427C78">
      <w:pPr>
        <w:pStyle w:val="39"/>
        <w:spacing w:line="360" w:lineRule="exact"/>
        <w:ind w:firstLine="442" w:firstLineChars="200"/>
        <w:rPr>
          <w:rFonts w:hint="eastAsia" w:ascii="宋体" w:hAnsi="宋体" w:cs="宋体"/>
          <w:color w:val="auto"/>
          <w:sz w:val="22"/>
          <w:szCs w:val="22"/>
        </w:rPr>
      </w:pPr>
      <w:bookmarkStart w:id="704" w:name="_Toc373227742"/>
      <w:bookmarkStart w:id="705" w:name="_Toc533432768"/>
      <w:bookmarkStart w:id="706" w:name="_Toc395382545"/>
      <w:bookmarkStart w:id="707" w:name="_Toc389065308"/>
      <w:bookmarkStart w:id="708" w:name="_Toc373478389"/>
      <w:bookmarkStart w:id="709" w:name="_Toc12975933"/>
      <w:r>
        <w:rPr>
          <w:rFonts w:hint="eastAsia" w:ascii="宋体" w:hAnsi="宋体" w:cs="宋体"/>
          <w:color w:val="auto"/>
          <w:sz w:val="22"/>
          <w:szCs w:val="22"/>
        </w:rPr>
        <w:t>10.4 变更估价</w:t>
      </w:r>
      <w:bookmarkEnd w:id="704"/>
      <w:bookmarkEnd w:id="705"/>
      <w:bookmarkEnd w:id="706"/>
      <w:bookmarkEnd w:id="707"/>
      <w:bookmarkEnd w:id="708"/>
      <w:bookmarkEnd w:id="709"/>
    </w:p>
    <w:p w14:paraId="590905C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10.4.1 变更估价原则</w:t>
      </w:r>
    </w:p>
    <w:p w14:paraId="2307C990">
      <w:pPr>
        <w:pStyle w:val="60"/>
        <w:spacing w:line="360" w:lineRule="exact"/>
        <w:ind w:firstLine="440" w:firstLineChars="200"/>
        <w:jc w:val="left"/>
        <w:rPr>
          <w:rFonts w:hint="eastAsia" w:ascii="宋体" w:hAnsi="宋体" w:eastAsia="宋体" w:cs="宋体"/>
          <w:bCs/>
          <w:color w:val="auto"/>
          <w:sz w:val="22"/>
          <w:szCs w:val="22"/>
          <w:u w:val="single"/>
          <w:lang w:eastAsia="zh-CN"/>
        </w:rPr>
      </w:pPr>
      <w:r>
        <w:rPr>
          <w:rFonts w:hint="eastAsia" w:ascii="宋体" w:hAnsi="宋体" w:cs="宋体"/>
          <w:color w:val="auto"/>
          <w:sz w:val="22"/>
          <w:szCs w:val="22"/>
        </w:rPr>
        <w:t>关于变更估价的约定</w:t>
      </w:r>
      <w:r>
        <w:rPr>
          <w:rFonts w:hint="eastAsia" w:ascii="宋体" w:hAnsi="宋体" w:cs="宋体"/>
          <w:color w:val="auto"/>
          <w:sz w:val="22"/>
          <w:szCs w:val="22"/>
          <w:lang w:eastAsia="zh-CN"/>
        </w:rPr>
        <w:t>：</w:t>
      </w:r>
      <w:r>
        <w:rPr>
          <w:rFonts w:hint="eastAsia" w:ascii="宋体" w:hAnsi="宋体" w:cs="宋体"/>
          <w:color w:val="auto"/>
          <w:sz w:val="22"/>
          <w:szCs w:val="22"/>
        </w:rPr>
        <w:t xml:space="preserve">  </w:t>
      </w:r>
      <w:bookmarkStart w:id="710" w:name="_Toc251051742"/>
      <w:r>
        <w:rPr>
          <w:rFonts w:hint="eastAsia" w:ascii="宋体" w:hAnsi="宋体" w:cs="宋体"/>
          <w:color w:val="auto"/>
          <w:sz w:val="22"/>
          <w:szCs w:val="22"/>
        </w:rPr>
        <w:t xml:space="preserve"> </w:t>
      </w:r>
      <w:r>
        <w:rPr>
          <w:rFonts w:hint="eastAsia" w:ascii="宋体" w:hAnsi="宋体" w:cs="宋体"/>
          <w:bCs/>
          <w:color w:val="auto"/>
          <w:sz w:val="22"/>
          <w:szCs w:val="22"/>
          <w:u w:val="single"/>
        </w:rPr>
        <w:t>合同中已有适用于变更工程的价格，按合同中已有的价格变更合同价格；合同中只有类似于变更工程的价格，可以参照类似价格变更合同价款。需要变更的工程（或新增工程），由设计单位、监理单位对变更</w:t>
      </w:r>
      <w:r>
        <w:rPr>
          <w:rFonts w:hint="eastAsia" w:ascii="宋体" w:hAnsi="宋体" w:cs="宋体"/>
          <w:bCs/>
          <w:color w:val="auto"/>
          <w:sz w:val="22"/>
          <w:szCs w:val="22"/>
          <w:highlight w:val="none"/>
          <w:u w:val="single"/>
        </w:rPr>
        <w:t>理由和变更内容提出审核意见后报发包人，由发包人向相关审批部门报告，相关审批部门批复后方可实施。合同中没有适用或类似于变更工程的价格，待竣工后由发包人一并报区财政局（投资评审中心）进行结算。变更造价累计超出工程施工合同价中建安工程费用总和的10%且单项工程变更造价大于100万元人民币的，由设计单位、监理单位及发包人提出审核意见，经项目业主或项目委托后，经建设单位集体研究，主要负责人签字后，报相关审批部门批准后须报区人民政府备案方可实</w:t>
      </w:r>
      <w:r>
        <w:rPr>
          <w:rFonts w:hint="eastAsia" w:ascii="宋体" w:hAnsi="宋体" w:cs="宋体"/>
          <w:bCs/>
          <w:color w:val="auto"/>
          <w:sz w:val="22"/>
          <w:szCs w:val="22"/>
          <w:u w:val="single"/>
        </w:rPr>
        <w:t>施。项目变更后总投资超过概算批复的，必须报投资审批部门同意调整概算方可实施。变更导致实际完成的变更工程量与已标价的工程量清单或预算书中列明的该项目工程量变化幅度无论多大，均不调整单价</w:t>
      </w:r>
      <w:r>
        <w:rPr>
          <w:rFonts w:hint="eastAsia" w:ascii="宋体" w:hAnsi="宋体" w:cs="宋体"/>
          <w:bCs/>
          <w:color w:val="auto"/>
          <w:sz w:val="22"/>
          <w:szCs w:val="22"/>
          <w:u w:val="single"/>
          <w:lang w:eastAsia="zh-CN"/>
        </w:rPr>
        <w:t>。</w:t>
      </w:r>
    </w:p>
    <w:p w14:paraId="696AB35E">
      <w:pPr>
        <w:pStyle w:val="60"/>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尽管合同有其他约定，但依据承包人报价中同类（或相似）项目的标准，若高于定额标准时按定额取费标准计取；或在按本合同规定确定新单价时，如果计算出的新单价明显高于市场价，发包人可按以下任一原则对单价进行重新计算：</w:t>
      </w:r>
    </w:p>
    <w:p w14:paraId="08552F2D">
      <w:pPr>
        <w:pStyle w:val="60"/>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1）按照本项规定的新单价计算原则计算出与变更类似项目的价格（类似项目是指都为土石方工程、或基础工程、或钢结构工程、或门窗工程），类似项目合同中价格与按变更原则计算价格之比为变更单价的下浮率，按新单价的计算原则计算出变更新单价再乘以下浮率即为变更单价。</w:t>
      </w:r>
    </w:p>
    <w:p w14:paraId="2B4604D2">
      <w:pPr>
        <w:pStyle w:val="60"/>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2）发包人有权从报价分析的材料/设备单价、广西或防城港市工程造价管理部门等发布的该变更发生期内“信息价”、市场调研得出的市场价或采购发票价中任选一项作为建立新单价的依据，或通过补偿同类材料差额建立新单价，承包人不能对此提出异议（发包人变更过程中指定采购厂家的除外）。</w:t>
      </w:r>
    </w:p>
    <w:p w14:paraId="3CB1D5C1">
      <w:pPr>
        <w:pStyle w:val="60"/>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3）在市场调研得出的市场价、或承包人以前类似磋商报价、或发包人正在执行的其他项目类似的磋商报价、或广西或防城港市工程造价管理部门等发布的信息价的基础上调整。</w:t>
      </w:r>
    </w:p>
    <w:p w14:paraId="59FC295B">
      <w:pPr>
        <w:pStyle w:val="60"/>
        <w:spacing w:line="360" w:lineRule="exact"/>
        <w:ind w:firstLine="440" w:firstLineChars="200"/>
        <w:rPr>
          <w:rFonts w:hint="eastAsia" w:ascii="宋体" w:hAnsi="宋体" w:cs="宋体"/>
          <w:color w:val="auto"/>
          <w:sz w:val="22"/>
          <w:szCs w:val="22"/>
        </w:rPr>
      </w:pPr>
      <w:r>
        <w:rPr>
          <w:rFonts w:hint="eastAsia" w:ascii="宋体" w:hAnsi="宋体" w:cs="宋体"/>
          <w:bCs/>
          <w:color w:val="auto"/>
          <w:sz w:val="22"/>
          <w:szCs w:val="22"/>
          <w:u w:val="single"/>
        </w:rPr>
        <w:t>4）在确定新单价的过程中，涉及到单项材料/设备价格超过人民币100万元，承包人及时将采购策略和计划告知发包人并得到发包人同意后再开展采购工作，发包人视情况可参与采购全过程；当材料/设备价格达到依法必需招标时，由发包人和承包人以招标的方式选择供应商或分包人。</w:t>
      </w:r>
      <w:bookmarkEnd w:id="710"/>
    </w:p>
    <w:p w14:paraId="131B1D23">
      <w:pPr>
        <w:pStyle w:val="39"/>
        <w:spacing w:line="360" w:lineRule="exact"/>
        <w:ind w:firstLine="442" w:firstLineChars="200"/>
        <w:rPr>
          <w:rFonts w:hint="eastAsia" w:ascii="宋体" w:hAnsi="宋体" w:cs="宋体"/>
          <w:color w:val="auto"/>
          <w:sz w:val="22"/>
          <w:szCs w:val="22"/>
        </w:rPr>
      </w:pPr>
      <w:bookmarkStart w:id="711" w:name="_Toc373478390"/>
      <w:bookmarkStart w:id="712" w:name="_Toc12975934"/>
      <w:bookmarkStart w:id="713" w:name="_Toc373227743"/>
      <w:bookmarkStart w:id="714" w:name="_Toc395382546"/>
      <w:bookmarkStart w:id="715" w:name="_Toc533432769"/>
      <w:bookmarkStart w:id="716" w:name="_Toc389065309"/>
      <w:r>
        <w:rPr>
          <w:rFonts w:hint="eastAsia" w:ascii="宋体" w:hAnsi="宋体" w:cs="宋体"/>
          <w:color w:val="auto"/>
          <w:sz w:val="22"/>
          <w:szCs w:val="22"/>
        </w:rPr>
        <w:t>1</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Start w:id="717" w:name="_Toc297048383"/>
      <w:bookmarkStart w:id="718" w:name="_Toc292559907"/>
      <w:bookmarkStart w:id="719" w:name="_Toc303539150"/>
      <w:bookmarkStart w:id="720" w:name="_Toc300934993"/>
      <w:bookmarkStart w:id="721" w:name="_Toc296346698"/>
      <w:bookmarkStart w:id="722" w:name="_Toc296503197"/>
      <w:bookmarkStart w:id="723" w:name="_Toc296891025"/>
      <w:bookmarkStart w:id="724" w:name="_Toc297120497"/>
      <w:bookmarkStart w:id="725" w:name="_Toc297216203"/>
      <w:bookmarkStart w:id="726" w:name="_Toc297123544"/>
      <w:bookmarkStart w:id="727" w:name="_Toc296347196"/>
      <w:bookmarkStart w:id="728" w:name="_Toc296944536"/>
      <w:bookmarkStart w:id="729" w:name="_Toc296891237"/>
      <w:bookmarkStart w:id="730" w:name="_Toc292559402"/>
      <w:bookmarkStart w:id="731" w:name="_Toc312678029"/>
      <w:bookmarkStart w:id="732" w:name="_Toc304295570"/>
      <w:bookmarkStart w:id="733" w:name="_Toc312677503"/>
      <w:r>
        <w:rPr>
          <w:rFonts w:hint="eastAsia" w:ascii="宋体" w:hAnsi="宋体" w:cs="宋体"/>
          <w:color w:val="auto"/>
          <w:sz w:val="22"/>
          <w:szCs w:val="22"/>
        </w:rPr>
        <w:t>0.5 承</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Start w:id="734" w:name="_Toc297123545"/>
      <w:bookmarkStart w:id="735" w:name="_Toc296346704"/>
      <w:bookmarkStart w:id="736" w:name="_Toc303539151"/>
      <w:bookmarkStart w:id="737" w:name="_Toc296891243"/>
      <w:bookmarkStart w:id="738" w:name="_Toc296347202"/>
      <w:bookmarkStart w:id="739" w:name="_Toc297048389"/>
      <w:bookmarkStart w:id="740" w:name="_Toc296944542"/>
      <w:bookmarkStart w:id="741" w:name="_Toc297120503"/>
      <w:bookmarkStart w:id="742" w:name="_Toc296891031"/>
      <w:bookmarkStart w:id="743" w:name="_Toc300934994"/>
      <w:bookmarkStart w:id="744" w:name="_Toc296503203"/>
      <w:bookmarkStart w:id="745" w:name="_Toc297216204"/>
      <w:bookmarkStart w:id="746" w:name="_Toc292559913"/>
      <w:bookmarkStart w:id="747" w:name="_Toc292559408"/>
      <w:r>
        <w:rPr>
          <w:rFonts w:hint="eastAsia" w:ascii="宋体" w:hAnsi="宋体" w:cs="宋体"/>
          <w:color w:val="auto"/>
          <w:sz w:val="22"/>
          <w:szCs w:val="22"/>
        </w:rPr>
        <w:t>包人的合理化建议</w:t>
      </w:r>
      <w:bookmarkEnd w:id="711"/>
      <w:bookmarkEnd w:id="712"/>
      <w:bookmarkEnd w:id="713"/>
      <w:bookmarkEnd w:id="714"/>
      <w:bookmarkEnd w:id="715"/>
      <w:bookmarkEnd w:id="716"/>
    </w:p>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14:paraId="0BA9B9E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监理人审查承包人合理化建议的期限：</w:t>
      </w:r>
      <w:r>
        <w:rPr>
          <w:rFonts w:hint="eastAsia" w:ascii="宋体" w:hAnsi="宋体" w:cs="宋体"/>
          <w:color w:val="auto"/>
          <w:sz w:val="22"/>
          <w:u w:val="single"/>
        </w:rPr>
        <w:t>7天内</w:t>
      </w:r>
      <w:r>
        <w:rPr>
          <w:rFonts w:hint="eastAsia" w:ascii="宋体" w:hAnsi="宋体" w:cs="宋体"/>
          <w:color w:val="auto"/>
          <w:sz w:val="22"/>
        </w:rPr>
        <w:t>。</w:t>
      </w:r>
    </w:p>
    <w:p w14:paraId="76031BD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发包人审批承包人合理化建议的期限：</w:t>
      </w:r>
      <w:r>
        <w:rPr>
          <w:rFonts w:hint="eastAsia" w:ascii="宋体" w:hAnsi="宋体" w:cs="宋体"/>
          <w:color w:val="auto"/>
          <w:sz w:val="22"/>
          <w:u w:val="single"/>
        </w:rPr>
        <w:t>7天内</w:t>
      </w:r>
      <w:r>
        <w:rPr>
          <w:rFonts w:hint="eastAsia" w:ascii="宋体" w:hAnsi="宋体" w:cs="宋体"/>
          <w:color w:val="auto"/>
          <w:sz w:val="22"/>
        </w:rPr>
        <w:t>。</w:t>
      </w:r>
    </w:p>
    <w:p w14:paraId="44E876AC">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承</w:t>
      </w:r>
      <w:bookmarkStart w:id="748" w:name="_Toc297216205"/>
      <w:bookmarkStart w:id="749" w:name="_Toc296503204"/>
      <w:bookmarkStart w:id="750" w:name="_Toc304295571"/>
      <w:bookmarkStart w:id="751" w:name="_Toc300934995"/>
      <w:bookmarkStart w:id="752" w:name="_Toc296347203"/>
      <w:bookmarkStart w:id="753" w:name="_Toc296944543"/>
      <w:bookmarkStart w:id="754" w:name="_Toc296891244"/>
      <w:bookmarkStart w:id="755" w:name="_Toc312678030"/>
      <w:bookmarkStart w:id="756" w:name="_Toc292559409"/>
      <w:bookmarkStart w:id="757" w:name="_Toc297048390"/>
      <w:bookmarkStart w:id="758" w:name="_Toc297120504"/>
      <w:bookmarkStart w:id="759" w:name="_Toc296891032"/>
      <w:bookmarkStart w:id="760" w:name="_Toc297123546"/>
      <w:bookmarkStart w:id="761" w:name="_Toc296346705"/>
      <w:bookmarkStart w:id="762" w:name="_Toc292559914"/>
      <w:bookmarkStart w:id="763" w:name="_Toc318581175"/>
      <w:bookmarkStart w:id="764" w:name="_Toc303539152"/>
      <w:bookmarkStart w:id="765" w:name="_Toc312677504"/>
      <w:r>
        <w:rPr>
          <w:rFonts w:hint="eastAsia" w:ascii="宋体" w:hAnsi="宋体" w:cs="宋体"/>
          <w:color w:val="auto"/>
          <w:sz w:val="22"/>
        </w:rPr>
        <w:t>包人提出的合理化建议降低了合同价格或者提高了工程经济效益的奖励的方法和金额为</w:t>
      </w:r>
      <w:r>
        <w:rPr>
          <w:rFonts w:hint="eastAsia" w:ascii="宋体" w:hAnsi="宋体" w:cs="宋体"/>
          <w:color w:val="auto"/>
          <w:sz w:val="22"/>
          <w:lang w:eastAsia="zh-CN"/>
        </w:rPr>
        <w:t>：</w:t>
      </w:r>
      <w:r>
        <w:rPr>
          <w:rFonts w:hint="eastAsia" w:ascii="宋体" w:hAnsi="宋体" w:cs="宋体"/>
          <w:color w:val="auto"/>
          <w:sz w:val="22"/>
          <w:u w:val="single"/>
        </w:rPr>
        <w:t>无</w:t>
      </w:r>
      <w:r>
        <w:rPr>
          <w:rFonts w:hint="eastAsia" w:ascii="宋体" w:hAnsi="宋体" w:cs="宋体"/>
          <w:color w:val="auto"/>
          <w:sz w:val="22"/>
        </w:rPr>
        <w:t>。</w:t>
      </w:r>
    </w:p>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14:paraId="2F3278FA">
      <w:pPr>
        <w:pStyle w:val="39"/>
        <w:spacing w:line="360" w:lineRule="exact"/>
        <w:ind w:firstLine="442" w:firstLineChars="200"/>
        <w:rPr>
          <w:rFonts w:hint="eastAsia" w:ascii="宋体" w:hAnsi="宋体" w:cs="宋体"/>
          <w:color w:val="auto"/>
          <w:sz w:val="22"/>
          <w:szCs w:val="22"/>
        </w:rPr>
      </w:pPr>
      <w:bookmarkStart w:id="766" w:name="_Toc395382547"/>
      <w:bookmarkStart w:id="767" w:name="_Toc373478391"/>
      <w:bookmarkStart w:id="768" w:name="_Toc533432770"/>
      <w:bookmarkStart w:id="769" w:name="_Toc389065310"/>
      <w:bookmarkStart w:id="770" w:name="_Toc12975935"/>
      <w:bookmarkStart w:id="771" w:name="_Toc373227744"/>
      <w:r>
        <w:rPr>
          <w:rFonts w:hint="eastAsia" w:ascii="宋体" w:hAnsi="宋体" w:cs="宋体"/>
          <w:color w:val="auto"/>
          <w:sz w:val="22"/>
          <w:szCs w:val="22"/>
        </w:rPr>
        <w:t>1</w:t>
      </w:r>
      <w:bookmarkStart w:id="772" w:name="_Toc296503199"/>
      <w:bookmarkStart w:id="773" w:name="_Toc312677507"/>
      <w:bookmarkStart w:id="774" w:name="_Toc300934997"/>
      <w:bookmarkStart w:id="775" w:name="_Toc296347198"/>
      <w:bookmarkStart w:id="776" w:name="_Toc292559909"/>
      <w:bookmarkStart w:id="777" w:name="_Toc296944538"/>
      <w:bookmarkStart w:id="778" w:name="_Toc292559404"/>
      <w:bookmarkStart w:id="779" w:name="_Toc312678033"/>
      <w:bookmarkStart w:id="780" w:name="_Toc297120499"/>
      <w:bookmarkStart w:id="781" w:name="_Toc297123548"/>
      <w:bookmarkStart w:id="782" w:name="_Toc297048385"/>
      <w:bookmarkStart w:id="783" w:name="_Toc296891239"/>
      <w:bookmarkStart w:id="784" w:name="_Toc304295574"/>
      <w:bookmarkStart w:id="785" w:name="_Toc296346700"/>
      <w:bookmarkStart w:id="786" w:name="_Toc296891027"/>
      <w:bookmarkStart w:id="787" w:name="_Toc303539154"/>
      <w:bookmarkStart w:id="788" w:name="_Toc297216207"/>
      <w:r>
        <w:rPr>
          <w:rFonts w:hint="eastAsia" w:ascii="宋体" w:hAnsi="宋体" w:cs="宋体"/>
          <w:color w:val="auto"/>
          <w:sz w:val="22"/>
          <w:szCs w:val="22"/>
        </w:rPr>
        <w:t>0.7 暂估价</w:t>
      </w:r>
      <w:bookmarkEnd w:id="766"/>
      <w:bookmarkEnd w:id="767"/>
      <w:bookmarkEnd w:id="768"/>
      <w:bookmarkEnd w:id="769"/>
      <w:bookmarkEnd w:id="770"/>
      <w:bookmarkEnd w:id="771"/>
    </w:p>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14:paraId="1C49646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暂</w:t>
      </w:r>
      <w:bookmarkStart w:id="789" w:name="_Toc312677508"/>
      <w:bookmarkStart w:id="790" w:name="_Toc318581176"/>
      <w:bookmarkStart w:id="791" w:name="_Toc312678034"/>
      <w:r>
        <w:rPr>
          <w:rFonts w:hint="eastAsia" w:ascii="宋体" w:hAnsi="宋体" w:cs="宋体"/>
          <w:color w:val="auto"/>
          <w:kern w:val="0"/>
          <w:sz w:val="22"/>
        </w:rPr>
        <w:t>估价材料和工程设备的明细详见已标价工程量清单《</w:t>
      </w:r>
      <w:r>
        <w:rPr>
          <w:rFonts w:hint="eastAsia" w:ascii="宋体" w:hAnsi="宋体" w:cs="宋体"/>
          <w:color w:val="auto"/>
          <w:sz w:val="22"/>
        </w:rPr>
        <w:t>材料（工程设备）暂估价格及调整表》</w:t>
      </w:r>
      <w:r>
        <w:rPr>
          <w:rFonts w:hint="eastAsia" w:ascii="宋体" w:hAnsi="宋体" w:cs="宋体"/>
          <w:color w:val="auto"/>
          <w:kern w:val="0"/>
          <w:sz w:val="22"/>
        </w:rPr>
        <w:t>（表12-2）和《</w:t>
      </w:r>
      <w:r>
        <w:rPr>
          <w:rFonts w:hint="eastAsia" w:ascii="宋体" w:hAnsi="宋体" w:cs="宋体"/>
          <w:color w:val="auto"/>
          <w:sz w:val="22"/>
        </w:rPr>
        <w:t>专业工程暂估价表》（</w:t>
      </w:r>
      <w:r>
        <w:rPr>
          <w:rFonts w:hint="eastAsia" w:ascii="宋体" w:hAnsi="宋体" w:cs="宋体"/>
          <w:color w:val="auto"/>
          <w:kern w:val="0"/>
          <w:sz w:val="22"/>
        </w:rPr>
        <w:t>表12-3）。</w:t>
      </w:r>
    </w:p>
    <w:bookmarkEnd w:id="789"/>
    <w:bookmarkEnd w:id="790"/>
    <w:bookmarkEnd w:id="791"/>
    <w:p w14:paraId="1AAB97A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bookmarkStart w:id="792" w:name="_Toc318581177"/>
      <w:bookmarkStart w:id="793" w:name="_Toc312678035"/>
      <w:bookmarkStart w:id="794" w:name="_Toc312677509"/>
      <w:r>
        <w:rPr>
          <w:rFonts w:hint="eastAsia" w:ascii="宋体" w:hAnsi="宋体" w:cs="宋体"/>
          <w:color w:val="auto"/>
          <w:sz w:val="22"/>
        </w:rPr>
        <w:t>0.7.1 依法必须招标的暂估价项目</w:t>
      </w:r>
    </w:p>
    <w:bookmarkEnd w:id="792"/>
    <w:bookmarkEnd w:id="793"/>
    <w:bookmarkEnd w:id="794"/>
    <w:p w14:paraId="6FDC5D5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对于依法必须招标的暂估价项目的确认和批准采取第</w:t>
      </w:r>
      <w:r>
        <w:rPr>
          <w:rFonts w:hint="eastAsia" w:ascii="宋体" w:hAnsi="宋体" w:cs="宋体"/>
          <w:color w:val="auto"/>
          <w:sz w:val="22"/>
          <w:u w:val="single"/>
        </w:rPr>
        <w:t xml:space="preserve">  1  </w:t>
      </w:r>
      <w:r>
        <w:rPr>
          <w:rFonts w:hint="eastAsia" w:ascii="宋体" w:hAnsi="宋体" w:cs="宋体"/>
          <w:color w:val="auto"/>
          <w:sz w:val="22"/>
        </w:rPr>
        <w:t>种方式确定。</w:t>
      </w:r>
    </w:p>
    <w:p w14:paraId="436C8DE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10.7.2 不属于依法必须招标的暂估价项目</w:t>
      </w:r>
    </w:p>
    <w:p w14:paraId="22D4EC7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对于不属于依法必须招标的暂估价项目的确认和批准采取第</w:t>
      </w:r>
      <w:r>
        <w:rPr>
          <w:rFonts w:hint="eastAsia" w:ascii="宋体" w:hAnsi="宋体" w:cs="宋体"/>
          <w:color w:val="auto"/>
          <w:sz w:val="22"/>
          <w:u w:val="single"/>
        </w:rPr>
        <w:t xml:space="preserve">  2 </w:t>
      </w:r>
      <w:r>
        <w:rPr>
          <w:rFonts w:hint="eastAsia" w:ascii="宋体" w:hAnsi="宋体" w:cs="宋体"/>
          <w:color w:val="auto"/>
          <w:sz w:val="22"/>
        </w:rPr>
        <w:t xml:space="preserve"> 种方式确定。</w:t>
      </w:r>
    </w:p>
    <w:p w14:paraId="5F5EA46D">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第3种方式：</w:t>
      </w:r>
      <w:r>
        <w:rPr>
          <w:rFonts w:hint="eastAsia" w:ascii="宋体" w:hAnsi="宋体" w:cs="宋体"/>
          <w:color w:val="auto"/>
          <w:kern w:val="0"/>
          <w:sz w:val="22"/>
        </w:rPr>
        <w:t>承包人直接实施的暂估价项目</w:t>
      </w:r>
    </w:p>
    <w:p w14:paraId="44B4AAC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承包人直接实施的暂估价项目的约定：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31FC170C">
      <w:pPr>
        <w:pStyle w:val="39"/>
        <w:spacing w:line="360" w:lineRule="exact"/>
        <w:ind w:firstLine="442" w:firstLineChars="200"/>
        <w:rPr>
          <w:rFonts w:hint="eastAsia" w:ascii="宋体" w:hAnsi="宋体" w:cs="宋体"/>
          <w:color w:val="auto"/>
          <w:sz w:val="22"/>
          <w:szCs w:val="22"/>
        </w:rPr>
      </w:pPr>
      <w:bookmarkStart w:id="795" w:name="_Toc533432771"/>
      <w:bookmarkStart w:id="796" w:name="_Toc373227745"/>
      <w:bookmarkStart w:id="797" w:name="_Toc373478392"/>
      <w:bookmarkStart w:id="798" w:name="_Toc395382548"/>
      <w:bookmarkStart w:id="799" w:name="_Toc12975936"/>
      <w:bookmarkStart w:id="800" w:name="_Toc389065311"/>
      <w:r>
        <w:rPr>
          <w:rFonts w:hint="eastAsia" w:ascii="宋体" w:hAnsi="宋体" w:cs="宋体"/>
          <w:color w:val="auto"/>
          <w:sz w:val="22"/>
          <w:szCs w:val="22"/>
        </w:rPr>
        <w:t>10.8 暂列金额</w:t>
      </w:r>
      <w:bookmarkEnd w:id="795"/>
      <w:bookmarkEnd w:id="796"/>
      <w:bookmarkEnd w:id="797"/>
      <w:bookmarkEnd w:id="798"/>
      <w:bookmarkEnd w:id="799"/>
      <w:bookmarkEnd w:id="800"/>
    </w:p>
    <w:p w14:paraId="3037B01D">
      <w:pPr>
        <w:pStyle w:val="71"/>
        <w:spacing w:line="3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合同当事人关于暂列金额使用的约定：</w:t>
      </w:r>
    </w:p>
    <w:p w14:paraId="144BA87F">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合同当事人关于暂列金额使用的约定：</w:t>
      </w:r>
      <w:r>
        <w:rPr>
          <w:rFonts w:hint="eastAsia" w:ascii="宋体" w:hAnsi="宋体" w:cs="宋体"/>
          <w:bCs/>
          <w:color w:val="auto"/>
          <w:sz w:val="22"/>
          <w:u w:val="single"/>
        </w:rPr>
        <w:t>暂列金额是发包人为可能发生的工程变更，或用于提供不可预见的货物、材料和工程设备等因素发生的工程价款调增，以及经确认的索赔、现场签证，或用于提供相关服务或意外事件等而预留的金额，并非支付给承包人的实际费用。暂列金额只能按照发包人的指示使用。结算时，暂列金额应按实际发生的情况进行结算，剩余部分仍归发包人所有，不支付给承包人</w:t>
      </w:r>
      <w:r>
        <w:rPr>
          <w:rFonts w:hint="eastAsia" w:ascii="宋体" w:hAnsi="宋体" w:cs="宋体"/>
          <w:color w:val="auto"/>
          <w:kern w:val="0"/>
          <w:sz w:val="22"/>
        </w:rPr>
        <w:t>。</w:t>
      </w:r>
    </w:p>
    <w:p w14:paraId="3EF59E2F">
      <w:pPr>
        <w:pStyle w:val="70"/>
        <w:spacing w:before="0" w:after="0" w:line="360" w:lineRule="exact"/>
        <w:ind w:firstLine="442" w:firstLineChars="200"/>
        <w:rPr>
          <w:rFonts w:hint="eastAsia" w:ascii="宋体" w:hAnsi="宋体" w:cs="宋体"/>
          <w:color w:val="auto"/>
          <w:sz w:val="22"/>
          <w:szCs w:val="22"/>
        </w:rPr>
      </w:pPr>
      <w:bookmarkStart w:id="801" w:name="_Toc533432772"/>
      <w:bookmarkStart w:id="802" w:name="_Toc395382549"/>
      <w:bookmarkStart w:id="803" w:name="_Toc12975937"/>
      <w:bookmarkStart w:id="804" w:name="_Toc389065312"/>
      <w:bookmarkStart w:id="805" w:name="_Toc373478393"/>
      <w:bookmarkStart w:id="806" w:name="_Toc351203643"/>
      <w:bookmarkStart w:id="807" w:name="_Toc373227746"/>
      <w:r>
        <w:rPr>
          <w:rFonts w:hint="eastAsia" w:ascii="宋体" w:hAnsi="宋体" w:cs="宋体"/>
          <w:color w:val="auto"/>
          <w:sz w:val="22"/>
          <w:szCs w:val="22"/>
        </w:rPr>
        <w:t>11. 价格调整</w:t>
      </w:r>
      <w:bookmarkEnd w:id="801"/>
      <w:bookmarkEnd w:id="802"/>
      <w:bookmarkEnd w:id="803"/>
      <w:bookmarkEnd w:id="804"/>
      <w:bookmarkEnd w:id="805"/>
      <w:bookmarkEnd w:id="806"/>
      <w:bookmarkEnd w:id="807"/>
    </w:p>
    <w:p w14:paraId="0C8D9D2F">
      <w:pPr>
        <w:pStyle w:val="39"/>
        <w:spacing w:line="360" w:lineRule="exact"/>
        <w:ind w:firstLine="442" w:firstLineChars="200"/>
        <w:rPr>
          <w:rFonts w:hint="eastAsia" w:ascii="宋体" w:hAnsi="宋体" w:cs="宋体"/>
          <w:color w:val="auto"/>
          <w:sz w:val="22"/>
          <w:szCs w:val="22"/>
        </w:rPr>
      </w:pPr>
      <w:bookmarkStart w:id="808" w:name="_Toc389065313"/>
      <w:bookmarkStart w:id="809" w:name="_Toc395382550"/>
      <w:bookmarkStart w:id="810" w:name="_Toc533432773"/>
      <w:bookmarkStart w:id="811" w:name="_Toc12975938"/>
      <w:bookmarkStart w:id="812" w:name="_Toc373227747"/>
      <w:bookmarkStart w:id="813" w:name="_Toc373478394"/>
      <w:bookmarkStart w:id="814" w:name="_Toc300935000"/>
      <w:bookmarkStart w:id="815" w:name="_Toc297216209"/>
      <w:bookmarkStart w:id="816" w:name="_Toc304295577"/>
      <w:bookmarkStart w:id="817" w:name="_Toc297048387"/>
      <w:bookmarkStart w:id="818" w:name="_Toc297123550"/>
      <w:bookmarkStart w:id="819" w:name="_Toc296347200"/>
      <w:bookmarkStart w:id="820" w:name="_Toc312678039"/>
      <w:bookmarkStart w:id="821" w:name="_Toc292559911"/>
      <w:bookmarkStart w:id="822" w:name="_Toc292559406"/>
      <w:bookmarkStart w:id="823" w:name="_Toc296346702"/>
      <w:bookmarkStart w:id="824" w:name="_Toc296891241"/>
      <w:bookmarkStart w:id="825" w:name="_Toc296944540"/>
      <w:bookmarkStart w:id="826" w:name="_Toc297120501"/>
      <w:bookmarkStart w:id="827" w:name="_Toc296891029"/>
      <w:bookmarkStart w:id="828" w:name="_Toc303539157"/>
      <w:bookmarkStart w:id="829" w:name="_Toc296503201"/>
      <w:r>
        <w:rPr>
          <w:rFonts w:hint="eastAsia" w:ascii="宋体" w:hAnsi="宋体" w:cs="宋体"/>
          <w:color w:val="auto"/>
          <w:sz w:val="22"/>
          <w:szCs w:val="22"/>
        </w:rPr>
        <w:t>11.1 市场价格波动引起的调整</w:t>
      </w:r>
      <w:bookmarkEnd w:id="808"/>
      <w:bookmarkEnd w:id="809"/>
      <w:bookmarkEnd w:id="810"/>
      <w:bookmarkEnd w:id="811"/>
      <w:bookmarkEnd w:id="812"/>
      <w:bookmarkEnd w:id="813"/>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14:paraId="7D851689">
      <w:pPr>
        <w:pStyle w:val="72"/>
        <w:spacing w:line="360" w:lineRule="exact"/>
        <w:ind w:firstLine="416" w:firstLineChars="200"/>
        <w:rPr>
          <w:rFonts w:hint="eastAsia" w:ascii="宋体" w:hAnsi="宋体" w:cs="宋体"/>
          <w:color w:val="auto"/>
          <w:sz w:val="22"/>
          <w:highlight w:val="none"/>
        </w:rPr>
      </w:pPr>
      <w:r>
        <w:rPr>
          <w:rFonts w:hint="eastAsia" w:ascii="宋体" w:hAnsi="宋体" w:cs="宋体"/>
          <w:color w:val="auto"/>
          <w:spacing w:val="-6"/>
          <w:kern w:val="0"/>
          <w:sz w:val="22"/>
        </w:rPr>
        <w:t>采用可调价格形式的工程项目价格调整的条件是：主要材</w:t>
      </w:r>
      <w:r>
        <w:rPr>
          <w:rFonts w:hint="eastAsia" w:ascii="宋体" w:hAnsi="宋体" w:cs="宋体"/>
          <w:color w:val="auto"/>
          <w:spacing w:val="-6"/>
          <w:kern w:val="0"/>
          <w:sz w:val="22"/>
          <w:highlight w:val="none"/>
        </w:rPr>
        <w:t>料价格上涨或下调超过</w:t>
      </w:r>
      <w:r>
        <w:rPr>
          <w:rFonts w:hint="eastAsia" w:ascii="宋体" w:hAnsi="宋体" w:cs="宋体"/>
          <w:color w:val="auto"/>
          <w:spacing w:val="-6"/>
          <w:kern w:val="0"/>
          <w:sz w:val="22"/>
          <w:highlight w:val="none"/>
          <w:lang w:val="en-US" w:eastAsia="zh-CN"/>
        </w:rPr>
        <w:t>1</w:t>
      </w:r>
      <w:r>
        <w:rPr>
          <w:rFonts w:hint="eastAsia" w:ascii="宋体" w:hAnsi="宋体" w:cs="宋体"/>
          <w:color w:val="auto"/>
          <w:spacing w:val="-6"/>
          <w:kern w:val="0"/>
          <w:sz w:val="22"/>
          <w:highlight w:val="none"/>
        </w:rPr>
        <w:t>5%时（价格以当期防城港市建设工程造价信息为准），可对超出</w:t>
      </w:r>
      <w:r>
        <w:rPr>
          <w:rFonts w:hint="eastAsia" w:ascii="宋体" w:hAnsi="宋体" w:cs="宋体"/>
          <w:color w:val="auto"/>
          <w:spacing w:val="-6"/>
          <w:kern w:val="0"/>
          <w:sz w:val="22"/>
          <w:highlight w:val="none"/>
          <w:lang w:val="en-US" w:eastAsia="zh-CN"/>
        </w:rPr>
        <w:t>1</w:t>
      </w:r>
      <w:r>
        <w:rPr>
          <w:rFonts w:hint="eastAsia" w:ascii="宋体" w:hAnsi="宋体" w:cs="宋体"/>
          <w:color w:val="auto"/>
          <w:spacing w:val="-6"/>
          <w:kern w:val="0"/>
          <w:sz w:val="22"/>
          <w:highlight w:val="none"/>
        </w:rPr>
        <w:t>5%的部分进行协商调价，</w:t>
      </w:r>
      <w:r>
        <w:rPr>
          <w:rFonts w:hint="eastAsia" w:ascii="宋体" w:hAnsi="宋体" w:cs="宋体"/>
          <w:color w:val="auto"/>
          <w:spacing w:val="-6"/>
          <w:kern w:val="0"/>
          <w:sz w:val="22"/>
          <w:highlight w:val="none"/>
          <w:lang w:val="en-US" w:eastAsia="zh-CN"/>
        </w:rPr>
        <w:t>1</w:t>
      </w:r>
      <w:r>
        <w:rPr>
          <w:rFonts w:hint="eastAsia" w:ascii="宋体" w:hAnsi="宋体" w:cs="宋体"/>
          <w:color w:val="auto"/>
          <w:spacing w:val="-6"/>
          <w:kern w:val="0"/>
          <w:sz w:val="22"/>
          <w:highlight w:val="none"/>
        </w:rPr>
        <w:t>5%（含</w:t>
      </w:r>
      <w:r>
        <w:rPr>
          <w:rFonts w:hint="eastAsia" w:ascii="宋体" w:hAnsi="宋体" w:cs="宋体"/>
          <w:color w:val="auto"/>
          <w:spacing w:val="-6"/>
          <w:kern w:val="0"/>
          <w:sz w:val="22"/>
          <w:highlight w:val="none"/>
          <w:lang w:val="en-US" w:eastAsia="zh-CN"/>
        </w:rPr>
        <w:t>1</w:t>
      </w:r>
      <w:r>
        <w:rPr>
          <w:rFonts w:hint="eastAsia" w:ascii="宋体" w:hAnsi="宋体" w:cs="宋体"/>
          <w:color w:val="auto"/>
          <w:spacing w:val="-6"/>
          <w:kern w:val="0"/>
          <w:sz w:val="22"/>
          <w:highlight w:val="none"/>
        </w:rPr>
        <w:t>5%）以内部分不做调整。</w:t>
      </w:r>
    </w:p>
    <w:p w14:paraId="06E89A2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市场价格波动是否调整合同价格的约定：</w:t>
      </w:r>
      <w:r>
        <w:rPr>
          <w:rFonts w:hint="eastAsia" w:ascii="宋体" w:hAnsi="宋体" w:cs="宋体"/>
          <w:color w:val="auto"/>
          <w:sz w:val="22"/>
          <w:u w:val="single"/>
        </w:rPr>
        <w:t>调整</w:t>
      </w:r>
      <w:r>
        <w:rPr>
          <w:rFonts w:hint="eastAsia" w:ascii="宋体" w:hAnsi="宋体" w:cs="宋体"/>
          <w:color w:val="auto"/>
          <w:sz w:val="22"/>
          <w:u w:val="none"/>
        </w:rPr>
        <w:t>。</w:t>
      </w:r>
    </w:p>
    <w:p w14:paraId="1B76A52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因市场价格波动调整合同价格，采用以下第</w:t>
      </w:r>
      <w:r>
        <w:rPr>
          <w:rFonts w:hint="eastAsia" w:ascii="宋体" w:hAnsi="宋体" w:cs="宋体"/>
          <w:color w:val="auto"/>
          <w:sz w:val="22"/>
          <w:u w:val="single"/>
        </w:rPr>
        <w:t xml:space="preserve"> 3 </w:t>
      </w:r>
      <w:r>
        <w:rPr>
          <w:rFonts w:hint="eastAsia" w:ascii="宋体" w:hAnsi="宋体" w:cs="宋体"/>
          <w:color w:val="auto"/>
          <w:sz w:val="22"/>
        </w:rPr>
        <w:t>种方式对合同价格进行调整：</w:t>
      </w:r>
    </w:p>
    <w:p w14:paraId="0E88C9A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第1种方式：采用价格指数进行价格调整。</w:t>
      </w:r>
    </w:p>
    <w:p w14:paraId="6DCA9E35">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关于各可调因子、定值和变值权重，以及基本价格指数及其来源的约定：</w:t>
      </w:r>
      <w:r>
        <w:rPr>
          <w:rFonts w:hint="eastAsia" w:ascii="宋体" w:hAnsi="宋体" w:cs="宋体"/>
          <w:color w:val="auto"/>
          <w:sz w:val="22"/>
          <w:u w:val="single"/>
        </w:rPr>
        <w:t xml:space="preserve">   </w:t>
      </w:r>
      <w:r>
        <w:rPr>
          <w:rFonts w:hint="eastAsia" w:ascii="宋体" w:hAnsi="宋体" w:cs="宋体"/>
          <w:color w:val="auto"/>
          <w:sz w:val="22"/>
        </w:rPr>
        <w:t xml:space="preserve">；  </w:t>
      </w:r>
    </w:p>
    <w:p w14:paraId="7BE163B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第2种方式：采用造价信息进行价格调整。</w:t>
      </w:r>
    </w:p>
    <w:p w14:paraId="27D95A3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（1）允许调整的主要材料（设备）、基期价格、风险系数、磋商报价：详见《承包人提供主要材料和设备一览表》。</w:t>
      </w:r>
    </w:p>
    <w:p w14:paraId="7F64B8D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（2）主要材料确认价：</w:t>
      </w:r>
    </w:p>
    <w:p w14:paraId="4AF5CF30">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按施工期间《</w:t>
      </w:r>
      <w:r>
        <w:rPr>
          <w:rFonts w:hint="eastAsia" w:ascii="宋体" w:hAnsi="宋体" w:cs="宋体"/>
          <w:color w:val="auto"/>
          <w:sz w:val="22"/>
          <w:u w:val="single"/>
        </w:rPr>
        <w:t xml:space="preserve"> 防城港 </w:t>
      </w:r>
      <w:r>
        <w:rPr>
          <w:rFonts w:hint="eastAsia" w:ascii="宋体" w:hAnsi="宋体" w:cs="宋体"/>
          <w:color w:val="auto"/>
          <w:sz w:val="22"/>
        </w:rPr>
        <w:t>市建设工程造价信息》加权平均计算，信息价没有的按</w:t>
      </w:r>
      <w:r>
        <w:rPr>
          <w:rFonts w:hint="eastAsia" w:ascii="宋体" w:hAnsi="宋体" w:cs="宋体"/>
          <w:color w:val="auto"/>
          <w:sz w:val="22"/>
          <w:lang w:eastAsia="zh-CN"/>
        </w:rPr>
        <w:t>通用合同条款</w:t>
      </w:r>
      <w:r>
        <w:rPr>
          <w:rFonts w:hint="eastAsia" w:ascii="宋体" w:hAnsi="宋体" w:cs="宋体"/>
          <w:color w:val="auto"/>
          <w:sz w:val="22"/>
        </w:rPr>
        <w:t>规定确定。</w:t>
      </w:r>
    </w:p>
    <w:p w14:paraId="601C634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（3）价差计算方法：</w:t>
      </w:r>
    </w:p>
    <w:p w14:paraId="6C2906A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①《承包人提供主要材料和设备一览表》中载明的材料磋商报价低于基准价格的：合同履行期间材料单价涨幅以基准价格为基础超过约定的风险范围时，或材料单价跌幅以磋商报价为基础超过约定的风险范围时，其超过部分据实调整。</w:t>
      </w:r>
    </w:p>
    <w:p w14:paraId="2E00C7F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②承包人在《承包人提供主要材料和设备一览表》中载明的材料和设备磋商的风险范围时，材料和设备单价涨幅以磋商报价为基础超过约定的风险范围时，其超过部分据实调整。</w:t>
      </w:r>
    </w:p>
    <w:p w14:paraId="77A6FF6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③承包人在《承包人提供主要材料和设备一览表》中载明的材料和设备单价等于基准单价的：合同履行期间材料和 设备单价涨跌幅以基准单价为基础超过约定的风险范围时，其超过部分据实调整。</w:t>
      </w:r>
    </w:p>
    <w:p w14:paraId="511A4EE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第3种方式：</w:t>
      </w:r>
      <w:r>
        <w:rPr>
          <w:rFonts w:hint="eastAsia" w:ascii="宋体" w:hAnsi="宋体" w:cs="宋体"/>
          <w:color w:val="auto"/>
          <w:sz w:val="22"/>
          <w:u w:val="single"/>
        </w:rPr>
        <w:t>在合同工期范围内，乙方须承担主</w:t>
      </w:r>
      <w:r>
        <w:rPr>
          <w:rFonts w:hint="eastAsia" w:ascii="宋体" w:hAnsi="宋体" w:cs="宋体"/>
          <w:color w:val="auto"/>
          <w:sz w:val="22"/>
          <w:highlight w:val="none"/>
          <w:u w:val="single"/>
        </w:rPr>
        <w:t>要材料±</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5%以内（含±</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5%）的材料价格风险， 超出±</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5%的部分甲乙双方协商调价，以磋商控制价采用的</w:t>
      </w:r>
      <w:r>
        <w:rPr>
          <w:rFonts w:hint="eastAsia" w:ascii="宋体" w:hAnsi="宋体" w:cs="宋体"/>
          <w:color w:val="auto"/>
          <w:sz w:val="22"/>
          <w:u w:val="single"/>
        </w:rPr>
        <w:t>《防城港市建设工程造价信息》上发布的市场价格信息确定为基准材料价格</w:t>
      </w:r>
      <w:r>
        <w:rPr>
          <w:rFonts w:hint="eastAsia" w:ascii="宋体" w:hAnsi="宋体" w:cs="宋体"/>
          <w:color w:val="auto"/>
          <w:sz w:val="22"/>
        </w:rPr>
        <w:t xml:space="preserve"> 。</w:t>
      </w:r>
    </w:p>
    <w:p w14:paraId="7C9BD762">
      <w:pPr>
        <w:pStyle w:val="40"/>
        <w:spacing w:line="360" w:lineRule="exact"/>
        <w:ind w:firstLine="442" w:firstLineChars="200"/>
        <w:jc w:val="left"/>
        <w:rPr>
          <w:rFonts w:hint="eastAsia" w:ascii="宋体" w:hAnsi="宋体" w:cs="宋体"/>
          <w:b/>
          <w:bCs/>
          <w:color w:val="auto"/>
          <w:sz w:val="22"/>
        </w:rPr>
      </w:pPr>
      <w:r>
        <w:rPr>
          <w:rFonts w:hint="eastAsia" w:ascii="宋体" w:hAnsi="宋体" w:cs="宋体"/>
          <w:b/>
          <w:bCs/>
          <w:color w:val="auto"/>
          <w:sz w:val="22"/>
        </w:rPr>
        <w:t xml:space="preserve">11.2 不平衡报价调整方式 </w:t>
      </w:r>
    </w:p>
    <w:p w14:paraId="46ABE82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 xml:space="preserve">    按防住建发〔2016〕31号文《防城港市政府投资项目房屋建筑和市政基础设施工程严重不平衡报价修正暂行办法》的规定进行修正。</w:t>
      </w:r>
    </w:p>
    <w:bookmarkEnd w:id="668"/>
    <w:bookmarkEnd w:id="669"/>
    <w:bookmarkEnd w:id="670"/>
    <w:bookmarkEnd w:id="671"/>
    <w:bookmarkEnd w:id="672"/>
    <w:bookmarkEnd w:id="673"/>
    <w:p w14:paraId="307C24C2">
      <w:pPr>
        <w:pStyle w:val="70"/>
        <w:spacing w:before="0" w:after="0" w:line="360" w:lineRule="exact"/>
        <w:ind w:firstLine="442" w:firstLineChars="200"/>
        <w:rPr>
          <w:rFonts w:hint="eastAsia" w:ascii="宋体" w:hAnsi="宋体" w:cs="宋体"/>
          <w:color w:val="auto"/>
          <w:sz w:val="22"/>
          <w:szCs w:val="22"/>
        </w:rPr>
      </w:pPr>
      <w:bookmarkStart w:id="830" w:name="_Toc297120505"/>
      <w:bookmarkStart w:id="831" w:name="_Toc297048391"/>
      <w:bookmarkStart w:id="832" w:name="_Toc296944544"/>
      <w:bookmarkStart w:id="833" w:name="_Toc296347204"/>
      <w:bookmarkStart w:id="834" w:name="_Toc292559410"/>
      <w:bookmarkStart w:id="835" w:name="_Toc296346706"/>
      <w:bookmarkStart w:id="836" w:name="_Toc296503205"/>
      <w:bookmarkStart w:id="837" w:name="_Toc296891245"/>
      <w:bookmarkStart w:id="838" w:name="_Toc292559915"/>
      <w:bookmarkStart w:id="839" w:name="_Toc296891033"/>
      <w:bookmarkStart w:id="840" w:name="_Toc373227748"/>
      <w:bookmarkStart w:id="841" w:name="_Toc533432774"/>
      <w:bookmarkStart w:id="842" w:name="_Toc395382551"/>
      <w:bookmarkStart w:id="843" w:name="_Toc351203644"/>
      <w:bookmarkStart w:id="844" w:name="_Toc373478395"/>
      <w:bookmarkStart w:id="845" w:name="_Toc12975939"/>
      <w:bookmarkStart w:id="846" w:name="_Toc303539159"/>
      <w:bookmarkStart w:id="847" w:name="_Toc304295579"/>
      <w:bookmarkStart w:id="848" w:name="_Toc297216211"/>
      <w:bookmarkStart w:id="849" w:name="_Toc312678040"/>
      <w:bookmarkStart w:id="850" w:name="_Toc297123552"/>
      <w:bookmarkStart w:id="851" w:name="_Toc300935002"/>
      <w:r>
        <w:rPr>
          <w:rFonts w:hint="eastAsia" w:ascii="宋体" w:hAnsi="宋体" w:cs="宋体"/>
          <w:color w:val="auto"/>
          <w:sz w:val="22"/>
          <w:szCs w:val="22"/>
        </w:rPr>
        <w:t xml:space="preserve">12. </w:t>
      </w:r>
      <w:bookmarkEnd w:id="830"/>
      <w:bookmarkEnd w:id="831"/>
      <w:bookmarkEnd w:id="832"/>
      <w:bookmarkEnd w:id="833"/>
      <w:bookmarkEnd w:id="834"/>
      <w:bookmarkEnd w:id="835"/>
      <w:bookmarkEnd w:id="836"/>
      <w:bookmarkEnd w:id="837"/>
      <w:bookmarkEnd w:id="838"/>
      <w:bookmarkEnd w:id="839"/>
      <w:r>
        <w:rPr>
          <w:rFonts w:hint="eastAsia" w:ascii="宋体" w:hAnsi="宋体" w:cs="宋体"/>
          <w:color w:val="auto"/>
          <w:sz w:val="22"/>
          <w:szCs w:val="22"/>
        </w:rPr>
        <w:t>合同价格、计量与支付</w:t>
      </w:r>
      <w:bookmarkEnd w:id="840"/>
      <w:bookmarkEnd w:id="841"/>
      <w:bookmarkEnd w:id="842"/>
      <w:bookmarkEnd w:id="843"/>
      <w:bookmarkEnd w:id="844"/>
      <w:bookmarkEnd w:id="845"/>
    </w:p>
    <w:bookmarkEnd w:id="846"/>
    <w:bookmarkEnd w:id="847"/>
    <w:bookmarkEnd w:id="848"/>
    <w:bookmarkEnd w:id="849"/>
    <w:bookmarkEnd w:id="850"/>
    <w:bookmarkEnd w:id="851"/>
    <w:p w14:paraId="7C5DCF42">
      <w:pPr>
        <w:pStyle w:val="39"/>
        <w:spacing w:line="360" w:lineRule="exact"/>
        <w:ind w:firstLine="442" w:firstLineChars="200"/>
        <w:rPr>
          <w:rFonts w:hint="eastAsia" w:ascii="宋体" w:hAnsi="宋体" w:cs="宋体"/>
          <w:color w:val="auto"/>
          <w:sz w:val="22"/>
          <w:szCs w:val="22"/>
        </w:rPr>
      </w:pPr>
      <w:bookmarkStart w:id="852" w:name="_Toc292559411"/>
      <w:bookmarkStart w:id="853" w:name="_Toc292559916"/>
      <w:bookmarkStart w:id="854" w:name="_Toc267251461"/>
      <w:bookmarkStart w:id="855" w:name="_Toc296503206"/>
      <w:bookmarkStart w:id="856" w:name="_Toc296347205"/>
      <w:bookmarkStart w:id="857" w:name="_Toc296891246"/>
      <w:bookmarkStart w:id="858" w:name="_Toc296944545"/>
      <w:bookmarkStart w:id="859" w:name="_Toc297120506"/>
      <w:bookmarkStart w:id="860" w:name="_Toc296346707"/>
      <w:bookmarkStart w:id="861" w:name="_Toc297048392"/>
      <w:bookmarkStart w:id="862" w:name="_Toc296891034"/>
      <w:bookmarkStart w:id="863" w:name="_Toc12975940"/>
      <w:bookmarkStart w:id="864" w:name="_Toc533432775"/>
      <w:bookmarkStart w:id="865" w:name="_Toc373478396"/>
      <w:bookmarkStart w:id="866" w:name="_Toc373227749"/>
      <w:bookmarkStart w:id="867" w:name="_Toc395382552"/>
      <w:bookmarkStart w:id="868" w:name="_Toc389065314"/>
      <w:bookmarkStart w:id="869" w:name="_Toc303539160"/>
      <w:bookmarkStart w:id="870" w:name="_Toc304295580"/>
      <w:bookmarkStart w:id="871" w:name="_Toc297123553"/>
      <w:bookmarkStart w:id="872" w:name="_Toc297216212"/>
      <w:bookmarkStart w:id="873" w:name="_Toc300935003"/>
      <w:bookmarkStart w:id="874" w:name="_Toc312678041"/>
      <w:r>
        <w:rPr>
          <w:rFonts w:hint="eastAsia" w:ascii="宋体" w:hAnsi="宋体" w:cs="宋体"/>
          <w:color w:val="auto"/>
          <w:sz w:val="22"/>
          <w:szCs w:val="22"/>
        </w:rPr>
        <w:t>12.1 合</w:t>
      </w:r>
      <w:bookmarkEnd w:id="852"/>
      <w:bookmarkEnd w:id="853"/>
      <w:bookmarkEnd w:id="854"/>
      <w:r>
        <w:rPr>
          <w:rFonts w:hint="eastAsia" w:ascii="宋体" w:hAnsi="宋体" w:cs="宋体"/>
          <w:color w:val="auto"/>
          <w:sz w:val="22"/>
          <w:szCs w:val="22"/>
        </w:rPr>
        <w:t>同价</w:t>
      </w:r>
      <w:bookmarkEnd w:id="855"/>
      <w:bookmarkEnd w:id="856"/>
      <w:bookmarkEnd w:id="857"/>
      <w:bookmarkEnd w:id="858"/>
      <w:bookmarkEnd w:id="859"/>
      <w:bookmarkEnd w:id="860"/>
      <w:bookmarkEnd w:id="861"/>
      <w:bookmarkEnd w:id="862"/>
      <w:r>
        <w:rPr>
          <w:rFonts w:hint="eastAsia" w:ascii="宋体" w:hAnsi="宋体" w:cs="宋体"/>
          <w:color w:val="auto"/>
          <w:sz w:val="22"/>
          <w:szCs w:val="22"/>
        </w:rPr>
        <w:t>格形式</w:t>
      </w:r>
      <w:bookmarkEnd w:id="863"/>
      <w:bookmarkEnd w:id="864"/>
      <w:bookmarkEnd w:id="865"/>
      <w:bookmarkEnd w:id="866"/>
      <w:bookmarkEnd w:id="867"/>
      <w:bookmarkEnd w:id="868"/>
    </w:p>
    <w:p w14:paraId="0FAAAE96">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 xml:space="preserve">     本工程采用</w:t>
      </w:r>
      <w:r>
        <w:rPr>
          <w:rFonts w:hint="eastAsia" w:ascii="宋体" w:hAnsi="宋体" w:cs="宋体"/>
          <w:color w:val="auto"/>
          <w:sz w:val="22"/>
          <w:u w:val="single"/>
        </w:rPr>
        <w:t xml:space="preserve">  固定单价  </w:t>
      </w:r>
      <w:r>
        <w:rPr>
          <w:rFonts w:hint="eastAsia" w:ascii="宋体" w:hAnsi="宋体" w:cs="宋体"/>
          <w:color w:val="auto"/>
          <w:sz w:val="22"/>
        </w:rPr>
        <w:t>合同价格形式。</w:t>
      </w:r>
    </w:p>
    <w:bookmarkEnd w:id="869"/>
    <w:bookmarkEnd w:id="870"/>
    <w:bookmarkEnd w:id="871"/>
    <w:bookmarkEnd w:id="872"/>
    <w:bookmarkEnd w:id="873"/>
    <w:bookmarkEnd w:id="874"/>
    <w:p w14:paraId="6C9D5B1D">
      <w:pPr>
        <w:pStyle w:val="40"/>
        <w:spacing w:line="360" w:lineRule="exact"/>
        <w:ind w:firstLine="440" w:firstLineChars="200"/>
        <w:jc w:val="left"/>
        <w:rPr>
          <w:rFonts w:hint="eastAsia" w:ascii="宋体" w:hAnsi="宋体" w:cs="宋体"/>
          <w:color w:val="auto"/>
          <w:sz w:val="22"/>
        </w:rPr>
      </w:pPr>
      <w:bookmarkStart w:id="875" w:name="_Toc389065315"/>
      <w:bookmarkStart w:id="876" w:name="_Toc312678042"/>
      <w:bookmarkStart w:id="877" w:name="_Toc373478397"/>
      <w:bookmarkStart w:id="878" w:name="_Toc297216213"/>
      <w:bookmarkStart w:id="879" w:name="_Toc304295581"/>
      <w:bookmarkStart w:id="880" w:name="_Toc297123554"/>
      <w:bookmarkStart w:id="881" w:name="_Toc373227750"/>
      <w:bookmarkStart w:id="882" w:name="_Toc303539161"/>
      <w:bookmarkStart w:id="883" w:name="_Toc300935004"/>
      <w:bookmarkStart w:id="884" w:name="_Toc296346708"/>
      <w:bookmarkStart w:id="885" w:name="_Toc296944546"/>
      <w:bookmarkStart w:id="886" w:name="_Toc297120507"/>
      <w:bookmarkStart w:id="887" w:name="_Toc292559412"/>
      <w:bookmarkStart w:id="888" w:name="_Toc296891035"/>
      <w:bookmarkStart w:id="889" w:name="_Toc297048393"/>
      <w:bookmarkStart w:id="890" w:name="_Toc296891247"/>
      <w:bookmarkStart w:id="891" w:name="_Toc296503207"/>
      <w:bookmarkStart w:id="892" w:name="_Toc292559917"/>
      <w:bookmarkStart w:id="893" w:name="_Toc296347206"/>
      <w:r>
        <w:rPr>
          <w:rFonts w:hint="eastAsia" w:ascii="宋体" w:hAnsi="宋体" w:cs="宋体"/>
          <w:color w:val="auto"/>
          <w:sz w:val="22"/>
        </w:rPr>
        <w:t>（1）单价合同。</w:t>
      </w:r>
    </w:p>
    <w:p w14:paraId="1CA9B67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单价合同采用固定综合单价方式确定，工程量按实际结算。</w:t>
      </w:r>
    </w:p>
    <w:p w14:paraId="3C39088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综合单价包含的风险范围：</w:t>
      </w:r>
      <w:r>
        <w:rPr>
          <w:rFonts w:hint="eastAsia" w:ascii="宋体" w:hAnsi="宋体" w:cs="宋体"/>
          <w:color w:val="auto"/>
          <w:sz w:val="22"/>
          <w:u w:val="single"/>
        </w:rPr>
        <w:t>除工程变更、本工程约定的市场价格波动风险和政策性（颁布单位为地级市以上（不包含地级市）单位颁布的文件才属于政策性文件）调整以外的其他风险</w:t>
      </w:r>
      <w:r>
        <w:rPr>
          <w:rFonts w:hint="eastAsia" w:ascii="宋体" w:hAnsi="宋体" w:cs="宋体"/>
          <w:color w:val="auto"/>
          <w:sz w:val="22"/>
        </w:rPr>
        <w:t>。</w:t>
      </w:r>
    </w:p>
    <w:p w14:paraId="364FE59D">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风险范围以外合同价格的调整方法：</w:t>
      </w:r>
    </w:p>
    <w:p w14:paraId="41986DA6">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①工程变更：按10.4.1变更估价原则的约定调整。</w:t>
      </w:r>
    </w:p>
    <w:p w14:paraId="6173A22F">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②政策性调整：按自治区建设行政主管部门颁布的文件执行。</w:t>
      </w:r>
    </w:p>
    <w:p w14:paraId="08549069">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③材料价格风险：按11.1的约定调整。</w:t>
      </w:r>
    </w:p>
    <w:p w14:paraId="08E8E94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④其它：</w:t>
      </w:r>
      <w:r>
        <w:rPr>
          <w:rFonts w:hint="eastAsia" w:ascii="宋体" w:hAnsi="宋体" w:cs="宋体"/>
          <w:color w:val="auto"/>
          <w:sz w:val="22"/>
          <w:u w:val="single"/>
        </w:rPr>
        <w:t xml:space="preserve">  / </w:t>
      </w:r>
      <w:r>
        <w:rPr>
          <w:rFonts w:hint="eastAsia" w:ascii="宋体" w:hAnsi="宋体" w:cs="宋体"/>
          <w:color w:val="auto"/>
          <w:sz w:val="22"/>
        </w:rPr>
        <w:t>。</w:t>
      </w:r>
    </w:p>
    <w:p w14:paraId="03FA19D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（2）总价合同。</w:t>
      </w:r>
    </w:p>
    <w:p w14:paraId="67857A2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总价包含的风险范围：</w:t>
      </w:r>
      <w:r>
        <w:rPr>
          <w:rFonts w:hint="eastAsia" w:ascii="宋体" w:hAnsi="宋体" w:cs="宋体"/>
          <w:color w:val="auto"/>
          <w:sz w:val="22"/>
          <w:u w:val="single"/>
        </w:rPr>
        <w:t xml:space="preserve">  / </w:t>
      </w:r>
      <w:r>
        <w:rPr>
          <w:rFonts w:hint="eastAsia" w:ascii="宋体" w:hAnsi="宋体" w:cs="宋体"/>
          <w:color w:val="auto"/>
          <w:sz w:val="22"/>
        </w:rPr>
        <w:t>。</w:t>
      </w:r>
    </w:p>
    <w:p w14:paraId="72307A5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风险范围以外合同价格的调整方法：</w:t>
      </w:r>
      <w:r>
        <w:rPr>
          <w:rFonts w:hint="eastAsia" w:ascii="宋体" w:hAnsi="宋体" w:cs="宋体"/>
          <w:color w:val="auto"/>
          <w:sz w:val="22"/>
          <w:u w:val="single"/>
        </w:rPr>
        <w:t xml:space="preserve">  / </w:t>
      </w:r>
      <w:r>
        <w:rPr>
          <w:rFonts w:hint="eastAsia" w:ascii="宋体" w:hAnsi="宋体" w:cs="宋体"/>
          <w:color w:val="auto"/>
          <w:sz w:val="22"/>
        </w:rPr>
        <w:t>。</w:t>
      </w:r>
    </w:p>
    <w:p w14:paraId="79120CB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（3）其他价格方式：</w:t>
      </w:r>
      <w:r>
        <w:rPr>
          <w:rFonts w:hint="eastAsia" w:ascii="宋体" w:hAnsi="宋体" w:cs="宋体"/>
          <w:color w:val="auto"/>
          <w:sz w:val="22"/>
          <w:u w:val="single"/>
        </w:rPr>
        <w:t xml:space="preserve">  / </w:t>
      </w:r>
      <w:r>
        <w:rPr>
          <w:rFonts w:hint="eastAsia" w:ascii="宋体" w:hAnsi="宋体" w:cs="宋体"/>
          <w:color w:val="auto"/>
          <w:sz w:val="22"/>
        </w:rPr>
        <w:t>。</w:t>
      </w:r>
    </w:p>
    <w:p w14:paraId="31F98D00">
      <w:pPr>
        <w:pStyle w:val="39"/>
        <w:spacing w:line="360" w:lineRule="exact"/>
        <w:ind w:firstLine="442" w:firstLineChars="200"/>
        <w:rPr>
          <w:rFonts w:hint="eastAsia" w:ascii="宋体" w:hAnsi="宋体" w:cs="宋体"/>
          <w:color w:val="auto"/>
          <w:sz w:val="22"/>
          <w:szCs w:val="22"/>
        </w:rPr>
      </w:pPr>
      <w:bookmarkStart w:id="894" w:name="_Toc395382553"/>
      <w:bookmarkStart w:id="895" w:name="_Toc12975941"/>
      <w:bookmarkStart w:id="896" w:name="_Toc533432776"/>
      <w:r>
        <w:rPr>
          <w:rFonts w:hint="eastAsia" w:ascii="宋体" w:hAnsi="宋体" w:cs="宋体"/>
          <w:color w:val="auto"/>
          <w:sz w:val="22"/>
          <w:szCs w:val="22"/>
        </w:rPr>
        <w:t>12.2 预付款</w:t>
      </w:r>
      <w:bookmarkEnd w:id="875"/>
      <w:bookmarkEnd w:id="876"/>
      <w:bookmarkEnd w:id="877"/>
      <w:bookmarkEnd w:id="878"/>
      <w:bookmarkEnd w:id="879"/>
      <w:bookmarkEnd w:id="880"/>
      <w:bookmarkEnd w:id="881"/>
      <w:bookmarkEnd w:id="882"/>
      <w:bookmarkEnd w:id="883"/>
      <w:bookmarkEnd w:id="894"/>
      <w:bookmarkEnd w:id="895"/>
      <w:bookmarkEnd w:id="896"/>
    </w:p>
    <w:p w14:paraId="5DE55427">
      <w:pPr>
        <w:pStyle w:val="54"/>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12.2.1在以下方式中选择其一，作为双方对预付款保函的约定。</w:t>
      </w:r>
    </w:p>
    <w:p w14:paraId="7401E7DD">
      <w:pPr>
        <w:pStyle w:val="54"/>
        <w:spacing w:line="360" w:lineRule="exact"/>
        <w:ind w:firstLine="442" w:firstLineChars="200"/>
        <w:rPr>
          <w:rFonts w:hint="eastAsia" w:ascii="宋体" w:hAnsi="宋体" w:cs="宋体"/>
          <w:color w:val="auto"/>
          <w:sz w:val="22"/>
          <w:szCs w:val="22"/>
        </w:rPr>
      </w:pPr>
      <w:r>
        <w:rPr>
          <w:rFonts w:hint="eastAsia" w:ascii="宋体" w:hAnsi="宋体" w:cs="宋体"/>
          <w:b/>
          <w:bCs/>
          <w:color w:val="auto"/>
          <w:sz w:val="22"/>
          <w:szCs w:val="22"/>
        </w:rPr>
        <w:t xml:space="preserve"> </w:t>
      </w:r>
      <w:r>
        <w:rPr>
          <w:rFonts w:hint="eastAsia" w:ascii="宋体" w:hAnsi="宋体" w:cs="宋体"/>
          <w:color w:val="auto"/>
          <w:sz w:val="22"/>
          <w:szCs w:val="22"/>
        </w:rPr>
        <w:t>承包人不提交预付款保函。</w:t>
      </w:r>
    </w:p>
    <w:p w14:paraId="5C38D338">
      <w:pPr>
        <w:pStyle w:val="54"/>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rPr>
        <w:t> 承包人提交预付款保函的格式、金额</w:t>
      </w:r>
      <w:r>
        <w:rPr>
          <w:rFonts w:hint="eastAsia" w:ascii="宋体" w:hAnsi="宋体" w:cs="宋体"/>
          <w:color w:val="auto"/>
          <w:sz w:val="22"/>
          <w:szCs w:val="22"/>
          <w:highlight w:val="none"/>
        </w:rPr>
        <w:t>和时</w:t>
      </w:r>
      <w:r>
        <w:rPr>
          <w:rFonts w:hint="eastAsia" w:ascii="宋体" w:hAnsi="宋体" w:cs="宋体"/>
          <w:color w:val="auto"/>
          <w:sz w:val="22"/>
          <w:szCs w:val="22"/>
          <w:highlight w:val="none"/>
          <w:lang w:val="en-US" w:eastAsia="zh-CN"/>
        </w:rPr>
        <w:t>间</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拨付预付款前，预付款担保的形式银行转账、电汇或网上支付、银行保函、工程担保、工程保证保险。</w:t>
      </w:r>
    </w:p>
    <w:p w14:paraId="0CE4925D">
      <w:pPr>
        <w:pStyle w:val="54"/>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12.2.2预付款</w:t>
      </w:r>
    </w:p>
    <w:p w14:paraId="134F9861">
      <w:pPr>
        <w:pStyle w:val="54"/>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12.2.3 预付款金额</w:t>
      </w:r>
    </w:p>
    <w:p w14:paraId="0F959106">
      <w:pPr>
        <w:pStyle w:val="54"/>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预付款金额与支付：</w:t>
      </w:r>
      <w:r>
        <w:rPr>
          <w:rFonts w:hint="eastAsia" w:ascii="宋体" w:hAnsi="宋体" w:cs="宋体"/>
          <w:color w:val="auto"/>
          <w:sz w:val="22"/>
          <w:szCs w:val="22"/>
          <w:highlight w:val="none"/>
          <w:u w:val="single"/>
          <w:lang w:eastAsia="zh-CN"/>
        </w:rPr>
        <w:t>合同总价（扣除暂列金额）</w:t>
      </w:r>
      <w:r>
        <w:rPr>
          <w:rFonts w:hint="eastAsia" w:ascii="宋体" w:hAnsi="宋体" w:cs="宋体"/>
          <w:color w:val="auto"/>
          <w:sz w:val="22"/>
          <w:szCs w:val="22"/>
          <w:highlight w:val="none"/>
          <w:u w:val="single"/>
        </w:rPr>
        <w:t>的</w:t>
      </w:r>
      <w:bookmarkStart w:id="897" w:name="OLE_LINK63"/>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0%</w:t>
      </w:r>
      <w:bookmarkEnd w:id="897"/>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68DCFC41">
      <w:pPr>
        <w:pStyle w:val="54"/>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担保的形式：</w:t>
      </w:r>
      <w:r>
        <w:rPr>
          <w:rFonts w:hint="eastAsia" w:ascii="宋体" w:hAnsi="宋体" w:cs="宋体"/>
          <w:color w:val="auto"/>
          <w:sz w:val="22"/>
          <w:szCs w:val="22"/>
          <w:highlight w:val="none"/>
          <w:u w:val="single"/>
        </w:rPr>
        <w:t>担保可以银行保函、担保、工程保证保险等方式缴纳，严禁要求只能以现金方式缴纳的行为。</w:t>
      </w:r>
    </w:p>
    <w:p w14:paraId="66A83223">
      <w:pPr>
        <w:pStyle w:val="54"/>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szCs w:val="22"/>
          <w:highlight w:val="none"/>
          <w:u w:val="none" w:color="000000"/>
          <w:lang w:val="zh-TW" w:eastAsia="zh-TW"/>
        </w:rPr>
        <w:t>1</w:t>
      </w:r>
      <w:r>
        <w:rPr>
          <w:rFonts w:hint="eastAsia" w:ascii="宋体" w:hAnsi="宋体" w:cs="宋体"/>
          <w:color w:val="auto"/>
          <w:kern w:val="0"/>
          <w:sz w:val="22"/>
          <w:szCs w:val="22"/>
          <w:highlight w:val="none"/>
          <w:u w:val="none" w:color="000000"/>
        </w:rPr>
        <w:t>2</w:t>
      </w:r>
      <w:r>
        <w:rPr>
          <w:rFonts w:hint="eastAsia" w:ascii="宋体" w:hAnsi="宋体" w:cs="宋体"/>
          <w:color w:val="auto"/>
          <w:kern w:val="0"/>
          <w:sz w:val="22"/>
          <w:szCs w:val="22"/>
          <w:highlight w:val="none"/>
          <w:u w:val="none" w:color="000000"/>
          <w:lang w:val="zh-TW" w:eastAsia="zh-TW"/>
        </w:rPr>
        <w:t>.2.</w:t>
      </w:r>
      <w:r>
        <w:rPr>
          <w:rFonts w:hint="eastAsia" w:ascii="宋体" w:hAnsi="宋体" w:cs="宋体"/>
          <w:color w:val="auto"/>
          <w:kern w:val="0"/>
          <w:sz w:val="22"/>
          <w:szCs w:val="22"/>
          <w:highlight w:val="none"/>
          <w:u w:val="none" w:color="000000"/>
        </w:rPr>
        <w:t>4</w:t>
      </w:r>
      <w:r>
        <w:rPr>
          <w:rFonts w:hint="eastAsia" w:ascii="宋体" w:hAnsi="宋体" w:cs="宋体"/>
          <w:color w:val="auto"/>
          <w:kern w:val="0"/>
          <w:sz w:val="22"/>
          <w:szCs w:val="22"/>
          <w:highlight w:val="none"/>
          <w:lang w:val="zh-TW" w:eastAsia="zh-TW"/>
        </w:rPr>
        <w:t>预付款抵扣的</w:t>
      </w:r>
      <w:r>
        <w:rPr>
          <w:rFonts w:hint="eastAsia" w:ascii="宋体" w:hAnsi="宋体" w:cs="宋体"/>
          <w:color w:val="auto"/>
          <w:kern w:val="0"/>
          <w:sz w:val="22"/>
          <w:szCs w:val="22"/>
          <w:highlight w:val="none"/>
          <w:lang w:val="zh-TW"/>
        </w:rPr>
        <w:t>方式</w:t>
      </w:r>
      <w:r>
        <w:rPr>
          <w:rFonts w:hint="eastAsia" w:ascii="宋体" w:hAnsi="宋体" w:cs="宋体"/>
          <w:color w:val="auto"/>
          <w:kern w:val="0"/>
          <w:sz w:val="22"/>
          <w:szCs w:val="22"/>
          <w:highlight w:val="none"/>
          <w:lang w:val="zh-TW" w:eastAsia="zh-TW"/>
        </w:rPr>
        <w:t>、</w:t>
      </w:r>
      <w:r>
        <w:rPr>
          <w:rFonts w:hint="eastAsia" w:ascii="宋体" w:hAnsi="宋体" w:cs="宋体"/>
          <w:color w:val="auto"/>
          <w:kern w:val="0"/>
          <w:sz w:val="22"/>
          <w:szCs w:val="22"/>
          <w:highlight w:val="none"/>
          <w:lang w:val="zh-TW"/>
        </w:rPr>
        <w:t>抵扣比例和抵扣时间安排：</w:t>
      </w:r>
      <w:r>
        <w:rPr>
          <w:rFonts w:hint="eastAsia" w:ascii="宋体" w:hAnsi="宋体" w:cs="宋体"/>
          <w:color w:val="auto"/>
          <w:kern w:val="0"/>
          <w:sz w:val="22"/>
          <w:szCs w:val="22"/>
          <w:highlight w:val="none"/>
          <w:u w:val="single"/>
          <w:lang w:val="en-US" w:eastAsia="zh-CN"/>
        </w:rPr>
        <w:t>合同签订后，每月工程进度款先从预付款中扣除，原则上分两次扣完，每次扣预付款的50%。</w:t>
      </w:r>
    </w:p>
    <w:bookmarkEnd w:id="884"/>
    <w:bookmarkEnd w:id="885"/>
    <w:bookmarkEnd w:id="886"/>
    <w:bookmarkEnd w:id="887"/>
    <w:bookmarkEnd w:id="888"/>
    <w:bookmarkEnd w:id="889"/>
    <w:bookmarkEnd w:id="890"/>
    <w:bookmarkEnd w:id="891"/>
    <w:bookmarkEnd w:id="892"/>
    <w:bookmarkEnd w:id="893"/>
    <w:p w14:paraId="358DB1AD">
      <w:pPr>
        <w:pStyle w:val="39"/>
        <w:spacing w:line="360" w:lineRule="exact"/>
        <w:ind w:firstLine="442" w:firstLineChars="200"/>
        <w:rPr>
          <w:rFonts w:hint="eastAsia" w:ascii="宋体" w:hAnsi="宋体" w:cs="宋体"/>
          <w:color w:val="auto"/>
          <w:sz w:val="22"/>
          <w:szCs w:val="22"/>
        </w:rPr>
      </w:pPr>
      <w:bookmarkStart w:id="898" w:name="_Toc12975942"/>
      <w:bookmarkStart w:id="899" w:name="_Toc373227751"/>
      <w:bookmarkStart w:id="900" w:name="_Toc395382554"/>
      <w:bookmarkStart w:id="901" w:name="_Toc533432777"/>
      <w:bookmarkStart w:id="902" w:name="_Toc373478398"/>
      <w:bookmarkStart w:id="903" w:name="_Toc389065316"/>
      <w:r>
        <w:rPr>
          <w:rFonts w:hint="eastAsia" w:ascii="宋体" w:hAnsi="宋体" w:cs="宋体"/>
          <w:color w:val="auto"/>
          <w:sz w:val="22"/>
          <w:szCs w:val="22"/>
        </w:rPr>
        <w:t>12.3 计量</w:t>
      </w:r>
      <w:bookmarkEnd w:id="898"/>
      <w:bookmarkEnd w:id="899"/>
      <w:bookmarkEnd w:id="900"/>
      <w:bookmarkEnd w:id="901"/>
      <w:bookmarkEnd w:id="902"/>
      <w:bookmarkEnd w:id="903"/>
    </w:p>
    <w:p w14:paraId="638E92F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12.3.1 计量原则</w:t>
      </w:r>
    </w:p>
    <w:p w14:paraId="5F820F1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工程量计算规则：</w:t>
      </w:r>
      <w:r>
        <w:rPr>
          <w:rFonts w:hint="eastAsia" w:ascii="宋体" w:hAnsi="宋体" w:cs="宋体"/>
          <w:color w:val="auto"/>
          <w:sz w:val="22"/>
          <w:u w:val="single"/>
        </w:rPr>
        <w:t>工程的计量均以</w:t>
      </w:r>
      <w:r>
        <w:rPr>
          <w:rFonts w:hint="eastAsia" w:ascii="宋体" w:hAnsi="宋体" w:cs="宋体"/>
          <w:color w:val="auto"/>
          <w:sz w:val="22"/>
          <w:u w:val="single"/>
          <w:lang w:eastAsia="zh-CN"/>
        </w:rPr>
        <w:t>（</w:t>
      </w:r>
      <w:r>
        <w:rPr>
          <w:rFonts w:hint="eastAsia" w:ascii="宋体" w:hAnsi="宋体" w:cs="宋体"/>
          <w:color w:val="auto"/>
          <w:sz w:val="22"/>
          <w:u w:val="single"/>
        </w:rPr>
        <w:t>GB50500-2013</w:t>
      </w:r>
      <w:r>
        <w:rPr>
          <w:rFonts w:hint="eastAsia" w:ascii="宋体" w:hAnsi="宋体" w:cs="宋体"/>
          <w:color w:val="auto"/>
          <w:sz w:val="22"/>
          <w:u w:val="single"/>
          <w:lang w:eastAsia="zh-CN"/>
        </w:rPr>
        <w:t>）</w:t>
      </w:r>
      <w:r>
        <w:rPr>
          <w:rFonts w:hint="eastAsia" w:ascii="宋体" w:hAnsi="宋体" w:cs="宋体"/>
          <w:color w:val="auto"/>
          <w:sz w:val="22"/>
          <w:u w:val="single"/>
        </w:rPr>
        <w:t>《</w:t>
      </w:r>
      <w:bookmarkStart w:id="904" w:name="OLE_LINK30"/>
      <w:r>
        <w:rPr>
          <w:rFonts w:hint="eastAsia" w:ascii="宋体" w:hAnsi="宋体" w:cs="宋体"/>
          <w:color w:val="auto"/>
          <w:sz w:val="22"/>
          <w:u w:val="single"/>
        </w:rPr>
        <w:t>建设工程工程量清单计价规范</w:t>
      </w:r>
      <w:bookmarkEnd w:id="904"/>
      <w:r>
        <w:rPr>
          <w:rFonts w:hint="eastAsia" w:ascii="宋体" w:hAnsi="宋体" w:cs="宋体"/>
          <w:color w:val="auto"/>
          <w:sz w:val="22"/>
          <w:u w:val="single"/>
          <w:lang w:eastAsia="zh-CN"/>
        </w:rPr>
        <w:t>》《</w:t>
      </w:r>
      <w:r>
        <w:rPr>
          <w:rFonts w:hint="eastAsia" w:ascii="宋体" w:hAnsi="宋体" w:cs="宋体"/>
          <w:color w:val="auto"/>
          <w:sz w:val="22"/>
          <w:u w:val="single"/>
        </w:rPr>
        <w:t xml:space="preserve">〈建设工程工程量清单计价规范〉 </w:t>
      </w:r>
      <w:r>
        <w:rPr>
          <w:rFonts w:hint="eastAsia" w:ascii="宋体" w:hAnsi="宋体" w:cs="宋体"/>
          <w:color w:val="auto"/>
          <w:sz w:val="22"/>
          <w:u w:val="single"/>
          <w:lang w:eastAsia="zh-CN"/>
        </w:rPr>
        <w:t>（</w:t>
      </w:r>
      <w:r>
        <w:rPr>
          <w:rFonts w:hint="eastAsia" w:ascii="宋体" w:hAnsi="宋体" w:cs="宋体"/>
          <w:color w:val="auto"/>
          <w:sz w:val="22"/>
          <w:u w:val="single"/>
        </w:rPr>
        <w:t>GB50500-2013</w:t>
      </w:r>
      <w:r>
        <w:rPr>
          <w:rFonts w:hint="eastAsia" w:ascii="宋体" w:hAnsi="宋体" w:cs="宋体"/>
          <w:color w:val="auto"/>
          <w:sz w:val="22"/>
          <w:u w:val="single"/>
          <w:lang w:eastAsia="zh-CN"/>
        </w:rPr>
        <w:t>）</w:t>
      </w:r>
      <w:r>
        <w:rPr>
          <w:rFonts w:hint="eastAsia" w:ascii="宋体" w:hAnsi="宋体" w:cs="宋体"/>
          <w:color w:val="auto"/>
          <w:sz w:val="22"/>
          <w:u w:val="single"/>
        </w:rPr>
        <w:t>广西壮族自治区实施细则》、2013年版《广西壮族自治区建筑装饰装修工程消耗量定额》、2015年版《广西壮族自治区安装工程消耗量定额》、2014年版《广西壮族自治区市政工程消耗量定额》、2014年版《广西壮族自治区市政工程费用定额》、2013年版《广西壮族自治区园林绿化及仿古建筑工程消耗量定额》、2013年版《广西壮族自治区园林绿化及仿古建筑工程费用定额》、2016年《广西壮族自治区建设工程费用定额》及有关配套费率、人工和机械台班费用调整规定计算的净值为准，如有不明之处，应以监理工程师或造价管理部门指定的计量方法为准，费率取中值</w:t>
      </w:r>
      <w:r>
        <w:rPr>
          <w:rFonts w:hint="eastAsia" w:ascii="宋体" w:hAnsi="宋体" w:cs="宋体"/>
          <w:color w:val="auto"/>
          <w:sz w:val="22"/>
          <w:u w:val="none"/>
        </w:rPr>
        <w:t>。</w:t>
      </w:r>
    </w:p>
    <w:p w14:paraId="695D4F9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12.3.2 计量周期</w:t>
      </w:r>
    </w:p>
    <w:p w14:paraId="71CDE0EB">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关于计量周期的约定：</w:t>
      </w:r>
      <w:r>
        <w:rPr>
          <w:rFonts w:hint="eastAsia" w:ascii="宋体" w:hAnsi="宋体" w:cs="宋体"/>
          <w:color w:val="auto"/>
          <w:sz w:val="22"/>
          <w:u w:val="single"/>
        </w:rPr>
        <w:t>按月计量，每月25日前</w:t>
      </w:r>
      <w:r>
        <w:rPr>
          <w:rFonts w:hint="eastAsia" w:ascii="宋体" w:hAnsi="宋体" w:cs="宋体"/>
          <w:color w:val="auto"/>
          <w:sz w:val="22"/>
        </w:rPr>
        <w:t>。</w:t>
      </w:r>
    </w:p>
    <w:p w14:paraId="527A67C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12.3.3 单价合同的计量</w:t>
      </w:r>
    </w:p>
    <w:p w14:paraId="23CA8AF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关于单价合同计量的约定：</w:t>
      </w:r>
    </w:p>
    <w:p w14:paraId="58AD0353">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 工程量清单所列的工程量，不能作为承包人按合同履行其责任依据，实际施工中发生的工程量增加或减少并不影响承包人履行合同的责任，工程结算以完成的实际工程量为准。</w:t>
      </w:r>
    </w:p>
    <w:p w14:paraId="2CFAE0A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(2) 除另有规定外，工程师应按照合同通过计量来核实确定已完成的工程量和价款，承包人应得到该价款扣除保留金后的金额。当工程师要对已完工的工程量进行计量时，应适时地通知承包人参加。</w:t>
      </w:r>
    </w:p>
    <w:p w14:paraId="372AED3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12.3.4 总价合同的计量</w:t>
      </w:r>
    </w:p>
    <w:p w14:paraId="5448E4E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关于总价合同计量的约定：除工程变更外，原图纸范围内的工程量不得按实计量。进度款按支付分解表支付，按</w:t>
      </w:r>
      <w:r>
        <w:rPr>
          <w:rFonts w:hint="eastAsia" w:ascii="宋体" w:hAnsi="宋体" w:cs="宋体"/>
          <w:color w:val="auto"/>
          <w:sz w:val="22"/>
          <w:lang w:eastAsia="zh-CN"/>
        </w:rPr>
        <w:t>通用合同条款</w:t>
      </w:r>
      <w:r>
        <w:rPr>
          <w:rFonts w:hint="eastAsia" w:ascii="宋体" w:hAnsi="宋体" w:cs="宋体"/>
          <w:color w:val="auto"/>
          <w:sz w:val="22"/>
        </w:rPr>
        <w:t>第</w:t>
      </w:r>
      <w:r>
        <w:rPr>
          <w:rFonts w:hint="eastAsia" w:ascii="宋体" w:hAnsi="宋体" w:cs="宋体"/>
          <w:color w:val="auto"/>
          <w:kern w:val="0"/>
          <w:sz w:val="22"/>
        </w:rPr>
        <w:t>12.3.4</w:t>
      </w:r>
      <w:r>
        <w:rPr>
          <w:rFonts w:hint="eastAsia" w:ascii="宋体" w:hAnsi="宋体" w:cs="宋体"/>
          <w:color w:val="auto"/>
          <w:sz w:val="22"/>
        </w:rPr>
        <w:t>项</w:t>
      </w:r>
      <w:r>
        <w:rPr>
          <w:rFonts w:hint="eastAsia" w:ascii="宋体" w:hAnsi="宋体" w:cs="宋体"/>
          <w:color w:val="auto"/>
          <w:kern w:val="0"/>
          <w:sz w:val="22"/>
        </w:rPr>
        <w:t>〔总价合同的计量〕</w:t>
      </w:r>
      <w:r>
        <w:rPr>
          <w:rFonts w:hint="eastAsia" w:ascii="宋体" w:hAnsi="宋体" w:cs="宋体"/>
          <w:color w:val="auto"/>
          <w:sz w:val="22"/>
        </w:rPr>
        <w:t>约定进行计量，但</w:t>
      </w:r>
      <w:r>
        <w:rPr>
          <w:rFonts w:hint="eastAsia" w:ascii="宋体" w:hAnsi="宋体" w:cs="宋体"/>
          <w:color w:val="auto"/>
          <w:kern w:val="0"/>
          <w:sz w:val="22"/>
        </w:rPr>
        <w:t>合同价款按照支付分解表进行支付。</w:t>
      </w:r>
    </w:p>
    <w:p w14:paraId="604FC61B">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12.3.6 其他价格形式合同的计量</w:t>
      </w:r>
    </w:p>
    <w:p w14:paraId="0EE082D7">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其他价格形式的计量方式和程序：</w:t>
      </w:r>
      <w:r>
        <w:rPr>
          <w:rFonts w:hint="eastAsia" w:ascii="宋体" w:hAnsi="宋体" w:cs="宋体"/>
          <w:color w:val="auto"/>
          <w:sz w:val="22"/>
          <w:u w:val="single"/>
        </w:rPr>
        <w:t xml:space="preserve">  无  </w:t>
      </w:r>
      <w:r>
        <w:rPr>
          <w:rFonts w:hint="eastAsia" w:ascii="宋体" w:hAnsi="宋体" w:cs="宋体"/>
          <w:color w:val="auto"/>
          <w:sz w:val="22"/>
        </w:rPr>
        <w:t>。</w:t>
      </w:r>
    </w:p>
    <w:p w14:paraId="25BA9B92">
      <w:pPr>
        <w:pStyle w:val="39"/>
        <w:spacing w:line="360" w:lineRule="exact"/>
        <w:ind w:firstLine="442" w:firstLineChars="200"/>
        <w:rPr>
          <w:rFonts w:hint="eastAsia" w:ascii="宋体" w:hAnsi="宋体" w:cs="宋体"/>
          <w:color w:val="auto"/>
          <w:sz w:val="22"/>
          <w:szCs w:val="22"/>
        </w:rPr>
      </w:pPr>
      <w:bookmarkStart w:id="905" w:name="_Toc373478399"/>
      <w:bookmarkStart w:id="906" w:name="_Toc373227752"/>
      <w:bookmarkStart w:id="907" w:name="_Toc12975943"/>
      <w:bookmarkStart w:id="908" w:name="_Toc533432778"/>
      <w:bookmarkStart w:id="909" w:name="_Toc395382555"/>
      <w:bookmarkStart w:id="910" w:name="_Toc389065317"/>
      <w:r>
        <w:rPr>
          <w:rFonts w:hint="eastAsia" w:ascii="宋体" w:hAnsi="宋体" w:cs="宋体"/>
          <w:color w:val="auto"/>
          <w:sz w:val="22"/>
          <w:szCs w:val="22"/>
        </w:rPr>
        <w:t>12.4 工程进度款支付</w:t>
      </w:r>
      <w:bookmarkEnd w:id="905"/>
      <w:bookmarkEnd w:id="906"/>
      <w:bookmarkEnd w:id="907"/>
      <w:bookmarkEnd w:id="908"/>
      <w:bookmarkEnd w:id="909"/>
      <w:bookmarkEnd w:id="910"/>
    </w:p>
    <w:p w14:paraId="5C2AB96E">
      <w:pPr>
        <w:pStyle w:val="40"/>
        <w:spacing w:line="360" w:lineRule="exact"/>
        <w:ind w:firstLine="440" w:firstLineChars="200"/>
        <w:jc w:val="left"/>
        <w:rPr>
          <w:rFonts w:hint="eastAsia" w:ascii="宋体" w:hAnsi="宋体" w:cs="宋体"/>
          <w:color w:val="auto"/>
          <w:sz w:val="22"/>
        </w:rPr>
      </w:pPr>
      <w:bookmarkStart w:id="911" w:name="_Toc292559416"/>
      <w:bookmarkStart w:id="912" w:name="_Toc296347210"/>
      <w:bookmarkStart w:id="913" w:name="_Toc297216215"/>
      <w:bookmarkStart w:id="914" w:name="_Toc292559921"/>
      <w:bookmarkStart w:id="915" w:name="_Toc303539163"/>
      <w:bookmarkStart w:id="916" w:name="_Toc296503211"/>
      <w:bookmarkStart w:id="917" w:name="_Toc296891251"/>
      <w:bookmarkStart w:id="918" w:name="_Toc297120511"/>
      <w:bookmarkStart w:id="919" w:name="_Toc296891039"/>
      <w:bookmarkStart w:id="920" w:name="_Toc296346712"/>
      <w:bookmarkStart w:id="921" w:name="_Toc297048397"/>
      <w:bookmarkStart w:id="922" w:name="_Toc296944550"/>
      <w:bookmarkStart w:id="923" w:name="_Toc300935006"/>
      <w:bookmarkStart w:id="924" w:name="_Toc297123556"/>
      <w:r>
        <w:rPr>
          <w:rFonts w:hint="eastAsia" w:ascii="宋体" w:hAnsi="宋体" w:cs="宋体"/>
          <w:color w:val="auto"/>
          <w:sz w:val="22"/>
        </w:rPr>
        <w:t>12.4.1 付款周期</w:t>
      </w:r>
    </w:p>
    <w:p w14:paraId="1F52AD39">
      <w:pPr>
        <w:pStyle w:val="60"/>
        <w:spacing w:line="360" w:lineRule="exact"/>
        <w:ind w:firstLine="440" w:firstLineChars="200"/>
        <w:rPr>
          <w:rFonts w:hint="eastAsia" w:ascii="宋体" w:hAnsi="宋体" w:cs="宋体"/>
          <w:b/>
          <w:color w:val="auto"/>
          <w:sz w:val="22"/>
          <w:szCs w:val="22"/>
          <w:highlight w:val="none"/>
          <w:u w:val="single"/>
        </w:rPr>
      </w:pPr>
      <w:r>
        <w:rPr>
          <w:rFonts w:hint="eastAsia" w:ascii="宋体" w:hAnsi="宋体" w:cs="宋体"/>
          <w:color w:val="auto"/>
          <w:sz w:val="22"/>
          <w:szCs w:val="22"/>
        </w:rPr>
        <w:t>关于付款周期的</w:t>
      </w:r>
      <w:r>
        <w:rPr>
          <w:rFonts w:hint="eastAsia" w:ascii="宋体" w:hAnsi="宋体" w:cs="宋体"/>
          <w:color w:val="auto"/>
          <w:sz w:val="22"/>
          <w:szCs w:val="22"/>
          <w:highlight w:val="none"/>
        </w:rPr>
        <w:t>约定：</w:t>
      </w:r>
      <w:r>
        <w:rPr>
          <w:rFonts w:hint="eastAsia" w:ascii="宋体" w:hAnsi="宋体" w:cs="宋体"/>
          <w:b/>
          <w:color w:val="auto"/>
          <w:sz w:val="22"/>
          <w:szCs w:val="22"/>
          <w:highlight w:val="none"/>
          <w:u w:val="single"/>
        </w:rPr>
        <w:t>按每月</w:t>
      </w:r>
      <w:r>
        <w:rPr>
          <w:rFonts w:hint="eastAsia" w:ascii="宋体" w:hAnsi="宋体" w:cs="宋体"/>
          <w:b/>
          <w:color w:val="auto"/>
          <w:sz w:val="22"/>
          <w:szCs w:val="22"/>
          <w:highlight w:val="none"/>
          <w:u w:val="single"/>
          <w:lang w:val="en-US" w:eastAsia="zh-CN"/>
        </w:rPr>
        <w:t>20—</w:t>
      </w:r>
      <w:r>
        <w:rPr>
          <w:rFonts w:hint="eastAsia" w:ascii="宋体" w:hAnsi="宋体" w:cs="宋体"/>
          <w:b/>
          <w:color w:val="auto"/>
          <w:sz w:val="22"/>
          <w:szCs w:val="22"/>
          <w:highlight w:val="none"/>
          <w:u w:val="single"/>
        </w:rPr>
        <w:t>25日</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逾期不提交的待下月同期再提交</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承包人应向发包人提交当月工程完成工程形象进度报表，同时在进度报表中附加农民工工资支付计划并提交上一期农民工工资支付情况表，经建设单位核实后，合同内按每月完成工程量的80%支付工程进度款；在工程竣工结算</w:t>
      </w:r>
      <w:r>
        <w:rPr>
          <w:rFonts w:hint="eastAsia" w:ascii="宋体" w:hAnsi="宋体" w:cs="宋体"/>
          <w:b/>
          <w:color w:val="auto"/>
          <w:sz w:val="22"/>
          <w:szCs w:val="22"/>
          <w:highlight w:val="none"/>
          <w:u w:val="single"/>
          <w:lang w:val="en-US" w:eastAsia="zh-CN"/>
        </w:rPr>
        <w:t>评审</w:t>
      </w:r>
      <w:r>
        <w:rPr>
          <w:rFonts w:hint="eastAsia" w:ascii="宋体" w:hAnsi="宋体" w:cs="宋体"/>
          <w:b/>
          <w:color w:val="auto"/>
          <w:sz w:val="22"/>
          <w:szCs w:val="22"/>
          <w:highlight w:val="none"/>
          <w:u w:val="single"/>
        </w:rPr>
        <w:t>后支付至工程款总额的97%，总额的3%作为质量保证金，质保金在缺陷责任期满后21个工作日内一次性无息付清。合同外工程款待工程竣工结算后一并支付</w:t>
      </w:r>
      <w:r>
        <w:rPr>
          <w:rFonts w:hint="eastAsia" w:ascii="宋体" w:hAnsi="宋体" w:cs="宋体"/>
          <w:b/>
          <w:color w:val="auto"/>
          <w:sz w:val="22"/>
          <w:szCs w:val="22"/>
          <w:highlight w:val="none"/>
          <w:u w:val="none"/>
        </w:rPr>
        <w:t>。</w:t>
      </w:r>
    </w:p>
    <w:p w14:paraId="49F303F4">
      <w:pPr>
        <w:pStyle w:val="60"/>
        <w:spacing w:line="360" w:lineRule="exact"/>
        <w:ind w:firstLine="442" w:firstLineChars="200"/>
        <w:rPr>
          <w:rFonts w:hint="default" w:ascii="宋体" w:hAnsi="宋体" w:eastAsia="宋体" w:cs="宋体"/>
          <w:b/>
          <w:color w:val="auto"/>
          <w:sz w:val="22"/>
          <w:szCs w:val="22"/>
          <w:highlight w:val="none"/>
          <w:u w:val="single"/>
          <w:lang w:val="en-US" w:eastAsia="zh-CN"/>
        </w:rPr>
      </w:pPr>
      <w:r>
        <w:rPr>
          <w:rFonts w:hint="eastAsia" w:ascii="宋体" w:hAnsi="宋体" w:cs="宋体"/>
          <w:b/>
          <w:color w:val="auto"/>
          <w:sz w:val="22"/>
          <w:szCs w:val="22"/>
          <w:highlight w:val="none"/>
          <w:u w:val="single"/>
          <w:lang w:val="en-US" w:eastAsia="zh-CN"/>
        </w:rPr>
        <w:t>港口区财政局拨付相关款项后7个工作日内完成支付。</w:t>
      </w:r>
    </w:p>
    <w:p w14:paraId="0B0074A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12.4.2 进度付款申请单的编制</w:t>
      </w:r>
    </w:p>
    <w:p w14:paraId="01568C3A">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关于进度付款申请单编制的约定：</w:t>
      </w:r>
      <w:r>
        <w:rPr>
          <w:rFonts w:hint="eastAsia" w:ascii="宋体" w:hAnsi="宋体" w:cs="宋体"/>
          <w:color w:val="auto"/>
          <w:sz w:val="22"/>
          <w:u w:val="single"/>
        </w:rPr>
        <w:t>按</w:t>
      </w:r>
      <w:r>
        <w:rPr>
          <w:rFonts w:hint="eastAsia" w:ascii="宋体" w:hAnsi="宋体" w:cs="宋体"/>
          <w:color w:val="auto"/>
          <w:sz w:val="22"/>
          <w:u w:val="single"/>
          <w:lang w:eastAsia="zh-CN"/>
        </w:rPr>
        <w:t>通用合同条款</w:t>
      </w:r>
      <w:r>
        <w:rPr>
          <w:rFonts w:hint="eastAsia" w:ascii="宋体" w:hAnsi="宋体" w:cs="宋体"/>
          <w:color w:val="auto"/>
          <w:sz w:val="22"/>
          <w:u w:val="single"/>
        </w:rPr>
        <w:t xml:space="preserve">执行  </w:t>
      </w:r>
      <w:r>
        <w:rPr>
          <w:rFonts w:hint="eastAsia" w:ascii="宋体" w:hAnsi="宋体" w:cs="宋体"/>
          <w:color w:val="auto"/>
          <w:sz w:val="22"/>
        </w:rPr>
        <w:t>。</w:t>
      </w:r>
    </w:p>
    <w:p w14:paraId="176060F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rPr>
          <w:rFonts w:hint="eastAsia" w:ascii="宋体" w:hAnsi="宋体" w:cs="宋体"/>
          <w:color w:val="auto"/>
          <w:sz w:val="22"/>
        </w:rPr>
        <w:t>2.4.3 进度付款申请单的提交</w:t>
      </w:r>
    </w:p>
    <w:p w14:paraId="7FD9555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（1）单价合同进度付款申请单提交的约定：</w:t>
      </w:r>
      <w:r>
        <w:rPr>
          <w:rFonts w:hint="eastAsia" w:ascii="宋体" w:hAnsi="宋体" w:cs="宋体"/>
          <w:color w:val="auto"/>
          <w:sz w:val="22"/>
          <w:u w:val="single"/>
        </w:rPr>
        <w:t>按</w:t>
      </w:r>
      <w:r>
        <w:rPr>
          <w:rFonts w:hint="eastAsia" w:ascii="宋体" w:hAnsi="宋体" w:cs="宋体"/>
          <w:color w:val="auto"/>
          <w:sz w:val="22"/>
          <w:u w:val="single"/>
          <w:lang w:eastAsia="zh-CN"/>
        </w:rPr>
        <w:t>通用合同条款</w:t>
      </w:r>
      <w:r>
        <w:rPr>
          <w:rFonts w:hint="eastAsia" w:ascii="宋体" w:hAnsi="宋体" w:cs="宋体"/>
          <w:color w:val="auto"/>
          <w:sz w:val="22"/>
          <w:u w:val="single"/>
        </w:rPr>
        <w:t>执行</w:t>
      </w:r>
      <w:r>
        <w:rPr>
          <w:rFonts w:hint="eastAsia" w:ascii="宋体" w:hAnsi="宋体" w:cs="宋体"/>
          <w:bCs/>
          <w:color w:val="auto"/>
          <w:sz w:val="22"/>
          <w:u w:val="single"/>
        </w:rPr>
        <w:t xml:space="preserve"> </w:t>
      </w:r>
      <w:r>
        <w:rPr>
          <w:rFonts w:hint="eastAsia" w:ascii="宋体" w:hAnsi="宋体" w:cs="宋体"/>
          <w:color w:val="auto"/>
          <w:sz w:val="22"/>
        </w:rPr>
        <w:t>。</w:t>
      </w:r>
    </w:p>
    <w:p w14:paraId="1C643D2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（2）总价合同进度付款申请单提交的约定：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9C4BD8F">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（3）其他价格形式合同进度付款申请单提交的约定：</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13E9203B">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12.4.4 进度款审核和支付</w:t>
      </w:r>
    </w:p>
    <w:p w14:paraId="3D8B96C0">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（1）监理人审查并报送发包人的期限：</w:t>
      </w:r>
      <w:r>
        <w:rPr>
          <w:rFonts w:hint="eastAsia" w:ascii="宋体" w:hAnsi="宋体" w:cs="宋体"/>
          <w:color w:val="auto"/>
          <w:sz w:val="22"/>
          <w:u w:val="single"/>
        </w:rPr>
        <w:t>按通用合同条款执行</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58258BD">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发包人完成审批并签发进度款支付证书的期限：</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按通用合同条款执行</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0DA30D8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（2）发包人支付进度款的期限：</w:t>
      </w:r>
      <w:r>
        <w:rPr>
          <w:rFonts w:hint="eastAsia" w:ascii="宋体" w:hAnsi="宋体" w:cs="宋体"/>
          <w:color w:val="auto"/>
          <w:sz w:val="22"/>
          <w:u w:val="single"/>
        </w:rPr>
        <w:t>按专用合同条款执行</w:t>
      </w:r>
      <w:r>
        <w:rPr>
          <w:rFonts w:hint="eastAsia" w:ascii="宋体" w:hAnsi="宋体" w:cs="宋体"/>
          <w:color w:val="auto"/>
          <w:sz w:val="22"/>
        </w:rPr>
        <w:t>。</w:t>
      </w:r>
    </w:p>
    <w:p w14:paraId="04F555B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发包人逾期支付进度款的违约金的计算方式：</w:t>
      </w:r>
      <w:r>
        <w:rPr>
          <w:rFonts w:hint="eastAsia" w:ascii="宋体" w:hAnsi="宋体" w:cs="宋体"/>
          <w:color w:val="auto"/>
          <w:sz w:val="22"/>
          <w:u w:val="single"/>
        </w:rPr>
        <w:t xml:space="preserve"> 无 </w:t>
      </w:r>
      <w:r>
        <w:rPr>
          <w:rFonts w:hint="eastAsia" w:ascii="宋体" w:hAnsi="宋体" w:cs="宋体"/>
          <w:color w:val="auto"/>
          <w:sz w:val="22"/>
        </w:rPr>
        <w:t>。</w:t>
      </w:r>
    </w:p>
    <w:p w14:paraId="136F4E4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进度款支付方式：</w:t>
      </w:r>
      <w:r>
        <w:rPr>
          <w:rFonts w:hint="eastAsia" w:ascii="宋体" w:hAnsi="宋体" w:cs="宋体"/>
          <w:color w:val="auto"/>
          <w:sz w:val="22"/>
          <w:u w:val="single"/>
        </w:rPr>
        <w:t>银行转账</w:t>
      </w:r>
      <w:r>
        <w:rPr>
          <w:rFonts w:hint="eastAsia" w:ascii="宋体" w:hAnsi="宋体" w:cs="宋体"/>
          <w:color w:val="auto"/>
          <w:sz w:val="22"/>
        </w:rPr>
        <w:t>。</w:t>
      </w:r>
    </w:p>
    <w:p w14:paraId="408FD0A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12.4.6 支付分解表的编制</w:t>
      </w:r>
    </w:p>
    <w:p w14:paraId="1252A5A7">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2. 总价合同支付分解表的编制与审批：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9544591">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3. 单价合同的总价项目支付分解表的编制与审批：总价项目不采用支付分解表的方式计算，而按《建设工程工程量清单计价规范（GB50500-2013）广西壮族自治区实施细则》的规定执行。</w:t>
      </w:r>
    </w:p>
    <w:bookmarkEnd w:id="674"/>
    <w:p w14:paraId="3F7828DB">
      <w:pPr>
        <w:pStyle w:val="70"/>
        <w:spacing w:before="0" w:after="0" w:line="360" w:lineRule="exact"/>
        <w:ind w:firstLine="442" w:firstLineChars="200"/>
        <w:rPr>
          <w:rFonts w:hint="eastAsia" w:ascii="宋体" w:hAnsi="宋体" w:cs="宋体"/>
          <w:color w:val="auto"/>
          <w:sz w:val="22"/>
          <w:szCs w:val="22"/>
        </w:rPr>
      </w:pPr>
      <w:bookmarkStart w:id="925" w:name="_Toc533432779"/>
      <w:bookmarkStart w:id="926" w:name="_Toc373227753"/>
      <w:bookmarkStart w:id="927" w:name="_Toc389065318"/>
      <w:bookmarkStart w:id="928" w:name="_Toc12975944"/>
      <w:bookmarkStart w:id="929" w:name="_Toc373478400"/>
      <w:bookmarkStart w:id="930" w:name="_Toc395382556"/>
      <w:bookmarkStart w:id="931" w:name="_Toc351203645"/>
      <w:bookmarkStart w:id="932" w:name="_Toc300935015"/>
      <w:bookmarkStart w:id="933" w:name="_Toc297216223"/>
      <w:bookmarkStart w:id="934" w:name="_Toc296346720"/>
      <w:bookmarkStart w:id="935" w:name="_Toc296503219"/>
      <w:bookmarkStart w:id="936" w:name="_Toc297123564"/>
      <w:bookmarkStart w:id="937" w:name="_Toc296891259"/>
      <w:bookmarkStart w:id="938" w:name="_Toc292559929"/>
      <w:bookmarkStart w:id="939" w:name="_Toc292559424"/>
      <w:bookmarkStart w:id="940" w:name="_Toc296347218"/>
      <w:bookmarkStart w:id="941" w:name="_Toc297120519"/>
      <w:bookmarkStart w:id="942" w:name="_Toc304295593"/>
      <w:bookmarkStart w:id="943" w:name="_Toc297048405"/>
      <w:bookmarkStart w:id="944" w:name="_Toc296944558"/>
      <w:bookmarkStart w:id="945" w:name="_Toc312678053"/>
      <w:bookmarkStart w:id="946" w:name="_Toc303539172"/>
      <w:bookmarkStart w:id="947" w:name="_Toc296891047"/>
      <w:r>
        <w:rPr>
          <w:rFonts w:hint="eastAsia" w:ascii="宋体" w:hAnsi="宋体" w:cs="宋体"/>
          <w:color w:val="auto"/>
          <w:sz w:val="22"/>
          <w:szCs w:val="22"/>
        </w:rPr>
        <w:t>13. 验收和工程试车</w:t>
      </w:r>
      <w:bookmarkEnd w:id="925"/>
      <w:bookmarkEnd w:id="926"/>
      <w:bookmarkEnd w:id="927"/>
      <w:bookmarkEnd w:id="928"/>
      <w:bookmarkEnd w:id="929"/>
      <w:bookmarkEnd w:id="930"/>
      <w:bookmarkEnd w:id="931"/>
    </w:p>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14:paraId="2D01CD06">
      <w:pPr>
        <w:pStyle w:val="39"/>
        <w:spacing w:line="360" w:lineRule="exact"/>
        <w:ind w:firstLine="442" w:firstLineChars="200"/>
        <w:rPr>
          <w:rFonts w:hint="eastAsia" w:ascii="宋体" w:hAnsi="宋体" w:cs="宋体"/>
          <w:color w:val="auto"/>
          <w:sz w:val="22"/>
          <w:szCs w:val="22"/>
        </w:rPr>
      </w:pPr>
      <w:bookmarkStart w:id="948" w:name="_Toc373478401"/>
      <w:bookmarkStart w:id="949" w:name="_Toc533432780"/>
      <w:bookmarkStart w:id="950" w:name="_Toc373227754"/>
      <w:bookmarkStart w:id="951" w:name="_Toc12975945"/>
      <w:bookmarkStart w:id="952" w:name="_Toc389065319"/>
      <w:bookmarkStart w:id="953" w:name="_Toc395382557"/>
      <w:r>
        <w:rPr>
          <w:rFonts w:hint="eastAsia" w:ascii="宋体" w:hAnsi="宋体" w:cs="宋体"/>
          <w:color w:val="auto"/>
          <w:sz w:val="22"/>
          <w:szCs w:val="22"/>
        </w:rPr>
        <w:t>13.1 分部分项工程验收</w:t>
      </w:r>
      <w:bookmarkEnd w:id="948"/>
      <w:bookmarkEnd w:id="949"/>
      <w:bookmarkEnd w:id="950"/>
      <w:bookmarkEnd w:id="951"/>
      <w:bookmarkEnd w:id="952"/>
      <w:bookmarkEnd w:id="953"/>
    </w:p>
    <w:p w14:paraId="5558717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13.1.2监理人不能按时进行验收时，应提前</w:t>
      </w:r>
      <w:r>
        <w:rPr>
          <w:rFonts w:hint="eastAsia" w:ascii="宋体" w:hAnsi="宋体" w:cs="宋体"/>
          <w:color w:val="auto"/>
          <w:sz w:val="22"/>
          <w:u w:val="single"/>
        </w:rPr>
        <w:t xml:space="preserve">  24 </w:t>
      </w:r>
      <w:r>
        <w:rPr>
          <w:rFonts w:hint="eastAsia" w:ascii="宋体" w:hAnsi="宋体" w:cs="宋体"/>
          <w:color w:val="auto"/>
          <w:sz w:val="22"/>
        </w:rPr>
        <w:t>小时提交书面延期要求。</w:t>
      </w:r>
    </w:p>
    <w:p w14:paraId="7C0E46B8">
      <w:pPr>
        <w:pStyle w:val="40"/>
        <w:spacing w:line="360" w:lineRule="exact"/>
        <w:ind w:firstLine="440" w:firstLineChars="200"/>
        <w:jc w:val="left"/>
        <w:rPr>
          <w:rFonts w:hint="eastAsia" w:ascii="宋体" w:hAnsi="宋体" w:cs="宋体"/>
          <w:b/>
          <w:color w:val="auto"/>
          <w:sz w:val="22"/>
        </w:rPr>
      </w:pPr>
      <w:r>
        <w:rPr>
          <w:rFonts w:hint="eastAsia" w:ascii="宋体" w:hAnsi="宋体" w:cs="宋体"/>
          <w:color w:val="auto"/>
          <w:sz w:val="22"/>
        </w:rPr>
        <w:t>关于延期最长不得超过：</w:t>
      </w:r>
      <w:r>
        <w:rPr>
          <w:rFonts w:hint="eastAsia" w:ascii="宋体" w:hAnsi="宋体" w:cs="宋体"/>
          <w:color w:val="auto"/>
          <w:sz w:val="22"/>
          <w:u w:val="single"/>
        </w:rPr>
        <w:t xml:space="preserve"> 48 </w:t>
      </w:r>
      <w:r>
        <w:rPr>
          <w:rFonts w:hint="eastAsia" w:ascii="宋体" w:hAnsi="宋体" w:cs="宋体"/>
          <w:color w:val="auto"/>
          <w:sz w:val="22"/>
        </w:rPr>
        <w:t>小时。</w:t>
      </w:r>
    </w:p>
    <w:p w14:paraId="7069B35A">
      <w:pPr>
        <w:pStyle w:val="39"/>
        <w:spacing w:line="360" w:lineRule="exact"/>
        <w:ind w:firstLine="442" w:firstLineChars="200"/>
        <w:rPr>
          <w:rFonts w:hint="eastAsia" w:ascii="宋体" w:hAnsi="宋体" w:cs="宋体"/>
          <w:color w:val="auto"/>
          <w:sz w:val="22"/>
          <w:szCs w:val="22"/>
        </w:rPr>
      </w:pPr>
      <w:bookmarkStart w:id="954" w:name="_Toc12975946"/>
      <w:bookmarkStart w:id="955" w:name="_Toc533432781"/>
      <w:bookmarkStart w:id="956" w:name="_Toc373227755"/>
      <w:bookmarkStart w:id="957" w:name="_Toc389065320"/>
      <w:bookmarkStart w:id="958" w:name="_Toc373478402"/>
      <w:bookmarkStart w:id="959" w:name="_Toc395382558"/>
      <w:bookmarkStart w:id="960" w:name="_Toc292559428"/>
      <w:bookmarkStart w:id="961" w:name="_Toc297120523"/>
      <w:bookmarkStart w:id="962" w:name="_Toc300935016"/>
      <w:bookmarkStart w:id="963" w:name="_Toc303539173"/>
      <w:bookmarkStart w:id="964" w:name="_Toc296346724"/>
      <w:bookmarkStart w:id="965" w:name="_Toc297048409"/>
      <w:bookmarkStart w:id="966" w:name="_Toc296891263"/>
      <w:bookmarkStart w:id="967" w:name="_Toc297123565"/>
      <w:bookmarkStart w:id="968" w:name="_Toc296944562"/>
      <w:bookmarkStart w:id="969" w:name="_Toc304295596"/>
      <w:bookmarkStart w:id="970" w:name="_Toc312678056"/>
      <w:bookmarkStart w:id="971" w:name="_Toc296503223"/>
      <w:bookmarkStart w:id="972" w:name="_Toc296347222"/>
      <w:bookmarkStart w:id="973" w:name="_Toc296891051"/>
      <w:bookmarkStart w:id="974" w:name="_Toc292559933"/>
      <w:bookmarkStart w:id="975" w:name="_Toc297216224"/>
      <w:bookmarkStart w:id="976" w:name="_Toc267251475"/>
      <w:bookmarkStart w:id="977" w:name="_Toc267251470"/>
      <w:bookmarkStart w:id="978" w:name="_Toc267251473"/>
      <w:bookmarkStart w:id="979" w:name="_Toc267251471"/>
      <w:bookmarkStart w:id="980" w:name="_Toc267251476"/>
      <w:bookmarkStart w:id="981" w:name="_Toc267251474"/>
      <w:bookmarkStart w:id="982" w:name="_Toc267251472"/>
      <w:r>
        <w:rPr>
          <w:rFonts w:hint="eastAsia" w:ascii="宋体" w:hAnsi="宋体" w:cs="宋体"/>
          <w:color w:val="auto"/>
          <w:sz w:val="22"/>
          <w:szCs w:val="22"/>
        </w:rPr>
        <w:t>13.2 竣工验收</w:t>
      </w:r>
      <w:bookmarkEnd w:id="954"/>
      <w:bookmarkEnd w:id="955"/>
      <w:bookmarkEnd w:id="956"/>
      <w:bookmarkEnd w:id="957"/>
      <w:bookmarkEnd w:id="958"/>
      <w:bookmarkEnd w:id="959"/>
    </w:p>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14:paraId="78F095EC">
      <w:pPr>
        <w:pStyle w:val="40"/>
        <w:spacing w:line="360" w:lineRule="exact"/>
        <w:ind w:firstLine="440" w:firstLineChars="200"/>
        <w:jc w:val="left"/>
        <w:rPr>
          <w:rFonts w:hint="eastAsia" w:ascii="宋体" w:hAnsi="宋体" w:cs="宋体"/>
          <w:color w:val="auto"/>
          <w:sz w:val="22"/>
        </w:rPr>
      </w:pPr>
      <w:bookmarkStart w:id="983" w:name="_Toc280868704"/>
      <w:bookmarkStart w:id="984" w:name="_Toc280868705"/>
      <w:bookmarkStart w:id="985" w:name="_Toc280868706"/>
      <w:bookmarkStart w:id="986" w:name="_Toc280868707"/>
      <w:bookmarkStart w:id="987" w:name="_Toc280868708"/>
      <w:bookmarkStart w:id="988" w:name="_Toc280868709"/>
      <w:r>
        <w:rPr>
          <w:rFonts w:hint="eastAsia" w:ascii="宋体" w:hAnsi="宋体" w:cs="宋体"/>
          <w:color w:val="auto"/>
          <w:sz w:val="22"/>
        </w:rPr>
        <w:t>13.2.1竣工验收条件</w:t>
      </w:r>
    </w:p>
    <w:p w14:paraId="7A379C4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（3）承包人负责整理和提交的竣工验收资料应当符合工程所在地建设行政主管部门和</w:t>
      </w:r>
      <w:r>
        <w:rPr>
          <w:rFonts w:hint="eastAsia" w:ascii="宋体" w:hAnsi="宋体" w:cs="宋体"/>
          <w:color w:val="auto"/>
          <w:sz w:val="22"/>
          <w:szCs w:val="22"/>
          <w:lang w:eastAsia="zh-CN"/>
        </w:rPr>
        <w:t>（</w:t>
      </w:r>
      <w:r>
        <w:rPr>
          <w:rFonts w:hint="eastAsia" w:ascii="宋体" w:hAnsi="宋体" w:cs="宋体"/>
          <w:color w:val="auto"/>
          <w:sz w:val="22"/>
          <w:szCs w:val="22"/>
        </w:rPr>
        <w:t>或</w:t>
      </w:r>
      <w:r>
        <w:rPr>
          <w:rFonts w:hint="eastAsia" w:ascii="宋体" w:hAnsi="宋体" w:cs="宋体"/>
          <w:color w:val="auto"/>
          <w:sz w:val="22"/>
          <w:szCs w:val="22"/>
          <w:lang w:eastAsia="zh-CN"/>
        </w:rPr>
        <w:t>）</w:t>
      </w:r>
      <w:r>
        <w:rPr>
          <w:rFonts w:hint="eastAsia" w:ascii="宋体" w:hAnsi="宋体" w:cs="宋体"/>
          <w:color w:val="auto"/>
          <w:sz w:val="22"/>
          <w:szCs w:val="22"/>
        </w:rPr>
        <w:t>城市建设档案管理机构有关施工资料的要求，具体内容包括：</w:t>
      </w:r>
      <w:r>
        <w:rPr>
          <w:rFonts w:hint="eastAsia" w:ascii="宋体" w:hAnsi="宋体" w:cs="宋体"/>
          <w:color w:val="auto"/>
          <w:sz w:val="22"/>
          <w:szCs w:val="22"/>
          <w:u w:val="single"/>
        </w:rPr>
        <w:t xml:space="preserve"> </w:t>
      </w:r>
      <w:r>
        <w:rPr>
          <w:rFonts w:hint="eastAsia" w:ascii="宋体" w:hAnsi="宋体" w:cs="宋体"/>
          <w:bCs/>
          <w:color w:val="auto"/>
          <w:sz w:val="22"/>
          <w:szCs w:val="22"/>
          <w:u w:val="single"/>
        </w:rPr>
        <w:t>（1）竣工资料（含竣工图，竣工图编制费已含在签约合同价中）移交时间：工程竣工验收合格后30天内。（2）承包人应协助发包人办理城建档案馆手续，与城建档案馆手续未办理完成，视为承包人的合同义务未履行完毕</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14:paraId="4EFFB2D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竣工验收资料的份数：</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4</w:t>
      </w:r>
      <w:r>
        <w:rPr>
          <w:rFonts w:hint="eastAsia" w:ascii="宋体" w:hAnsi="宋体" w:cs="宋体"/>
          <w:color w:val="auto"/>
          <w:sz w:val="22"/>
          <w:u w:val="single"/>
        </w:rPr>
        <w:t xml:space="preserve">套及满足相关要求 </w:t>
      </w:r>
      <w:r>
        <w:rPr>
          <w:rFonts w:hint="eastAsia" w:ascii="宋体" w:hAnsi="宋体" w:cs="宋体"/>
          <w:color w:val="auto"/>
          <w:sz w:val="22"/>
        </w:rPr>
        <w:t>。</w:t>
      </w:r>
    </w:p>
    <w:p w14:paraId="15E5BB3C">
      <w:pPr>
        <w:pStyle w:val="40"/>
        <w:spacing w:line="360" w:lineRule="exact"/>
        <w:ind w:firstLine="440" w:firstLineChars="200"/>
        <w:jc w:val="left"/>
        <w:rPr>
          <w:rFonts w:hint="eastAsia" w:ascii="宋体" w:hAnsi="宋体" w:cs="宋体"/>
          <w:color w:val="auto"/>
          <w:sz w:val="22"/>
        </w:rPr>
      </w:pPr>
      <w:r>
        <w:rPr>
          <w:rFonts w:hint="eastAsia" w:ascii="宋体" w:hAnsi="宋体" w:cs="宋体"/>
          <w:bCs/>
          <w:color w:val="auto"/>
          <w:sz w:val="22"/>
        </w:rPr>
        <w:t>承包人提供竣工图的约定：</w:t>
      </w:r>
      <w:r>
        <w:rPr>
          <w:rFonts w:hint="eastAsia" w:ascii="宋体" w:hAnsi="宋体" w:cs="宋体"/>
          <w:bCs/>
          <w:color w:val="auto"/>
          <w:sz w:val="22"/>
          <w:u w:val="single"/>
        </w:rPr>
        <w:t>竣工验收正式通过后5天（工程造价在500万元以下含500万元）、10天（工程造价在500万元至1000万元之间含1000万元）、15天（工程造价在1000万元以上），提供竣工图的数量分别为2套、4套、6套。</w:t>
      </w:r>
    </w:p>
    <w:p w14:paraId="009978A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13.2.2竣工验收程序</w:t>
      </w:r>
    </w:p>
    <w:bookmarkEnd w:id="983"/>
    <w:p w14:paraId="13C3C52E">
      <w:pPr>
        <w:pStyle w:val="40"/>
        <w:spacing w:line="360" w:lineRule="exact"/>
        <w:ind w:firstLine="440" w:firstLineChars="200"/>
        <w:jc w:val="left"/>
        <w:rPr>
          <w:rFonts w:hint="eastAsia" w:ascii="宋体" w:hAnsi="宋体" w:cs="宋体"/>
          <w:color w:val="auto"/>
          <w:sz w:val="22"/>
          <w:highlight w:val="none"/>
          <w:u w:val="single"/>
        </w:rPr>
      </w:pPr>
      <w:r>
        <w:rPr>
          <w:rFonts w:hint="eastAsia" w:ascii="宋体" w:hAnsi="宋体" w:cs="宋体"/>
          <w:color w:val="auto"/>
          <w:kern w:val="0"/>
          <w:sz w:val="22"/>
        </w:rPr>
        <w:t>关于竣工验收程序的约定：</w:t>
      </w:r>
      <w:r>
        <w:rPr>
          <w:rFonts w:hint="eastAsia" w:ascii="宋体" w:hAnsi="宋体" w:cs="宋体"/>
          <w:color w:val="auto"/>
          <w:sz w:val="22"/>
          <w:u w:val="single"/>
        </w:rPr>
        <w:t>竣工验收正式通过后30天，提供竣工图的数量为6套及满足当地档案</w:t>
      </w:r>
      <w:r>
        <w:rPr>
          <w:rFonts w:hint="eastAsia" w:ascii="宋体" w:hAnsi="宋体" w:cs="宋体"/>
          <w:color w:val="auto"/>
          <w:sz w:val="22"/>
          <w:highlight w:val="none"/>
          <w:u w:val="single"/>
        </w:rPr>
        <w:t>要求</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同时提供相应的电子扫描版</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rPr>
        <w:t>。</w:t>
      </w:r>
    </w:p>
    <w:p w14:paraId="5C104AA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发包人不按照本项约定组织竣工验收、颁发工程接收证书的违约金的计算方法：</w:t>
      </w:r>
      <w:r>
        <w:rPr>
          <w:rFonts w:hint="eastAsia" w:ascii="宋体" w:hAnsi="宋体" w:cs="宋体"/>
          <w:color w:val="auto"/>
          <w:sz w:val="22"/>
          <w:u w:val="single"/>
        </w:rPr>
        <w:t>无</w:t>
      </w:r>
      <w:r>
        <w:rPr>
          <w:rFonts w:hint="eastAsia" w:ascii="宋体" w:hAnsi="宋体" w:cs="宋体"/>
          <w:color w:val="auto"/>
          <w:sz w:val="22"/>
        </w:rPr>
        <w:t>。</w:t>
      </w:r>
    </w:p>
    <w:bookmarkEnd w:id="984"/>
    <w:p w14:paraId="767EF14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13.2.5移交、接收全部与部分工程</w:t>
      </w:r>
    </w:p>
    <w:bookmarkEnd w:id="985"/>
    <w:p w14:paraId="6567E224">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承包人向发包人移交工程的期限：</w:t>
      </w:r>
      <w:r>
        <w:rPr>
          <w:rFonts w:hint="eastAsia" w:ascii="宋体" w:hAnsi="宋体" w:cs="宋体"/>
          <w:color w:val="auto"/>
          <w:sz w:val="22"/>
          <w:u w:val="single"/>
        </w:rPr>
        <w:t xml:space="preserve">  按通用合同条款执行。</w:t>
      </w:r>
    </w:p>
    <w:p w14:paraId="1861D2DC">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发包人未按本合同约定接收全部或部分工程的，违约金的计算方法为：</w:t>
      </w:r>
      <w:r>
        <w:rPr>
          <w:rFonts w:hint="eastAsia" w:ascii="宋体" w:hAnsi="宋体" w:cs="宋体"/>
          <w:color w:val="auto"/>
          <w:sz w:val="22"/>
          <w:u w:val="single"/>
        </w:rPr>
        <w:t>无</w:t>
      </w:r>
      <w:r>
        <w:rPr>
          <w:rFonts w:hint="eastAsia" w:ascii="宋体" w:hAnsi="宋体" w:cs="宋体"/>
          <w:color w:val="auto"/>
          <w:sz w:val="22"/>
        </w:rPr>
        <w:t>。</w:t>
      </w:r>
    </w:p>
    <w:bookmarkEnd w:id="986"/>
    <w:p w14:paraId="2DE338B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承包人未按时移交工程的，违约金的计算方法为：</w:t>
      </w:r>
      <w:r>
        <w:rPr>
          <w:rFonts w:hint="eastAsia" w:ascii="宋体" w:hAnsi="宋体" w:cs="宋体"/>
          <w:color w:val="auto"/>
          <w:sz w:val="22"/>
          <w:u w:val="single"/>
        </w:rPr>
        <w:t xml:space="preserve"> 按通用合同条款执行 </w:t>
      </w:r>
      <w:r>
        <w:rPr>
          <w:rFonts w:hint="eastAsia" w:ascii="宋体" w:hAnsi="宋体" w:cs="宋体"/>
          <w:color w:val="auto"/>
          <w:sz w:val="22"/>
        </w:rPr>
        <w:t>。</w:t>
      </w:r>
    </w:p>
    <w:p w14:paraId="2856060A">
      <w:pPr>
        <w:pStyle w:val="39"/>
        <w:spacing w:line="360" w:lineRule="exact"/>
        <w:ind w:firstLine="442" w:firstLineChars="200"/>
        <w:rPr>
          <w:rFonts w:hint="eastAsia" w:ascii="宋体" w:hAnsi="宋体" w:cs="宋体"/>
          <w:color w:val="auto"/>
          <w:sz w:val="22"/>
          <w:szCs w:val="22"/>
        </w:rPr>
      </w:pPr>
      <w:bookmarkStart w:id="989" w:name="_Toc373478403"/>
      <w:bookmarkStart w:id="990" w:name="_Toc389065321"/>
      <w:bookmarkStart w:id="991" w:name="_Toc373227756"/>
      <w:bookmarkStart w:id="992" w:name="_Toc395382559"/>
      <w:bookmarkStart w:id="993" w:name="_Toc12975947"/>
      <w:bookmarkStart w:id="994" w:name="_Toc533432782"/>
      <w:r>
        <w:rPr>
          <w:rFonts w:hint="eastAsia" w:ascii="宋体" w:hAnsi="宋体" w:cs="宋体"/>
          <w:color w:val="auto"/>
          <w:sz w:val="22"/>
          <w:szCs w:val="22"/>
        </w:rPr>
        <w:t>13.3 工程试车</w:t>
      </w:r>
      <w:bookmarkEnd w:id="989"/>
      <w:bookmarkEnd w:id="990"/>
      <w:bookmarkEnd w:id="991"/>
      <w:bookmarkEnd w:id="992"/>
      <w:bookmarkEnd w:id="993"/>
      <w:bookmarkEnd w:id="994"/>
    </w:p>
    <w:bookmarkEnd w:id="987"/>
    <w:p w14:paraId="02BD1B14">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13.3.1 试车程序</w:t>
      </w:r>
    </w:p>
    <w:p w14:paraId="1A461371">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工程试车内容：</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E1E04F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（1）单机无负荷试车费用由</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承担；</w:t>
      </w:r>
    </w:p>
    <w:p w14:paraId="09D1179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（2）无负荷联动试车费用由</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承担。</w:t>
      </w:r>
    </w:p>
    <w:p w14:paraId="0390F3BD">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13.3.3 投料试车</w:t>
      </w:r>
    </w:p>
    <w:p w14:paraId="56AAFD54">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关于投料试车相关事项的约定：</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50ADF9E6">
      <w:pPr>
        <w:pStyle w:val="39"/>
        <w:spacing w:line="360" w:lineRule="exact"/>
        <w:ind w:firstLine="442" w:firstLineChars="200"/>
        <w:rPr>
          <w:rFonts w:hint="eastAsia" w:ascii="宋体" w:hAnsi="宋体" w:cs="宋体"/>
          <w:color w:val="auto"/>
          <w:sz w:val="22"/>
          <w:szCs w:val="22"/>
        </w:rPr>
      </w:pPr>
      <w:bookmarkStart w:id="995" w:name="_Toc395382560"/>
      <w:bookmarkStart w:id="996" w:name="_Toc533432783"/>
      <w:bookmarkStart w:id="997" w:name="_Toc389065322"/>
      <w:bookmarkStart w:id="998" w:name="_Toc373227757"/>
      <w:bookmarkStart w:id="999" w:name="_Toc12975948"/>
      <w:bookmarkStart w:id="1000" w:name="_Toc373478404"/>
      <w:r>
        <w:rPr>
          <w:rFonts w:hint="eastAsia" w:ascii="宋体" w:hAnsi="宋体" w:cs="宋体"/>
          <w:color w:val="auto"/>
          <w:sz w:val="22"/>
          <w:szCs w:val="22"/>
        </w:rPr>
        <w:t>13.6 竣工退场</w:t>
      </w:r>
      <w:bookmarkEnd w:id="995"/>
      <w:bookmarkEnd w:id="996"/>
      <w:bookmarkEnd w:id="997"/>
      <w:bookmarkEnd w:id="998"/>
      <w:bookmarkEnd w:id="999"/>
      <w:bookmarkEnd w:id="1000"/>
    </w:p>
    <w:p w14:paraId="23FF6938">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13.6.1 竣工退场</w:t>
      </w:r>
    </w:p>
    <w:p w14:paraId="027BE40F">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承包人完成竣工退场的期限：</w:t>
      </w:r>
      <w:r>
        <w:rPr>
          <w:rFonts w:hint="eastAsia" w:ascii="宋体" w:hAnsi="宋体" w:cs="宋体"/>
          <w:color w:val="auto"/>
          <w:sz w:val="22"/>
          <w:u w:val="single"/>
        </w:rPr>
        <w:t xml:space="preserve"> 竣工验收合格后28天或收到解除合同通知后7天内</w:t>
      </w:r>
      <w:r>
        <w:rPr>
          <w:rFonts w:hint="eastAsia" w:ascii="宋体" w:hAnsi="宋体" w:cs="宋体"/>
          <w:color w:val="auto"/>
          <w:kern w:val="0"/>
          <w:sz w:val="22"/>
        </w:rPr>
        <w:t>。</w:t>
      </w:r>
    </w:p>
    <w:p w14:paraId="587CC4CF">
      <w:pPr>
        <w:pStyle w:val="70"/>
        <w:spacing w:before="0" w:after="0" w:line="360" w:lineRule="exact"/>
        <w:ind w:firstLine="442" w:firstLineChars="200"/>
        <w:rPr>
          <w:rFonts w:hint="eastAsia" w:ascii="宋体" w:hAnsi="宋体" w:cs="宋体"/>
          <w:color w:val="auto"/>
          <w:sz w:val="22"/>
          <w:szCs w:val="22"/>
        </w:rPr>
      </w:pPr>
      <w:bookmarkStart w:id="1001" w:name="_Toc351203646"/>
      <w:bookmarkStart w:id="1002" w:name="_Toc395382561"/>
      <w:bookmarkStart w:id="1003" w:name="_Toc12975949"/>
      <w:bookmarkStart w:id="1004" w:name="_Toc533432784"/>
      <w:bookmarkStart w:id="1005" w:name="_Toc389065323"/>
      <w:bookmarkStart w:id="1006" w:name="_Toc373227758"/>
      <w:bookmarkStart w:id="1007" w:name="_Toc373478405"/>
      <w:r>
        <w:rPr>
          <w:rFonts w:hint="eastAsia" w:ascii="宋体" w:hAnsi="宋体" w:cs="宋体"/>
          <w:color w:val="auto"/>
          <w:sz w:val="22"/>
          <w:szCs w:val="22"/>
        </w:rPr>
        <w:t>14. 竣工结算</w:t>
      </w:r>
      <w:bookmarkEnd w:id="1001"/>
      <w:bookmarkEnd w:id="1002"/>
      <w:bookmarkEnd w:id="1003"/>
      <w:bookmarkEnd w:id="1004"/>
      <w:bookmarkEnd w:id="1005"/>
      <w:bookmarkEnd w:id="1006"/>
      <w:bookmarkEnd w:id="1007"/>
    </w:p>
    <w:p w14:paraId="47DA83C6">
      <w:pPr>
        <w:pStyle w:val="39"/>
        <w:spacing w:line="360" w:lineRule="exact"/>
        <w:ind w:firstLine="442" w:firstLineChars="200"/>
        <w:rPr>
          <w:rFonts w:hint="eastAsia" w:ascii="宋体" w:hAnsi="宋体" w:cs="宋体"/>
          <w:color w:val="auto"/>
          <w:sz w:val="22"/>
          <w:szCs w:val="22"/>
        </w:rPr>
      </w:pPr>
      <w:bookmarkStart w:id="1008" w:name="_Toc395382562"/>
      <w:bookmarkStart w:id="1009" w:name="_Toc533432785"/>
      <w:bookmarkStart w:id="1010" w:name="_Toc373478406"/>
      <w:bookmarkStart w:id="1011" w:name="_Toc389065324"/>
      <w:bookmarkStart w:id="1012" w:name="_Toc12975950"/>
      <w:bookmarkStart w:id="1013" w:name="_Toc373227759"/>
      <w:r>
        <w:rPr>
          <w:rFonts w:hint="eastAsia" w:ascii="宋体" w:hAnsi="宋体" w:cs="宋体"/>
          <w:color w:val="auto"/>
          <w:sz w:val="22"/>
          <w:szCs w:val="22"/>
        </w:rPr>
        <w:t>14.1 竣工付款申请</w:t>
      </w:r>
      <w:bookmarkEnd w:id="1008"/>
      <w:bookmarkEnd w:id="1009"/>
      <w:bookmarkEnd w:id="1010"/>
      <w:bookmarkEnd w:id="1011"/>
      <w:bookmarkEnd w:id="1012"/>
      <w:bookmarkEnd w:id="1013"/>
    </w:p>
    <w:p w14:paraId="7AFE312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承包人提交竣工付款申请单的期限：</w:t>
      </w:r>
      <w:r>
        <w:rPr>
          <w:rFonts w:hint="eastAsia" w:ascii="宋体" w:hAnsi="宋体" w:cs="宋体"/>
          <w:color w:val="auto"/>
          <w:sz w:val="22"/>
          <w:u w:val="single"/>
        </w:rPr>
        <w:t>按通用合同条款执行</w:t>
      </w:r>
      <w:r>
        <w:rPr>
          <w:rFonts w:hint="eastAsia" w:ascii="宋体" w:hAnsi="宋体" w:cs="宋体"/>
          <w:color w:val="auto"/>
          <w:sz w:val="22"/>
        </w:rPr>
        <w:t>。</w:t>
      </w:r>
    </w:p>
    <w:p w14:paraId="3B015581">
      <w:pPr>
        <w:pStyle w:val="40"/>
        <w:spacing w:line="360" w:lineRule="exact"/>
        <w:ind w:firstLine="440" w:firstLineChars="200"/>
        <w:jc w:val="left"/>
        <w:rPr>
          <w:rFonts w:hint="eastAsia" w:ascii="宋体" w:hAnsi="宋体" w:cs="宋体"/>
          <w:b/>
          <w:color w:val="auto"/>
          <w:sz w:val="22"/>
          <w:szCs w:val="22"/>
        </w:rPr>
      </w:pPr>
      <w:r>
        <w:rPr>
          <w:rFonts w:hint="eastAsia" w:ascii="宋体" w:hAnsi="宋体" w:cs="宋体"/>
          <w:color w:val="auto"/>
          <w:sz w:val="22"/>
        </w:rPr>
        <w:t>竣工付款申请单应包括的内容：</w:t>
      </w:r>
      <w:r>
        <w:rPr>
          <w:rFonts w:hint="eastAsia" w:ascii="宋体" w:hAnsi="宋体" w:cs="宋体"/>
          <w:color w:val="auto"/>
          <w:sz w:val="22"/>
          <w:u w:val="single"/>
        </w:rPr>
        <w:t xml:space="preserve">（1）竣工结算合同价格；（2）发包人已支付承包人的款项；（3）应扣留的质量保证金；（4）发包人应支付承包人的合同价款 </w:t>
      </w:r>
      <w:r>
        <w:rPr>
          <w:rFonts w:hint="eastAsia" w:ascii="宋体" w:hAnsi="宋体" w:cs="宋体"/>
          <w:color w:val="auto"/>
          <w:sz w:val="22"/>
        </w:rPr>
        <w:t>。</w:t>
      </w:r>
    </w:p>
    <w:p w14:paraId="4BB2C8CF">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增加以下内容：</w:t>
      </w:r>
    </w:p>
    <w:p w14:paraId="52878A8E">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竣工结算申请单资料清单应包括的内容：</w:t>
      </w:r>
      <w:r>
        <w:rPr>
          <w:rFonts w:hint="eastAsia" w:ascii="宋体" w:hAnsi="宋体" w:cs="宋体"/>
          <w:color w:val="auto"/>
          <w:sz w:val="22"/>
          <w:szCs w:val="22"/>
          <w:u w:val="single"/>
        </w:rPr>
        <w:t>（1）结算申请函（2）完整施工图；（3）竣工图</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含电子版）；（4）结算书</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含软件版）；（5）设计变更情况及批件；（6）工程洽商记录；（7）现场签证单；（8）磋商文件；（9）施工合同；（10）开工报告；（11）原材料试验报告；（12）竣工验收记录及质量评定结果；（13）成交通知书；（14）隐蔽工程记录；</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15</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计量资料；（16）依据当地相关</w:t>
      </w:r>
      <w:r>
        <w:rPr>
          <w:rFonts w:hint="eastAsia" w:ascii="宋体" w:hAnsi="宋体" w:cs="宋体"/>
          <w:color w:val="auto"/>
          <w:sz w:val="22"/>
          <w:szCs w:val="22"/>
          <w:u w:val="single"/>
          <w:lang w:val="en-US" w:eastAsia="zh-CN"/>
        </w:rPr>
        <w:t>部门</w:t>
      </w:r>
      <w:r>
        <w:rPr>
          <w:rFonts w:hint="eastAsia" w:ascii="宋体" w:hAnsi="宋体" w:cs="宋体"/>
          <w:color w:val="auto"/>
          <w:sz w:val="22"/>
          <w:szCs w:val="22"/>
          <w:u w:val="single"/>
        </w:rPr>
        <w:t>要求提供的其他材料</w:t>
      </w:r>
      <w:r>
        <w:rPr>
          <w:rFonts w:hint="eastAsia" w:ascii="宋体" w:hAnsi="宋体" w:cs="宋体"/>
          <w:color w:val="auto"/>
          <w:sz w:val="22"/>
          <w:szCs w:val="22"/>
          <w:u w:val="none"/>
        </w:rPr>
        <w:t>。</w:t>
      </w:r>
    </w:p>
    <w:p w14:paraId="1DC2555D">
      <w:pPr>
        <w:pStyle w:val="39"/>
        <w:spacing w:line="360" w:lineRule="exact"/>
        <w:ind w:firstLine="442" w:firstLineChars="200"/>
        <w:rPr>
          <w:rFonts w:hint="eastAsia" w:ascii="宋体" w:hAnsi="宋体" w:cs="宋体"/>
          <w:color w:val="auto"/>
          <w:sz w:val="22"/>
          <w:szCs w:val="22"/>
        </w:rPr>
      </w:pPr>
      <w:bookmarkStart w:id="1014" w:name="_Toc533432786"/>
      <w:bookmarkStart w:id="1015" w:name="_Toc373227760"/>
      <w:bookmarkStart w:id="1016" w:name="_Toc389065325"/>
      <w:bookmarkStart w:id="1017" w:name="_Toc373478407"/>
      <w:bookmarkStart w:id="1018" w:name="_Toc12975951"/>
      <w:bookmarkStart w:id="1019" w:name="_Toc395382563"/>
      <w:r>
        <w:rPr>
          <w:rFonts w:hint="eastAsia" w:ascii="宋体" w:hAnsi="宋体" w:cs="宋体"/>
          <w:color w:val="auto"/>
          <w:sz w:val="22"/>
          <w:szCs w:val="22"/>
        </w:rPr>
        <w:t>14.2 竣工结算审核</w:t>
      </w:r>
      <w:bookmarkEnd w:id="1014"/>
      <w:bookmarkEnd w:id="1015"/>
      <w:bookmarkEnd w:id="1016"/>
      <w:bookmarkEnd w:id="1017"/>
      <w:bookmarkEnd w:id="1018"/>
      <w:bookmarkEnd w:id="1019"/>
    </w:p>
    <w:p w14:paraId="7FCDF3A5">
      <w:pPr>
        <w:pStyle w:val="4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rPr>
        <w:t>发包人审批竣工付款申请单的</w:t>
      </w:r>
      <w:r>
        <w:rPr>
          <w:rFonts w:hint="eastAsia" w:ascii="宋体" w:hAnsi="宋体" w:cs="宋体"/>
          <w:color w:val="auto"/>
          <w:sz w:val="22"/>
          <w:highlight w:val="none"/>
        </w:rPr>
        <w:t>期限：</w:t>
      </w:r>
      <w:r>
        <w:rPr>
          <w:rFonts w:hint="eastAsia" w:ascii="宋体" w:hAnsi="宋体" w:cs="宋体"/>
          <w:color w:val="auto"/>
          <w:sz w:val="22"/>
          <w:highlight w:val="none"/>
          <w:u w:val="single"/>
          <w:lang w:val="en-US" w:eastAsia="zh-CN"/>
        </w:rPr>
        <w:t>双方约定</w:t>
      </w:r>
      <w:r>
        <w:rPr>
          <w:rFonts w:hint="eastAsia" w:ascii="宋体" w:hAnsi="宋体" w:cs="宋体"/>
          <w:color w:val="auto"/>
          <w:sz w:val="22"/>
          <w:highlight w:val="none"/>
          <w:u w:val="single"/>
        </w:rPr>
        <w:t>。</w:t>
      </w:r>
    </w:p>
    <w:p w14:paraId="0DDD9050">
      <w:pPr>
        <w:pStyle w:val="40"/>
        <w:spacing w:line="360" w:lineRule="exact"/>
        <w:ind w:firstLine="440" w:firstLineChars="200"/>
        <w:jc w:val="left"/>
        <w:rPr>
          <w:rFonts w:hint="eastAsia" w:ascii="宋体" w:hAnsi="宋体" w:cs="宋体"/>
          <w:color w:val="auto"/>
          <w:sz w:val="22"/>
          <w:highlight w:val="none"/>
        </w:rPr>
      </w:pPr>
      <w:r>
        <w:rPr>
          <w:rFonts w:hint="eastAsia" w:ascii="宋体" w:hAnsi="宋体" w:cs="宋体"/>
          <w:bCs/>
          <w:color w:val="auto"/>
          <w:sz w:val="22"/>
          <w:highlight w:val="none"/>
        </w:rPr>
        <w:t>因承包人提供的结算资料不完整而需要补充或承包人不按时对账耽误时间时，审查时间应相应顺延</w:t>
      </w:r>
      <w:r>
        <w:rPr>
          <w:rFonts w:hint="eastAsia" w:ascii="宋体" w:hAnsi="宋体" w:cs="宋体"/>
          <w:color w:val="auto"/>
          <w:sz w:val="22"/>
          <w:highlight w:val="none"/>
        </w:rPr>
        <w:t>。</w:t>
      </w:r>
    </w:p>
    <w:p w14:paraId="0A26ED63">
      <w:pPr>
        <w:pStyle w:val="40"/>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结算审核约定：</w:t>
      </w:r>
    </w:p>
    <w:p w14:paraId="2760CC27">
      <w:pPr>
        <w:pStyle w:val="60"/>
        <w:spacing w:line="360" w:lineRule="exact"/>
        <w:ind w:firstLine="440" w:firstLineChars="200"/>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1、工程竣工验收报告经发包人认可后14天内，承包人向发包人递交竣工验收合格资料及完整的结算资料和报告，双方按照协议书约定的合同价款及专用条款约定的合同价调整内容，进行工程竣工结算。2、工程结算经</w:t>
      </w:r>
      <w:r>
        <w:rPr>
          <w:rFonts w:hint="eastAsia" w:ascii="宋体" w:hAnsi="宋体" w:cs="宋体"/>
          <w:bCs/>
          <w:color w:val="auto"/>
          <w:sz w:val="22"/>
          <w:szCs w:val="22"/>
          <w:highlight w:val="none"/>
          <w:u w:val="single"/>
          <w:lang w:val="en-US" w:eastAsia="zh-CN"/>
        </w:rPr>
        <w:t>港口区财评中心</w:t>
      </w:r>
      <w:r>
        <w:rPr>
          <w:rFonts w:hint="eastAsia" w:ascii="宋体" w:hAnsi="宋体" w:cs="宋体"/>
          <w:bCs/>
          <w:color w:val="auto"/>
          <w:sz w:val="22"/>
          <w:szCs w:val="22"/>
          <w:highlight w:val="none"/>
        </w:rPr>
        <w:t>核减（增）率在8%以上时，因核减（增）部分产生的审核费用由承包人负担。</w:t>
      </w:r>
      <w:r>
        <w:rPr>
          <w:rFonts w:hint="eastAsia" w:ascii="宋体" w:hAnsi="宋体" w:cs="宋体"/>
          <w:bCs/>
          <w:color w:val="auto"/>
          <w:sz w:val="22"/>
          <w:szCs w:val="22"/>
          <w:highlight w:val="none"/>
          <w:lang w:val="en-US" w:eastAsia="zh-CN"/>
        </w:rPr>
        <w:t>3.承包方逾期超过60天未完整提供竣工结算资料进行工程结算评审的，视为自动放弃剩余工程款结算。</w:t>
      </w:r>
    </w:p>
    <w:p w14:paraId="6A63277C">
      <w:pPr>
        <w:pStyle w:val="60"/>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bCs/>
          <w:color w:val="auto"/>
          <w:sz w:val="22"/>
          <w:szCs w:val="22"/>
          <w:highlight w:val="none"/>
          <w:u w:val="single"/>
        </w:rPr>
        <w:t>政府投资工程的结算</w:t>
      </w:r>
      <w:r>
        <w:rPr>
          <w:rFonts w:hint="eastAsia" w:ascii="宋体" w:hAnsi="宋体" w:cs="宋体"/>
          <w:bCs/>
          <w:color w:val="auto"/>
          <w:sz w:val="22"/>
          <w:szCs w:val="22"/>
          <w:highlight w:val="none"/>
          <w:u w:val="single"/>
          <w:lang w:val="en-US" w:eastAsia="zh-CN"/>
        </w:rPr>
        <w:t>如</w:t>
      </w:r>
      <w:r>
        <w:rPr>
          <w:rFonts w:hint="eastAsia" w:ascii="宋体" w:hAnsi="宋体" w:cs="宋体"/>
          <w:bCs/>
          <w:color w:val="auto"/>
          <w:sz w:val="22"/>
          <w:szCs w:val="22"/>
          <w:highlight w:val="none"/>
          <w:u w:val="single"/>
        </w:rPr>
        <w:t>需</w:t>
      </w:r>
      <w:r>
        <w:rPr>
          <w:rFonts w:hint="eastAsia" w:ascii="宋体" w:hAnsi="宋体" w:cs="宋体"/>
          <w:bCs/>
          <w:color w:val="auto"/>
          <w:sz w:val="22"/>
          <w:szCs w:val="22"/>
          <w:highlight w:val="none"/>
          <w:u w:val="single"/>
          <w:lang w:val="en-US" w:eastAsia="zh-CN"/>
        </w:rPr>
        <w:t>港口区财评中心</w:t>
      </w:r>
      <w:r>
        <w:rPr>
          <w:rFonts w:hint="eastAsia" w:ascii="宋体" w:hAnsi="宋体" w:cs="宋体"/>
          <w:bCs/>
          <w:color w:val="auto"/>
          <w:sz w:val="22"/>
          <w:szCs w:val="22"/>
          <w:highlight w:val="none"/>
          <w:u w:val="single"/>
        </w:rPr>
        <w:t>审定，最终结算金额以</w:t>
      </w:r>
      <w:r>
        <w:rPr>
          <w:rFonts w:hint="eastAsia" w:ascii="宋体" w:hAnsi="宋体" w:cs="宋体"/>
          <w:bCs/>
          <w:color w:val="auto"/>
          <w:sz w:val="22"/>
          <w:szCs w:val="22"/>
          <w:highlight w:val="none"/>
          <w:u w:val="single"/>
          <w:lang w:val="en-US" w:eastAsia="zh-CN"/>
        </w:rPr>
        <w:t>港口区财评中心出具的评审报告</w:t>
      </w:r>
      <w:r>
        <w:rPr>
          <w:rFonts w:hint="eastAsia" w:ascii="宋体" w:hAnsi="宋体" w:cs="宋体"/>
          <w:bCs/>
          <w:color w:val="auto"/>
          <w:sz w:val="22"/>
          <w:szCs w:val="22"/>
          <w:highlight w:val="none"/>
          <w:u w:val="single"/>
        </w:rPr>
        <w:t>为准，不能以</w:t>
      </w:r>
      <w:r>
        <w:rPr>
          <w:rFonts w:hint="eastAsia" w:ascii="宋体" w:hAnsi="宋体" w:cs="宋体"/>
          <w:bCs/>
          <w:color w:val="auto"/>
          <w:sz w:val="22"/>
          <w:szCs w:val="22"/>
          <w:highlight w:val="none"/>
          <w:u w:val="single"/>
          <w:lang w:val="en-US" w:eastAsia="zh-CN"/>
        </w:rPr>
        <w:t>承包人编制的结果或发</w:t>
      </w:r>
      <w:r>
        <w:rPr>
          <w:rFonts w:hint="eastAsia" w:ascii="宋体" w:hAnsi="宋体" w:cs="宋体"/>
          <w:bCs/>
          <w:color w:val="auto"/>
          <w:sz w:val="22"/>
          <w:szCs w:val="22"/>
          <w:highlight w:val="none"/>
          <w:u w:val="single"/>
        </w:rPr>
        <w:t>包人审核的结果作为要求支付的依据。</w:t>
      </w:r>
      <w:r>
        <w:rPr>
          <w:rFonts w:hint="eastAsia" w:ascii="宋体" w:hAnsi="宋体" w:cs="宋体"/>
          <w:bCs/>
          <w:color w:val="auto"/>
          <w:sz w:val="22"/>
          <w:szCs w:val="22"/>
          <w:highlight w:val="none"/>
          <w:u w:val="single"/>
          <w:lang w:val="en-US" w:eastAsia="zh-CN"/>
        </w:rPr>
        <w:t>港口区财评中心</w:t>
      </w:r>
      <w:r>
        <w:rPr>
          <w:rFonts w:hint="eastAsia" w:ascii="宋体" w:hAnsi="宋体" w:cs="宋体"/>
          <w:bCs/>
          <w:color w:val="auto"/>
          <w:sz w:val="22"/>
          <w:szCs w:val="22"/>
          <w:highlight w:val="none"/>
          <w:u w:val="single"/>
        </w:rPr>
        <w:t>处理相关事宜需要一定时间，发包人不承担因</w:t>
      </w:r>
      <w:r>
        <w:rPr>
          <w:rFonts w:hint="eastAsia" w:ascii="宋体" w:hAnsi="宋体" w:cs="宋体"/>
          <w:bCs/>
          <w:color w:val="auto"/>
          <w:sz w:val="22"/>
          <w:szCs w:val="22"/>
          <w:highlight w:val="none"/>
          <w:u w:val="single"/>
          <w:lang w:val="en-US" w:eastAsia="zh-CN"/>
        </w:rPr>
        <w:t>港口区财评中心评审时间</w:t>
      </w:r>
      <w:r>
        <w:rPr>
          <w:rFonts w:hint="eastAsia" w:ascii="宋体" w:hAnsi="宋体" w:cs="宋体"/>
          <w:bCs/>
          <w:color w:val="auto"/>
          <w:sz w:val="22"/>
          <w:szCs w:val="22"/>
          <w:highlight w:val="none"/>
          <w:u w:val="single"/>
        </w:rPr>
        <w:t>引起的任何责任。</w:t>
      </w:r>
    </w:p>
    <w:p w14:paraId="2535608A">
      <w:pPr>
        <w:pStyle w:val="4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发包人完成竣工付款的期限：</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lang w:val="en-US" w:eastAsia="zh-CN"/>
        </w:rPr>
        <w:t>双方约定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0A3BB68B">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关于竣工付款证书异议部分复核的方式和程序：</w:t>
      </w:r>
      <w:r>
        <w:rPr>
          <w:rFonts w:hint="eastAsia" w:ascii="宋体" w:hAnsi="宋体" w:cs="宋体"/>
          <w:color w:val="auto"/>
          <w:sz w:val="22"/>
          <w:u w:val="single"/>
        </w:rPr>
        <w:t xml:space="preserve">按通用合同条款执行 </w:t>
      </w:r>
      <w:r>
        <w:rPr>
          <w:rFonts w:hint="eastAsia" w:ascii="宋体" w:hAnsi="宋体" w:cs="宋体"/>
          <w:color w:val="auto"/>
          <w:sz w:val="22"/>
        </w:rPr>
        <w:t>。</w:t>
      </w:r>
    </w:p>
    <w:p w14:paraId="5546AECC">
      <w:pPr>
        <w:pStyle w:val="39"/>
        <w:spacing w:line="360" w:lineRule="exact"/>
        <w:ind w:firstLine="442" w:firstLineChars="200"/>
        <w:rPr>
          <w:rFonts w:hint="eastAsia" w:ascii="宋体" w:hAnsi="宋体" w:cs="宋体"/>
          <w:color w:val="auto"/>
          <w:sz w:val="22"/>
          <w:szCs w:val="22"/>
        </w:rPr>
      </w:pPr>
      <w:bookmarkStart w:id="1020" w:name="_Toc12975952"/>
      <w:bookmarkStart w:id="1021" w:name="_Toc395382564"/>
      <w:bookmarkStart w:id="1022" w:name="_Toc373227761"/>
      <w:bookmarkStart w:id="1023" w:name="_Toc389065326"/>
      <w:bookmarkStart w:id="1024" w:name="_Toc533432787"/>
      <w:bookmarkStart w:id="1025" w:name="_Toc373478408"/>
      <w:r>
        <w:rPr>
          <w:rFonts w:hint="eastAsia" w:ascii="宋体" w:hAnsi="宋体" w:cs="宋体"/>
          <w:color w:val="auto"/>
          <w:sz w:val="22"/>
          <w:szCs w:val="22"/>
        </w:rPr>
        <w:t>14.4 最终结清</w:t>
      </w:r>
      <w:bookmarkEnd w:id="1020"/>
      <w:bookmarkEnd w:id="1021"/>
      <w:bookmarkEnd w:id="1022"/>
      <w:bookmarkEnd w:id="1023"/>
      <w:bookmarkEnd w:id="1024"/>
      <w:bookmarkEnd w:id="1025"/>
    </w:p>
    <w:p w14:paraId="38C71ED7">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14.4.1 最终结清申请单</w:t>
      </w:r>
    </w:p>
    <w:p w14:paraId="5D7F604E">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承包人提交最终结清申请单的份数：</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四份</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02F7A2B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承包人提交最终结算申请单的期限：</w:t>
      </w:r>
      <w:r>
        <w:rPr>
          <w:rFonts w:hint="eastAsia" w:ascii="宋体" w:hAnsi="宋体" w:cs="宋体"/>
          <w:color w:val="auto"/>
          <w:sz w:val="22"/>
          <w:u w:val="single"/>
        </w:rPr>
        <w:t>按通用合同条款执行</w:t>
      </w:r>
      <w:r>
        <w:rPr>
          <w:rFonts w:hint="eastAsia" w:ascii="宋体" w:hAnsi="宋体" w:cs="宋体"/>
          <w:color w:val="auto"/>
          <w:sz w:val="22"/>
        </w:rPr>
        <w:t xml:space="preserve">。 </w:t>
      </w:r>
    </w:p>
    <w:p w14:paraId="2516577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14.4.2 最终结清证书和支付</w:t>
      </w:r>
    </w:p>
    <w:p w14:paraId="1D1CB92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（1）发包人完成最终结清申请单的审批并颁发最终结清证书的期限：</w:t>
      </w:r>
      <w:r>
        <w:rPr>
          <w:rFonts w:hint="eastAsia" w:ascii="宋体" w:hAnsi="宋体" w:cs="宋体"/>
          <w:color w:val="auto"/>
          <w:sz w:val="22"/>
          <w:u w:val="single"/>
        </w:rPr>
        <w:t>按通用合同条款执行</w:t>
      </w:r>
      <w:r>
        <w:rPr>
          <w:rFonts w:hint="eastAsia" w:ascii="宋体" w:hAnsi="宋体" w:cs="宋体"/>
          <w:color w:val="auto"/>
          <w:sz w:val="22"/>
        </w:rPr>
        <w:t>。</w:t>
      </w:r>
    </w:p>
    <w:p w14:paraId="7B88F2B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（2）发包人完成支付的期限：</w:t>
      </w:r>
      <w:r>
        <w:rPr>
          <w:rFonts w:hint="eastAsia" w:ascii="宋体" w:hAnsi="宋体" w:cs="宋体"/>
          <w:color w:val="auto"/>
          <w:sz w:val="22"/>
          <w:u w:val="single"/>
        </w:rPr>
        <w:t>质量保证金的返还：工程交付使用至质量缺陷期满后无工程质量问题的，质量缺陷</w:t>
      </w:r>
      <w:r>
        <w:rPr>
          <w:rFonts w:hint="eastAsia" w:ascii="宋体" w:hAnsi="宋体" w:cs="宋体"/>
          <w:color w:val="auto"/>
          <w:sz w:val="22"/>
          <w:highlight w:val="none"/>
          <w:u w:val="single"/>
        </w:rPr>
        <w:t>期满后</w:t>
      </w:r>
      <w:r>
        <w:rPr>
          <w:rFonts w:hint="eastAsia" w:ascii="宋体" w:hAnsi="宋体" w:cs="宋体"/>
          <w:color w:val="auto"/>
          <w:sz w:val="22"/>
          <w:highlight w:val="none"/>
          <w:u w:val="single"/>
          <w:lang w:val="en-US" w:eastAsia="zh-CN"/>
        </w:rPr>
        <w:t>承包方提交书面申请起</w:t>
      </w:r>
      <w:r>
        <w:rPr>
          <w:rFonts w:hint="eastAsia" w:ascii="宋体" w:hAnsi="宋体" w:cs="宋体"/>
          <w:color w:val="auto"/>
          <w:sz w:val="22"/>
          <w:highlight w:val="none"/>
          <w:u w:val="single"/>
        </w:rPr>
        <w:t>15个工作日内</w:t>
      </w:r>
      <w:r>
        <w:rPr>
          <w:rFonts w:hint="eastAsia" w:ascii="宋体" w:hAnsi="宋体" w:cs="宋体"/>
          <w:color w:val="auto"/>
          <w:sz w:val="22"/>
          <w:highlight w:val="none"/>
          <w:u w:val="single"/>
          <w:lang w:val="en-US" w:eastAsia="zh-CN"/>
        </w:rPr>
        <w:t>发包人按程序</w:t>
      </w:r>
      <w:r>
        <w:rPr>
          <w:rFonts w:hint="eastAsia" w:ascii="宋体" w:hAnsi="宋体" w:cs="宋体"/>
          <w:color w:val="auto"/>
          <w:sz w:val="22"/>
          <w:highlight w:val="none"/>
          <w:u w:val="single"/>
        </w:rPr>
        <w:t>退还 （</w:t>
      </w:r>
      <w:r>
        <w:rPr>
          <w:rFonts w:hint="eastAsia" w:ascii="宋体" w:hAnsi="宋体" w:cs="宋体"/>
          <w:color w:val="auto"/>
          <w:sz w:val="22"/>
          <w:u w:val="single"/>
        </w:rPr>
        <w:t xml:space="preserve">无息） </w:t>
      </w:r>
      <w:r>
        <w:rPr>
          <w:rFonts w:hint="eastAsia" w:ascii="宋体" w:hAnsi="宋体" w:cs="宋体"/>
          <w:color w:val="auto"/>
          <w:sz w:val="22"/>
        </w:rPr>
        <w:t>。</w:t>
      </w:r>
    </w:p>
    <w:bookmarkEnd w:id="976"/>
    <w:bookmarkEnd w:id="977"/>
    <w:bookmarkEnd w:id="978"/>
    <w:bookmarkEnd w:id="979"/>
    <w:bookmarkEnd w:id="980"/>
    <w:bookmarkEnd w:id="981"/>
    <w:bookmarkEnd w:id="982"/>
    <w:bookmarkEnd w:id="988"/>
    <w:p w14:paraId="35E8B977">
      <w:pPr>
        <w:pStyle w:val="70"/>
        <w:spacing w:before="0" w:after="0" w:line="360" w:lineRule="exact"/>
        <w:ind w:firstLine="442" w:firstLineChars="200"/>
        <w:rPr>
          <w:rFonts w:hint="eastAsia" w:ascii="宋体" w:hAnsi="宋体" w:cs="宋体"/>
          <w:color w:val="auto"/>
          <w:sz w:val="22"/>
          <w:szCs w:val="22"/>
        </w:rPr>
      </w:pPr>
      <w:bookmarkStart w:id="1026" w:name="_Toc533432788"/>
      <w:bookmarkStart w:id="1027" w:name="_Toc373478409"/>
      <w:bookmarkStart w:id="1028" w:name="_Toc351203647"/>
      <w:bookmarkStart w:id="1029" w:name="_Toc395382565"/>
      <w:bookmarkStart w:id="1030" w:name="_Toc12975953"/>
      <w:bookmarkStart w:id="1031" w:name="_Toc373227762"/>
      <w:bookmarkStart w:id="1032" w:name="_Toc389065327"/>
      <w:bookmarkStart w:id="1033" w:name="_Toc267251483"/>
      <w:bookmarkStart w:id="1034" w:name="_Toc267251484"/>
      <w:bookmarkStart w:id="1035" w:name="_Toc267251482"/>
      <w:bookmarkStart w:id="1036" w:name="_Toc267251485"/>
      <w:bookmarkStart w:id="1037" w:name="_Toc267251489"/>
      <w:bookmarkStart w:id="1038" w:name="_Toc267251490"/>
      <w:bookmarkStart w:id="1039" w:name="_Toc267251486"/>
      <w:bookmarkStart w:id="1040" w:name="_Toc267251488"/>
      <w:bookmarkStart w:id="1041" w:name="_Toc267251496"/>
      <w:bookmarkStart w:id="1042" w:name="_Toc267251494"/>
      <w:bookmarkStart w:id="1043" w:name="_Toc267251503"/>
      <w:bookmarkStart w:id="1044" w:name="_Toc267251498"/>
      <w:bookmarkStart w:id="1045" w:name="_Toc267251492"/>
      <w:bookmarkStart w:id="1046" w:name="_Toc267251502"/>
      <w:bookmarkStart w:id="1047" w:name="_Toc267251497"/>
      <w:bookmarkStart w:id="1048" w:name="_Toc267251493"/>
      <w:bookmarkStart w:id="1049" w:name="_Toc267251499"/>
      <w:bookmarkStart w:id="1050" w:name="_Toc267251501"/>
      <w:bookmarkStart w:id="1051" w:name="_Toc267251491"/>
      <w:bookmarkStart w:id="1052" w:name="_Toc267251495"/>
      <w:bookmarkStart w:id="1053" w:name="_Toc267251506"/>
      <w:bookmarkStart w:id="1054" w:name="_Toc267251504"/>
      <w:bookmarkStart w:id="1055" w:name="_Toc267251507"/>
      <w:bookmarkStart w:id="1056" w:name="_Toc267251508"/>
      <w:bookmarkStart w:id="1057" w:name="_Toc267251513"/>
      <w:bookmarkStart w:id="1058" w:name="_Toc267251514"/>
      <w:bookmarkStart w:id="1059" w:name="_Toc267251511"/>
      <w:bookmarkStart w:id="1060" w:name="_Toc267251509"/>
      <w:bookmarkStart w:id="1061" w:name="_Toc267251510"/>
      <w:bookmarkStart w:id="1062" w:name="_Toc267251515"/>
      <w:r>
        <w:rPr>
          <w:rFonts w:hint="eastAsia" w:ascii="宋体" w:hAnsi="宋体" w:cs="宋体"/>
          <w:color w:val="auto"/>
          <w:sz w:val="22"/>
          <w:szCs w:val="22"/>
        </w:rPr>
        <w:t>15. 缺陷责任期与保修</w:t>
      </w:r>
      <w:bookmarkEnd w:id="1026"/>
      <w:bookmarkEnd w:id="1027"/>
      <w:bookmarkEnd w:id="1028"/>
      <w:bookmarkEnd w:id="1029"/>
      <w:bookmarkEnd w:id="1030"/>
      <w:bookmarkEnd w:id="1031"/>
      <w:bookmarkEnd w:id="1032"/>
    </w:p>
    <w:p w14:paraId="53514AB8">
      <w:pPr>
        <w:pStyle w:val="39"/>
        <w:spacing w:line="360" w:lineRule="exact"/>
        <w:ind w:firstLine="442" w:firstLineChars="200"/>
        <w:rPr>
          <w:rFonts w:hint="eastAsia" w:ascii="宋体" w:hAnsi="宋体" w:cs="宋体"/>
          <w:color w:val="auto"/>
          <w:sz w:val="22"/>
          <w:szCs w:val="22"/>
        </w:rPr>
      </w:pPr>
      <w:bookmarkStart w:id="1063" w:name="_Toc389065328"/>
      <w:bookmarkStart w:id="1064" w:name="_Toc373227763"/>
      <w:bookmarkStart w:id="1065" w:name="_Toc395382566"/>
      <w:bookmarkStart w:id="1066" w:name="_Toc12975954"/>
      <w:bookmarkStart w:id="1067" w:name="_Toc533432789"/>
      <w:bookmarkStart w:id="1068" w:name="_Toc373478410"/>
      <w:r>
        <w:rPr>
          <w:rFonts w:hint="eastAsia" w:ascii="宋体" w:hAnsi="宋体" w:cs="宋体"/>
          <w:color w:val="auto"/>
          <w:sz w:val="22"/>
          <w:szCs w:val="22"/>
        </w:rPr>
        <w:t>15.2 缺陷责任期</w:t>
      </w:r>
      <w:bookmarkEnd w:id="1033"/>
      <w:bookmarkEnd w:id="1063"/>
      <w:bookmarkEnd w:id="1064"/>
      <w:bookmarkEnd w:id="1065"/>
      <w:bookmarkEnd w:id="1066"/>
      <w:bookmarkEnd w:id="1067"/>
      <w:bookmarkEnd w:id="1068"/>
    </w:p>
    <w:p w14:paraId="2189241E">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缺陷责任期的具体期限：</w:t>
      </w:r>
      <w:r>
        <w:rPr>
          <w:rFonts w:hint="eastAsia" w:ascii="宋体" w:hAnsi="宋体" w:cs="宋体"/>
          <w:color w:val="auto"/>
          <w:sz w:val="22"/>
          <w:u w:val="single"/>
        </w:rPr>
        <w:t>24个月</w:t>
      </w:r>
      <w:r>
        <w:rPr>
          <w:rFonts w:hint="eastAsia" w:ascii="宋体" w:hAnsi="宋体" w:cs="宋体"/>
          <w:color w:val="auto"/>
          <w:sz w:val="22"/>
        </w:rPr>
        <w:t>。</w:t>
      </w:r>
    </w:p>
    <w:p w14:paraId="1FE4A633">
      <w:pPr>
        <w:pStyle w:val="39"/>
        <w:spacing w:line="360" w:lineRule="exact"/>
        <w:ind w:firstLine="442" w:firstLineChars="200"/>
        <w:rPr>
          <w:rFonts w:hint="eastAsia" w:ascii="宋体" w:hAnsi="宋体" w:cs="宋体"/>
          <w:color w:val="auto"/>
          <w:sz w:val="22"/>
          <w:szCs w:val="22"/>
        </w:rPr>
      </w:pPr>
      <w:bookmarkStart w:id="1069" w:name="_Toc373227764"/>
      <w:bookmarkStart w:id="1070" w:name="_Toc12975955"/>
      <w:bookmarkStart w:id="1071" w:name="_Toc395382567"/>
      <w:bookmarkStart w:id="1072" w:name="_Toc389065329"/>
      <w:bookmarkStart w:id="1073" w:name="_Toc373478411"/>
      <w:bookmarkStart w:id="1074" w:name="_Toc533432790"/>
      <w:r>
        <w:rPr>
          <w:rFonts w:hint="eastAsia" w:ascii="宋体" w:hAnsi="宋体" w:cs="宋体"/>
          <w:color w:val="auto"/>
          <w:sz w:val="22"/>
          <w:szCs w:val="22"/>
        </w:rPr>
        <w:t>15.3 质量保证金</w:t>
      </w:r>
      <w:bookmarkEnd w:id="1069"/>
      <w:bookmarkEnd w:id="1070"/>
      <w:bookmarkEnd w:id="1071"/>
      <w:bookmarkEnd w:id="1072"/>
      <w:bookmarkEnd w:id="1073"/>
      <w:bookmarkEnd w:id="1074"/>
    </w:p>
    <w:p w14:paraId="63C0EC1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关于是否扣留质量保证金的约定：</w:t>
      </w:r>
      <w:r>
        <w:rPr>
          <w:rFonts w:hint="eastAsia" w:ascii="宋体" w:hAnsi="宋体" w:cs="宋体"/>
          <w:color w:val="auto"/>
          <w:sz w:val="22"/>
          <w:u w:val="single"/>
        </w:rPr>
        <w:t>扣留</w:t>
      </w:r>
      <w:r>
        <w:rPr>
          <w:rFonts w:hint="eastAsia" w:ascii="宋体" w:hAnsi="宋体" w:cs="宋体"/>
          <w:color w:val="auto"/>
          <w:sz w:val="22"/>
        </w:rPr>
        <w:t>。</w:t>
      </w:r>
    </w:p>
    <w:p w14:paraId="31BA84B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15.3.1 承包人提供质量保证金的方式</w:t>
      </w:r>
    </w:p>
    <w:p w14:paraId="2F735E8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质量保证金采用以下第</w:t>
      </w:r>
      <w:r>
        <w:rPr>
          <w:rFonts w:hint="eastAsia" w:ascii="宋体" w:hAnsi="宋体" w:cs="宋体"/>
          <w:color w:val="auto"/>
          <w:sz w:val="22"/>
          <w:u w:val="single"/>
        </w:rPr>
        <w:t>（2）</w:t>
      </w:r>
      <w:r>
        <w:rPr>
          <w:rFonts w:hint="eastAsia" w:ascii="宋体" w:hAnsi="宋体" w:cs="宋体"/>
          <w:color w:val="auto"/>
          <w:sz w:val="22"/>
        </w:rPr>
        <w:t>种方式：</w:t>
      </w:r>
    </w:p>
    <w:p w14:paraId="552DF7C8">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（1）质量保证金保函，保证金额为：</w:t>
      </w:r>
      <w:r>
        <w:rPr>
          <w:rFonts w:hint="eastAsia" w:ascii="宋体" w:hAnsi="宋体" w:cs="宋体"/>
          <w:color w:val="auto"/>
          <w:kern w:val="0"/>
          <w:sz w:val="22"/>
          <w:u w:val="single"/>
        </w:rPr>
        <w:t xml:space="preserve">  </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 xml:space="preserve"> </w:t>
      </w:r>
      <w:r>
        <w:rPr>
          <w:rFonts w:hint="eastAsia" w:ascii="宋体" w:hAnsi="宋体" w:cs="宋体"/>
          <w:color w:val="auto"/>
          <w:kern w:val="0"/>
          <w:sz w:val="22"/>
        </w:rPr>
        <w:t>；</w:t>
      </w:r>
    </w:p>
    <w:p w14:paraId="1E0AB14B">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w:t>
      </w:r>
      <w:r>
        <w:rPr>
          <w:rFonts w:hint="eastAsia" w:ascii="宋体" w:hAnsi="宋体" w:cs="宋体"/>
          <w:bCs/>
          <w:color w:val="auto"/>
          <w:sz w:val="22"/>
        </w:rPr>
        <w:t>发包人按工程价款结算总额的</w:t>
      </w:r>
      <w:r>
        <w:rPr>
          <w:rFonts w:hint="eastAsia" w:ascii="宋体" w:hAnsi="宋体" w:cs="宋体"/>
          <w:bCs/>
          <w:color w:val="auto"/>
          <w:sz w:val="22"/>
          <w:u w:val="single"/>
        </w:rPr>
        <w:t xml:space="preserve">  3 </w:t>
      </w:r>
      <w:r>
        <w:rPr>
          <w:rFonts w:hint="eastAsia" w:ascii="宋体" w:hAnsi="宋体" w:cs="宋体"/>
          <w:bCs/>
          <w:color w:val="auto"/>
          <w:sz w:val="22"/>
        </w:rPr>
        <w:t>%预留工程</w:t>
      </w:r>
      <w:r>
        <w:rPr>
          <w:rFonts w:hint="eastAsia" w:ascii="宋体" w:hAnsi="宋体" w:cs="宋体"/>
          <w:bCs/>
          <w:color w:val="auto"/>
          <w:sz w:val="22"/>
          <w:lang w:eastAsia="zh-CN"/>
        </w:rPr>
        <w:t>质量保证金</w:t>
      </w:r>
      <w:r>
        <w:rPr>
          <w:rFonts w:hint="eastAsia" w:ascii="宋体" w:hAnsi="宋体" w:cs="宋体"/>
          <w:bCs/>
          <w:color w:val="auto"/>
          <w:sz w:val="22"/>
        </w:rPr>
        <w:t>，待缺陷责任期满后返还</w:t>
      </w:r>
      <w:r>
        <w:rPr>
          <w:rFonts w:hint="eastAsia" w:ascii="宋体" w:hAnsi="宋体" w:cs="宋体"/>
          <w:color w:val="auto"/>
          <w:kern w:val="0"/>
          <w:sz w:val="22"/>
        </w:rPr>
        <w:t>；</w:t>
      </w:r>
    </w:p>
    <w:p w14:paraId="5AB20993">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（3）其他方式：</w:t>
      </w:r>
      <w:r>
        <w:rPr>
          <w:rFonts w:hint="eastAsia" w:ascii="宋体" w:hAnsi="宋体" w:cs="宋体"/>
          <w:bCs/>
          <w:color w:val="auto"/>
          <w:sz w:val="22"/>
          <w:u w:val="single"/>
          <w:lang w:val="en-US" w:eastAsia="zh-CN"/>
        </w:rPr>
        <w:t xml:space="preserve"> </w:t>
      </w:r>
      <w:r>
        <w:rPr>
          <w:rFonts w:hint="eastAsia" w:ascii="宋体" w:hAnsi="宋体" w:cs="宋体"/>
          <w:bCs/>
          <w:color w:val="auto"/>
          <w:sz w:val="22"/>
          <w:u w:val="single"/>
        </w:rPr>
        <w:t xml:space="preserve"> /  </w:t>
      </w:r>
      <w:r>
        <w:rPr>
          <w:rFonts w:hint="eastAsia" w:ascii="宋体" w:hAnsi="宋体" w:cs="宋体"/>
          <w:bCs/>
          <w:color w:val="auto"/>
          <w:sz w:val="22"/>
        </w:rPr>
        <w:t>。</w:t>
      </w:r>
    </w:p>
    <w:p w14:paraId="2C032C5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15.3.2 质量保证金的扣留</w:t>
      </w:r>
    </w:p>
    <w:p w14:paraId="1FAC5F4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质量保证金的扣留采取以下第</w:t>
      </w:r>
      <w:r>
        <w:rPr>
          <w:rFonts w:hint="eastAsia" w:ascii="宋体" w:hAnsi="宋体" w:cs="宋体"/>
          <w:color w:val="auto"/>
          <w:sz w:val="22"/>
          <w:u w:val="single"/>
        </w:rPr>
        <w:t>（2）</w:t>
      </w:r>
      <w:r>
        <w:rPr>
          <w:rFonts w:hint="eastAsia" w:ascii="宋体" w:hAnsi="宋体" w:cs="宋体"/>
          <w:color w:val="auto"/>
          <w:sz w:val="22"/>
        </w:rPr>
        <w:t>种方式：</w:t>
      </w:r>
    </w:p>
    <w:p w14:paraId="45BFF293">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（1）在支付工程进度款时逐次扣留，在此情形下，质量保证金的计算基数不包括预付款的支付、扣回以及价格调整的金额；</w:t>
      </w:r>
    </w:p>
    <w:p w14:paraId="44DB9322">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（2）工程竣工结算时一次性扣留质量保证金；</w:t>
      </w:r>
    </w:p>
    <w:p w14:paraId="41C4E952">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（3）其他扣留方式</w:t>
      </w:r>
      <w:r>
        <w:rPr>
          <w:rFonts w:hint="eastAsia" w:ascii="宋体" w:hAnsi="宋体" w:cs="宋体"/>
          <w:color w:val="auto"/>
          <w:kern w:val="0"/>
          <w:sz w:val="22"/>
          <w:lang w:eastAsia="zh-CN"/>
        </w:rPr>
        <w:t>：</w:t>
      </w:r>
      <w:r>
        <w:rPr>
          <w:rFonts w:hint="eastAsia" w:ascii="宋体" w:hAnsi="宋体" w:cs="宋体"/>
          <w:color w:val="auto"/>
          <w:kern w:val="0"/>
          <w:sz w:val="22"/>
          <w:u w:val="single"/>
        </w:rPr>
        <w:t xml:space="preserve">  /</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3026505F">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rPr>
        <w:t>关于质量保证金的补充约定：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 </w:t>
      </w:r>
      <w:r>
        <w:rPr>
          <w:rFonts w:hint="eastAsia" w:ascii="宋体" w:hAnsi="宋体" w:cs="宋体"/>
          <w:color w:val="auto"/>
          <w:kern w:val="0"/>
          <w:sz w:val="22"/>
        </w:rPr>
        <w:t>。</w:t>
      </w:r>
    </w:p>
    <w:bookmarkEnd w:id="1034"/>
    <w:bookmarkEnd w:id="1035"/>
    <w:p w14:paraId="2E9E0BE9">
      <w:pPr>
        <w:pStyle w:val="39"/>
        <w:spacing w:line="360" w:lineRule="exact"/>
        <w:ind w:firstLine="442" w:firstLineChars="200"/>
        <w:rPr>
          <w:rFonts w:hint="eastAsia" w:ascii="宋体" w:hAnsi="宋体" w:cs="宋体"/>
          <w:color w:val="auto"/>
          <w:sz w:val="22"/>
          <w:szCs w:val="22"/>
        </w:rPr>
      </w:pPr>
      <w:bookmarkStart w:id="1075" w:name="_Toc373478412"/>
      <w:bookmarkStart w:id="1076" w:name="_Toc389065330"/>
      <w:bookmarkStart w:id="1077" w:name="_Toc12975956"/>
      <w:bookmarkStart w:id="1078" w:name="_Toc395382568"/>
      <w:bookmarkStart w:id="1079" w:name="_Toc373227765"/>
      <w:bookmarkStart w:id="1080" w:name="_Toc533432791"/>
      <w:r>
        <w:rPr>
          <w:rFonts w:hint="eastAsia" w:ascii="宋体" w:hAnsi="宋体" w:cs="宋体"/>
          <w:color w:val="auto"/>
          <w:sz w:val="22"/>
          <w:szCs w:val="22"/>
        </w:rPr>
        <w:t>15.4 保修</w:t>
      </w:r>
      <w:bookmarkEnd w:id="1075"/>
      <w:bookmarkEnd w:id="1076"/>
      <w:bookmarkEnd w:id="1077"/>
      <w:bookmarkEnd w:id="1078"/>
      <w:bookmarkEnd w:id="1079"/>
      <w:bookmarkEnd w:id="1080"/>
    </w:p>
    <w:bookmarkEnd w:id="1036"/>
    <w:p w14:paraId="78A4CD8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15.4.1 保修责任</w:t>
      </w:r>
    </w:p>
    <w:p w14:paraId="3875C60C">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工程保修期为：</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见工程质量保修书</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2EE25425">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rPr>
        <w:t>工程质量保修书具体内容见合同附件</w:t>
      </w:r>
      <w:r>
        <w:rPr>
          <w:rFonts w:hint="eastAsia" w:ascii="宋体" w:hAnsi="宋体" w:cs="宋体"/>
          <w:color w:val="auto"/>
          <w:sz w:val="22"/>
          <w:lang w:val="en-US" w:eastAsia="zh-CN"/>
        </w:rPr>
        <w:t>2</w:t>
      </w:r>
      <w:r>
        <w:rPr>
          <w:rFonts w:hint="eastAsia" w:ascii="宋体" w:hAnsi="宋体" w:cs="宋体"/>
          <w:color w:val="auto"/>
          <w:sz w:val="22"/>
        </w:rPr>
        <w:t>。</w:t>
      </w:r>
    </w:p>
    <w:p w14:paraId="525233E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15.4.3 修复通知</w:t>
      </w:r>
    </w:p>
    <w:p w14:paraId="424D3BF9">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kern w:val="0"/>
          <w:sz w:val="22"/>
        </w:rPr>
        <w:t>承包人收到保修通知并到达工程现场的合理时间：</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收到通</w:t>
      </w:r>
      <w:r>
        <w:rPr>
          <w:rFonts w:hint="eastAsia" w:ascii="宋体" w:hAnsi="宋体" w:cs="宋体"/>
          <w:color w:val="auto"/>
          <w:kern w:val="0"/>
          <w:sz w:val="22"/>
          <w:highlight w:val="none"/>
          <w:u w:val="single"/>
        </w:rPr>
        <w:t>知后</w:t>
      </w:r>
      <w:r>
        <w:rPr>
          <w:rFonts w:hint="eastAsia" w:ascii="宋体" w:hAnsi="宋体" w:cs="宋体"/>
          <w:color w:val="auto"/>
          <w:kern w:val="0"/>
          <w:sz w:val="22"/>
          <w:highlight w:val="none"/>
          <w:u w:val="single"/>
          <w:lang w:val="en-US" w:eastAsia="zh-CN"/>
        </w:rPr>
        <w:t>48</w:t>
      </w:r>
      <w:r>
        <w:rPr>
          <w:rFonts w:hint="eastAsia" w:ascii="宋体" w:hAnsi="宋体" w:cs="宋体"/>
          <w:color w:val="auto"/>
          <w:kern w:val="0"/>
          <w:sz w:val="22"/>
          <w:highlight w:val="none"/>
          <w:u w:val="single"/>
        </w:rPr>
        <w:t>小时内</w:t>
      </w:r>
      <w:r>
        <w:rPr>
          <w:rFonts w:hint="eastAsia" w:ascii="宋体" w:hAnsi="宋体" w:cs="宋体"/>
          <w:color w:val="auto"/>
          <w:kern w:val="0"/>
          <w:sz w:val="22"/>
          <w:highlight w:val="none"/>
          <w:u w:val="single"/>
          <w:lang w:val="en-US" w:eastAsia="zh-CN"/>
        </w:rPr>
        <w:t xml:space="preserve"> </w:t>
      </w:r>
      <w:r>
        <w:rPr>
          <w:rFonts w:hint="eastAsia" w:ascii="宋体" w:hAnsi="宋体" w:cs="宋体"/>
          <w:color w:val="auto"/>
          <w:kern w:val="0"/>
          <w:sz w:val="22"/>
        </w:rPr>
        <w:t>。</w:t>
      </w:r>
    </w:p>
    <w:bookmarkEnd w:id="1037"/>
    <w:bookmarkEnd w:id="1038"/>
    <w:bookmarkEnd w:id="1039"/>
    <w:bookmarkEnd w:id="1040"/>
    <w:p w14:paraId="7C3F407A">
      <w:pPr>
        <w:pStyle w:val="70"/>
        <w:spacing w:before="0" w:after="0" w:line="360" w:lineRule="exact"/>
        <w:rPr>
          <w:rFonts w:hint="eastAsia" w:ascii="宋体" w:hAnsi="宋体" w:cs="宋体"/>
          <w:color w:val="auto"/>
          <w:sz w:val="22"/>
          <w:szCs w:val="22"/>
        </w:rPr>
      </w:pPr>
      <w:bookmarkStart w:id="1081" w:name="_Toc373478413"/>
      <w:bookmarkStart w:id="1082" w:name="_Toc373227766"/>
      <w:bookmarkStart w:id="1083" w:name="_Toc351203648"/>
      <w:bookmarkStart w:id="1084" w:name="_Toc395382569"/>
      <w:bookmarkStart w:id="1085" w:name="_Toc12975957"/>
      <w:bookmarkStart w:id="1086" w:name="_Toc533432792"/>
      <w:bookmarkStart w:id="1087" w:name="_Toc389065331"/>
      <w:bookmarkStart w:id="1088" w:name="_Toc280868717"/>
      <w:bookmarkStart w:id="1089" w:name="_Toc280868718"/>
    </w:p>
    <w:p w14:paraId="4374E925">
      <w:pPr>
        <w:pStyle w:val="70"/>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16. 违约</w:t>
      </w:r>
      <w:bookmarkEnd w:id="1081"/>
      <w:bookmarkEnd w:id="1082"/>
      <w:bookmarkEnd w:id="1083"/>
      <w:bookmarkEnd w:id="1084"/>
      <w:bookmarkEnd w:id="1085"/>
      <w:bookmarkEnd w:id="1086"/>
      <w:bookmarkEnd w:id="1087"/>
    </w:p>
    <w:p w14:paraId="456CF18D">
      <w:pPr>
        <w:pStyle w:val="39"/>
        <w:spacing w:line="360" w:lineRule="exact"/>
        <w:ind w:firstLine="442" w:firstLineChars="200"/>
        <w:rPr>
          <w:rFonts w:hint="eastAsia" w:ascii="宋体" w:hAnsi="宋体" w:cs="宋体"/>
          <w:color w:val="auto"/>
          <w:sz w:val="22"/>
          <w:szCs w:val="22"/>
        </w:rPr>
      </w:pPr>
      <w:bookmarkStart w:id="1090" w:name="_Toc533432793"/>
      <w:bookmarkStart w:id="1091" w:name="_Toc373478414"/>
      <w:bookmarkStart w:id="1092" w:name="_Toc12975958"/>
      <w:bookmarkStart w:id="1093" w:name="_Toc395382570"/>
      <w:bookmarkStart w:id="1094" w:name="_Toc389065332"/>
      <w:bookmarkStart w:id="1095" w:name="_Toc373227767"/>
      <w:r>
        <w:rPr>
          <w:rFonts w:hint="eastAsia" w:ascii="宋体" w:hAnsi="宋体" w:cs="宋体"/>
          <w:color w:val="auto"/>
          <w:sz w:val="22"/>
          <w:szCs w:val="22"/>
        </w:rPr>
        <w:t>16.1 发包人违约</w:t>
      </w:r>
      <w:bookmarkEnd w:id="1090"/>
      <w:bookmarkEnd w:id="1091"/>
      <w:bookmarkEnd w:id="1092"/>
      <w:bookmarkEnd w:id="1093"/>
      <w:bookmarkEnd w:id="1094"/>
      <w:bookmarkEnd w:id="1095"/>
    </w:p>
    <w:p w14:paraId="6CF5A32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16.1.1发包人违约的情形</w:t>
      </w:r>
    </w:p>
    <w:p w14:paraId="02FC07A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发包人违约的其他情形：</w:t>
      </w:r>
      <w:r>
        <w:rPr>
          <w:rFonts w:hint="eastAsia" w:ascii="宋体" w:hAnsi="宋体" w:cs="宋体"/>
          <w:color w:val="auto"/>
          <w:kern w:val="0"/>
          <w:sz w:val="22"/>
          <w:u w:val="single"/>
        </w:rPr>
        <w:t xml:space="preserve">无 </w:t>
      </w:r>
      <w:r>
        <w:rPr>
          <w:rFonts w:hint="eastAsia" w:ascii="宋体" w:hAnsi="宋体" w:cs="宋体"/>
          <w:color w:val="auto"/>
          <w:kern w:val="0"/>
          <w:sz w:val="22"/>
        </w:rPr>
        <w:t>。</w:t>
      </w:r>
    </w:p>
    <w:p w14:paraId="7D08213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16.1.2 发包人违约的责任</w:t>
      </w:r>
    </w:p>
    <w:p w14:paraId="5F05E84F">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发包人违约责任的承担方式和计算方法：</w:t>
      </w:r>
    </w:p>
    <w:p w14:paraId="0DBDD173">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kern w:val="0"/>
          <w:sz w:val="22"/>
        </w:rPr>
        <w:t>（1）因发包人原因未能在计划开工日期前7天内下达开工通知的违约责任：</w:t>
      </w:r>
      <w:r>
        <w:rPr>
          <w:rFonts w:hint="eastAsia" w:ascii="宋体" w:hAnsi="宋体" w:cs="宋体"/>
          <w:color w:val="auto"/>
          <w:kern w:val="0"/>
          <w:sz w:val="22"/>
          <w:u w:val="single"/>
        </w:rPr>
        <w:t xml:space="preserve"> 工期顺延 </w:t>
      </w:r>
      <w:r>
        <w:rPr>
          <w:rFonts w:hint="eastAsia" w:ascii="宋体" w:hAnsi="宋体" w:cs="宋体"/>
          <w:color w:val="auto"/>
          <w:kern w:val="0"/>
          <w:sz w:val="22"/>
        </w:rPr>
        <w:t>。</w:t>
      </w:r>
    </w:p>
    <w:p w14:paraId="3122CFA4">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（2）因发包人原因未能按合同约定支付合同价款的违约责任：</w:t>
      </w:r>
      <w:r>
        <w:rPr>
          <w:rFonts w:hint="eastAsia" w:ascii="宋体" w:hAnsi="宋体" w:cs="宋体"/>
          <w:color w:val="auto"/>
          <w:kern w:val="0"/>
          <w:sz w:val="22"/>
          <w:u w:val="single"/>
        </w:rPr>
        <w:t>无</w:t>
      </w:r>
      <w:r>
        <w:rPr>
          <w:rFonts w:hint="eastAsia" w:ascii="宋体" w:hAnsi="宋体" w:cs="宋体"/>
          <w:color w:val="auto"/>
          <w:kern w:val="0"/>
          <w:sz w:val="22"/>
        </w:rPr>
        <w:t>。</w:t>
      </w:r>
    </w:p>
    <w:p w14:paraId="2B536B0C">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（3）发包人违反第10.1款〔变更的范围〕第（2）项约定，自行实施被取消的工作或转由他人实施的违约责任：</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无</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38C443F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工期顺延</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14F93830">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kern w:val="0"/>
          <w:sz w:val="22"/>
        </w:rPr>
        <w:t>（5）因发包人违反合同约定造成暂停施工的违约责任：</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工期顺延</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1F0A8FA5">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（6）发包人无正当理由没有在约定期限内发出复工指示，导致承包人无法复工的违约责任：</w:t>
      </w:r>
      <w:r>
        <w:rPr>
          <w:rFonts w:hint="eastAsia" w:ascii="宋体" w:hAnsi="宋体" w:cs="宋体"/>
          <w:color w:val="auto"/>
          <w:kern w:val="0"/>
          <w:sz w:val="22"/>
          <w:u w:val="single"/>
        </w:rPr>
        <w:t xml:space="preserve"> 工期顺延</w:t>
      </w:r>
      <w:r>
        <w:rPr>
          <w:rFonts w:hint="eastAsia" w:ascii="宋体" w:hAnsi="宋体" w:cs="宋体"/>
          <w:color w:val="auto"/>
          <w:kern w:val="0"/>
          <w:sz w:val="22"/>
        </w:rPr>
        <w:t>。</w:t>
      </w:r>
    </w:p>
    <w:p w14:paraId="09636A3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（7）其他：</w:t>
      </w:r>
      <w:r>
        <w:rPr>
          <w:rFonts w:hint="eastAsia" w:ascii="宋体" w:hAnsi="宋体" w:cs="宋体"/>
          <w:color w:val="auto"/>
          <w:kern w:val="0"/>
          <w:sz w:val="22"/>
          <w:u w:val="single"/>
        </w:rPr>
        <w:t xml:space="preserve">无 </w:t>
      </w:r>
      <w:r>
        <w:rPr>
          <w:rFonts w:hint="eastAsia" w:ascii="宋体" w:hAnsi="宋体" w:cs="宋体"/>
          <w:color w:val="auto"/>
          <w:kern w:val="0"/>
          <w:sz w:val="22"/>
        </w:rPr>
        <w:t>。</w:t>
      </w:r>
    </w:p>
    <w:p w14:paraId="3B7BDD5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16.1.3 因发包人违约解除合同</w:t>
      </w:r>
    </w:p>
    <w:p w14:paraId="37665A16">
      <w:pPr>
        <w:pStyle w:val="39"/>
        <w:spacing w:line="360" w:lineRule="exact"/>
        <w:ind w:firstLine="440" w:firstLineChars="200"/>
        <w:rPr>
          <w:rFonts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 w:name="_Toc395382571"/>
      <w:bookmarkStart w:id="1100" w:name="_Toc389065333"/>
      <w:bookmarkStart w:id="1101" w:name="_Toc373227768"/>
      <w:r>
        <w:rPr>
          <w:rFonts w:hint="eastAsia" w:ascii="宋体" w:hAnsi="宋体" w:cs="宋体"/>
          <w:b w:val="0"/>
          <w:bCs w:val="0"/>
          <w:color w:val="auto"/>
          <w:kern w:val="0"/>
          <w:sz w:val="22"/>
          <w:szCs w:val="22"/>
        </w:rPr>
        <w:t>承包人按16.1.1项〔发包人违约的情形〕约定暂停施工满</w:t>
      </w:r>
      <w:r>
        <w:rPr>
          <w:rFonts w:hint="eastAsia" w:ascii="宋体" w:hAnsi="宋体" w:cs="宋体"/>
          <w:b w:val="0"/>
          <w:bCs w:val="0"/>
          <w:color w:val="auto"/>
          <w:kern w:val="0"/>
          <w:sz w:val="22"/>
          <w:szCs w:val="22"/>
          <w:u w:val="single"/>
        </w:rPr>
        <w:t>84</w:t>
      </w:r>
      <w:r>
        <w:rPr>
          <w:rFonts w:hint="eastAsia" w:ascii="宋体" w:hAnsi="宋体" w:cs="宋体"/>
          <w:b w:val="0"/>
          <w:bCs w:val="0"/>
          <w:color w:val="auto"/>
          <w:kern w:val="0"/>
          <w:sz w:val="22"/>
          <w:szCs w:val="22"/>
        </w:rPr>
        <w:t>天后发包人仍不纠正其违约行为并致使合同目的不能实现的，承包人有权解除合同。</w:t>
      </w:r>
      <w:bookmarkEnd w:id="1096"/>
      <w:bookmarkEnd w:id="1097"/>
    </w:p>
    <w:p w14:paraId="2BEE0223">
      <w:pPr>
        <w:pStyle w:val="39"/>
        <w:spacing w:line="360" w:lineRule="exact"/>
        <w:ind w:firstLine="442" w:firstLineChars="200"/>
        <w:rPr>
          <w:rFonts w:hint="eastAsia" w:ascii="宋体" w:hAnsi="宋体" w:cs="宋体"/>
          <w:color w:val="auto"/>
          <w:sz w:val="22"/>
          <w:szCs w:val="22"/>
        </w:rPr>
      </w:pPr>
      <w:bookmarkStart w:id="1102" w:name="_Toc12975960"/>
      <w:bookmarkStart w:id="1103" w:name="_Toc533432795"/>
      <w:r>
        <w:rPr>
          <w:rFonts w:hint="eastAsia" w:ascii="宋体" w:hAnsi="宋体" w:cs="宋体"/>
          <w:color w:val="auto"/>
          <w:sz w:val="22"/>
          <w:szCs w:val="22"/>
        </w:rPr>
        <w:t>16.2 承包人违约</w:t>
      </w:r>
      <w:bookmarkEnd w:id="1098"/>
      <w:bookmarkEnd w:id="1099"/>
      <w:bookmarkEnd w:id="1100"/>
      <w:bookmarkEnd w:id="1101"/>
      <w:bookmarkEnd w:id="1102"/>
      <w:bookmarkEnd w:id="1103"/>
    </w:p>
    <w:p w14:paraId="2EF2AFF1">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16.2.1 承包人违约的情形</w:t>
      </w:r>
    </w:p>
    <w:p w14:paraId="2C09AF7E">
      <w:pPr>
        <w:pStyle w:val="60"/>
        <w:spacing w:line="36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承包人违约的其他情形：</w:t>
      </w:r>
    </w:p>
    <w:p w14:paraId="38605BA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（9）承包人未经发包人、监理人事先同意，擅自更换合同工程项目经理、技术负责人或其他主要管理人员</w:t>
      </w:r>
      <w:r>
        <w:rPr>
          <w:rFonts w:hint="eastAsia" w:ascii="宋体" w:hAnsi="宋体" w:cs="宋体"/>
          <w:color w:val="auto"/>
          <w:sz w:val="22"/>
          <w:szCs w:val="22"/>
          <w:u w:val="none"/>
        </w:rPr>
        <w:t>。</w:t>
      </w:r>
    </w:p>
    <w:p w14:paraId="26EA9A8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（10）将工程预付款、进度款以及发包人支付用于本项目的其他费用挪作他用。</w:t>
      </w:r>
    </w:p>
    <w:p w14:paraId="09466B9C">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（11）承包人违反第8.2款的约定使用了不合格的材料或工程设备又拒绝清除不合格的材料或工程设备，或因使用了不合格的材料或工程设备导致工程质量达不到标准要求又拒绝清除或修复不合格工程。</w:t>
      </w:r>
    </w:p>
    <w:p w14:paraId="661AAF0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（12）承包人违反第8.5款的约定使用了不合格的材料或工程设备或工程质量达不到标准要求等造成安全质量事故。</w:t>
      </w:r>
    </w:p>
    <w:p w14:paraId="78EFDE03">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（13）合同工程竣工后，经两次验收仍不能达到合同约定的质量标准。</w:t>
      </w:r>
    </w:p>
    <w:p w14:paraId="5A43A51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14）承包人拒绝执行发包人或监理人发出的关于本工程的指令的；或以磋商工程量清单中的措施项目出现错误、缺项、漏项情况为由，拒绝执行相应部分内容施工的；或以变更或增加部分与本合同无实质性关联为由，拒绝执行的；或以变更增加部分子目单价低为由拒绝执行的；或超出以变更增加部分子目施工能力范围等为由拒绝执行的；或拒绝执行合同约定的其他情形的。</w:t>
      </w:r>
    </w:p>
    <w:p w14:paraId="2BF34CB3">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（15）如果承包人或承包人的工作人员（不论承包人是否知晓）以贿赂或变相贿赂的方式，谋取不当利益或损害发包人权益的。</w:t>
      </w:r>
    </w:p>
    <w:p w14:paraId="5B7E96C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（16</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 xml:space="preserve"> 未经验收或验收不合格，擅自进行隐蔽工程的覆盖或其他工程下道工序的施工，或验收合格后到隐蔽施工前对通过隐蔽验收的合格部分有任何改动。</w:t>
      </w:r>
    </w:p>
    <w:p w14:paraId="7514DE6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（17）承包人在缺陷责任期内，未能对缺陷责任期内发生的缺陷进行修复而又拒绝按发包人或监理人指示再进行修补或同一部位出现二次以上维修的。</w:t>
      </w:r>
    </w:p>
    <w:p w14:paraId="5551770B">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（18）承包人无法定或合同约定依据，而未能按期开工、暂停施工或以暂停施工相威胁，连续或累计超过7天（含7天）。</w:t>
      </w:r>
    </w:p>
    <w:p w14:paraId="133BE36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（19）承包人逾期竣工超过60天（含60天）或磋商文件承诺的节点或修改的施工组织设计承诺的节点逾期超过30天（含30天）。</w:t>
      </w:r>
    </w:p>
    <w:p w14:paraId="4998C684">
      <w:pPr>
        <w:pStyle w:val="6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szCs w:val="22"/>
          <w:u w:val="single"/>
        </w:rPr>
        <w:t>（20）承包人的雇员或其分包人的雇员、或承包人的供应商扰乱发包人生产、生活秩序的。</w:t>
      </w:r>
    </w:p>
    <w:p w14:paraId="472BE5D7">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16.2.2承包人违约的责任</w:t>
      </w:r>
    </w:p>
    <w:p w14:paraId="192EA61D">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承包人违约责任的承担方式和计算方法：</w:t>
      </w:r>
    </w:p>
    <w:p w14:paraId="4B84944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（1）对承包人违约的处理</w:t>
      </w:r>
    </w:p>
    <w:p w14:paraId="5A31CEE0">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1）承包人发生本合同《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》及《专用条款》第16.2.1项中</w:t>
      </w:r>
      <w:r>
        <w:rPr>
          <w:rFonts w:hint="eastAsia" w:ascii="宋体" w:hAnsi="宋体" w:cs="宋体"/>
          <w:color w:val="auto"/>
          <w:sz w:val="22"/>
          <w:szCs w:val="22"/>
          <w:lang w:eastAsia="zh-CN"/>
        </w:rPr>
        <w:t>（9）（12）</w:t>
      </w:r>
      <w:r>
        <w:rPr>
          <w:rFonts w:hint="eastAsia" w:ascii="宋体" w:hAnsi="宋体" w:cs="宋体"/>
          <w:color w:val="auto"/>
          <w:sz w:val="22"/>
          <w:szCs w:val="22"/>
        </w:rPr>
        <w:t>（18）、</w:t>
      </w:r>
      <w:r>
        <w:rPr>
          <w:rFonts w:hint="eastAsia" w:ascii="宋体" w:hAnsi="宋体" w:cs="宋体"/>
          <w:color w:val="auto"/>
          <w:sz w:val="22"/>
          <w:szCs w:val="22"/>
          <w:lang w:eastAsia="zh-CN"/>
        </w:rPr>
        <w:t>（19）</w:t>
      </w:r>
      <w:r>
        <w:rPr>
          <w:rFonts w:hint="eastAsia" w:ascii="宋体" w:hAnsi="宋体" w:cs="宋体"/>
          <w:color w:val="auto"/>
          <w:sz w:val="22"/>
          <w:szCs w:val="22"/>
        </w:rPr>
        <w:t>（20）目约定的违约情况时，除按照专用条款的约定支付违约金外，发包人可通知承包人立即解除合同，承包人应承担由此给发包人造成的一切损失。</w:t>
      </w:r>
    </w:p>
    <w:p w14:paraId="3E63CEC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承包人发生第16.2.1项中（13）的违约情况时，如合同工程第一次验收不合格，承包人应将不符合质量标准的部分进行整改直至符合标准，费用由承包人承担。如第二次仍验收不合格的，发包人有权立即解除合同，并另行委托他人重建或修复，重建或修复费用由承包人承担，发包人有权直接从应付或拟付承包人的任何款项中扣除。同时，承包人应按专用条款的约定支付违约金及赔偿损失。</w:t>
      </w:r>
    </w:p>
    <w:p w14:paraId="022AD8F8">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承包人发生第16.2.1项中（14）的违约情况时，承包人应按专用条款的约定支付违约金，且因承包人未在指定时间内执行的，发包人可自行将该部分工程或全部工程交由第三方实施，因此额外支出的费用及造成的工期延误责任均由承包人承担。如该工程是对已标价工程量清单内已有工作子目或类似子目变更的，则由此额外产生的费用及款项，发包人有权从应付或拟付给承包人的任何款项中直接扣除；如该工程在已标价工程量清单内没有相同或类似规定的，则该工程实际产生的工程款按第10.4计算的工程款或较按第10.4计算出的款项而多出的款项或费用将从应付或拟付给承包人的任何款项中直接扣除。同时，发包人有权解除本合同。</w:t>
      </w:r>
    </w:p>
    <w:p w14:paraId="469FE1A1">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承包人发生第16.2.1项中（15）的违约情况时，发包人将根据相关法律规定及合同约定追究承包人的法律责任，承包人因此等行为获得的额外费用必须退还发包人，造成的工程损害、发包人的经济损失的，承包人应负一切责任，并予赔偿。情节严重者，发包人并有权解除本合同。</w:t>
      </w:r>
    </w:p>
    <w:p w14:paraId="459729D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5）承包人发生除第16.2.1项中（1）、</w:t>
      </w:r>
      <w:r>
        <w:rPr>
          <w:rFonts w:hint="eastAsia" w:ascii="宋体" w:hAnsi="宋体" w:cs="宋体"/>
          <w:color w:val="auto"/>
          <w:sz w:val="22"/>
          <w:szCs w:val="22"/>
          <w:lang w:eastAsia="zh-CN"/>
        </w:rPr>
        <w:t>（3）（4）（7）（8）（9）（12）（13）（14）（15）</w:t>
      </w:r>
      <w:r>
        <w:rPr>
          <w:rFonts w:hint="eastAsia" w:ascii="宋体" w:hAnsi="宋体" w:cs="宋体"/>
          <w:color w:val="auto"/>
          <w:sz w:val="22"/>
          <w:szCs w:val="22"/>
        </w:rPr>
        <w:t>（18）</w:t>
      </w:r>
      <w:r>
        <w:rPr>
          <w:rFonts w:hint="eastAsia" w:ascii="宋体" w:hAnsi="宋体" w:cs="宋体"/>
          <w:color w:val="auto"/>
          <w:sz w:val="22"/>
          <w:szCs w:val="22"/>
          <w:lang w:eastAsia="zh-CN"/>
        </w:rPr>
        <w:t>（19）</w:t>
      </w:r>
      <w:r>
        <w:rPr>
          <w:rFonts w:hint="eastAsia" w:ascii="宋体" w:hAnsi="宋体" w:cs="宋体"/>
          <w:color w:val="auto"/>
          <w:sz w:val="22"/>
          <w:szCs w:val="22"/>
        </w:rPr>
        <w:t>（20）目约定以外的其他违约情况时，承包人均须按照专用条款的约定支付违约金，发包人即可直接向承包人发出解除合同的通知，并可向承包人发出整改通知，要求承包人在指定的期限内自费改正。如承包人在指定期限内整改但仍然造成工期延误的，承包人还应按本合同约定承担工期延误责任；如承包人未在指定期限内整改的，发包人可向承包人发出调换项目部（包括但不限于所有管理人员）的通知，如果承包人不执行或项目部调换后仍然不能履约，发包人则可向承包人发出解除合同通知。</w:t>
      </w:r>
    </w:p>
    <w:p w14:paraId="4D6EF2A4">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6）承包人按上述约定承担违约责任后，在合同未解除的情况下，发包人仍要求承包人继续履行本合同的，承包人应当继续履行合同。</w:t>
      </w:r>
    </w:p>
    <w:p w14:paraId="692125BB">
      <w:pPr>
        <w:pStyle w:val="60"/>
        <w:spacing w:line="360" w:lineRule="exact"/>
        <w:ind w:firstLine="482" w:firstLineChars="200"/>
        <w:jc w:val="left"/>
        <w:rPr>
          <w:rFonts w:hint="eastAsia" w:ascii="方正小标宋简体" w:hAnsi="方正小标宋简体" w:eastAsia="方正小标宋简体" w:cs="方正小标宋简体"/>
          <w:b/>
          <w:bCs/>
          <w:color w:val="auto"/>
          <w:sz w:val="24"/>
          <w:szCs w:val="24"/>
        </w:rPr>
      </w:pPr>
      <w:r>
        <w:rPr>
          <w:rFonts w:hint="eastAsia" w:ascii="方正小标宋简体" w:hAnsi="方正小标宋简体" w:eastAsia="方正小标宋简体" w:cs="方正小标宋简体"/>
          <w:b/>
          <w:bCs/>
          <w:color w:val="auto"/>
          <w:sz w:val="24"/>
          <w:szCs w:val="24"/>
        </w:rPr>
        <w:t>7）承包人发生</w:t>
      </w:r>
      <w:r>
        <w:rPr>
          <w:rFonts w:hint="eastAsia" w:ascii="方正小标宋简体" w:hAnsi="方正小标宋简体" w:eastAsia="方正小标宋简体" w:cs="方正小标宋简体"/>
          <w:b/>
          <w:bCs/>
          <w:color w:val="auto"/>
          <w:sz w:val="24"/>
          <w:szCs w:val="24"/>
          <w:lang w:eastAsia="zh-CN"/>
        </w:rPr>
        <w:t>通用合同条款</w:t>
      </w:r>
      <w:r>
        <w:rPr>
          <w:rFonts w:hint="eastAsia" w:ascii="方正小标宋简体" w:hAnsi="方正小标宋简体" w:eastAsia="方正小标宋简体" w:cs="方正小标宋简体"/>
          <w:b/>
          <w:bCs/>
          <w:color w:val="auto"/>
          <w:sz w:val="24"/>
          <w:szCs w:val="24"/>
        </w:rPr>
        <w:t>和专用条款第16.2.2约定的违约情况时，无论发包人是否解除合同，发包人均有权向承包人课以专用合同条款中规定的违约金，并由发包人将其违约行为</w:t>
      </w:r>
      <w:r>
        <w:rPr>
          <w:rFonts w:hint="eastAsia" w:ascii="方正小标宋简体" w:hAnsi="方正小标宋简体" w:eastAsia="方正小标宋简体" w:cs="方正小标宋简体"/>
          <w:b/>
          <w:bCs/>
          <w:color w:val="auto"/>
          <w:sz w:val="24"/>
          <w:szCs w:val="24"/>
          <w:lang w:val="en-US" w:eastAsia="zh-CN"/>
        </w:rPr>
        <w:t>告知</w:t>
      </w:r>
      <w:r>
        <w:rPr>
          <w:rFonts w:hint="eastAsia" w:ascii="方正小标宋简体" w:hAnsi="方正小标宋简体" w:eastAsia="方正小标宋简体" w:cs="方正小标宋简体"/>
          <w:b/>
          <w:bCs/>
          <w:color w:val="auto"/>
          <w:sz w:val="24"/>
          <w:szCs w:val="24"/>
        </w:rPr>
        <w:t>防城港市港口区住建主管部门，作为</w:t>
      </w:r>
      <w:r>
        <w:rPr>
          <w:rFonts w:hint="eastAsia" w:ascii="方正小标宋简体" w:hAnsi="方正小标宋简体" w:eastAsia="方正小标宋简体" w:cs="方正小标宋简体"/>
          <w:b/>
          <w:bCs/>
          <w:color w:val="auto"/>
          <w:sz w:val="24"/>
          <w:szCs w:val="24"/>
          <w:lang w:val="en-US" w:eastAsia="zh-CN"/>
        </w:rPr>
        <w:t>承包方</w:t>
      </w:r>
      <w:r>
        <w:rPr>
          <w:rFonts w:hint="eastAsia" w:ascii="方正小标宋简体" w:hAnsi="方正小标宋简体" w:eastAsia="方正小标宋简体" w:cs="方正小标宋简体"/>
          <w:b/>
          <w:bCs/>
          <w:color w:val="auto"/>
          <w:sz w:val="24"/>
          <w:szCs w:val="24"/>
        </w:rPr>
        <w:t>不良记录纳入建筑市场信用信息管理系统。</w:t>
      </w:r>
    </w:p>
    <w:p w14:paraId="1BE348A2">
      <w:pPr>
        <w:pStyle w:val="60"/>
        <w:spacing w:line="360" w:lineRule="exact"/>
        <w:ind w:firstLine="482" w:firstLineChars="200"/>
        <w:jc w:val="left"/>
        <w:rPr>
          <w:rFonts w:hint="eastAsia" w:ascii="方正小标宋简体" w:hAnsi="方正小标宋简体" w:eastAsia="方正小标宋简体" w:cs="方正小标宋简体"/>
          <w:b/>
          <w:bCs/>
          <w:color w:val="auto"/>
          <w:sz w:val="24"/>
          <w:szCs w:val="24"/>
          <w:highlight w:val="none"/>
        </w:rPr>
      </w:pPr>
      <w:r>
        <w:rPr>
          <w:rFonts w:hint="eastAsia" w:ascii="方正小标宋简体" w:hAnsi="方正小标宋简体" w:eastAsia="方正小标宋简体" w:cs="方正小标宋简体"/>
          <w:b/>
          <w:bCs/>
          <w:color w:val="auto"/>
          <w:sz w:val="24"/>
          <w:szCs w:val="24"/>
          <w:highlight w:val="none"/>
        </w:rPr>
        <w:t>8）承包人不得以任何理由迟缓工程建设，如承包方不主动作为，不推进工程进度，造成项目无法按时竣工投入使用，影响学校正常教学秩序，发包人有权将</w:t>
      </w:r>
      <w:r>
        <w:rPr>
          <w:rFonts w:hint="eastAsia" w:ascii="方正小标宋简体" w:hAnsi="方正小标宋简体" w:eastAsia="方正小标宋简体" w:cs="方正小标宋简体"/>
          <w:b/>
          <w:bCs/>
          <w:color w:val="auto"/>
          <w:sz w:val="24"/>
          <w:szCs w:val="24"/>
          <w:highlight w:val="none"/>
          <w:lang w:val="en-US" w:eastAsia="zh-CN"/>
        </w:rPr>
        <w:t>承包</w:t>
      </w:r>
      <w:r>
        <w:rPr>
          <w:rFonts w:hint="eastAsia" w:ascii="方正小标宋简体" w:hAnsi="方正小标宋简体" w:eastAsia="方正小标宋简体" w:cs="方正小标宋简体"/>
          <w:b/>
          <w:bCs/>
          <w:color w:val="auto"/>
          <w:sz w:val="24"/>
          <w:szCs w:val="24"/>
          <w:highlight w:val="none"/>
        </w:rPr>
        <w:t>人纳入黑名单，十年内不得参与包括但不限于港口区教育系统的基建项目工程承包活动。</w:t>
      </w:r>
    </w:p>
    <w:p w14:paraId="14A0A996">
      <w:pPr>
        <w:pStyle w:val="60"/>
        <w:spacing w:line="360" w:lineRule="exact"/>
        <w:ind w:firstLine="482" w:firstLineChars="200"/>
        <w:jc w:val="left"/>
        <w:rPr>
          <w:rFonts w:hint="default" w:ascii="宋体" w:hAnsi="宋体" w:eastAsia="宋体" w:cs="宋体"/>
          <w:b/>
          <w:bCs/>
          <w:color w:val="auto"/>
          <w:sz w:val="24"/>
          <w:szCs w:val="24"/>
          <w:highlight w:val="none"/>
          <w:lang w:val="en-US" w:eastAsia="zh-CN"/>
        </w:rPr>
      </w:pPr>
      <w:r>
        <w:rPr>
          <w:rFonts w:hint="eastAsia" w:ascii="方正小标宋简体" w:hAnsi="方正小标宋简体" w:eastAsia="方正小标宋简体" w:cs="方正小标宋简体"/>
          <w:b/>
          <w:bCs/>
          <w:color w:val="auto"/>
          <w:sz w:val="24"/>
          <w:szCs w:val="24"/>
          <w:highlight w:val="none"/>
          <w:lang w:val="en-US" w:eastAsia="zh-CN"/>
        </w:rPr>
        <w:t>9）承包方要按时足额支付人工工资。因承包方原因拖欠人工工资的，一经发现，</w:t>
      </w:r>
      <w:r>
        <w:rPr>
          <w:rFonts w:hint="eastAsia" w:ascii="方正小标宋简体" w:hAnsi="方正小标宋简体" w:eastAsia="方正小标宋简体" w:cs="方正小标宋简体"/>
          <w:b/>
          <w:bCs/>
          <w:color w:val="auto"/>
          <w:sz w:val="24"/>
          <w:szCs w:val="24"/>
          <w:highlight w:val="none"/>
        </w:rPr>
        <w:t>发包人有权将</w:t>
      </w:r>
      <w:r>
        <w:rPr>
          <w:rFonts w:hint="eastAsia" w:ascii="方正小标宋简体" w:hAnsi="方正小标宋简体" w:eastAsia="方正小标宋简体" w:cs="方正小标宋简体"/>
          <w:b/>
          <w:bCs/>
          <w:color w:val="auto"/>
          <w:sz w:val="24"/>
          <w:szCs w:val="24"/>
          <w:highlight w:val="none"/>
          <w:lang w:val="en-US" w:eastAsia="zh-CN"/>
        </w:rPr>
        <w:t>承包</w:t>
      </w:r>
      <w:r>
        <w:rPr>
          <w:rFonts w:hint="eastAsia" w:ascii="方正小标宋简体" w:hAnsi="方正小标宋简体" w:eastAsia="方正小标宋简体" w:cs="方正小标宋简体"/>
          <w:b/>
          <w:bCs/>
          <w:color w:val="auto"/>
          <w:sz w:val="24"/>
          <w:szCs w:val="24"/>
          <w:highlight w:val="none"/>
        </w:rPr>
        <w:t>人纳入黑名单，十年内不得参与包括但不限于港口区教育系统的基建项目工程承包活动</w:t>
      </w:r>
      <w:r>
        <w:rPr>
          <w:rFonts w:hint="eastAsia" w:ascii="方正小标宋简体" w:hAnsi="方正小标宋简体" w:eastAsia="方正小标宋简体" w:cs="方正小标宋简体"/>
          <w:b/>
          <w:bCs/>
          <w:color w:val="auto"/>
          <w:sz w:val="24"/>
          <w:szCs w:val="24"/>
          <w:highlight w:val="none"/>
          <w:lang w:eastAsia="zh-CN"/>
        </w:rPr>
        <w:t>，</w:t>
      </w:r>
      <w:r>
        <w:rPr>
          <w:rFonts w:hint="eastAsia" w:ascii="方正小标宋简体" w:hAnsi="方正小标宋简体" w:eastAsia="方正小标宋简体" w:cs="方正小标宋简体"/>
          <w:b/>
          <w:bCs/>
          <w:color w:val="auto"/>
          <w:sz w:val="24"/>
          <w:szCs w:val="24"/>
          <w:highlight w:val="none"/>
        </w:rPr>
        <w:t>并由发包人将其违约行为</w:t>
      </w:r>
      <w:r>
        <w:rPr>
          <w:rFonts w:hint="eastAsia" w:ascii="方正小标宋简体" w:hAnsi="方正小标宋简体" w:eastAsia="方正小标宋简体" w:cs="方正小标宋简体"/>
          <w:b/>
          <w:bCs/>
          <w:color w:val="auto"/>
          <w:sz w:val="24"/>
          <w:szCs w:val="24"/>
          <w:highlight w:val="none"/>
          <w:lang w:val="en-US" w:eastAsia="zh-CN"/>
        </w:rPr>
        <w:t>告知</w:t>
      </w:r>
      <w:r>
        <w:rPr>
          <w:rFonts w:hint="eastAsia" w:ascii="方正小标宋简体" w:hAnsi="方正小标宋简体" w:eastAsia="方正小标宋简体" w:cs="方正小标宋简体"/>
          <w:b/>
          <w:bCs/>
          <w:color w:val="auto"/>
          <w:sz w:val="24"/>
          <w:szCs w:val="24"/>
          <w:highlight w:val="none"/>
        </w:rPr>
        <w:t>防城港市港口区住房和城乡建设局，作为</w:t>
      </w:r>
      <w:r>
        <w:rPr>
          <w:rFonts w:hint="eastAsia" w:ascii="方正小标宋简体" w:hAnsi="方正小标宋简体" w:eastAsia="方正小标宋简体" w:cs="方正小标宋简体"/>
          <w:b/>
          <w:bCs/>
          <w:color w:val="auto"/>
          <w:sz w:val="24"/>
          <w:szCs w:val="24"/>
          <w:highlight w:val="none"/>
          <w:lang w:val="en-US" w:eastAsia="zh-CN"/>
        </w:rPr>
        <w:t>承包方</w:t>
      </w:r>
      <w:r>
        <w:rPr>
          <w:rFonts w:hint="eastAsia" w:ascii="方正小标宋简体" w:hAnsi="方正小标宋简体" w:eastAsia="方正小标宋简体" w:cs="方正小标宋简体"/>
          <w:b/>
          <w:bCs/>
          <w:color w:val="auto"/>
          <w:sz w:val="24"/>
          <w:szCs w:val="24"/>
          <w:highlight w:val="none"/>
        </w:rPr>
        <w:t>不良记录纳入建筑市场信用信息管理系统。</w:t>
      </w:r>
    </w:p>
    <w:p w14:paraId="62C16EDA">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（2）承包人违约责任的承担方式：</w:t>
      </w:r>
    </w:p>
    <w:p w14:paraId="46FDB32A">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1）承包人未按本合同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第16.2.1项中（2）、</w:t>
      </w:r>
      <w:r>
        <w:rPr>
          <w:rFonts w:hint="eastAsia" w:ascii="宋体" w:hAnsi="宋体" w:cs="宋体"/>
          <w:color w:val="auto"/>
          <w:sz w:val="22"/>
          <w:szCs w:val="22"/>
          <w:lang w:eastAsia="zh-CN"/>
        </w:rPr>
        <w:t>（3）（11）（12）</w:t>
      </w:r>
      <w:r>
        <w:rPr>
          <w:rFonts w:hint="eastAsia" w:ascii="宋体" w:hAnsi="宋体" w:cs="宋体"/>
          <w:color w:val="auto"/>
          <w:sz w:val="22"/>
          <w:szCs w:val="22"/>
        </w:rPr>
        <w:t>（17）条内容完成的，承包人无条件返工处理，修复至工程质量要求并承担相关费用，并在发包人规定的时间内完成返工，否则发包人有权扣罚该分项工程</w:t>
      </w:r>
      <w:r>
        <w:rPr>
          <w:rFonts w:hint="eastAsia" w:ascii="宋体" w:hAnsi="宋体" w:cs="宋体"/>
          <w:color w:val="auto"/>
          <w:sz w:val="22"/>
          <w:szCs w:val="22"/>
          <w:u w:val="single"/>
        </w:rPr>
        <w:t>10%</w:t>
      </w:r>
      <w:r>
        <w:rPr>
          <w:rFonts w:hint="eastAsia" w:ascii="宋体" w:hAnsi="宋体" w:cs="宋体"/>
          <w:color w:val="auto"/>
          <w:sz w:val="22"/>
          <w:szCs w:val="22"/>
        </w:rPr>
        <w:t>的工程款作为处罚。</w:t>
      </w:r>
    </w:p>
    <w:p w14:paraId="7A8520E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2）承包人有本合同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第16.2.1（6）、（13）条情形的，或经监理人检验认为修复质量不合格而承包人拒绝再进行修补的，发包人将扣除承包人全部</w:t>
      </w:r>
      <w:r>
        <w:rPr>
          <w:rFonts w:hint="eastAsia" w:ascii="宋体" w:hAnsi="宋体" w:cs="宋体"/>
          <w:color w:val="auto"/>
          <w:sz w:val="22"/>
          <w:szCs w:val="22"/>
          <w:lang w:eastAsia="zh-CN"/>
        </w:rPr>
        <w:t>质量保证金</w:t>
      </w:r>
      <w:r>
        <w:rPr>
          <w:rFonts w:hint="eastAsia" w:ascii="宋体" w:hAnsi="宋体" w:cs="宋体"/>
          <w:color w:val="auto"/>
          <w:sz w:val="22"/>
          <w:szCs w:val="22"/>
        </w:rPr>
        <w:t>。</w:t>
      </w:r>
    </w:p>
    <w:p w14:paraId="6A933096">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承包人有本专用合同条款3.2、3.3条违约责任的，发包人有权扣除承包人的违约金。违约金金额均在计量支付款内扣除。监理人预先下发含有罚款意向的指令，如承包人不及时采取措施纠正，则在指令下达后十五天下发罚款通知书（不再陈述罚款理由）。</w:t>
      </w:r>
    </w:p>
    <w:p w14:paraId="52F48054">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w:t>
      </w:r>
      <w:r>
        <w:rPr>
          <w:rFonts w:hint="eastAsia" w:ascii="宋体" w:hAnsi="宋体" w:cs="宋体"/>
          <w:color w:val="auto"/>
          <w:sz w:val="22"/>
          <w:szCs w:val="22"/>
          <w:lang w:eastAsia="zh-CN"/>
        </w:rPr>
        <w:t>）</w:t>
      </w:r>
      <w:r>
        <w:rPr>
          <w:rFonts w:hint="eastAsia" w:ascii="宋体" w:hAnsi="宋体" w:cs="宋体"/>
          <w:color w:val="auto"/>
          <w:sz w:val="22"/>
          <w:szCs w:val="22"/>
        </w:rPr>
        <w:t>承包人有本专用合同条款3.2、3.3条违约责任的，发包人有权扣除承包人的违约金。承包人在合同期内，完成合同约定的全部工程，且质量合格，在本工程施工竣工验收后十五天内可申请返还一半罚款，返还金额由监理人审核，发包人批准；其余罚款</w:t>
      </w:r>
      <w:r>
        <w:rPr>
          <w:rFonts w:hint="eastAsia" w:ascii="宋体" w:hAnsi="宋体" w:cs="宋体"/>
          <w:color w:val="auto"/>
          <w:sz w:val="22"/>
          <w:szCs w:val="22"/>
          <w:lang w:eastAsia="zh-CN"/>
        </w:rPr>
        <w:t>（</w:t>
      </w:r>
      <w:r>
        <w:rPr>
          <w:rFonts w:hint="eastAsia" w:ascii="宋体" w:hAnsi="宋体" w:cs="宋体"/>
          <w:color w:val="auto"/>
          <w:sz w:val="22"/>
          <w:szCs w:val="22"/>
        </w:rPr>
        <w:t>违约金</w:t>
      </w:r>
      <w:r>
        <w:rPr>
          <w:rFonts w:hint="eastAsia" w:ascii="宋体" w:hAnsi="宋体" w:cs="宋体"/>
          <w:color w:val="auto"/>
          <w:sz w:val="22"/>
          <w:szCs w:val="22"/>
          <w:lang w:eastAsia="zh-CN"/>
        </w:rPr>
        <w:t>）</w:t>
      </w:r>
      <w:r>
        <w:rPr>
          <w:rFonts w:hint="eastAsia" w:ascii="宋体" w:hAnsi="宋体" w:cs="宋体"/>
          <w:color w:val="auto"/>
          <w:sz w:val="22"/>
          <w:szCs w:val="22"/>
        </w:rPr>
        <w:t>不得返还。罚款</w:t>
      </w:r>
      <w:r>
        <w:rPr>
          <w:rFonts w:hint="eastAsia" w:ascii="宋体" w:hAnsi="宋体" w:cs="宋体"/>
          <w:color w:val="auto"/>
          <w:sz w:val="22"/>
          <w:szCs w:val="22"/>
          <w:lang w:eastAsia="zh-CN"/>
        </w:rPr>
        <w:t>（</w:t>
      </w:r>
      <w:r>
        <w:rPr>
          <w:rFonts w:hint="eastAsia" w:ascii="宋体" w:hAnsi="宋体" w:cs="宋体"/>
          <w:color w:val="auto"/>
          <w:sz w:val="22"/>
          <w:szCs w:val="22"/>
        </w:rPr>
        <w:t>违约金</w:t>
      </w:r>
      <w:r>
        <w:rPr>
          <w:rFonts w:hint="eastAsia" w:ascii="宋体" w:hAnsi="宋体" w:cs="宋体"/>
          <w:color w:val="auto"/>
          <w:sz w:val="22"/>
          <w:szCs w:val="22"/>
          <w:lang w:eastAsia="zh-CN"/>
        </w:rPr>
        <w:t>）</w:t>
      </w:r>
      <w:r>
        <w:rPr>
          <w:rFonts w:hint="eastAsia" w:ascii="宋体" w:hAnsi="宋体" w:cs="宋体"/>
          <w:color w:val="auto"/>
          <w:sz w:val="22"/>
          <w:szCs w:val="22"/>
        </w:rPr>
        <w:t>返还时不包括银行利息。</w:t>
      </w:r>
    </w:p>
    <w:p w14:paraId="4DEEB347">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w:t>
      </w:r>
      <w:r>
        <w:rPr>
          <w:rFonts w:hint="eastAsia" w:ascii="宋体" w:hAnsi="宋体" w:cs="宋体"/>
          <w:b/>
          <w:color w:val="auto"/>
          <w:sz w:val="22"/>
          <w:szCs w:val="22"/>
        </w:rPr>
        <w:t xml:space="preserve">增加承包人违约金计算方法： </w:t>
      </w:r>
    </w:p>
    <w:p w14:paraId="167F86F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1）</w:t>
      </w:r>
      <w:r>
        <w:rPr>
          <w:rFonts w:hint="eastAsia" w:ascii="宋体" w:hAnsi="宋体" w:cs="宋体"/>
          <w:color w:val="auto"/>
          <w:sz w:val="22"/>
          <w:szCs w:val="22"/>
        </w:rPr>
        <w:t>解除合同的撤场规定</w:t>
      </w:r>
    </w:p>
    <w:p w14:paraId="5D8301E6">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每逾期一天撤场，承包人应向发包人支付违约金10万元。</w:t>
      </w:r>
    </w:p>
    <w:p w14:paraId="5FA1D48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2）</w:t>
      </w:r>
      <w:r>
        <w:rPr>
          <w:rFonts w:hint="eastAsia" w:ascii="宋体" w:hAnsi="宋体" w:cs="宋体"/>
          <w:color w:val="auto"/>
          <w:sz w:val="22"/>
          <w:szCs w:val="22"/>
        </w:rPr>
        <w:t>承包人违约金的支付情形及标准</w:t>
      </w:r>
    </w:p>
    <w:p w14:paraId="645A6B14">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承包人应当支付违约金的情形包括但不限于：</w:t>
      </w:r>
    </w:p>
    <w:p w14:paraId="4CC97E72">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承包人违反上述约定，将合同的全部或部分合同工作非法转包或违法分包给其他人，或私自将合同的全部或部分权利或义务转移给其他人，发包人有权解除合同并有权要求承包人支付转包或违法分包合同价款</w:t>
      </w:r>
      <w:r>
        <w:rPr>
          <w:rFonts w:hint="eastAsia" w:ascii="宋体" w:hAnsi="宋体" w:cs="宋体"/>
          <w:color w:val="auto"/>
          <w:sz w:val="22"/>
          <w:szCs w:val="22"/>
          <w:u w:val="single"/>
        </w:rPr>
        <w:t>10%</w:t>
      </w:r>
      <w:r>
        <w:rPr>
          <w:rFonts w:hint="eastAsia" w:ascii="宋体" w:hAnsi="宋体" w:cs="宋体"/>
          <w:color w:val="auto"/>
          <w:sz w:val="22"/>
          <w:szCs w:val="22"/>
        </w:rPr>
        <w:t>的违约金。</w:t>
      </w:r>
    </w:p>
    <w:p w14:paraId="6B00B669">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上述约定使用了不合格的材料或工程设备又拒绝清除不合格的材料或工程设备，或因使用了不合格的材料或工程设备导致工程质量达不到标准要求又拒绝清除或修复不合格工程，每发生一次，承包人应向发包人支付1万元违约金。</w:t>
      </w:r>
    </w:p>
    <w:p w14:paraId="7336539B">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将工程预付款、进度款以及发包人支付用于本项目的其他费用挪作他用，每发现一次，承包人应当向发包人支付10万元违约金。</w:t>
      </w:r>
    </w:p>
    <w:p w14:paraId="1EE16D23">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违反上述约定，未经监理人批准，私自将已进入施工场地的施工设备、临时设施或材料设备撤离施工场地或将材料设备用于</w:t>
      </w:r>
      <w:r>
        <w:rPr>
          <w:rFonts w:hint="eastAsia" w:ascii="宋体" w:hAnsi="宋体" w:cs="宋体"/>
          <w:color w:val="auto"/>
          <w:sz w:val="22"/>
          <w:szCs w:val="22"/>
          <w:lang w:eastAsia="zh-CN"/>
        </w:rPr>
        <w:t>其他</w:t>
      </w:r>
      <w:r>
        <w:rPr>
          <w:rFonts w:hint="eastAsia" w:ascii="宋体" w:hAnsi="宋体" w:cs="宋体"/>
          <w:color w:val="auto"/>
          <w:sz w:val="22"/>
          <w:szCs w:val="22"/>
        </w:rPr>
        <w:t>工程项目的，每发现一次，发包人有权要求承包人向发包人支付1万元违约金。</w:t>
      </w:r>
    </w:p>
    <w:p w14:paraId="3EA9E2E3">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承包人擅自更换项目经理、技术负责人或其他主要管理人员的，应当向发包人支付违约金；未经发包人书面同意，承包人未按磋商文件确定的人员向本工程派驻项目经理（或技术负责人、</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管理人员）的或项目经理（或技术负责人、</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管理人员）每季度实际在场时间少于规定时间累计达22天的，视为承包人擅自更换项目经理（或技术负责人、</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管理人员）。其中，擅自更换项目经理违约金为人民币30万元/人/次，擅自更换技术负责人的违约金为人民币30万元/人/次，擅自更换</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管理人员的违约金为人民币10万元/人/次。发包人同意（或要求）更换项目总工程师、施工负责人的，发包人将向承包人扣罚10万元违约金。</w:t>
      </w:r>
    </w:p>
    <w:p w14:paraId="27722C82">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承包人违反上述约定使用了不合格的材料或工程设备或工程质量达不到标准要求等造成安全质量事故，每发生一次，承包人应向发包人支付10万元违约金。</w:t>
      </w:r>
    </w:p>
    <w:p w14:paraId="47B39CF8">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如合同工程第一次验收不合格，承包人应向发包人支付数额不低于签约合同价0.1%的违约金，该约定的违约金不能弥补实际损失的，承包人应补充赔偿不足部分。如第二次仍验收不合格的，承包人还应再次向发包人支付数额不低于签约合同价2%的违约金。</w:t>
      </w:r>
    </w:p>
    <w:p w14:paraId="6D3C06B4">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承包人拒绝执行发包人或监理人发出的关于本工程的指令，承包人应当向发包人支付违约金1万元/次。</w:t>
      </w:r>
    </w:p>
    <w:p w14:paraId="13295D1A">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若发包人或监理人发现未经验收或验收不合格，承包人擅自进行隐蔽工程覆盖或其他工程下一道工序的施工，或验收合格后到隐蔽施工前对通过隐蔽验收的合格部分有任何改动，每发现一处，承包人应向发包人支付违约金20万元/处，且承包人必须拆除重建，因此支出的费用及造成的工期延误责任均由承包人承担。</w:t>
      </w:r>
    </w:p>
    <w:p w14:paraId="39FD5D27">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承包人在缺陷责任期内，未能对缺陷责任期内发生的缺陷进行修复而又拒绝按发包人或监理人指示再进行修补或同一部位出现二次以上维修的，每发生一次，承包人应向发包人支付1万元违约金。</w:t>
      </w:r>
    </w:p>
    <w:p w14:paraId="573586E0">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承包人未经发包人同意的暂停施工的违约金：每停工一天，应按照签约合同价的千分之一向发包人支付违约金。</w:t>
      </w:r>
    </w:p>
    <w:p w14:paraId="271CD806">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在施工现场内或因承包人原因或因承包人的分包人原因或因供应商原因发生伤亡事故的，承包人按照重伤一人5万元、死亡一人100万元的标准向发包人支付违约金。</w:t>
      </w:r>
    </w:p>
    <w:p w14:paraId="4CC131F6">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发生承包人知识产权侵权事故后，承包人未按约定的时间进行处理，每发生一次，承包人应当向发包人支付违约金100万元，发包人有权自行处理有关纠纷，发包人因此遭受的赔偿、损害、费用及损失，发包人有权从签约合同价中直接扣回。</w:t>
      </w:r>
    </w:p>
    <w:p w14:paraId="31438409">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如出现承包人、承包人的分包人或供应商的人员通过非理性行为（包括但不限于自伤、自残、自杀行为、阻塞交通、阻碍施工管理、围堵、攻击发包人（包括但不限于与发包人有正常业务往来）的人员、车辆、办公场所、静坐、游行等各种有碍发包人正常工作秩序、生活秩序和声誉的行为）向发包人施加压力的，按照下列标准向发包人支付违约金：</w:t>
      </w:r>
    </w:p>
    <w:p w14:paraId="0A555BA2">
      <w:pPr>
        <w:pStyle w:val="60"/>
        <w:numPr>
          <w:ilvl w:val="0"/>
          <w:numId w:val="0"/>
        </w:numPr>
        <w:spacing w:line="360" w:lineRule="exact"/>
        <w:ind w:left="420" w:leftChars="0" w:firstLine="440" w:firstLineChars="200"/>
        <w:rPr>
          <w:rFonts w:hint="eastAsia" w:ascii="宋体" w:hAnsi="宋体" w:cs="宋体"/>
          <w:color w:val="auto"/>
          <w:sz w:val="22"/>
          <w:szCs w:val="22"/>
        </w:rPr>
      </w:pPr>
      <w:r>
        <w:rPr>
          <w:rFonts w:hint="eastAsia" w:ascii="宋体" w:hAnsi="宋体" w:cs="宋体"/>
          <w:color w:val="auto"/>
          <w:sz w:val="22"/>
          <w:szCs w:val="22"/>
          <w:highlight w:val="none"/>
          <w:lang w:val="en-US" w:eastAsia="zh-CN"/>
        </w:rPr>
        <w:t>①出</w:t>
      </w:r>
      <w:r>
        <w:rPr>
          <w:rFonts w:hint="eastAsia" w:ascii="宋体" w:hAnsi="宋体" w:cs="宋体"/>
          <w:color w:val="auto"/>
          <w:sz w:val="22"/>
          <w:szCs w:val="22"/>
          <w:highlight w:val="none"/>
        </w:rPr>
        <w:t>现3</w:t>
      </w:r>
      <w:r>
        <w:rPr>
          <w:rFonts w:hint="eastAsia" w:ascii="宋体" w:hAnsi="宋体" w:cs="宋体"/>
          <w:color w:val="auto"/>
          <w:sz w:val="22"/>
          <w:szCs w:val="22"/>
        </w:rPr>
        <w:t>人以下的人员参与的非理性行为，承包人每次向发包人支付违约金5万元；</w:t>
      </w:r>
    </w:p>
    <w:p w14:paraId="09D31784">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②出现3人以上10人以下的人员参与的非理性行为，承包人每次向发包人支付违约金30万元；</w:t>
      </w:r>
    </w:p>
    <w:p w14:paraId="3D483A64">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③出现10人以上的大规模的非理性行为且未出现严重后果的，承包人每次向发包人支付违约金50万元；</w:t>
      </w:r>
    </w:p>
    <w:p w14:paraId="34243D5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④无论人数的多少但造成严重后果</w:t>
      </w:r>
      <w:r>
        <w:rPr>
          <w:rFonts w:hint="eastAsia" w:ascii="宋体" w:hAnsi="宋体" w:cs="宋体"/>
          <w:color w:val="auto"/>
          <w:sz w:val="22"/>
          <w:szCs w:val="22"/>
          <w:lang w:eastAsia="zh-CN"/>
        </w:rPr>
        <w:t>（</w:t>
      </w:r>
      <w:r>
        <w:rPr>
          <w:rFonts w:hint="eastAsia" w:ascii="宋体" w:hAnsi="宋体" w:cs="宋体"/>
          <w:color w:val="auto"/>
          <w:sz w:val="22"/>
          <w:szCs w:val="22"/>
        </w:rPr>
        <w:t>指有下列情形之一：被新闻媒体负面报道、或被政府通报、或发生人员死亡、重伤，或发生重大财产损失，或其它造成恶劣社会影响</w:t>
      </w:r>
      <w:r>
        <w:rPr>
          <w:rFonts w:hint="eastAsia" w:ascii="宋体" w:hAnsi="宋体" w:cs="宋体"/>
          <w:color w:val="auto"/>
          <w:sz w:val="22"/>
          <w:szCs w:val="22"/>
          <w:lang w:eastAsia="zh-CN"/>
        </w:rPr>
        <w:t>）</w:t>
      </w:r>
      <w:r>
        <w:rPr>
          <w:rFonts w:hint="eastAsia" w:ascii="宋体" w:hAnsi="宋体" w:cs="宋体"/>
          <w:color w:val="auto"/>
          <w:sz w:val="22"/>
          <w:szCs w:val="22"/>
        </w:rPr>
        <w:t>的非理性行为，承包人除每次应向发包人支付违约金100万元外，还应按本合同的其他约定承担相应的责任；</w:t>
      </w:r>
    </w:p>
    <w:p w14:paraId="6619764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⑤与本项目有关的承包人的人员（或与本项目有关的承包人的人员指使其他人）出现打架斗殴的行为时，无论人数的多少，承包人除每次应向发包人支付违约金50万元外，还应按本合同的其他约定或国家法律法规承担相应的责任。</w:t>
      </w:r>
    </w:p>
    <w:p w14:paraId="7855DD5B">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承包人的项目经理及技术负责人签署的文件和资料不得代签，一经发现，监理人和发包人有权拒收并视为承包人违约，承包人每次向发包人支付违约金10万元。</w:t>
      </w:r>
    </w:p>
    <w:p w14:paraId="014556DB">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不履行或不全面履行总承包管理与配合服务的责任和义务，或监理人接到各分包工程承包人对承包人管理配合服务不到位的投诉，经监理人和发包人确认，发包人有权暂扣施工总承包服务费直至监理人和发包人满意。</w:t>
      </w:r>
    </w:p>
    <w:p w14:paraId="3417A976">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承包人未按照法律法规、政府要求、发包人要求、承包人的施工组织设计采取安全文明施工措施的，应负责整改，并且每发现一次，应向发包人支付违约金10000元。</w:t>
      </w:r>
    </w:p>
    <w:p w14:paraId="436CBC6A">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未经发包人许可，各类挖掘机、汽车、搅拌站、砼输送泵、塔吊等主要施工设备未按时进场，或承包人未按监理人或发包人书面要求的时间增加或更换施工设备，则每台机械每延误一天，承包人应向发包人支付违约金10000元。</w:t>
      </w:r>
    </w:p>
    <w:p w14:paraId="7697D39D">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承包人违反合同的违约金：</w:t>
      </w:r>
    </w:p>
    <w:p w14:paraId="14C1504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① 被当地政府部门勒令停工整顿的，以实际停工的天数，每天1万元的标准向发包人支付违约金；</w:t>
      </w:r>
    </w:p>
    <w:p w14:paraId="3ABD1EE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②被新闻媒体曝光给工程或发包人带来负面影响、经济损失的，每被曝光一次10万元；</w:t>
      </w:r>
    </w:p>
    <w:p w14:paraId="3CF02F11">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③承包人及其分包人的行为，根据现场例会确定或现场管理规定检查，应当接受处罚的，相应的处罚额即为违约金。</w:t>
      </w:r>
    </w:p>
    <w:p w14:paraId="79FFBBA0">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若承包人的劳务人员投入不足，每违约一天，承包人应按照每天1000 元/人的标准向发包人支付违约金。</w:t>
      </w:r>
    </w:p>
    <w:p w14:paraId="7682FC49">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提交的价款调整、计量、结算及其价款支付请求高估冒算的，或对分包合同的价款调整、计量和结算及其价款支付请求审核不力的，如承包人的申报或对分包/分供的审核额与经发包人最终核定额超过5%时，超出部分按10%计算违约金。</w:t>
      </w:r>
    </w:p>
    <w:p w14:paraId="2EE10E92">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未按期提交竣工结算报告文件和相应的支持文件结算，每逾期一天，应按照签约合同价的0.1%向发包人支付违约金。</w:t>
      </w:r>
    </w:p>
    <w:p w14:paraId="537936F3">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承包人未按约定的时间进行竣工清场或承包人未按约定的时间将工程或资料移交给发包人，每逾期一天，应按照签约合同价的0.1%向发包人支付违约金。</w:t>
      </w:r>
    </w:p>
    <w:p w14:paraId="50397C0B">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若承包人发生廉政违纪行为时，向发包人支付违约金每次10万元或按相关协议执行。</w:t>
      </w:r>
    </w:p>
    <w:p w14:paraId="29B133EF">
      <w:pPr>
        <w:pStyle w:val="60"/>
        <w:numPr>
          <w:ilvl w:val="0"/>
          <w:numId w:val="12"/>
        </w:numPr>
        <w:spacing w:line="360" w:lineRule="exact"/>
        <w:ind w:left="0" w:firstLine="442" w:firstLineChars="200"/>
        <w:rPr>
          <w:rFonts w:hint="eastAsia" w:ascii="宋体" w:hAnsi="宋体" w:cs="宋体"/>
          <w:b/>
          <w:color w:val="auto"/>
          <w:kern w:val="0"/>
          <w:sz w:val="22"/>
          <w:szCs w:val="22"/>
        </w:rPr>
      </w:pPr>
      <w:r>
        <w:rPr>
          <w:rFonts w:hint="eastAsia" w:ascii="宋体" w:hAnsi="宋体" w:cs="宋体"/>
          <w:b/>
          <w:color w:val="auto"/>
          <w:sz w:val="22"/>
          <w:szCs w:val="22"/>
        </w:rPr>
        <w:t>因承包人原因造成工期延误，逾期竣工违约金的计算方法为：每逾期一天，承包人应向发包人支付违约金2万元。</w:t>
      </w:r>
    </w:p>
    <w:p w14:paraId="178E6254">
      <w:pPr>
        <w:pStyle w:val="60"/>
        <w:spacing w:line="36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（3）尽管本条前面各款有其他规定（供应商在磋商文件中有其他承诺的除外），但</w:t>
      </w:r>
      <w:r>
        <w:rPr>
          <w:rFonts w:hint="eastAsia" w:ascii="宋体" w:hAnsi="宋体" w:cs="宋体"/>
          <w:color w:val="auto"/>
          <w:sz w:val="22"/>
          <w:szCs w:val="22"/>
        </w:rPr>
        <w:t>逾期竣工违约金</w:t>
      </w:r>
      <w:r>
        <w:rPr>
          <w:rFonts w:hint="eastAsia" w:ascii="宋体" w:hAnsi="宋体" w:cs="宋体"/>
          <w:color w:val="auto"/>
          <w:kern w:val="0"/>
          <w:sz w:val="22"/>
          <w:szCs w:val="22"/>
        </w:rPr>
        <w:t>累计总量不应超过合同总价的10%；当违约金累计超过10%后，</w:t>
      </w:r>
      <w:r>
        <w:rPr>
          <w:rFonts w:hint="eastAsia" w:ascii="宋体" w:hAnsi="宋体" w:cs="宋体"/>
          <w:color w:val="auto"/>
          <w:kern w:val="0"/>
          <w:sz w:val="22"/>
          <w:szCs w:val="22"/>
          <w:lang w:val="en-US" w:eastAsia="zh-CN"/>
        </w:rPr>
        <w:t>发包人</w:t>
      </w:r>
      <w:r>
        <w:rPr>
          <w:rFonts w:hint="eastAsia" w:ascii="宋体" w:hAnsi="宋体" w:cs="宋体"/>
          <w:color w:val="auto"/>
          <w:kern w:val="0"/>
          <w:sz w:val="22"/>
          <w:szCs w:val="22"/>
        </w:rPr>
        <w:t>保留进一步索赔或终止合同的权利。如供应商另有承诺的，可叠加处罚。</w:t>
      </w:r>
    </w:p>
    <w:p w14:paraId="2867A518">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16.2.3 因承包人违约解除合同</w:t>
      </w:r>
    </w:p>
    <w:p w14:paraId="2B7D66B8">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w:t>
      </w:r>
      <w:r>
        <w:rPr>
          <w:rFonts w:hint="eastAsia" w:ascii="宋体" w:hAnsi="宋体" w:cs="宋体"/>
          <w:b/>
          <w:color w:val="auto"/>
          <w:sz w:val="22"/>
          <w:szCs w:val="22"/>
          <w:lang w:eastAsia="zh-CN"/>
        </w:rPr>
        <w:t>通用合同条款</w:t>
      </w:r>
      <w:r>
        <w:rPr>
          <w:rFonts w:hint="eastAsia" w:ascii="宋体" w:hAnsi="宋体" w:cs="宋体"/>
          <w:b/>
          <w:color w:val="auto"/>
          <w:sz w:val="22"/>
          <w:szCs w:val="22"/>
        </w:rPr>
        <w:t>内容和如下条款有冲突时，以如下条款为准）：</w:t>
      </w:r>
    </w:p>
    <w:p w14:paraId="68FBF7D4">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（1）关于承包人违约解除合同的特别约定：</w:t>
      </w:r>
      <w:r>
        <w:rPr>
          <w:rFonts w:hint="eastAsia" w:ascii="宋体" w:hAnsi="宋体" w:cs="宋体"/>
          <w:color w:val="auto"/>
          <w:sz w:val="22"/>
          <w:szCs w:val="22"/>
          <w:u w:val="single"/>
        </w:rPr>
        <w:t>承包人有违反以下情况之一的，发包人有权解除合同。</w:t>
      </w:r>
    </w:p>
    <w:p w14:paraId="14B2A2DA">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承包人无正当理由不按开工通知的要求及时进场组织施工和不按签订协议书时商定的进度计划有效地开展施工准备，造成工期延误的；</w:t>
      </w:r>
    </w:p>
    <w:p w14:paraId="5F95B6A9">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承包人违反本合同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第3.5条规定私自将合同或合同的任何部分或任何权利转让给其他人，或私自将工程或工程的一部分分包出去的；</w:t>
      </w:r>
    </w:p>
    <w:p w14:paraId="1EC267E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未经监理人批准，承包人私自将已按磋商文件承诺进入工地的工程设备、施工设备、临时工程或材料撤离工地的；</w:t>
      </w:r>
    </w:p>
    <w:p w14:paraId="797B8515">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w:t>
      </w:r>
      <w:r>
        <w:rPr>
          <w:rFonts w:hint="eastAsia" w:ascii="宋体" w:hAnsi="宋体" w:cs="宋体"/>
          <w:color w:val="auto"/>
          <w:sz w:val="22"/>
          <w:szCs w:val="22"/>
          <w:lang w:eastAsia="zh-CN"/>
        </w:rPr>
        <w:t>）</w:t>
      </w:r>
      <w:r>
        <w:rPr>
          <w:rFonts w:hint="eastAsia" w:ascii="宋体" w:hAnsi="宋体" w:cs="宋体"/>
          <w:color w:val="auto"/>
          <w:sz w:val="22"/>
          <w:szCs w:val="22"/>
        </w:rPr>
        <w:t>由于承包人原因拒绝按合同进度计划及时完成合同约定的工程，而又未采取有效措施赶上进度，造成工期延误的；</w:t>
      </w:r>
    </w:p>
    <w:p w14:paraId="0F68EA70">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w:t>
      </w:r>
      <w:r>
        <w:rPr>
          <w:rFonts w:hint="eastAsia" w:ascii="宋体" w:hAnsi="宋体" w:cs="宋体"/>
          <w:color w:val="auto"/>
          <w:sz w:val="22"/>
          <w:szCs w:val="22"/>
          <w:lang w:eastAsia="zh-CN"/>
        </w:rPr>
        <w:t>）</w:t>
      </w:r>
      <w:r>
        <w:rPr>
          <w:rFonts w:hint="eastAsia" w:ascii="宋体" w:hAnsi="宋体" w:cs="宋体"/>
          <w:color w:val="auto"/>
          <w:sz w:val="22"/>
          <w:szCs w:val="22"/>
        </w:rPr>
        <w:t>承包人否认合同有效或拒绝履行合同约定的承包人义务，或由于法律、财务等原因导致承包人无法继续履行或实质上已停止履行合同的义务的；</w:t>
      </w:r>
    </w:p>
    <w:p w14:paraId="79FBB463">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w:t>
      </w:r>
      <w:r>
        <w:rPr>
          <w:rFonts w:hint="eastAsia" w:ascii="宋体" w:hAnsi="宋体" w:cs="宋体"/>
          <w:color w:val="auto"/>
          <w:sz w:val="22"/>
          <w:szCs w:val="22"/>
          <w:lang w:eastAsia="zh-CN"/>
        </w:rPr>
        <w:t>）</w:t>
      </w:r>
      <w:r>
        <w:rPr>
          <w:rFonts w:hint="eastAsia" w:ascii="宋体" w:hAnsi="宋体" w:cs="宋体"/>
          <w:color w:val="auto"/>
          <w:sz w:val="22"/>
          <w:szCs w:val="22"/>
        </w:rPr>
        <w:t>成交通知书发出之日起三十日内，承包人无法按合同约定及磋商文件的承诺进场经发包人认可的全部人员和机械的；</w:t>
      </w:r>
    </w:p>
    <w:p w14:paraId="10A49FC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7）承包人在施工过程中违反国家有关</w:t>
      </w:r>
      <w:r>
        <w:rPr>
          <w:rFonts w:hint="eastAsia" w:ascii="宋体" w:hAnsi="宋体" w:cs="宋体"/>
          <w:color w:val="auto"/>
          <w:sz w:val="22"/>
          <w:szCs w:val="22"/>
          <w:lang w:eastAsia="zh-CN"/>
        </w:rPr>
        <w:t>法律法规</w:t>
      </w:r>
      <w:r>
        <w:rPr>
          <w:rFonts w:hint="eastAsia" w:ascii="宋体" w:hAnsi="宋体" w:cs="宋体"/>
          <w:color w:val="auto"/>
          <w:sz w:val="22"/>
          <w:szCs w:val="22"/>
        </w:rPr>
        <w:t>的；</w:t>
      </w:r>
    </w:p>
    <w:p w14:paraId="37AE3CA8">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8）承包人明确表示或者以其行为表明不履行合同主要义务的；</w:t>
      </w:r>
    </w:p>
    <w:p w14:paraId="377D425C">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9）监理人发出整改通知后，承包人在指定的合理期限内仍不纠正违约行为并致使合同目的不能实现的；</w:t>
      </w:r>
    </w:p>
    <w:p w14:paraId="3F7421F0">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10）承包人未经发包人、监理人事先同意，擅自更换合同工程项目经理、技术负责人或其他主要管理人员；</w:t>
      </w:r>
    </w:p>
    <w:p w14:paraId="700FEC56">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11）无正当理由，出现三次不执行本合同10.2中所述内容的情形的。</w:t>
      </w:r>
    </w:p>
    <w:p w14:paraId="15647408">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发包人继续使用承包人在施工现场的材料、设备、临时工程、承包人文件和由承包人或以其名义编制的其他文件的费用承担方式：</w:t>
      </w:r>
      <w:r>
        <w:rPr>
          <w:rFonts w:hint="eastAsia" w:ascii="宋体" w:hAnsi="宋体" w:cs="宋体"/>
          <w:color w:val="auto"/>
          <w:sz w:val="22"/>
          <w:szCs w:val="22"/>
          <w:u w:val="single"/>
        </w:rPr>
        <w:t>材料按照合同价格或市场价支付承包人，设备根据交付时的新旧程度折价支付承包人，临时工程按照剩余工程占合同总价的比例支付承包人，承包人文件和由承包人或以其名义编制的其他文件的费用免费提供给发包人使用。</w:t>
      </w:r>
    </w:p>
    <w:p w14:paraId="4234F7B7">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（2）合同解除后的结算与支付</w:t>
      </w:r>
    </w:p>
    <w:p w14:paraId="6E0E4EC5">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1）承包人应在接到合同解除通知后的28天内向监理人和发包人提交全套的已施工/在施工技术文件资料的同时，应提交一份合同解除结算报告文件，包括：</w:t>
      </w:r>
    </w:p>
    <w:p w14:paraId="45AE8560">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① 已完成工程量；</w:t>
      </w:r>
    </w:p>
    <w:p w14:paraId="240841B3">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② 已经验收送抵现场的各类材料、设备清单及其价款；</w:t>
      </w:r>
    </w:p>
    <w:p w14:paraId="2250FC19">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③ 依据合同承包人认为应由发包人承担</w:t>
      </w:r>
      <w:r>
        <w:rPr>
          <w:rFonts w:hint="eastAsia" w:ascii="宋体" w:hAnsi="宋体" w:cs="宋体"/>
          <w:color w:val="auto"/>
          <w:sz w:val="22"/>
          <w:szCs w:val="22"/>
          <w:lang w:eastAsia="zh-CN"/>
        </w:rPr>
        <w:t>的其他费用</w:t>
      </w:r>
      <w:r>
        <w:rPr>
          <w:rFonts w:hint="eastAsia" w:ascii="宋体" w:hAnsi="宋体" w:cs="宋体"/>
          <w:color w:val="auto"/>
          <w:sz w:val="22"/>
          <w:szCs w:val="22"/>
        </w:rPr>
        <w:t>；</w:t>
      </w:r>
    </w:p>
    <w:p w14:paraId="0C4FFBEF">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④ 支持上述①至③项的证明文件资料。</w:t>
      </w:r>
    </w:p>
    <w:p w14:paraId="18844858">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2）发包人在收到上述资料后，参照本合同专用条款第14.2款竣工结算的约定计算已完工程价款。</w:t>
      </w:r>
    </w:p>
    <w:p w14:paraId="4006AA23">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① 合同解除后，由发包人确定承包人实际完成工作的价值，以及承包人已提供的材料、施工设备、工程设备和临时工程等的价值。</w:t>
      </w:r>
    </w:p>
    <w:p w14:paraId="7B548613">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② 合同解除后，发包人应暂停对承包人的一切付款，查清各项付款和已扣款金额，包括承包人应支付的违约金。</w:t>
      </w:r>
    </w:p>
    <w:p w14:paraId="09FB7863">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③ 合同解除后，发包人可按第19.4款的约定向承包人索赔由于解除合同给发包人造成的损失，索赔的金额可在签署结算协议时，在结算额中直接扣除，并保留向承包人继续追索的权利。</w:t>
      </w:r>
    </w:p>
    <w:p w14:paraId="607DD7A9">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④ 合同双方确认上述往来款项后，签订合同解除结算协议，按结算协议结清全部合同款项。</w:t>
      </w:r>
    </w:p>
    <w:p w14:paraId="28040B98">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⑤ 发包人和承包人未能就解除合同达成一致协议而形成争议的，按第20条的约定办理。</w:t>
      </w:r>
    </w:p>
    <w:p w14:paraId="53AFA2A0">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（3）解除合同的撤场规定</w:t>
      </w:r>
    </w:p>
    <w:p w14:paraId="2E096A7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因承包人违约而发包人解除合同的，承包人应在收到解除合同通知后，立即妥善做好已完工程和已购材料设备的保护和移交工作，并在发包人要求的期限内无条件将施工人员及现场的材料设备全部撤离施工现场，承包人撤出施工场地时应遵守第13.6项的约定。每逾期一天撤场，承包人应按专用条款约定的标准向发包人支付违约金，此违约金可在发包人应付或拟付给承包人的任何款项中直接扣除。</w:t>
      </w:r>
    </w:p>
    <w:p w14:paraId="20F7ABBB">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2）如承包人拒不按期撤场或在规定的撤场期限届满后 7 天内仍未完成撤场的，发包人有权自行或委托第三方直接将承包人驱逐出施工现场；届时，发包人可随时变卖承包人在施工现场的施工机械、临时工程和未使用的材料，并直接用变卖的款项冲抵撤场所产生的全部费用，不足部分可在应付或拟付给承包人的任何款项中直接扣除。</w:t>
      </w:r>
    </w:p>
    <w:p w14:paraId="4F361EDE">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（4）合同解除后材料设备及相关协议利益的处理</w:t>
      </w:r>
    </w:p>
    <w:p w14:paraId="6BD881F9">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因承包人违约而发包人解除合同，但如果发包人通知将自行或委托第三方继续完成该工程的，承包人则应当按照发包人的指示妥善保管现场已购材料设备及施工装备、临时设施等直至将该等材料设备全部转交发包人或其他第三方，而不得擅自将该等材料设备运出现场。</w:t>
      </w:r>
    </w:p>
    <w:p w14:paraId="24F6AAA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协议利益的转让：如发包人决定继续使用承包人租用的施工设备、已订货但未到货的材料设备、临时设施、已采购的服务或其他权益的，发包人有权要求承包人将其为实施合同而签订的工程或劳务分包协议、材料和设备的订货协议、施工设备租赁协议或任何服务协议及利益以原有条件转让给发包人或发包人指定的其他承包人，并在解除合同后的 14 天内，依法办理转让手续，承包人应当全力配合。</w:t>
      </w:r>
    </w:p>
    <w:p w14:paraId="4680ED9A">
      <w:pPr>
        <w:pStyle w:val="60"/>
        <w:spacing w:line="360" w:lineRule="exact"/>
        <w:ind w:firstLine="440" w:firstLineChars="200"/>
        <w:jc w:val="left"/>
        <w:rPr>
          <w:rFonts w:hint="eastAsia" w:ascii="宋体" w:hAnsi="宋体" w:cs="宋体"/>
          <w:color w:val="auto"/>
          <w:kern w:val="0"/>
          <w:sz w:val="22"/>
          <w:szCs w:val="22"/>
        </w:rPr>
      </w:pPr>
      <w:r>
        <w:rPr>
          <w:rFonts w:hint="eastAsia" w:ascii="宋体" w:hAnsi="宋体" w:cs="宋体"/>
          <w:color w:val="auto"/>
          <w:sz w:val="22"/>
          <w:szCs w:val="22"/>
        </w:rPr>
        <w:t>3）发包人受让承包人的协议利益并不免除承包人应承担的违约责任，也不影响发包人根据合同约定享有的索赔权利。</w:t>
      </w:r>
    </w:p>
    <w:p w14:paraId="791A4498">
      <w:pPr>
        <w:pStyle w:val="70"/>
        <w:spacing w:before="0" w:after="0" w:line="360" w:lineRule="exact"/>
        <w:ind w:firstLine="442" w:firstLineChars="200"/>
        <w:rPr>
          <w:rFonts w:hint="eastAsia" w:ascii="宋体" w:hAnsi="宋体" w:cs="宋体"/>
          <w:color w:val="auto"/>
          <w:sz w:val="22"/>
          <w:szCs w:val="22"/>
        </w:rPr>
      </w:pPr>
      <w:bookmarkStart w:id="1104" w:name="_Toc533432796"/>
      <w:bookmarkStart w:id="1105" w:name="_Toc373227769"/>
      <w:bookmarkStart w:id="1106" w:name="_Toc373478416"/>
      <w:bookmarkStart w:id="1107" w:name="_Toc395382572"/>
      <w:bookmarkStart w:id="1108" w:name="_Toc12975961"/>
      <w:bookmarkStart w:id="1109" w:name="_Toc351203649"/>
      <w:bookmarkStart w:id="1110" w:name="_Toc389065334"/>
      <w:r>
        <w:rPr>
          <w:rFonts w:hint="eastAsia" w:ascii="宋体" w:hAnsi="宋体" w:cs="宋体"/>
          <w:color w:val="auto"/>
          <w:sz w:val="22"/>
          <w:szCs w:val="22"/>
        </w:rPr>
        <w:t>17. 不可抗力</w:t>
      </w:r>
      <w:bookmarkEnd w:id="1104"/>
      <w:bookmarkEnd w:id="1105"/>
      <w:bookmarkEnd w:id="1106"/>
      <w:bookmarkEnd w:id="1107"/>
      <w:bookmarkEnd w:id="1108"/>
      <w:bookmarkEnd w:id="1109"/>
      <w:bookmarkEnd w:id="1110"/>
      <w:r>
        <w:rPr>
          <w:rFonts w:hint="eastAsia" w:ascii="宋体" w:hAnsi="宋体" w:cs="宋体"/>
          <w:color w:val="auto"/>
          <w:sz w:val="22"/>
          <w:szCs w:val="22"/>
        </w:rPr>
        <w:t xml:space="preserve"> </w:t>
      </w:r>
      <w:bookmarkEnd w:id="1088"/>
    </w:p>
    <w:p w14:paraId="51C6D896">
      <w:pPr>
        <w:pStyle w:val="39"/>
        <w:spacing w:line="360" w:lineRule="exact"/>
        <w:ind w:firstLine="442" w:firstLineChars="200"/>
        <w:rPr>
          <w:rFonts w:hint="eastAsia" w:ascii="宋体" w:hAnsi="宋体" w:cs="宋体"/>
          <w:color w:val="auto"/>
          <w:sz w:val="22"/>
          <w:szCs w:val="22"/>
        </w:rPr>
      </w:pPr>
      <w:bookmarkStart w:id="1111" w:name="_Toc389065335"/>
      <w:bookmarkStart w:id="1112" w:name="_Toc395382573"/>
      <w:bookmarkStart w:id="1113" w:name="_Toc373478417"/>
      <w:bookmarkStart w:id="1114" w:name="_Toc533432797"/>
      <w:bookmarkStart w:id="1115" w:name="_Toc12975962"/>
      <w:bookmarkStart w:id="1116" w:name="_Toc373227770"/>
      <w:r>
        <w:rPr>
          <w:rFonts w:hint="eastAsia" w:ascii="宋体" w:hAnsi="宋体" w:cs="宋体"/>
          <w:color w:val="auto"/>
          <w:sz w:val="22"/>
          <w:szCs w:val="22"/>
        </w:rPr>
        <w:t>17.1 不可抗力的确认</w:t>
      </w:r>
      <w:bookmarkEnd w:id="1111"/>
      <w:bookmarkEnd w:id="1112"/>
      <w:bookmarkEnd w:id="1113"/>
      <w:bookmarkEnd w:id="1114"/>
      <w:bookmarkEnd w:id="1115"/>
      <w:bookmarkEnd w:id="1116"/>
    </w:p>
    <w:p w14:paraId="63195064">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rPr>
        <w:t>除通用合同条款约定的不可抗力事件之外，视为不可抗力的其他情形：</w:t>
      </w:r>
      <w:r>
        <w:rPr>
          <w:rFonts w:hint="eastAsia" w:ascii="宋体" w:hAnsi="宋体" w:cs="宋体"/>
          <w:color w:val="auto"/>
          <w:sz w:val="22"/>
          <w:u w:val="single"/>
        </w:rPr>
        <w:t>地震、海啸、瘟疫、骚乱、戒严、暴动、战争及13级以上台风，但由于承包人及其分包商的雇员的原因引起的骚乱及其他灾难性事件不属于不可抗力</w:t>
      </w:r>
      <w:r>
        <w:rPr>
          <w:rFonts w:hint="eastAsia" w:ascii="宋体" w:hAnsi="宋体" w:cs="宋体"/>
          <w:color w:val="auto"/>
          <w:kern w:val="0"/>
          <w:sz w:val="22"/>
          <w:u w:val="single"/>
        </w:rPr>
        <w:t>。</w:t>
      </w:r>
    </w:p>
    <w:p w14:paraId="1475CDBF">
      <w:pPr>
        <w:pStyle w:val="39"/>
        <w:spacing w:line="360" w:lineRule="exact"/>
        <w:ind w:firstLine="442" w:firstLineChars="200"/>
        <w:rPr>
          <w:rFonts w:hint="eastAsia" w:ascii="宋体" w:hAnsi="宋体" w:cs="宋体"/>
          <w:color w:val="auto"/>
          <w:sz w:val="22"/>
          <w:szCs w:val="22"/>
        </w:rPr>
      </w:pPr>
      <w:bookmarkStart w:id="1117" w:name="_Toc533432798"/>
      <w:bookmarkStart w:id="1118" w:name="_Toc12975963"/>
      <w:r>
        <w:rPr>
          <w:rFonts w:hint="eastAsia" w:ascii="宋体" w:hAnsi="宋体" w:cs="宋体"/>
          <w:color w:val="auto"/>
          <w:sz w:val="22"/>
          <w:szCs w:val="22"/>
        </w:rPr>
        <w:t>17.2不可抗力的通知</w:t>
      </w:r>
      <w:bookmarkEnd w:id="1117"/>
      <w:bookmarkEnd w:id="1118"/>
    </w:p>
    <w:p w14:paraId="1812AEE9">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不可抗力因素出现，承包人应立即采取措施并向发包人方通报受灾情况，在不可抗力因素引起的损害终止后三日内向发包人报告损失情况和清理、修复的费用。若灾害呈间歇形式继续发生，承包人应每隔三天向发包人报告一次灾害情况，直至灾害结束。发包人应对灾情处理提供必要条件。</w:t>
      </w:r>
    </w:p>
    <w:p w14:paraId="0573896D">
      <w:pPr>
        <w:pStyle w:val="40"/>
        <w:spacing w:line="360" w:lineRule="exact"/>
        <w:ind w:firstLine="442" w:firstLineChars="200"/>
        <w:rPr>
          <w:rFonts w:hint="eastAsia" w:ascii="宋体" w:hAnsi="宋体" w:cs="宋体"/>
          <w:b/>
          <w:bCs/>
          <w:color w:val="auto"/>
          <w:sz w:val="22"/>
        </w:rPr>
      </w:pPr>
      <w:r>
        <w:rPr>
          <w:rFonts w:hint="eastAsia" w:ascii="宋体" w:hAnsi="宋体" w:cs="宋体"/>
          <w:b/>
          <w:bCs/>
          <w:color w:val="auto"/>
          <w:sz w:val="22"/>
        </w:rPr>
        <w:t>17.3不可抗力后果的承担</w:t>
      </w:r>
      <w:bookmarkStart w:id="1119" w:name="_Toc373227771"/>
      <w:bookmarkStart w:id="1120" w:name="_Toc395382574"/>
      <w:bookmarkStart w:id="1121" w:name="_Toc389065336"/>
      <w:bookmarkStart w:id="1122" w:name="_Toc373478418"/>
    </w:p>
    <w:p w14:paraId="1762EDD9">
      <w:pPr>
        <w:pStyle w:val="40"/>
        <w:spacing w:line="360" w:lineRule="exact"/>
        <w:ind w:firstLine="442" w:firstLineChars="200"/>
        <w:rPr>
          <w:rFonts w:hint="eastAsia" w:ascii="宋体" w:hAnsi="宋体" w:cs="宋体"/>
          <w:b/>
          <w:bCs/>
          <w:color w:val="auto"/>
          <w:kern w:val="0"/>
          <w:sz w:val="22"/>
        </w:rPr>
      </w:pPr>
      <w:r>
        <w:rPr>
          <w:rFonts w:hint="eastAsia" w:ascii="宋体" w:hAnsi="宋体" w:cs="宋体"/>
          <w:b/>
          <w:bCs/>
          <w:color w:val="auto"/>
          <w:kern w:val="0"/>
          <w:sz w:val="22"/>
        </w:rPr>
        <w:t>因灾害发生的费用由双方分别承担，其中：</w:t>
      </w:r>
    </w:p>
    <w:p w14:paraId="032E054B">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（1）工程本身的损害由发包人承担；</w:t>
      </w:r>
    </w:p>
    <w:p w14:paraId="3D3AC95F">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（2）人员伤亡由其所属单位负责并承担相应费用；</w:t>
      </w:r>
    </w:p>
    <w:p w14:paraId="19AB1A32">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（3）造成施工现场承包人临时设施损坏和修复费用，由承包人承担；</w:t>
      </w:r>
    </w:p>
    <w:p w14:paraId="5C366515">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（4）承包人设备、机械、车辆等现场施工用具及人员停、窝工、机械、设备停置损失，由承包人承担；</w:t>
      </w:r>
    </w:p>
    <w:p w14:paraId="1BAC672E">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（5）清理、修理工作的责任与费用的承担：由承包人承担。</w:t>
      </w:r>
    </w:p>
    <w:p w14:paraId="164B1CC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17.3.2 不可抗力导致的人员伤亡、财产损失、费用增加和（或）工期延误等后果，由合同当事人按以下原则承担：</w:t>
      </w:r>
    </w:p>
    <w:p w14:paraId="396228D7">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（1）永久工程、已运至施工现场的甲供材料和甲供的工程设备的损坏，以及因工程损坏造成的第三人人员伤亡和财产损失由发包人承担。已运至施工现场的承包人采购材料的损坏由承包人承担。</w:t>
      </w:r>
    </w:p>
    <w:p w14:paraId="02CE35BE">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（2）承包人施工设备的损坏由承包人承担。</w:t>
      </w:r>
    </w:p>
    <w:p w14:paraId="410EA993">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（3）发包人和承包人承担各自人员伤亡和财产的损失。</w:t>
      </w:r>
    </w:p>
    <w:p w14:paraId="009DDAF9">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（4）因不可抗力影响承包人履行合同约定的义务，已经引起或将引起工期延误的，应当顺延工期，由此导致承包人停工的费用损失由承包人承担，停工期间必须支付的工人工资由承包人承担。</w:t>
      </w:r>
    </w:p>
    <w:p w14:paraId="128FD97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（5）因不可抗力引起或将引起工期延误，发包人要求赶工的，由此增加的赶工费用由发包人承担。</w:t>
      </w:r>
    </w:p>
    <w:p w14:paraId="65192C1F">
      <w:pPr>
        <w:pStyle w:val="60"/>
        <w:spacing w:line="360" w:lineRule="exact"/>
        <w:ind w:firstLine="440" w:firstLineChars="200"/>
        <w:rPr>
          <w:rFonts w:hint="eastAsia" w:ascii="宋体" w:hAnsi="宋体" w:cs="宋体"/>
          <w:color w:val="auto"/>
          <w:kern w:val="0"/>
          <w:sz w:val="22"/>
        </w:rPr>
      </w:pPr>
      <w:r>
        <w:rPr>
          <w:rFonts w:hint="eastAsia" w:ascii="宋体" w:hAnsi="宋体" w:cs="宋体"/>
          <w:color w:val="auto"/>
          <w:sz w:val="22"/>
          <w:szCs w:val="22"/>
        </w:rPr>
        <w:t>（6）承包人在停工期间按照发包人要求照管、清理和修复工程的费用由发包人承担。</w:t>
      </w:r>
    </w:p>
    <w:p w14:paraId="25105B12">
      <w:pPr>
        <w:pStyle w:val="40"/>
        <w:spacing w:line="360" w:lineRule="exact"/>
        <w:ind w:firstLine="442" w:firstLineChars="200"/>
        <w:rPr>
          <w:rFonts w:hint="eastAsia" w:ascii="宋体" w:hAnsi="宋体" w:cs="宋体"/>
          <w:b/>
          <w:bCs/>
          <w:color w:val="auto"/>
          <w:sz w:val="22"/>
        </w:rPr>
      </w:pPr>
      <w:r>
        <w:rPr>
          <w:rFonts w:hint="eastAsia" w:ascii="宋体" w:hAnsi="宋体" w:cs="宋体"/>
          <w:b/>
          <w:bCs/>
          <w:color w:val="auto"/>
          <w:sz w:val="22"/>
        </w:rPr>
        <w:t>17.4 因不可抗力解除合同</w:t>
      </w:r>
      <w:bookmarkEnd w:id="1119"/>
      <w:bookmarkEnd w:id="1120"/>
      <w:bookmarkEnd w:id="1121"/>
      <w:bookmarkEnd w:id="1122"/>
    </w:p>
    <w:p w14:paraId="34C83990">
      <w:pPr>
        <w:pStyle w:val="70"/>
        <w:spacing w:before="0" w:after="0" w:line="360" w:lineRule="exact"/>
        <w:ind w:firstLine="440" w:firstLineChars="200"/>
        <w:rPr>
          <w:rFonts w:hint="eastAsia" w:ascii="宋体" w:hAnsi="宋体" w:cs="宋体"/>
          <w:b w:val="0"/>
          <w:bCs w:val="0"/>
          <w:color w:val="auto"/>
          <w:sz w:val="22"/>
          <w:szCs w:val="22"/>
        </w:rPr>
      </w:pPr>
      <w:bookmarkStart w:id="1123" w:name="_Toc373478419"/>
      <w:bookmarkStart w:id="1124" w:name="_Toc12975964"/>
      <w:bookmarkStart w:id="1125" w:name="_Toc389065337"/>
      <w:bookmarkStart w:id="1126" w:name="_Toc533432799"/>
      <w:bookmarkStart w:id="1127" w:name="_Toc395382575"/>
      <w:bookmarkStart w:id="1128" w:name="_Toc373227772"/>
      <w:bookmarkStart w:id="1129" w:name="_Toc351203650"/>
      <w:r>
        <w:rPr>
          <w:rFonts w:hint="eastAsia" w:ascii="宋体" w:hAnsi="宋体" w:cs="宋体"/>
          <w:b w:val="0"/>
          <w:bCs w:val="0"/>
          <w:color w:val="auto"/>
          <w:sz w:val="22"/>
          <w:szCs w:val="22"/>
        </w:rPr>
        <w:t>合同解除后，发包人应在商定或确定发包人应支付款项后</w:t>
      </w:r>
      <w:r>
        <w:rPr>
          <w:rFonts w:hint="eastAsia" w:ascii="宋体" w:hAnsi="宋体" w:cs="宋体"/>
          <w:b w:val="0"/>
          <w:bCs w:val="0"/>
          <w:color w:val="auto"/>
          <w:sz w:val="22"/>
          <w:szCs w:val="22"/>
          <w:u w:val="single"/>
        </w:rPr>
        <w:t xml:space="preserve">  120   </w:t>
      </w:r>
      <w:r>
        <w:rPr>
          <w:rFonts w:hint="eastAsia" w:ascii="宋体" w:hAnsi="宋体" w:cs="宋体"/>
          <w:b w:val="0"/>
          <w:bCs w:val="0"/>
          <w:color w:val="auto"/>
          <w:sz w:val="22"/>
          <w:szCs w:val="22"/>
        </w:rPr>
        <w:t>天内完成款项的支付。应支付款项以审计部门出具的审计报告为准。</w:t>
      </w:r>
    </w:p>
    <w:p w14:paraId="210A523E">
      <w:pPr>
        <w:pStyle w:val="70"/>
        <w:spacing w:before="0" w:after="0" w:line="3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18. 保险</w:t>
      </w:r>
      <w:bookmarkEnd w:id="1123"/>
      <w:bookmarkEnd w:id="1124"/>
      <w:bookmarkEnd w:id="1125"/>
      <w:bookmarkEnd w:id="1126"/>
      <w:bookmarkEnd w:id="1127"/>
      <w:bookmarkEnd w:id="1128"/>
      <w:bookmarkEnd w:id="1129"/>
    </w:p>
    <w:bookmarkEnd w:id="1089"/>
    <w:p w14:paraId="2DCA2C06">
      <w:pPr>
        <w:pStyle w:val="39"/>
        <w:spacing w:line="360" w:lineRule="exact"/>
        <w:ind w:firstLine="442" w:firstLineChars="200"/>
        <w:rPr>
          <w:rFonts w:hint="eastAsia" w:ascii="宋体" w:hAnsi="宋体" w:cs="宋体"/>
          <w:color w:val="auto"/>
          <w:sz w:val="22"/>
          <w:szCs w:val="22"/>
        </w:rPr>
      </w:pPr>
      <w:bookmarkStart w:id="1130" w:name="_Toc12975965"/>
      <w:bookmarkStart w:id="1131" w:name="_Toc533432800"/>
      <w:bookmarkStart w:id="1132" w:name="_Toc389065338"/>
      <w:bookmarkStart w:id="1133" w:name="_Toc395382576"/>
      <w:bookmarkStart w:id="1134" w:name="_Toc373227773"/>
      <w:bookmarkStart w:id="1135" w:name="_Toc373478420"/>
      <w:r>
        <w:rPr>
          <w:rFonts w:hint="eastAsia" w:ascii="宋体" w:hAnsi="宋体" w:cs="宋体"/>
          <w:color w:val="auto"/>
          <w:sz w:val="22"/>
          <w:szCs w:val="22"/>
        </w:rPr>
        <w:t>18.1 工程保险</w:t>
      </w:r>
      <w:bookmarkEnd w:id="1130"/>
      <w:bookmarkEnd w:id="1131"/>
      <w:bookmarkEnd w:id="1132"/>
      <w:bookmarkEnd w:id="1133"/>
      <w:bookmarkEnd w:id="1134"/>
      <w:bookmarkEnd w:id="1135"/>
    </w:p>
    <w:p w14:paraId="293903D5">
      <w:pPr>
        <w:pStyle w:val="60"/>
        <w:spacing w:line="360" w:lineRule="exact"/>
        <w:ind w:firstLine="440" w:firstLineChars="200"/>
        <w:jc w:val="left"/>
        <w:rPr>
          <w:rFonts w:hint="eastAsia" w:ascii="宋体" w:hAnsi="宋体" w:cs="宋体"/>
          <w:b/>
          <w:color w:val="auto"/>
          <w:sz w:val="22"/>
          <w:szCs w:val="22"/>
          <w:u w:val="single"/>
        </w:rPr>
      </w:pPr>
      <w:r>
        <w:rPr>
          <w:rFonts w:hint="eastAsia" w:ascii="宋体" w:hAnsi="宋体" w:cs="宋体"/>
          <w:color w:val="auto"/>
          <w:sz w:val="22"/>
          <w:szCs w:val="22"/>
        </w:rPr>
        <w:t>关于工程保险的特别约定：</w:t>
      </w:r>
      <w:r>
        <w:rPr>
          <w:rFonts w:hint="eastAsia" w:ascii="宋体" w:hAnsi="宋体" w:cs="宋体"/>
          <w:color w:val="auto"/>
          <w:kern w:val="0"/>
          <w:sz w:val="22"/>
          <w:szCs w:val="22"/>
          <w:u w:val="single"/>
        </w:rPr>
        <w:t xml:space="preserve"> </w:t>
      </w:r>
      <w:r>
        <w:rPr>
          <w:rFonts w:hint="eastAsia" w:ascii="宋体" w:hAnsi="宋体" w:cs="宋体"/>
          <w:b/>
          <w:color w:val="auto"/>
          <w:sz w:val="22"/>
          <w:szCs w:val="22"/>
          <w:u w:val="single"/>
        </w:rPr>
        <w:t>本项目工程一切险（或安装工程一切险）和第三者责任险由发包人委托承包人投保，费用总价包干，承包人预估费用低于实际费用，不足部分由承包人补齐；因承包人不投保或投保不足造成的损失全部由承包人承担，与发包人无关</w:t>
      </w:r>
      <w:r>
        <w:rPr>
          <w:rFonts w:hint="eastAsia" w:ascii="宋体" w:hAnsi="宋体" w:cs="宋体"/>
          <w:b/>
          <w:color w:val="auto"/>
          <w:kern w:val="0"/>
          <w:sz w:val="22"/>
          <w:szCs w:val="22"/>
          <w:u w:val="single"/>
        </w:rPr>
        <w:t>。</w:t>
      </w:r>
    </w:p>
    <w:p w14:paraId="62BF8493">
      <w:pPr>
        <w:pStyle w:val="39"/>
        <w:spacing w:line="360" w:lineRule="exact"/>
        <w:ind w:firstLine="442" w:firstLineChars="200"/>
        <w:rPr>
          <w:rFonts w:hint="eastAsia" w:ascii="宋体" w:hAnsi="宋体" w:cs="宋体"/>
          <w:color w:val="auto"/>
          <w:sz w:val="22"/>
          <w:szCs w:val="22"/>
        </w:rPr>
      </w:pPr>
      <w:bookmarkStart w:id="1136" w:name="_Toc395382577"/>
      <w:bookmarkStart w:id="1137" w:name="_Toc12975966"/>
      <w:bookmarkStart w:id="1138" w:name="_Toc373227774"/>
      <w:bookmarkStart w:id="1139" w:name="_Toc389065339"/>
      <w:bookmarkStart w:id="1140" w:name="_Toc533432801"/>
      <w:bookmarkStart w:id="1141" w:name="_Toc373478421"/>
      <w:r>
        <w:rPr>
          <w:rFonts w:hint="eastAsia" w:ascii="宋体" w:hAnsi="宋体" w:cs="宋体"/>
          <w:color w:val="auto"/>
          <w:sz w:val="22"/>
          <w:szCs w:val="22"/>
        </w:rPr>
        <w:t xml:space="preserve">18.3 </w:t>
      </w:r>
      <w:bookmarkStart w:id="1142" w:name="OLE_LINK34"/>
      <w:r>
        <w:rPr>
          <w:rFonts w:hint="eastAsia" w:ascii="宋体" w:hAnsi="宋体" w:cs="宋体"/>
          <w:color w:val="auto"/>
          <w:sz w:val="22"/>
          <w:szCs w:val="22"/>
        </w:rPr>
        <w:t>其他保险</w:t>
      </w:r>
      <w:bookmarkEnd w:id="1136"/>
      <w:bookmarkEnd w:id="1137"/>
      <w:bookmarkEnd w:id="1138"/>
      <w:bookmarkEnd w:id="1139"/>
      <w:bookmarkEnd w:id="1140"/>
      <w:bookmarkEnd w:id="1141"/>
      <w:bookmarkEnd w:id="1142"/>
    </w:p>
    <w:p w14:paraId="58DBAE00">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Style w:val="65"/>
          <w:rFonts w:hint="eastAsia" w:ascii="宋体" w:hAnsi="宋体" w:eastAsia="宋体" w:cs="Times New Roman"/>
          <w:color w:val="auto"/>
          <w:sz w:val="22"/>
          <w:szCs w:val="28"/>
          <w:highlight w:val="none"/>
          <w:u w:val="single"/>
        </w:rPr>
      </w:pPr>
      <w:r>
        <w:rPr>
          <w:rFonts w:hint="eastAsia" w:ascii="宋体" w:hAnsi="宋体" w:eastAsia="宋体" w:cs="宋体"/>
          <w:color w:val="auto"/>
          <w:sz w:val="22"/>
          <w:szCs w:val="22"/>
          <w:highlight w:val="none"/>
        </w:rPr>
        <w:t>关于其他保险的约定：</w:t>
      </w:r>
      <w:r>
        <w:rPr>
          <w:rStyle w:val="65"/>
          <w:rFonts w:hint="eastAsia" w:ascii="宋体" w:hAnsi="宋体" w:eastAsia="宋体" w:cs="Times New Roman"/>
          <w:color w:val="auto"/>
          <w:sz w:val="22"/>
          <w:szCs w:val="28"/>
          <w:highlight w:val="none"/>
          <w:u w:val="single"/>
        </w:rPr>
        <w:t>承包人根据《广西壮族自治区房屋建筑和市政基础设施工程安全生产责任保险实施办法》（桂建发（2023）1号）相关条款，以工程项目为单元参保建筑工程安责险。安全生产责任保险费按分部分项工程费及措施项目费（含单价及总价措施项目费）为计算基数乘以0.2%计入暂估价，工程结算时，由发承包双方根据工程实际情况确认的安全生产责任保险费计入工程造价（注：安全生产责任保险费先由承包人支付，在工程结算时，发承包双方按《广西壮族自治区房屋建筑和市政基础设施工程安全生产责任保险计价规定的通知》（桂建发（2023）6号）的相关条款，根据工程实际情况确认的安全生产责任保险费计入工程造价据实结算。）</w:t>
      </w:r>
    </w:p>
    <w:p w14:paraId="12BB3226">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Style w:val="65"/>
          <w:rFonts w:hint="eastAsia" w:ascii="宋体" w:hAnsi="宋体" w:eastAsia="宋体" w:cs="Times New Roman"/>
          <w:color w:val="auto"/>
          <w:sz w:val="22"/>
          <w:szCs w:val="28"/>
          <w:highlight w:val="none"/>
          <w:u w:val="single"/>
        </w:rPr>
      </w:pPr>
      <w:r>
        <w:rPr>
          <w:rStyle w:val="65"/>
          <w:rFonts w:hint="eastAsia" w:ascii="宋体" w:hAnsi="宋体" w:eastAsia="宋体" w:cs="Times New Roman"/>
          <w:color w:val="auto"/>
          <w:sz w:val="22"/>
          <w:szCs w:val="28"/>
          <w:highlight w:val="none"/>
          <w:u w:val="single"/>
        </w:rPr>
        <w:t>承包人必须为施工现场从事施工的所有作业人员和管理人员办理安全生产责任保险</w:t>
      </w:r>
      <w:r>
        <w:rPr>
          <w:rStyle w:val="65"/>
          <w:rFonts w:hint="eastAsia" w:ascii="宋体" w:hAnsi="宋体" w:eastAsia="宋体" w:cs="Times New Roman"/>
          <w:color w:val="auto"/>
          <w:sz w:val="22"/>
          <w:szCs w:val="28"/>
          <w:highlight w:val="none"/>
          <w:u w:val="single"/>
          <w:lang w:val="en-US" w:eastAsia="zh-CN"/>
        </w:rPr>
        <w:t>及</w:t>
      </w:r>
      <w:r>
        <w:rPr>
          <w:rStyle w:val="65"/>
          <w:rFonts w:hint="eastAsia" w:ascii="宋体" w:hAnsi="宋体" w:eastAsia="宋体" w:cs="Times New Roman"/>
          <w:color w:val="auto"/>
          <w:sz w:val="22"/>
          <w:szCs w:val="28"/>
          <w:highlight w:val="none"/>
          <w:u w:val="single"/>
        </w:rPr>
        <w:t>意外伤害保险，并支付保险费。</w:t>
      </w:r>
    </w:p>
    <w:p w14:paraId="5436598F">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Fonts w:hint="eastAsia" w:ascii="宋体" w:hAnsi="宋体" w:cs="宋体"/>
          <w:color w:val="auto"/>
          <w:kern w:val="0"/>
          <w:sz w:val="24"/>
          <w:szCs w:val="28"/>
          <w:highlight w:val="none"/>
        </w:rPr>
      </w:pPr>
      <w:r>
        <w:rPr>
          <w:rStyle w:val="65"/>
          <w:rFonts w:hint="eastAsia" w:ascii="宋体" w:hAnsi="宋体" w:eastAsia="宋体" w:cs="Times New Roman"/>
          <w:color w:val="auto"/>
          <w:sz w:val="22"/>
          <w:szCs w:val="28"/>
          <w:highlight w:val="none"/>
          <w:u w:val="single"/>
        </w:rPr>
        <w:t>承包人是否应为其施工设备等办理财产保险：  由承包人按国家相关规定自行办理。</w:t>
      </w:r>
    </w:p>
    <w:p w14:paraId="1368623B">
      <w:pPr>
        <w:pStyle w:val="40"/>
        <w:spacing w:line="360" w:lineRule="exact"/>
        <w:ind w:firstLine="440" w:firstLineChars="200"/>
        <w:jc w:val="left"/>
        <w:rPr>
          <w:rFonts w:hint="eastAsia" w:ascii="宋体" w:hAnsi="宋体" w:eastAsia="宋体" w:cs="宋体"/>
          <w:color w:val="auto"/>
          <w:sz w:val="22"/>
          <w:szCs w:val="22"/>
        </w:rPr>
      </w:pPr>
      <w:r>
        <w:rPr>
          <w:rFonts w:hint="eastAsia" w:ascii="宋体" w:hAnsi="宋体" w:cs="宋体"/>
          <w:color w:val="auto"/>
          <w:sz w:val="22"/>
        </w:rPr>
        <w:t>承包人是否应为其施工设备等办理财产保险：</w:t>
      </w:r>
      <w:r>
        <w:rPr>
          <w:rFonts w:hint="eastAsia" w:ascii="宋体" w:hAnsi="宋体" w:cs="宋体"/>
          <w:color w:val="auto"/>
          <w:sz w:val="22"/>
          <w:u w:val="single"/>
        </w:rPr>
        <w:t xml:space="preserve"> </w:t>
      </w:r>
      <w:r>
        <w:rPr>
          <w:rFonts w:hint="eastAsia" w:ascii="宋体" w:hAnsi="宋体" w:cs="宋体"/>
          <w:color w:val="auto"/>
          <w:kern w:val="0"/>
          <w:sz w:val="22"/>
          <w:u w:val="single"/>
        </w:rPr>
        <w:t xml:space="preserve">承包人自行考虑 </w:t>
      </w:r>
      <w:r>
        <w:rPr>
          <w:rFonts w:hint="eastAsia" w:ascii="宋体" w:hAnsi="宋体" w:cs="宋体"/>
          <w:color w:val="auto"/>
          <w:sz w:val="22"/>
          <w:u w:val="single"/>
        </w:rPr>
        <w:t xml:space="preserve"> </w:t>
      </w:r>
      <w:r>
        <w:rPr>
          <w:rFonts w:hint="eastAsia" w:ascii="宋体" w:hAnsi="宋体" w:cs="宋体"/>
          <w:color w:val="auto"/>
          <w:sz w:val="22"/>
        </w:rPr>
        <w:t>。</w:t>
      </w:r>
      <w:bookmarkStart w:id="1143" w:name="_Toc529202612"/>
      <w:bookmarkStart w:id="1144" w:name="_Toc54862578"/>
      <w:bookmarkStart w:id="1145" w:name="_Toc513041358"/>
    </w:p>
    <w:p w14:paraId="4B179B89">
      <w:pPr>
        <w:pStyle w:val="71"/>
        <w:spacing w:line="3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18.6未按约定投保的补救</w:t>
      </w:r>
      <w:bookmarkEnd w:id="1143"/>
      <w:bookmarkEnd w:id="1144"/>
      <w:bookmarkEnd w:id="1145"/>
    </w:p>
    <w:p w14:paraId="7D09457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18.6.1投保工程保险产生的相关费用包含在本合同中，费用总价包干，承包人可以自主决定本项目是否办理</w:t>
      </w:r>
      <w:r>
        <w:rPr>
          <w:rFonts w:hint="eastAsia" w:ascii="宋体" w:hAnsi="宋体" w:cs="宋体"/>
          <w:b/>
          <w:color w:val="auto"/>
          <w:sz w:val="22"/>
          <w:szCs w:val="22"/>
          <w:u w:val="single"/>
        </w:rPr>
        <w:t>建筑工程一切险（或安装工程一切险）和第三者责任险</w:t>
      </w:r>
      <w:r>
        <w:rPr>
          <w:rFonts w:hint="eastAsia" w:ascii="宋体" w:hAnsi="宋体" w:cs="宋体"/>
          <w:color w:val="auto"/>
          <w:sz w:val="22"/>
          <w:szCs w:val="22"/>
        </w:rPr>
        <w:t>。但由于承包人的原因，造成未按合同约定办理保险，或未能使保险持续有效的，导致损失未能得到足额赔偿的，由承包人负责补足。</w:t>
      </w:r>
    </w:p>
    <w:p w14:paraId="3D80849E">
      <w:pPr>
        <w:pStyle w:val="39"/>
        <w:spacing w:line="360" w:lineRule="exact"/>
        <w:ind w:firstLine="442" w:firstLineChars="200"/>
        <w:rPr>
          <w:rFonts w:hint="eastAsia" w:ascii="宋体" w:hAnsi="宋体" w:cs="宋体"/>
          <w:color w:val="auto"/>
          <w:sz w:val="22"/>
          <w:szCs w:val="22"/>
        </w:rPr>
      </w:pPr>
      <w:bookmarkStart w:id="1146" w:name="_Toc373227775"/>
      <w:bookmarkStart w:id="1147" w:name="_Toc373478422"/>
      <w:bookmarkStart w:id="1148" w:name="_Toc533432802"/>
      <w:bookmarkStart w:id="1149" w:name="_Toc395382578"/>
      <w:bookmarkStart w:id="1150" w:name="_Toc12975967"/>
      <w:bookmarkStart w:id="1151" w:name="_Toc389065340"/>
      <w:r>
        <w:rPr>
          <w:rFonts w:hint="eastAsia" w:ascii="宋体" w:hAnsi="宋体" w:cs="宋体"/>
          <w:color w:val="auto"/>
          <w:sz w:val="22"/>
          <w:szCs w:val="22"/>
        </w:rPr>
        <w:t>18.7 通知义务</w:t>
      </w:r>
      <w:bookmarkEnd w:id="1146"/>
      <w:bookmarkEnd w:id="1147"/>
      <w:bookmarkEnd w:id="1148"/>
      <w:bookmarkEnd w:id="1149"/>
      <w:bookmarkEnd w:id="1150"/>
      <w:bookmarkEnd w:id="1151"/>
    </w:p>
    <w:p w14:paraId="6B3AAE3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关于变更保险合同时的通知义务的约定：</w:t>
      </w:r>
      <w:r>
        <w:rPr>
          <w:rFonts w:hint="eastAsia" w:ascii="宋体" w:hAnsi="宋体" w:cs="宋体"/>
          <w:color w:val="auto"/>
          <w:kern w:val="0"/>
          <w:sz w:val="22"/>
          <w:u w:val="single"/>
        </w:rPr>
        <w:t>按通用合同条款执行</w:t>
      </w:r>
      <w:r>
        <w:rPr>
          <w:rFonts w:hint="eastAsia" w:ascii="宋体" w:hAnsi="宋体" w:cs="宋体"/>
          <w:color w:val="auto"/>
          <w:sz w:val="22"/>
        </w:rPr>
        <w:t>。</w:t>
      </w:r>
    </w:p>
    <w:bookmarkEnd w:id="1041"/>
    <w:bookmarkEnd w:id="1042"/>
    <w:bookmarkEnd w:id="1043"/>
    <w:bookmarkEnd w:id="1044"/>
    <w:bookmarkEnd w:id="1045"/>
    <w:bookmarkEnd w:id="1046"/>
    <w:bookmarkEnd w:id="1047"/>
    <w:bookmarkEnd w:id="1048"/>
    <w:bookmarkEnd w:id="1049"/>
    <w:bookmarkEnd w:id="1050"/>
    <w:bookmarkEnd w:id="1051"/>
    <w:bookmarkEnd w:id="1052"/>
    <w:p w14:paraId="1622FE24">
      <w:pPr>
        <w:pStyle w:val="70"/>
        <w:spacing w:before="0" w:after="0" w:line="360" w:lineRule="exact"/>
        <w:rPr>
          <w:rFonts w:hint="eastAsia" w:ascii="宋体" w:hAnsi="宋体" w:cs="宋体"/>
          <w:color w:val="auto"/>
          <w:sz w:val="22"/>
          <w:szCs w:val="22"/>
        </w:rPr>
      </w:pPr>
      <w:bookmarkStart w:id="1152" w:name="_Toc533432803"/>
      <w:bookmarkStart w:id="1153" w:name="_Toc373478423"/>
      <w:bookmarkStart w:id="1154" w:name="_Toc373227776"/>
      <w:bookmarkStart w:id="1155" w:name="_Toc351203651"/>
      <w:bookmarkStart w:id="1156" w:name="_Toc389065341"/>
      <w:bookmarkStart w:id="1157" w:name="_Toc12975968"/>
      <w:bookmarkStart w:id="1158" w:name="_Toc395382579"/>
    </w:p>
    <w:p w14:paraId="281C3453">
      <w:pPr>
        <w:pStyle w:val="70"/>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20. 争议解决</w:t>
      </w:r>
      <w:bookmarkEnd w:id="1152"/>
      <w:bookmarkEnd w:id="1153"/>
      <w:bookmarkEnd w:id="1154"/>
      <w:bookmarkEnd w:id="1155"/>
      <w:bookmarkEnd w:id="1156"/>
      <w:bookmarkEnd w:id="1157"/>
      <w:bookmarkEnd w:id="1158"/>
    </w:p>
    <w:bookmarkEnd w:id="1053"/>
    <w:bookmarkEnd w:id="1054"/>
    <w:p w14:paraId="3803E55D">
      <w:pPr>
        <w:pStyle w:val="39"/>
        <w:spacing w:line="360" w:lineRule="exact"/>
        <w:ind w:firstLine="442" w:firstLineChars="200"/>
        <w:rPr>
          <w:rFonts w:hint="eastAsia" w:ascii="宋体" w:hAnsi="宋体" w:cs="宋体"/>
          <w:color w:val="auto"/>
          <w:sz w:val="22"/>
          <w:szCs w:val="22"/>
        </w:rPr>
      </w:pPr>
      <w:bookmarkStart w:id="1159" w:name="_Toc373478424"/>
      <w:bookmarkStart w:id="1160" w:name="_Toc389065342"/>
      <w:bookmarkStart w:id="1161" w:name="_Toc395382580"/>
      <w:bookmarkStart w:id="1162" w:name="_Toc373227777"/>
      <w:bookmarkStart w:id="1163" w:name="_Toc533432804"/>
      <w:bookmarkStart w:id="1164" w:name="_Toc12975969"/>
      <w:r>
        <w:rPr>
          <w:rFonts w:hint="eastAsia" w:ascii="宋体" w:hAnsi="宋体" w:cs="宋体"/>
          <w:color w:val="auto"/>
          <w:sz w:val="22"/>
          <w:szCs w:val="22"/>
        </w:rPr>
        <w:t>20.3 争</w:t>
      </w:r>
      <w:bookmarkEnd w:id="1055"/>
      <w:r>
        <w:rPr>
          <w:rFonts w:hint="eastAsia" w:ascii="宋体" w:hAnsi="宋体" w:cs="宋体"/>
          <w:color w:val="auto"/>
          <w:sz w:val="22"/>
          <w:szCs w:val="22"/>
        </w:rPr>
        <w:t>议评审</w:t>
      </w:r>
      <w:bookmarkEnd w:id="1159"/>
      <w:bookmarkEnd w:id="1160"/>
      <w:bookmarkEnd w:id="1161"/>
      <w:bookmarkEnd w:id="1162"/>
      <w:bookmarkEnd w:id="1163"/>
      <w:bookmarkEnd w:id="1164"/>
    </w:p>
    <w:p w14:paraId="5A2C2F48">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合同当事人是否同意将工程争议提交争议评审小组决定：</w:t>
      </w:r>
      <w:r>
        <w:rPr>
          <w:rFonts w:hint="eastAsia" w:ascii="宋体" w:hAnsi="宋体" w:cs="宋体"/>
          <w:color w:val="auto"/>
          <w:sz w:val="22"/>
          <w:u w:val="single"/>
        </w:rPr>
        <w:t xml:space="preserve"> 否，双方约定，在履行合同进程中产生争议时，请工程所在地建设行政主管部门进行调解，调解不成时，向工程所在地人民法院起诉</w:t>
      </w:r>
      <w:r>
        <w:rPr>
          <w:rFonts w:hint="eastAsia" w:ascii="宋体" w:hAnsi="宋体" w:cs="宋体"/>
          <w:color w:val="auto"/>
          <w:sz w:val="22"/>
        </w:rPr>
        <w:t>。</w:t>
      </w:r>
    </w:p>
    <w:p w14:paraId="440CF06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20.3.1 争议评审小组的确定</w:t>
      </w:r>
    </w:p>
    <w:p w14:paraId="5575CCBC">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争议评审小组成员的确定：</w:t>
      </w:r>
      <w:r>
        <w:rPr>
          <w:rFonts w:hint="eastAsia" w:ascii="宋体" w:hAnsi="宋体" w:cs="宋体"/>
          <w:color w:val="auto"/>
          <w:sz w:val="22"/>
          <w:u w:val="single"/>
        </w:rPr>
        <w:t xml:space="preserve"> 无  </w:t>
      </w:r>
      <w:r>
        <w:rPr>
          <w:rFonts w:hint="eastAsia" w:ascii="宋体" w:hAnsi="宋体" w:cs="宋体"/>
          <w:color w:val="auto"/>
          <w:sz w:val="22"/>
        </w:rPr>
        <w:t>。</w:t>
      </w:r>
    </w:p>
    <w:p w14:paraId="0A00D1B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选定争议评审员的期限：</w:t>
      </w:r>
      <w:r>
        <w:rPr>
          <w:rFonts w:hint="eastAsia" w:ascii="宋体" w:hAnsi="宋体" w:cs="宋体"/>
          <w:color w:val="auto"/>
          <w:sz w:val="22"/>
          <w:u w:val="single"/>
        </w:rPr>
        <w:t xml:space="preserve"> 无  </w:t>
      </w:r>
      <w:r>
        <w:rPr>
          <w:rFonts w:hint="eastAsia" w:ascii="宋体" w:hAnsi="宋体" w:cs="宋体"/>
          <w:color w:val="auto"/>
          <w:sz w:val="22"/>
        </w:rPr>
        <w:t>。</w:t>
      </w:r>
    </w:p>
    <w:p w14:paraId="7646A93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争议评审小组成员的报酬承担方式：</w:t>
      </w:r>
      <w:r>
        <w:rPr>
          <w:rFonts w:hint="eastAsia" w:ascii="宋体" w:hAnsi="宋体" w:cs="宋体"/>
          <w:color w:val="auto"/>
          <w:sz w:val="22"/>
          <w:u w:val="single"/>
        </w:rPr>
        <w:t xml:space="preserve">无 </w:t>
      </w:r>
      <w:r>
        <w:rPr>
          <w:rFonts w:hint="eastAsia" w:ascii="宋体" w:hAnsi="宋体" w:cs="宋体"/>
          <w:color w:val="auto"/>
          <w:sz w:val="22"/>
        </w:rPr>
        <w:t>。</w:t>
      </w:r>
    </w:p>
    <w:p w14:paraId="4A052F6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其他事项的约定：</w:t>
      </w:r>
      <w:r>
        <w:rPr>
          <w:rFonts w:hint="eastAsia" w:ascii="宋体" w:hAnsi="宋体" w:cs="宋体"/>
          <w:color w:val="auto"/>
          <w:sz w:val="22"/>
          <w:u w:val="single"/>
        </w:rPr>
        <w:t xml:space="preserve"> 无 </w:t>
      </w:r>
      <w:r>
        <w:rPr>
          <w:rFonts w:hint="eastAsia" w:ascii="宋体" w:hAnsi="宋体" w:cs="宋体"/>
          <w:color w:val="auto"/>
          <w:sz w:val="22"/>
        </w:rPr>
        <w:t>。</w:t>
      </w:r>
    </w:p>
    <w:p w14:paraId="391DB612">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20.3.2 争议评审小组的决定</w:t>
      </w:r>
    </w:p>
    <w:p w14:paraId="7DAB3A4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合同当事人关于本项的约定：</w:t>
      </w:r>
      <w:r>
        <w:rPr>
          <w:rFonts w:hint="eastAsia" w:ascii="宋体" w:hAnsi="宋体" w:cs="宋体"/>
          <w:color w:val="auto"/>
          <w:sz w:val="22"/>
          <w:u w:val="single"/>
        </w:rPr>
        <w:t xml:space="preserve"> 无 </w:t>
      </w:r>
      <w:r>
        <w:rPr>
          <w:rFonts w:hint="eastAsia" w:ascii="宋体" w:hAnsi="宋体" w:cs="宋体"/>
          <w:color w:val="auto"/>
          <w:sz w:val="22"/>
        </w:rPr>
        <w:t>。</w:t>
      </w:r>
    </w:p>
    <w:p w14:paraId="6AF8DE15">
      <w:pPr>
        <w:pStyle w:val="39"/>
        <w:spacing w:line="360" w:lineRule="exact"/>
        <w:ind w:firstLine="442" w:firstLineChars="200"/>
        <w:rPr>
          <w:rFonts w:hint="eastAsia" w:ascii="宋体" w:hAnsi="宋体" w:cs="宋体"/>
          <w:color w:val="auto"/>
          <w:sz w:val="22"/>
          <w:szCs w:val="22"/>
        </w:rPr>
      </w:pPr>
      <w:bookmarkStart w:id="1165" w:name="_Toc373227778"/>
      <w:bookmarkStart w:id="1166" w:name="_Toc12975970"/>
      <w:bookmarkStart w:id="1167" w:name="_Toc373478425"/>
      <w:bookmarkStart w:id="1168" w:name="_Toc389065343"/>
      <w:bookmarkStart w:id="1169" w:name="_Toc395382581"/>
      <w:bookmarkStart w:id="1170" w:name="_Toc533432805"/>
      <w:r>
        <w:rPr>
          <w:rFonts w:hint="eastAsia" w:ascii="宋体" w:hAnsi="宋体" w:cs="宋体"/>
          <w:color w:val="auto"/>
          <w:sz w:val="22"/>
          <w:szCs w:val="22"/>
        </w:rPr>
        <w:t>20.4 仲裁或诉讼</w:t>
      </w:r>
      <w:bookmarkEnd w:id="1056"/>
      <w:bookmarkEnd w:id="1165"/>
      <w:bookmarkEnd w:id="1166"/>
      <w:bookmarkEnd w:id="1167"/>
      <w:bookmarkEnd w:id="1168"/>
      <w:bookmarkEnd w:id="1169"/>
      <w:bookmarkEnd w:id="1170"/>
    </w:p>
    <w:p w14:paraId="15E5269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因合同及合同有关事项发生的争议，按下列第</w:t>
      </w:r>
      <w:r>
        <w:rPr>
          <w:rFonts w:hint="eastAsia" w:ascii="宋体" w:hAnsi="宋体" w:cs="宋体"/>
          <w:color w:val="auto"/>
          <w:sz w:val="22"/>
          <w:u w:val="single"/>
        </w:rPr>
        <w:t>（2）</w:t>
      </w:r>
      <w:r>
        <w:rPr>
          <w:rFonts w:hint="eastAsia" w:ascii="宋体" w:hAnsi="宋体" w:cs="宋体"/>
          <w:color w:val="auto"/>
          <w:sz w:val="22"/>
        </w:rPr>
        <w:t>种方式解决：</w:t>
      </w:r>
    </w:p>
    <w:p w14:paraId="3512109E">
      <w:pPr>
        <w:pStyle w:val="40"/>
        <w:numPr>
          <w:ilvl w:val="0"/>
          <w:numId w:val="13"/>
        </w:numPr>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提请</w:t>
      </w:r>
      <w:r>
        <w:rPr>
          <w:rFonts w:hint="eastAsia" w:ascii="宋体" w:hAnsi="宋体" w:cs="宋体"/>
          <w:color w:val="auto"/>
          <w:sz w:val="22"/>
          <w:u w:val="single"/>
        </w:rPr>
        <w:t xml:space="preserve">防城港 </w:t>
      </w:r>
      <w:r>
        <w:rPr>
          <w:rFonts w:hint="eastAsia" w:ascii="宋体" w:hAnsi="宋体" w:cs="宋体"/>
          <w:color w:val="auto"/>
          <w:sz w:val="22"/>
        </w:rPr>
        <w:t>仲裁委员会按照该会仲裁规则进行仲裁，仲裁裁决是终局的，对合同双方均有约束力。</w:t>
      </w:r>
    </w:p>
    <w:p w14:paraId="1E56EB9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（2）向</w:t>
      </w:r>
      <w:r>
        <w:rPr>
          <w:rFonts w:hint="eastAsia" w:ascii="宋体" w:hAnsi="宋体" w:cs="宋体"/>
          <w:color w:val="auto"/>
          <w:sz w:val="22"/>
          <w:u w:val="single"/>
        </w:rPr>
        <w:t>工程所在地</w:t>
      </w:r>
      <w:r>
        <w:rPr>
          <w:rFonts w:hint="eastAsia" w:ascii="宋体" w:hAnsi="宋体" w:cs="宋体"/>
          <w:color w:val="auto"/>
          <w:sz w:val="22"/>
        </w:rPr>
        <w:t>人民法院起诉。</w:t>
      </w:r>
      <w:bookmarkEnd w:id="1057"/>
      <w:bookmarkEnd w:id="1058"/>
      <w:bookmarkEnd w:id="1059"/>
      <w:bookmarkEnd w:id="1060"/>
      <w:bookmarkEnd w:id="1061"/>
      <w:bookmarkEnd w:id="1062"/>
    </w:p>
    <w:p w14:paraId="46FCF0C1">
      <w:pPr>
        <w:pStyle w:val="70"/>
        <w:spacing w:before="0" w:after="0" w:line="360" w:lineRule="exact"/>
        <w:ind w:firstLine="442" w:firstLineChars="200"/>
        <w:rPr>
          <w:rFonts w:hint="eastAsia" w:ascii="宋体" w:hAnsi="宋体" w:cs="宋体"/>
          <w:color w:val="auto"/>
          <w:sz w:val="22"/>
          <w:szCs w:val="22"/>
        </w:rPr>
      </w:pPr>
      <w:bookmarkStart w:id="1171" w:name="_Toc373478426"/>
      <w:bookmarkStart w:id="1172" w:name="_Toc533432806"/>
      <w:bookmarkStart w:id="1173" w:name="_Toc373227779"/>
      <w:bookmarkStart w:id="1174" w:name="_Toc12975971"/>
      <w:bookmarkStart w:id="1175" w:name="_Toc395382582"/>
      <w:bookmarkStart w:id="1176" w:name="_Toc389065344"/>
      <w:r>
        <w:rPr>
          <w:rFonts w:hint="eastAsia" w:ascii="宋体" w:hAnsi="宋体" w:cs="宋体"/>
          <w:color w:val="auto"/>
          <w:sz w:val="22"/>
          <w:szCs w:val="22"/>
        </w:rPr>
        <w:t>21. 补充条款</w:t>
      </w:r>
      <w:bookmarkEnd w:id="1171"/>
      <w:bookmarkEnd w:id="1172"/>
      <w:bookmarkEnd w:id="1173"/>
      <w:bookmarkEnd w:id="1174"/>
      <w:bookmarkEnd w:id="1175"/>
      <w:bookmarkEnd w:id="1176"/>
    </w:p>
    <w:p w14:paraId="0FE957DB">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    21.1承包人有以下情况之一者，将视为违约，发包人有权采取以下措施处理，并视情节轻重处予违约处罚金。</w:t>
      </w:r>
    </w:p>
    <w:p w14:paraId="2BE66342">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21.1.1合同签订之日起十五日内，承包人无法按合同约定及磋商文件的承诺进场经监理工程师认可的全部人员和机械时，视为违约，发包人有权解除合同，发包人有权另行发包工程。</w:t>
      </w:r>
    </w:p>
    <w:p w14:paraId="5908210D">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21.1.2尽管主要机械的数量、型号，应与合同相符，若监理工程师认为合同约定的进场机械不能满足施工进度要求，有权指令承包人增加机械投入，承包人不得拒绝。</w:t>
      </w:r>
    </w:p>
    <w:p w14:paraId="5FD2F610">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21.1.3所有以上违约处罚金金额均在计量支付款内扣除，监理工程师预先下发统一格式含有违约处罚意向的指令，如承包人不及时采取措施纠正，则在指令下达后十五天下发违约处罚通知书</w:t>
      </w:r>
      <w:r>
        <w:rPr>
          <w:rFonts w:hint="eastAsia" w:ascii="宋体" w:hAnsi="宋体" w:cs="宋体"/>
          <w:color w:val="auto"/>
          <w:sz w:val="22"/>
          <w:szCs w:val="22"/>
          <w:lang w:eastAsia="zh-CN"/>
        </w:rPr>
        <w:t>（</w:t>
      </w:r>
      <w:r>
        <w:rPr>
          <w:rFonts w:hint="eastAsia" w:ascii="宋体" w:hAnsi="宋体" w:cs="宋体"/>
          <w:color w:val="auto"/>
          <w:sz w:val="22"/>
          <w:szCs w:val="22"/>
        </w:rPr>
        <w:t>不再陈述违约处罚理由</w:t>
      </w:r>
      <w:r>
        <w:rPr>
          <w:rFonts w:hint="eastAsia" w:ascii="宋体" w:hAnsi="宋体" w:cs="宋体"/>
          <w:color w:val="auto"/>
          <w:sz w:val="22"/>
          <w:szCs w:val="22"/>
          <w:lang w:eastAsia="zh-CN"/>
        </w:rPr>
        <w:t>）</w:t>
      </w:r>
      <w:r>
        <w:rPr>
          <w:rFonts w:hint="eastAsia" w:ascii="宋体" w:hAnsi="宋体" w:cs="宋体"/>
          <w:color w:val="auto"/>
          <w:sz w:val="22"/>
          <w:szCs w:val="22"/>
        </w:rPr>
        <w:t>。</w:t>
      </w:r>
    </w:p>
    <w:p w14:paraId="518B583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21.1.4承包人在合同期内，完成合同约定的全部工程，且质量合格，竣工验收后十五天内可申请返还全部或部分与工期有关（或里程碑罚款）的违约处罚金</w:t>
      </w:r>
      <w:r>
        <w:rPr>
          <w:rFonts w:hint="eastAsia" w:ascii="宋体" w:hAnsi="宋体" w:cs="宋体"/>
          <w:color w:val="auto"/>
          <w:sz w:val="22"/>
          <w:szCs w:val="22"/>
          <w:lang w:eastAsia="zh-CN"/>
        </w:rPr>
        <w:t>（</w:t>
      </w:r>
      <w:r>
        <w:rPr>
          <w:rFonts w:hint="eastAsia" w:ascii="宋体" w:hAnsi="宋体" w:cs="宋体"/>
          <w:color w:val="auto"/>
          <w:sz w:val="22"/>
          <w:szCs w:val="22"/>
        </w:rPr>
        <w:t>不包括利息</w:t>
      </w:r>
      <w:r>
        <w:rPr>
          <w:rFonts w:hint="eastAsia" w:ascii="宋体" w:hAnsi="宋体" w:cs="宋体"/>
          <w:color w:val="auto"/>
          <w:sz w:val="22"/>
          <w:szCs w:val="22"/>
          <w:lang w:eastAsia="zh-CN"/>
        </w:rPr>
        <w:t>）</w:t>
      </w:r>
      <w:r>
        <w:rPr>
          <w:rFonts w:hint="eastAsia" w:ascii="宋体" w:hAnsi="宋体" w:cs="宋体"/>
          <w:color w:val="auto"/>
          <w:sz w:val="22"/>
          <w:szCs w:val="22"/>
        </w:rPr>
        <w:t>。其余罚款不予退回。</w:t>
      </w:r>
    </w:p>
    <w:p w14:paraId="163D6C98">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21.2工程款的使用</w:t>
      </w:r>
    </w:p>
    <w:p w14:paraId="369F7DA5">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21.2.1本工程资金属发包人自筹，承包人在施工期间必须保证资金的专项使用，不得挪作他用，并自觉接受发包人和银行的监督，否则将视为承包人违约。</w:t>
      </w:r>
    </w:p>
    <w:p w14:paraId="50A71901">
      <w:pPr>
        <w:pStyle w:val="73"/>
        <w:spacing w:line="360" w:lineRule="exact"/>
        <w:ind w:firstLine="440" w:firstLineChars="200"/>
        <w:jc w:val="left"/>
        <w:rPr>
          <w:rFonts w:hint="eastAsia" w:ascii="宋体" w:hAnsi="宋体" w:cs="宋体"/>
          <w:color w:val="auto"/>
          <w:sz w:val="22"/>
          <w:szCs w:val="22"/>
        </w:rPr>
      </w:pPr>
      <w:bookmarkStart w:id="1177" w:name="_Toc27987_WPSOffice_Level2"/>
      <w:r>
        <w:rPr>
          <w:rFonts w:hint="eastAsia" w:ascii="宋体" w:hAnsi="宋体" w:cs="宋体"/>
          <w:color w:val="auto"/>
          <w:sz w:val="22"/>
          <w:szCs w:val="22"/>
        </w:rPr>
        <w:t>（1）农民工工资实行分账管理</w:t>
      </w:r>
      <w:bookmarkEnd w:id="1177"/>
    </w:p>
    <w:p w14:paraId="741A60FF">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根据《关于进一步规范防城港市建设领域农民工工资有关问题的通知》（防住建管发</w:t>
      </w:r>
      <w:r>
        <w:rPr>
          <w:rFonts w:hint="eastAsia" w:ascii="宋体" w:hAnsi="宋体" w:cs="宋体"/>
          <w:color w:val="auto"/>
          <w:sz w:val="22"/>
          <w:szCs w:val="22"/>
          <w:lang w:eastAsia="zh-CN"/>
        </w:rPr>
        <w:t>〔2017〕37号</w:t>
      </w:r>
      <w:r>
        <w:rPr>
          <w:rFonts w:hint="eastAsia" w:ascii="宋体" w:hAnsi="宋体" w:cs="宋体"/>
          <w:color w:val="auto"/>
          <w:sz w:val="22"/>
          <w:szCs w:val="22"/>
        </w:rPr>
        <w:t>）第二条，合同承包人应设立农民工工资支付账户，实行农民工工资与其他款项分账管理，农民工工资支付账户信息：</w:t>
      </w:r>
    </w:p>
    <w:p w14:paraId="56564DCB">
      <w:pPr>
        <w:pStyle w:val="73"/>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lang w:eastAsia="zh-CN"/>
        </w:rPr>
        <w:t>户名：</w:t>
      </w:r>
    </w:p>
    <w:p w14:paraId="57EE4A66">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开户行：</w:t>
      </w:r>
      <w:r>
        <w:rPr>
          <w:rFonts w:hint="eastAsia" w:ascii="宋体" w:hAnsi="宋体" w:cs="宋体"/>
          <w:color w:val="auto"/>
          <w:sz w:val="22"/>
          <w:szCs w:val="22"/>
          <w:u w:val="single"/>
          <w:lang w:val="en-US" w:eastAsia="zh-CN"/>
        </w:rPr>
        <w:t xml:space="preserve"> </w:t>
      </w:r>
    </w:p>
    <w:p w14:paraId="68028A83">
      <w:pPr>
        <w:pStyle w:val="73"/>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账号</w:t>
      </w:r>
      <w:r>
        <w:rPr>
          <w:rFonts w:hint="eastAsia" w:ascii="宋体" w:hAnsi="宋体" w:cs="宋体"/>
          <w:color w:val="auto"/>
          <w:sz w:val="22"/>
          <w:szCs w:val="22"/>
        </w:rPr>
        <w:t>：</w:t>
      </w:r>
      <w:r>
        <w:rPr>
          <w:rFonts w:hint="eastAsia" w:ascii="宋体" w:hAnsi="宋体" w:cs="宋体"/>
          <w:color w:val="auto"/>
          <w:sz w:val="22"/>
          <w:szCs w:val="22"/>
          <w:u w:val="single"/>
          <w:lang w:val="en-US" w:eastAsia="zh-CN"/>
        </w:rPr>
        <w:t xml:space="preserve"> </w:t>
      </w:r>
    </w:p>
    <w:p w14:paraId="1F7CA0CA">
      <w:pPr>
        <w:pStyle w:val="73"/>
        <w:spacing w:line="360" w:lineRule="exact"/>
        <w:ind w:firstLine="440" w:firstLineChars="200"/>
        <w:jc w:val="left"/>
        <w:rPr>
          <w:rFonts w:hint="eastAsia" w:ascii="宋体" w:hAnsi="宋体" w:cs="宋体"/>
          <w:color w:val="auto"/>
          <w:sz w:val="22"/>
          <w:szCs w:val="22"/>
        </w:rPr>
      </w:pPr>
      <w:bookmarkStart w:id="1178" w:name="_Toc11862_WPSOffice_Level2"/>
      <w:r>
        <w:rPr>
          <w:rFonts w:hint="eastAsia" w:ascii="宋体" w:hAnsi="宋体" w:cs="宋体"/>
          <w:color w:val="auto"/>
          <w:sz w:val="22"/>
          <w:szCs w:val="22"/>
        </w:rPr>
        <w:t>（2）农民工工资支付约定</w:t>
      </w:r>
      <w:bookmarkEnd w:id="1178"/>
    </w:p>
    <w:p w14:paraId="5431F0EB">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合同承包人申请进度款应明确农民工工资金额，拨付进度款须优先保障农民工工资，再经农民工工资专户转至工人个人账户。  </w:t>
      </w:r>
    </w:p>
    <w:p w14:paraId="4B69C7D8">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21.3 凡进入本工程工作的妇女应持有计生证，否则不准安排工作，禁止使用童工。</w:t>
      </w:r>
    </w:p>
    <w:p w14:paraId="5228C4C9">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21.4本工程合同价款已包含安全防护、文明施工措施费。使用要求：专款专用，具体按《广西壮族自治区建设工程安全文明施工费使用管理细则》（桂建质</w:t>
      </w:r>
      <w:r>
        <w:rPr>
          <w:rFonts w:hint="eastAsia" w:ascii="宋体" w:hAnsi="宋体" w:cs="宋体"/>
          <w:color w:val="auto"/>
          <w:sz w:val="22"/>
          <w:szCs w:val="22"/>
          <w:lang w:eastAsia="zh-CN"/>
        </w:rPr>
        <w:t>〔2015〕16号</w:t>
      </w:r>
      <w:r>
        <w:rPr>
          <w:rFonts w:hint="eastAsia" w:ascii="宋体" w:hAnsi="宋体" w:cs="宋体"/>
          <w:color w:val="auto"/>
          <w:sz w:val="22"/>
          <w:szCs w:val="22"/>
        </w:rPr>
        <w:t>）要求执行。安全防护、文明施工措施费与工程款同步支付。</w:t>
      </w:r>
    </w:p>
    <w:p w14:paraId="531C199C">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21.5承包人须按时足额将农民工工资保障金和建安劳保费存入建设行政主管部门指定的账户。</w:t>
      </w:r>
    </w:p>
    <w:p w14:paraId="696898F6">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21.6承包方出现下列情况之一，则项目的建设应视为</w:t>
      </w:r>
      <w:r>
        <w:rPr>
          <w:rFonts w:hint="eastAsia" w:ascii="宋体" w:hAnsi="宋体" w:cs="宋体"/>
          <w:color w:val="auto"/>
          <w:sz w:val="22"/>
          <w:szCs w:val="22"/>
          <w:lang w:val="en-US" w:eastAsia="zh-CN"/>
        </w:rPr>
        <w:t>已</w:t>
      </w:r>
      <w:r>
        <w:rPr>
          <w:rFonts w:hint="eastAsia" w:ascii="宋体" w:hAnsi="宋体" w:cs="宋体"/>
          <w:color w:val="auto"/>
          <w:sz w:val="22"/>
          <w:szCs w:val="22"/>
        </w:rPr>
        <w:t>被放弃：</w:t>
      </w:r>
    </w:p>
    <w:p w14:paraId="36682A29">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书面通知发包方其已终止建设工程，且并不打算重新开始施工；</w:t>
      </w:r>
    </w:p>
    <w:p w14:paraId="744D3D65">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未能在本合同约定的开工日期届满后 14 天内开始建设工程（但因非承包方原因所引起的除外）；</w:t>
      </w:r>
    </w:p>
    <w:p w14:paraId="405D1F62">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未能在任何不可抗力事件结束后14 天内恢复建设工程施工（但因非承包方原因所引起的除外）；</w:t>
      </w:r>
    </w:p>
    <w:p w14:paraId="77159EB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4）在完工检查日前停止建设工程或者直接或通过专业分包商从项目场地撤走全部或大部分的工作人员，除非上述行为是为了保持或促进项目建设按合同完成所必须的。</w:t>
      </w:r>
    </w:p>
    <w:p w14:paraId="3C601B2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21.7要求承包人增加或更换施工设备</w:t>
      </w:r>
    </w:p>
    <w:p w14:paraId="0B4759A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尽管承包人的施工设备已经按照磋商文件要求进场，但承包人使用的施工设备仍不能满足合同进度计划和（或）质量要求时，发包人有权要求承包人增加或更换施工设备，承包人应</w:t>
      </w:r>
      <w:r>
        <w:rPr>
          <w:rFonts w:hint="eastAsia" w:ascii="宋体" w:hAnsi="宋体" w:cs="宋体"/>
          <w:color w:val="auto"/>
          <w:sz w:val="22"/>
          <w:szCs w:val="22"/>
          <w:lang w:val="en-US" w:eastAsia="zh-CN"/>
        </w:rPr>
        <w:t>及时</w:t>
      </w:r>
      <w:r>
        <w:rPr>
          <w:rFonts w:hint="eastAsia" w:ascii="宋体" w:hAnsi="宋体" w:cs="宋体"/>
          <w:color w:val="auto"/>
          <w:sz w:val="22"/>
          <w:szCs w:val="22"/>
        </w:rPr>
        <w:t>增加或更换，由此增加的费用和（或）工期延误由承包人承担。</w:t>
      </w:r>
    </w:p>
    <w:p w14:paraId="6F1EF3D8">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21.8发包人有权随时终止本工程中任何一个分部分项工程，并按报价书中相应内容扣减分部分项工程费、措施费、利润、规费和税金等相关费用，承包人不得因此提出费用补偿要求。</w:t>
      </w:r>
    </w:p>
    <w:p w14:paraId="18A1A563">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21.9在施工过程中征地及安置工作可能滞后，承包人应自行协调和处理当地群众及各安置住户关系，确保正常施工。可能造成工程进度滞后或者费用增加，费用已包含在综合单价和措施费用中，由承包人承担。</w:t>
      </w:r>
    </w:p>
    <w:p w14:paraId="7A4DCE0E">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21.10防发改函</w:t>
      </w:r>
      <w:r>
        <w:rPr>
          <w:rFonts w:hint="eastAsia" w:ascii="宋体" w:hAnsi="宋体" w:cs="宋体"/>
          <w:color w:val="auto"/>
          <w:sz w:val="22"/>
          <w:szCs w:val="22"/>
          <w:lang w:eastAsia="zh-CN"/>
        </w:rPr>
        <w:t>〔2017〕43号</w:t>
      </w:r>
      <w:r>
        <w:rPr>
          <w:rFonts w:hint="eastAsia" w:ascii="宋体" w:hAnsi="宋体" w:cs="宋体"/>
          <w:color w:val="auto"/>
          <w:sz w:val="22"/>
          <w:szCs w:val="22"/>
        </w:rPr>
        <w:t>文件和防发改前期</w:t>
      </w:r>
      <w:r>
        <w:rPr>
          <w:rFonts w:hint="eastAsia" w:ascii="宋体" w:hAnsi="宋体" w:cs="宋体"/>
          <w:color w:val="auto"/>
          <w:sz w:val="22"/>
          <w:szCs w:val="22"/>
          <w:lang w:eastAsia="zh-CN"/>
        </w:rPr>
        <w:t>〔2018〕251号</w:t>
      </w:r>
      <w:r>
        <w:rPr>
          <w:rFonts w:hint="eastAsia" w:ascii="宋体" w:hAnsi="宋体" w:cs="宋体"/>
          <w:color w:val="auto"/>
          <w:sz w:val="22"/>
          <w:szCs w:val="22"/>
        </w:rPr>
        <w:t>文件，属于本合同条款的一部分。</w:t>
      </w:r>
    </w:p>
    <w:p w14:paraId="21ECFFAF">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21.11由于承包人的原因，造成承包人的供应商或劳务工人等参建人员上访、投诉、静坐、聚众闹事等事件时，（1）如聚集总人数在十人以下时，承包人的企业法定代表人必须在接到发包人的通知后24小时内，派出授权人员到发包人指定的地方解决相应问题。（2）如聚集总人数在十人以上时，承包人的企业法定代表人必须在接到发包人的通知后24小时内到发包人指定的地方解决相应问题。如承包人未能按照以上要求处理相关问题，视为承包人授权发包人代为处理，发包人为解决相应问题所采取的一切措施均视为已得到承包人的授权（承包人的授权包括但不限于从承包人的工程款、质量保证金中扣除相应费用来代付承包人拖欠的费用；如以上费用不足时，发包人可以先行垫付，待事情处理完毕7日后承包人再向发包人返还）。承包人承诺，尽管承包人不完全满意发包人所有解决问题的方法及此事造成的最终后果，但处理的过程如在政府相关部门或建设行政相关管理部门的监督和见证下处理，承包人都同意发包人所采取的一切措施及此事造成的最终后果，承包人并承担所有责任。发包人为此做的任何工作将不会减轻承包人的任何责任。</w:t>
      </w:r>
    </w:p>
    <w:p w14:paraId="3766B74B">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21.12尽管合同有其他约定，未经发包人同意，承包人不得将合同权利和义务全部转让给第三人，也不得将合同的义务全部或部分转让给第三人，法律另有规定的除外。</w:t>
      </w:r>
    </w:p>
    <w:p w14:paraId="1CC58849">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21.13发包人按合同约定支付给承包人的各项价款应专用于合同工程。如发包人提出要求，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支付，直至承包人改正为止。</w:t>
      </w:r>
    </w:p>
    <w:p w14:paraId="7159D5B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21.14建安劳保费扣减金额与发包人实际缴纳金额相等，按照发包人实际缴纳金额在最终支付给承包人的结算款中扣减。（1）本工程如有进度款时，则在本合同的进度款累计支付达到合同金额的10%开始扣减建安劳保费，进度款累计支付达到合同金额的30%时全部扣减完成。（2）本工程如无进度款时，建安劳保费由承包人代缴。</w:t>
      </w:r>
    </w:p>
    <w:p w14:paraId="611433A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21.15尽管合同有其他约定，承包人应充分对现场情况进行调查（特别是现场地质情况），不管发包人提供的资料是否完整，当出现与地质有关的变更时，承包人不得以此为由要求调整合同综合单价。承包人的磋商文件中的土石方工程（包括土石比、开挖和运输）、地基与基础工程等有关项目的综合单价已经考虑了上述风险。伐树、挖树根和清除表土的费用包含在相应的土石方单价中，不另行计算。</w:t>
      </w:r>
    </w:p>
    <w:p w14:paraId="5A4777FF">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21.16项目管理人员不称职的定义包括但不限于以下内容：不胜任相应岗位的工作、项目出现偷工减料现象的、出现人员死亡事故的、重复出现相同质量缺陷（事故）或出现问题不积极整改的、被相关部门要求停工整改的、进度比原计划滞后60天以上的、拒绝执行监理人或发包人指令的、违反合同约定及相关规定擅自离开施工现场累计超过60天的、现场安全文明施工未达到规定要求的、出现打架斗殴的、违反相关法律法规的其他情形。尽管无法证明以上情形与被更换人员是否存在直接或者间接关系，但当以上情形发生时，发包人有权更换项目组织机构里面的部分或全部人员，并按照专用条款中的“16.2承包人违约”条款对承包人进行处罚。</w:t>
      </w:r>
    </w:p>
    <w:p w14:paraId="796AB987">
      <w:pPr>
        <w:pStyle w:val="73"/>
        <w:spacing w:line="360" w:lineRule="exact"/>
        <w:ind w:firstLine="440" w:firstLineChars="200"/>
        <w:jc w:val="left"/>
        <w:rPr>
          <w:rFonts w:hint="eastAsia" w:ascii="宋体" w:hAnsi="宋体" w:cs="宋体"/>
          <w:color w:val="auto"/>
          <w:sz w:val="22"/>
          <w:szCs w:val="22"/>
        </w:rPr>
      </w:pPr>
      <w:bookmarkStart w:id="1179" w:name="_Toc9461_WPSOffice_Level2"/>
      <w:r>
        <w:rPr>
          <w:rFonts w:hint="eastAsia" w:ascii="宋体" w:hAnsi="宋体" w:cs="宋体"/>
          <w:color w:val="auto"/>
          <w:sz w:val="22"/>
          <w:szCs w:val="22"/>
        </w:rPr>
        <w:t>21.18 发包人的任何批准不能免除或减轻承包人应承担的任何义务。</w:t>
      </w:r>
      <w:bookmarkEnd w:id="1179"/>
    </w:p>
    <w:p w14:paraId="709EF536">
      <w:pPr>
        <w:pStyle w:val="37"/>
        <w:spacing w:line="360" w:lineRule="auto"/>
        <w:jc w:val="left"/>
        <w:rPr>
          <w:rFonts w:hint="eastAsia" w:ascii="Times New Roman" w:hAnsi="Times New Roman" w:eastAsia="黑体" w:cs="黑体"/>
          <w:b/>
          <w:bCs/>
          <w:color w:val="auto"/>
          <w:sz w:val="28"/>
          <w:szCs w:val="28"/>
        </w:rPr>
      </w:pPr>
    </w:p>
    <w:p w14:paraId="0771CF56">
      <w:pPr>
        <w:pStyle w:val="37"/>
        <w:spacing w:line="360" w:lineRule="auto"/>
        <w:jc w:val="left"/>
        <w:rPr>
          <w:rFonts w:hint="eastAsia" w:ascii="Times New Roman" w:hAnsi="Times New Roman" w:eastAsia="黑体" w:cs="黑体"/>
          <w:b/>
          <w:bCs/>
          <w:color w:val="auto"/>
          <w:sz w:val="28"/>
          <w:szCs w:val="28"/>
        </w:rPr>
      </w:pPr>
    </w:p>
    <w:p w14:paraId="183C4459">
      <w:pPr>
        <w:pStyle w:val="37"/>
        <w:spacing w:line="360" w:lineRule="auto"/>
        <w:ind w:firstLine="562" w:firstLineChars="200"/>
        <w:jc w:val="left"/>
        <w:rPr>
          <w:rFonts w:ascii="Times New Roman" w:hAnsi="Times New Roman" w:eastAsia="黑体"/>
          <w:b/>
          <w:bCs/>
          <w:color w:val="auto"/>
          <w:sz w:val="28"/>
          <w:szCs w:val="28"/>
        </w:rPr>
      </w:pPr>
      <w:r>
        <w:rPr>
          <w:rFonts w:hint="eastAsia" w:ascii="Times New Roman" w:hAnsi="Times New Roman" w:eastAsia="黑体" w:cs="黑体"/>
          <w:b/>
          <w:bCs/>
          <w:color w:val="auto"/>
          <w:sz w:val="28"/>
          <w:szCs w:val="28"/>
        </w:rPr>
        <w:t>附件</w:t>
      </w:r>
      <w:bookmarkEnd w:id="118"/>
    </w:p>
    <w:p w14:paraId="351F0B79">
      <w:pPr>
        <w:pStyle w:val="37"/>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附件</w:t>
      </w:r>
      <w:r>
        <w:rPr>
          <w:rFonts w:ascii="宋体" w:hAnsi="宋体" w:cs="宋体"/>
          <w:color w:val="auto"/>
          <w:szCs w:val="21"/>
        </w:rPr>
        <w:t>1</w:t>
      </w:r>
      <w:r>
        <w:rPr>
          <w:rFonts w:hint="eastAsia" w:ascii="宋体" w:hAnsi="宋体" w:cs="宋体"/>
          <w:color w:val="auto"/>
          <w:szCs w:val="21"/>
        </w:rPr>
        <w:t>：承包人承揽工程项目一览表</w:t>
      </w:r>
    </w:p>
    <w:p w14:paraId="5699F5C0">
      <w:pPr>
        <w:pStyle w:val="37"/>
        <w:spacing w:line="360" w:lineRule="auto"/>
        <w:ind w:firstLine="420" w:firstLineChars="200"/>
        <w:jc w:val="left"/>
        <w:rPr>
          <w:rFonts w:ascii="宋体" w:hAnsi="宋体" w:cs="宋体"/>
          <w:color w:val="auto"/>
          <w:szCs w:val="21"/>
        </w:rPr>
      </w:pPr>
      <w:r>
        <w:rPr>
          <w:rFonts w:hint="eastAsia" w:ascii="宋体" w:hAnsi="宋体" w:cs="宋体"/>
          <w:color w:val="auto"/>
          <w:szCs w:val="21"/>
        </w:rPr>
        <w:t>附件2：工程质量保修书</w:t>
      </w:r>
    </w:p>
    <w:p w14:paraId="19F54102">
      <w:pPr>
        <w:pStyle w:val="37"/>
        <w:spacing w:line="360" w:lineRule="auto"/>
        <w:ind w:firstLine="420" w:firstLineChars="200"/>
        <w:jc w:val="left"/>
        <w:rPr>
          <w:rFonts w:hint="eastAsia" w:ascii="宋体" w:hAnsi="宋体" w:cs="宋体"/>
          <w:color w:val="auto"/>
          <w:szCs w:val="21"/>
        </w:rPr>
      </w:pPr>
      <w:r>
        <w:rPr>
          <w:rFonts w:ascii="宋体" w:hAnsi="宋体" w:cs="宋体"/>
          <w:color w:val="auto"/>
          <w:szCs w:val="21"/>
        </w:rPr>
        <w:t>附件</w:t>
      </w:r>
      <w:r>
        <w:rPr>
          <w:rFonts w:hint="eastAsia" w:ascii="宋体" w:hAnsi="宋体" w:cs="宋体"/>
          <w:color w:val="auto"/>
          <w:szCs w:val="21"/>
        </w:rPr>
        <w:t>3</w:t>
      </w:r>
      <w:r>
        <w:rPr>
          <w:rFonts w:ascii="宋体" w:hAnsi="宋体" w:cs="宋体"/>
          <w:color w:val="auto"/>
          <w:szCs w:val="21"/>
        </w:rPr>
        <w:t>：主要建设工程文件目录</w:t>
      </w:r>
    </w:p>
    <w:p w14:paraId="3CC6729C">
      <w:pPr>
        <w:pStyle w:val="37"/>
        <w:spacing w:line="360" w:lineRule="auto"/>
        <w:ind w:firstLine="420" w:firstLineChars="200"/>
        <w:jc w:val="left"/>
        <w:rPr>
          <w:rFonts w:ascii="宋体" w:hAnsi="宋体" w:cs="宋体"/>
          <w:color w:val="auto"/>
          <w:szCs w:val="21"/>
        </w:rPr>
      </w:pPr>
      <w:r>
        <w:rPr>
          <w:rFonts w:hint="eastAsia" w:ascii="宋体" w:hAnsi="宋体" w:cs="宋体"/>
          <w:color w:val="auto"/>
          <w:szCs w:val="21"/>
        </w:rPr>
        <w:t>附件4：承包人用于本工程施工的机械设备表</w:t>
      </w:r>
    </w:p>
    <w:p w14:paraId="617C7CC3">
      <w:pPr>
        <w:pStyle w:val="37"/>
        <w:spacing w:line="360" w:lineRule="auto"/>
        <w:ind w:firstLine="420" w:firstLineChars="200"/>
        <w:jc w:val="left"/>
        <w:rPr>
          <w:rFonts w:ascii="宋体" w:hAnsi="Times New Roman"/>
          <w:color w:val="auto"/>
          <w:szCs w:val="21"/>
        </w:rPr>
      </w:pPr>
      <w:r>
        <w:rPr>
          <w:rFonts w:hint="eastAsia" w:ascii="宋体" w:hAnsi="宋体" w:cs="宋体"/>
          <w:color w:val="auto"/>
          <w:szCs w:val="21"/>
        </w:rPr>
        <w:t>附件5：承包人主要施工管理人员表</w:t>
      </w:r>
    </w:p>
    <w:p w14:paraId="0AE7254F">
      <w:pPr>
        <w:pStyle w:val="37"/>
        <w:spacing w:line="360" w:lineRule="auto"/>
        <w:ind w:firstLine="420" w:firstLineChars="200"/>
        <w:jc w:val="left"/>
        <w:rPr>
          <w:rFonts w:ascii="宋体" w:hAnsi="Times New Roman"/>
          <w:color w:val="auto"/>
          <w:szCs w:val="21"/>
        </w:rPr>
      </w:pPr>
      <w:r>
        <w:rPr>
          <w:rFonts w:hint="eastAsia" w:ascii="宋体" w:hAnsi="宋体" w:cs="宋体"/>
          <w:color w:val="auto"/>
          <w:szCs w:val="21"/>
        </w:rPr>
        <w:t>附件6：分包人主要施工管理人员表</w:t>
      </w:r>
    </w:p>
    <w:p w14:paraId="50C08088">
      <w:pPr>
        <w:pStyle w:val="37"/>
        <w:spacing w:line="360" w:lineRule="auto"/>
        <w:ind w:firstLine="420" w:firstLineChars="200"/>
        <w:jc w:val="left"/>
        <w:rPr>
          <w:rFonts w:ascii="宋体" w:hAnsi="Times New Roman"/>
          <w:color w:val="auto"/>
          <w:szCs w:val="21"/>
        </w:rPr>
      </w:pPr>
      <w:r>
        <w:rPr>
          <w:rFonts w:hint="eastAsia" w:ascii="宋体" w:hAnsi="宋体" w:cs="宋体"/>
          <w:color w:val="auto"/>
          <w:szCs w:val="21"/>
        </w:rPr>
        <w:t>附件7：履约担保格式</w:t>
      </w:r>
    </w:p>
    <w:p w14:paraId="3BD5D59D">
      <w:pPr>
        <w:pStyle w:val="37"/>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附件8：预付款担保格式</w:t>
      </w:r>
    </w:p>
    <w:p w14:paraId="6B38908C">
      <w:pPr>
        <w:pStyle w:val="37"/>
        <w:spacing w:line="360" w:lineRule="auto"/>
        <w:ind w:firstLine="420" w:firstLineChars="200"/>
        <w:jc w:val="left"/>
        <w:rPr>
          <w:rFonts w:ascii="宋体" w:hAnsi="宋体" w:cs="宋体"/>
          <w:color w:val="auto"/>
          <w:szCs w:val="21"/>
        </w:rPr>
      </w:pPr>
      <w:r>
        <w:rPr>
          <w:rFonts w:hint="eastAsia" w:ascii="宋体" w:hAnsi="宋体" w:cs="宋体"/>
          <w:color w:val="auto"/>
          <w:szCs w:val="21"/>
        </w:rPr>
        <w:t>附件9：支付担保格式</w:t>
      </w:r>
    </w:p>
    <w:p w14:paraId="48257006">
      <w:pPr>
        <w:pStyle w:val="37"/>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附件10：预付款</w:t>
      </w:r>
      <w:r>
        <w:rPr>
          <w:rFonts w:hint="eastAsia" w:ascii="Times New Roman" w:hAnsi="Times New Roman"/>
          <w:color w:val="auto"/>
          <w:szCs w:val="21"/>
        </w:rPr>
        <w:t>支付申请（核准）表</w:t>
      </w:r>
    </w:p>
    <w:p w14:paraId="549CADC1">
      <w:pPr>
        <w:pStyle w:val="37"/>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附件11：</w:t>
      </w:r>
      <w:r>
        <w:rPr>
          <w:rFonts w:hint="eastAsia" w:ascii="Times New Roman" w:hAnsi="Times New Roman"/>
          <w:color w:val="auto"/>
          <w:szCs w:val="21"/>
        </w:rPr>
        <w:t>进度款支付申请（核准）表</w:t>
      </w:r>
    </w:p>
    <w:p w14:paraId="0A65B6C7">
      <w:pPr>
        <w:pStyle w:val="37"/>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附件12：竣工结算</w:t>
      </w:r>
      <w:r>
        <w:rPr>
          <w:rFonts w:hint="eastAsia" w:ascii="Times New Roman" w:hAnsi="Times New Roman"/>
          <w:color w:val="auto"/>
          <w:szCs w:val="21"/>
        </w:rPr>
        <w:t>款支付申请（核准）表</w:t>
      </w:r>
    </w:p>
    <w:p w14:paraId="393F8D44">
      <w:pPr>
        <w:pStyle w:val="37"/>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附件13：最终结算</w:t>
      </w:r>
      <w:r>
        <w:rPr>
          <w:rFonts w:hint="eastAsia" w:ascii="Times New Roman" w:hAnsi="Times New Roman"/>
          <w:color w:val="auto"/>
          <w:szCs w:val="21"/>
        </w:rPr>
        <w:t>款支付申请（核准）表</w:t>
      </w:r>
    </w:p>
    <w:p w14:paraId="0977A173">
      <w:pPr>
        <w:pStyle w:val="37"/>
        <w:spacing w:line="360" w:lineRule="auto"/>
        <w:ind w:firstLine="420" w:firstLineChars="200"/>
        <w:jc w:val="left"/>
        <w:rPr>
          <w:rFonts w:hint="eastAsia" w:ascii="Times New Roman" w:hAnsi="Times New Roman"/>
          <w:color w:val="auto"/>
          <w:szCs w:val="21"/>
        </w:rPr>
      </w:pPr>
      <w:r>
        <w:rPr>
          <w:rFonts w:hint="eastAsia" w:ascii="Times New Roman" w:hAnsi="Times New Roman"/>
          <w:color w:val="auto"/>
          <w:szCs w:val="21"/>
        </w:rPr>
        <w:t>附件14：总价合同进度款支付分解表</w:t>
      </w:r>
    </w:p>
    <w:p w14:paraId="04D879D3">
      <w:pPr>
        <w:pStyle w:val="37"/>
        <w:spacing w:line="360" w:lineRule="auto"/>
        <w:ind w:firstLine="420" w:firstLineChars="200"/>
        <w:jc w:val="left"/>
        <w:rPr>
          <w:rFonts w:hint="eastAsia" w:ascii="Times New Roman" w:hAnsi="Times New Roman"/>
          <w:color w:val="auto"/>
          <w:szCs w:val="21"/>
          <w:lang w:val="en-US" w:eastAsia="zh-CN"/>
        </w:rPr>
      </w:pPr>
      <w:r>
        <w:rPr>
          <w:rFonts w:hint="eastAsia" w:ascii="Times New Roman" w:hAnsi="Times New Roman"/>
          <w:color w:val="auto"/>
          <w:szCs w:val="21"/>
        </w:rPr>
        <w:t>附件1</w:t>
      </w:r>
      <w:r>
        <w:rPr>
          <w:rFonts w:hint="eastAsia" w:ascii="Times New Roman" w:hAnsi="Times New Roman"/>
          <w:color w:val="auto"/>
          <w:szCs w:val="21"/>
          <w:lang w:val="en-US" w:eastAsia="zh-CN"/>
        </w:rPr>
        <w:t>5</w:t>
      </w:r>
      <w:r>
        <w:rPr>
          <w:rFonts w:hint="eastAsia" w:ascii="Times New Roman" w:hAnsi="Times New Roman"/>
          <w:color w:val="auto"/>
          <w:szCs w:val="21"/>
        </w:rPr>
        <w:t>：</w:t>
      </w:r>
      <w:r>
        <w:rPr>
          <w:rFonts w:hint="eastAsia" w:ascii="Times New Roman" w:hAnsi="Times New Roman"/>
          <w:color w:val="auto"/>
          <w:szCs w:val="21"/>
          <w:lang w:val="en-US" w:eastAsia="zh-CN"/>
        </w:rPr>
        <w:t>欠薪催告函</w:t>
      </w:r>
    </w:p>
    <w:p w14:paraId="2958D878">
      <w:pPr>
        <w:pStyle w:val="37"/>
        <w:spacing w:line="360" w:lineRule="auto"/>
        <w:ind w:firstLine="420" w:firstLineChars="200"/>
        <w:jc w:val="left"/>
        <w:rPr>
          <w:rFonts w:hint="eastAsia" w:ascii="Times New Roman" w:hAnsi="Times New Roman"/>
          <w:color w:val="auto"/>
          <w:szCs w:val="21"/>
          <w:lang w:val="en-US" w:eastAsia="zh-CN"/>
        </w:rPr>
      </w:pPr>
      <w:r>
        <w:rPr>
          <w:rFonts w:hint="eastAsia" w:ascii="Times New Roman" w:hAnsi="Times New Roman"/>
          <w:color w:val="auto"/>
          <w:szCs w:val="21"/>
          <w:lang w:val="en-US" w:eastAsia="zh-CN"/>
        </w:rPr>
        <w:t>附件16：项目安全文明施工费使用明细表</w:t>
      </w:r>
    </w:p>
    <w:p w14:paraId="564F55AC">
      <w:pPr>
        <w:pStyle w:val="37"/>
        <w:spacing w:line="360" w:lineRule="auto"/>
        <w:ind w:firstLine="420" w:firstLineChars="200"/>
        <w:jc w:val="left"/>
        <w:rPr>
          <w:rFonts w:hint="default" w:ascii="Times New Roman" w:hAnsi="Times New Roman"/>
          <w:color w:val="auto"/>
          <w:szCs w:val="21"/>
          <w:lang w:val="en-US" w:eastAsia="zh-CN"/>
        </w:rPr>
      </w:pPr>
      <w:r>
        <w:rPr>
          <w:rFonts w:hint="eastAsia" w:ascii="Times New Roman" w:hAnsi="Times New Roman"/>
          <w:color w:val="auto"/>
          <w:szCs w:val="21"/>
          <w:lang w:val="en-US" w:eastAsia="zh-CN"/>
        </w:rPr>
        <w:t>附件17：</w:t>
      </w:r>
      <w:r>
        <w:rPr>
          <w:rFonts w:hint="default" w:ascii="Times New Roman" w:hAnsi="Times New Roman"/>
          <w:color w:val="auto"/>
          <w:szCs w:val="21"/>
          <w:lang w:val="en-US" w:eastAsia="zh-CN"/>
        </w:rPr>
        <w:t>项目原材料进场登记表</w:t>
      </w:r>
    </w:p>
    <w:p w14:paraId="76C1412E">
      <w:pPr>
        <w:pStyle w:val="37"/>
        <w:spacing w:line="360" w:lineRule="auto"/>
        <w:ind w:firstLine="440" w:firstLineChars="200"/>
        <w:jc w:val="left"/>
        <w:rPr>
          <w:rFonts w:hint="default" w:ascii="Times New Roman" w:hAnsi="Times New Roman"/>
          <w:color w:val="auto"/>
          <w:szCs w:val="21"/>
          <w:lang w:val="en-US" w:eastAsia="zh-CN"/>
        </w:rPr>
      </w:pPr>
      <w:r>
        <w:rPr>
          <w:rFonts w:hint="eastAsia" w:ascii="宋体" w:hAnsi="宋体" w:cs="宋体"/>
          <w:i w:val="0"/>
          <w:iCs w:val="0"/>
          <w:color w:val="auto"/>
          <w:kern w:val="0"/>
          <w:sz w:val="22"/>
          <w:szCs w:val="22"/>
          <w:u w:val="none"/>
          <w:lang w:val="en-US" w:eastAsia="zh-CN" w:bidi="ar"/>
        </w:rPr>
        <w:t>附件18：</w:t>
      </w:r>
      <w:r>
        <w:rPr>
          <w:rFonts w:hint="eastAsia" w:ascii="宋体" w:hAnsi="宋体" w:eastAsia="宋体" w:cs="宋体"/>
          <w:i w:val="0"/>
          <w:iCs w:val="0"/>
          <w:color w:val="auto"/>
          <w:kern w:val="0"/>
          <w:sz w:val="22"/>
          <w:szCs w:val="22"/>
          <w:u w:val="none"/>
          <w:lang w:val="en-US" w:eastAsia="zh-CN" w:bidi="ar"/>
        </w:rPr>
        <w:t>项目农民工工资发放登记表</w:t>
      </w:r>
    </w:p>
    <w:p w14:paraId="44EDE25C">
      <w:pPr>
        <w:pStyle w:val="37"/>
        <w:spacing w:line="460" w:lineRule="exact"/>
        <w:ind w:firstLine="420" w:firstLineChars="200"/>
        <w:rPr>
          <w:rFonts w:ascii="Times New Roman" w:hAnsi="Times New Roman"/>
          <w:color w:val="auto"/>
          <w:szCs w:val="21"/>
        </w:rPr>
      </w:pPr>
    </w:p>
    <w:p w14:paraId="204AF5C6">
      <w:pPr>
        <w:pStyle w:val="37"/>
        <w:spacing w:line="460" w:lineRule="exact"/>
        <w:rPr>
          <w:rFonts w:ascii="Times New Roman" w:hAnsi="Times New Roman"/>
          <w:color w:val="auto"/>
          <w:szCs w:val="21"/>
        </w:rPr>
        <w:sectPr>
          <w:footerReference r:id="rId4" w:type="default"/>
          <w:pgSz w:w="11906" w:h="16838"/>
          <w:pgMar w:top="1134" w:right="1134" w:bottom="567" w:left="1417" w:header="567" w:footer="567" w:gutter="0"/>
          <w:pgNumType w:fmt="decimal"/>
          <w:cols w:space="720" w:num="1"/>
          <w:docGrid w:type="lines" w:linePitch="312" w:charSpace="0"/>
        </w:sectPr>
      </w:pPr>
    </w:p>
    <w:p w14:paraId="6D940876">
      <w:pPr>
        <w:pStyle w:val="37"/>
        <w:spacing w:before="156" w:beforeLines="50" w:after="156" w:afterLines="50" w:line="440" w:lineRule="exact"/>
        <w:ind w:firstLine="600" w:firstLineChars="200"/>
        <w:jc w:val="left"/>
        <w:rPr>
          <w:rFonts w:ascii="仿宋_GB2312" w:hAnsi="Times New Roman" w:eastAsia="仿宋_GB2312"/>
          <w:color w:val="auto"/>
          <w:sz w:val="30"/>
          <w:szCs w:val="30"/>
        </w:rPr>
      </w:pPr>
      <w:r>
        <w:rPr>
          <w:rFonts w:hint="eastAsia" w:ascii="仿宋_GB2312" w:hAnsi="Times New Roman" w:eastAsia="仿宋_GB2312" w:cs="仿宋_GB2312"/>
          <w:color w:val="auto"/>
          <w:sz w:val="30"/>
          <w:szCs w:val="30"/>
        </w:rPr>
        <w:t>附件</w:t>
      </w:r>
      <w:r>
        <w:rPr>
          <w:rFonts w:ascii="仿宋_GB2312" w:hAnsi="Times New Roman" w:eastAsia="仿宋_GB2312" w:cs="仿宋_GB2312"/>
          <w:color w:val="auto"/>
          <w:sz w:val="30"/>
          <w:szCs w:val="30"/>
        </w:rPr>
        <w:t>1</w:t>
      </w:r>
      <w:r>
        <w:rPr>
          <w:rFonts w:hint="eastAsia" w:ascii="仿宋_GB2312" w:hAnsi="Times New Roman" w:eastAsia="仿宋_GB2312" w:cs="仿宋_GB2312"/>
          <w:color w:val="auto"/>
          <w:sz w:val="30"/>
          <w:szCs w:val="30"/>
        </w:rPr>
        <w:t>：</w:t>
      </w:r>
    </w:p>
    <w:p w14:paraId="01667049">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承包人承揽工程项目一览表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91"/>
        <w:gridCol w:w="779"/>
        <w:gridCol w:w="1530"/>
        <w:gridCol w:w="1661"/>
        <w:gridCol w:w="850"/>
        <w:gridCol w:w="1560"/>
        <w:gridCol w:w="1972"/>
        <w:gridCol w:w="1571"/>
        <w:gridCol w:w="851"/>
        <w:gridCol w:w="850"/>
      </w:tblGrid>
      <w:tr w14:paraId="010F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91" w:type="dxa"/>
            <w:noWrap w:val="0"/>
            <w:vAlign w:val="center"/>
          </w:tcPr>
          <w:p w14:paraId="317204A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单位工程名称</w:t>
            </w:r>
          </w:p>
        </w:tc>
        <w:tc>
          <w:tcPr>
            <w:tcW w:w="779" w:type="dxa"/>
            <w:noWrap w:val="0"/>
            <w:vAlign w:val="center"/>
          </w:tcPr>
          <w:p w14:paraId="621C1BB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建设规模</w:t>
            </w:r>
          </w:p>
        </w:tc>
        <w:tc>
          <w:tcPr>
            <w:tcW w:w="1530" w:type="dxa"/>
            <w:noWrap w:val="0"/>
            <w:vAlign w:val="center"/>
          </w:tcPr>
          <w:p w14:paraId="1C89774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建筑面积</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平方米</w:t>
            </w:r>
            <w:r>
              <w:rPr>
                <w:rFonts w:hint="eastAsia" w:ascii="Times New Roman" w:hAnsi="Times New Roman" w:eastAsia="仿宋_GB2312" w:cs="仿宋_GB2312"/>
                <w:color w:val="auto"/>
                <w:sz w:val="28"/>
                <w:szCs w:val="28"/>
                <w:lang w:eastAsia="zh-CN"/>
              </w:rPr>
              <w:t>）</w:t>
            </w:r>
          </w:p>
        </w:tc>
        <w:tc>
          <w:tcPr>
            <w:tcW w:w="1661" w:type="dxa"/>
            <w:noWrap w:val="0"/>
            <w:vAlign w:val="center"/>
          </w:tcPr>
          <w:p w14:paraId="5AA6AB8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结构形式</w:t>
            </w:r>
          </w:p>
        </w:tc>
        <w:tc>
          <w:tcPr>
            <w:tcW w:w="850" w:type="dxa"/>
            <w:noWrap w:val="0"/>
            <w:vAlign w:val="center"/>
          </w:tcPr>
          <w:p w14:paraId="25FE02E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层数</w:t>
            </w:r>
          </w:p>
        </w:tc>
        <w:tc>
          <w:tcPr>
            <w:tcW w:w="1560" w:type="dxa"/>
            <w:noWrap w:val="0"/>
            <w:vAlign w:val="center"/>
          </w:tcPr>
          <w:p w14:paraId="771C248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生产能力</w:t>
            </w:r>
          </w:p>
        </w:tc>
        <w:tc>
          <w:tcPr>
            <w:tcW w:w="1972" w:type="dxa"/>
            <w:noWrap w:val="0"/>
            <w:vAlign w:val="center"/>
          </w:tcPr>
          <w:p w14:paraId="5B70978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设备安装内容</w:t>
            </w:r>
          </w:p>
        </w:tc>
        <w:tc>
          <w:tcPr>
            <w:tcW w:w="1571" w:type="dxa"/>
            <w:noWrap w:val="0"/>
            <w:vAlign w:val="center"/>
          </w:tcPr>
          <w:p w14:paraId="61A8721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合同价格（元）</w:t>
            </w:r>
          </w:p>
        </w:tc>
        <w:tc>
          <w:tcPr>
            <w:tcW w:w="851" w:type="dxa"/>
            <w:noWrap w:val="0"/>
            <w:vAlign w:val="center"/>
          </w:tcPr>
          <w:p w14:paraId="031624E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开工日期</w:t>
            </w:r>
          </w:p>
        </w:tc>
        <w:tc>
          <w:tcPr>
            <w:tcW w:w="850" w:type="dxa"/>
            <w:noWrap w:val="0"/>
            <w:vAlign w:val="center"/>
          </w:tcPr>
          <w:p w14:paraId="757C44A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竣工日期</w:t>
            </w:r>
          </w:p>
        </w:tc>
      </w:tr>
      <w:tr w14:paraId="3F3A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2191" w:type="dxa"/>
            <w:noWrap w:val="0"/>
            <w:vAlign w:val="center"/>
          </w:tcPr>
          <w:p w14:paraId="6214B4D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405630B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708B598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C1E3E5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1519ACA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1620313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550630C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1B8ACFE3">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46B8F9E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4F24C85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615E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6E84FDA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478BE25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270F861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3BD299C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34DCB2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30DE101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6C35CE1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694D7F9B">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3D39704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345D7A4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312E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52B4BDF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3393CA2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16EAB02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29BBDCF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830FB5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30B14BF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611A0FF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1DF41DF0">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566088F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339E6DC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5F02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040211D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1ED768C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56C3B41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5718B96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B5449C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675DF81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422DCD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76E06883">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67A3F7F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54BA829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0380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1929F53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2B7304D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1D9025D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B60403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74060C7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1DA4AE1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D71C67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62F05AB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2BD6728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6BB3CA2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6665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2595B77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6C32B19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7E3E12D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47D794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7446BA0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7A7ABEC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65700AB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109B844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4CF431E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F93880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09DB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58E7026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1042D1B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0FD9A53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24861A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5799B4C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6C27727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4A8504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45DAD54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5E1C3A3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4BC21D5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68C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1CC86AB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324EF63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1F78946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375EC33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2BA39A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525E746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65F0E7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584D77F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58EDD52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79378E4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bl>
    <w:p w14:paraId="047F4D72">
      <w:pPr>
        <w:pStyle w:val="37"/>
        <w:spacing w:line="460" w:lineRule="exact"/>
        <w:ind w:firstLine="420" w:firstLineChars="200"/>
        <w:rPr>
          <w:rFonts w:ascii="Times New Roman" w:hAnsi="Times New Roman"/>
          <w:color w:val="auto"/>
          <w:szCs w:val="21"/>
        </w:rPr>
        <w:sectPr>
          <w:pgSz w:w="16838" w:h="11906" w:orient="landscape"/>
          <w:pgMar w:top="1417" w:right="1134" w:bottom="1134" w:left="567" w:header="851" w:footer="992" w:gutter="0"/>
          <w:pgNumType w:fmt="decimal"/>
          <w:cols w:space="720" w:num="1"/>
          <w:docGrid w:type="lines" w:linePitch="312" w:charSpace="0"/>
        </w:sectPr>
      </w:pPr>
    </w:p>
    <w:p w14:paraId="16F90705">
      <w:pPr>
        <w:pStyle w:val="37"/>
        <w:spacing w:line="440" w:lineRule="exact"/>
        <w:ind w:firstLine="600" w:firstLineChars="200"/>
        <w:rPr>
          <w:rFonts w:ascii="Times New Roman" w:hAnsi="Times New Roman"/>
          <w:color w:val="auto"/>
          <w:sz w:val="30"/>
          <w:szCs w:val="30"/>
        </w:rPr>
      </w:pPr>
      <w:r>
        <w:rPr>
          <w:rFonts w:hint="eastAsia" w:ascii="Times New Roman" w:hAnsi="宋体" w:cs="宋体"/>
          <w:color w:val="auto"/>
          <w:sz w:val="30"/>
          <w:szCs w:val="30"/>
        </w:rPr>
        <w:t>附件</w:t>
      </w:r>
      <w:r>
        <w:rPr>
          <w:rFonts w:hint="eastAsia" w:ascii="Times New Roman" w:hAnsi="Times New Roman"/>
          <w:color w:val="auto"/>
          <w:sz w:val="30"/>
          <w:szCs w:val="30"/>
        </w:rPr>
        <w:t>2</w:t>
      </w:r>
      <w:r>
        <w:rPr>
          <w:rFonts w:hint="eastAsia" w:ascii="Times New Roman" w:hAnsi="宋体" w:cs="宋体"/>
          <w:color w:val="auto"/>
          <w:sz w:val="30"/>
          <w:szCs w:val="30"/>
        </w:rPr>
        <w:t>：</w:t>
      </w:r>
    </w:p>
    <w:p w14:paraId="280C0DB6">
      <w:pPr>
        <w:pStyle w:val="37"/>
        <w:spacing w:before="156" w:beforeLines="50" w:after="156" w:afterLines="50" w:line="440" w:lineRule="exact"/>
        <w:ind w:firstLine="640" w:firstLineChars="200"/>
        <w:jc w:val="center"/>
        <w:rPr>
          <w:rFonts w:ascii="黑体" w:hAnsi="Times New Roman" w:eastAsia="黑体"/>
          <w:color w:val="auto"/>
          <w:sz w:val="32"/>
          <w:szCs w:val="32"/>
        </w:rPr>
      </w:pPr>
      <w:r>
        <w:rPr>
          <w:rFonts w:hint="eastAsia" w:ascii="黑体" w:hAnsi="宋体" w:eastAsia="黑体" w:cs="黑体"/>
          <w:color w:val="auto"/>
          <w:sz w:val="32"/>
          <w:szCs w:val="32"/>
        </w:rPr>
        <w:t>工程质量保修书</w:t>
      </w:r>
    </w:p>
    <w:p w14:paraId="7D51CB85">
      <w:pPr>
        <w:pStyle w:val="37"/>
        <w:spacing w:line="360" w:lineRule="auto"/>
        <w:ind w:firstLine="420" w:firstLineChars="200"/>
        <w:rPr>
          <w:rFonts w:ascii="宋体" w:hAnsi="Times New Roman"/>
          <w:color w:val="auto"/>
          <w:szCs w:val="21"/>
        </w:rPr>
      </w:pPr>
      <w:r>
        <w:rPr>
          <w:rFonts w:hint="eastAsia" w:ascii="宋体" w:hAnsi="Times New Roman"/>
          <w:color w:val="auto"/>
          <w:szCs w:val="21"/>
        </w:rPr>
        <w:t>发包人：</w:t>
      </w:r>
      <w:r>
        <w:rPr>
          <w:rFonts w:hint="eastAsia" w:ascii="宋体" w:hAnsi="Times New Roman"/>
          <w:color w:val="auto"/>
          <w:szCs w:val="21"/>
          <w:u w:val="single"/>
        </w:rPr>
        <w:t xml:space="preserve"> </w:t>
      </w:r>
      <w:r>
        <w:rPr>
          <w:rFonts w:hint="eastAsia" w:ascii="宋体" w:hAnsi="Times New Roman"/>
          <w:color w:val="auto"/>
          <w:szCs w:val="21"/>
          <w:u w:val="single"/>
          <w:lang w:val="en-US" w:eastAsia="zh-CN"/>
        </w:rPr>
        <w:t xml:space="preserve"> ************</w:t>
      </w:r>
      <w:r>
        <w:rPr>
          <w:rFonts w:hint="eastAsia" w:ascii="宋体" w:hAnsi="Times New Roman"/>
          <w:color w:val="auto"/>
          <w:szCs w:val="21"/>
        </w:rPr>
        <w:t xml:space="preserve"> </w:t>
      </w:r>
      <w:r>
        <w:rPr>
          <w:rFonts w:hint="eastAsia" w:ascii="宋体" w:hAnsi="Times New Roman"/>
          <w:color w:val="auto"/>
          <w:szCs w:val="21"/>
          <w:lang w:val="en-US" w:eastAsia="zh-CN"/>
        </w:rPr>
        <w:t xml:space="preserve"> </w:t>
      </w:r>
    </w:p>
    <w:p w14:paraId="2AD94BE2">
      <w:pPr>
        <w:pStyle w:val="37"/>
        <w:spacing w:line="360" w:lineRule="auto"/>
        <w:rPr>
          <w:rFonts w:ascii="宋体" w:hAnsi="Times New Roman"/>
          <w:color w:val="auto"/>
          <w:szCs w:val="21"/>
        </w:rPr>
      </w:pPr>
    </w:p>
    <w:p w14:paraId="511BD563">
      <w:pPr>
        <w:pStyle w:val="37"/>
        <w:spacing w:line="360" w:lineRule="auto"/>
        <w:ind w:firstLine="420" w:firstLineChars="200"/>
        <w:rPr>
          <w:rFonts w:ascii="宋体" w:hAnsi="Times New Roman"/>
          <w:color w:val="auto"/>
          <w:szCs w:val="21"/>
        </w:rPr>
      </w:pPr>
      <w:r>
        <w:rPr>
          <w:rFonts w:hint="eastAsia" w:ascii="宋体" w:hAnsi="Times New Roman"/>
          <w:color w:val="auto"/>
          <w:szCs w:val="21"/>
        </w:rPr>
        <w:t>承包人：</w:t>
      </w:r>
      <w:r>
        <w:rPr>
          <w:rFonts w:hint="eastAsia" w:ascii="宋体" w:hAnsi="Times New Roman"/>
          <w:color w:val="auto"/>
          <w:szCs w:val="21"/>
          <w:u w:val="single"/>
        </w:rPr>
        <w:t xml:space="preserve"> </w:t>
      </w:r>
      <w:r>
        <w:rPr>
          <w:rFonts w:hint="eastAsia" w:ascii="宋体" w:hAnsi="Times New Roman"/>
          <w:color w:val="auto"/>
          <w:szCs w:val="21"/>
          <w:u w:val="single"/>
          <w:lang w:val="en-US" w:eastAsia="zh-CN"/>
        </w:rPr>
        <w:t>************</w:t>
      </w:r>
      <w:r>
        <w:rPr>
          <w:rFonts w:hint="eastAsia" w:ascii="宋体" w:hAnsi="Times New Roman"/>
          <w:color w:val="auto"/>
          <w:szCs w:val="21"/>
          <w:lang w:val="en-US" w:eastAsia="zh-CN"/>
        </w:rPr>
        <w:t xml:space="preserve"> </w:t>
      </w:r>
    </w:p>
    <w:p w14:paraId="7419DDAA">
      <w:pPr>
        <w:pStyle w:val="37"/>
        <w:spacing w:line="360" w:lineRule="auto"/>
        <w:rPr>
          <w:rFonts w:ascii="宋体" w:hAnsi="Times New Roman"/>
          <w:color w:val="auto"/>
          <w:szCs w:val="21"/>
        </w:rPr>
      </w:pPr>
    </w:p>
    <w:p w14:paraId="32DD9B2B">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发包人和承包人根据《中华人民共和国建筑法》和《建设工程质量管理条例》，经协商一致就</w:t>
      </w:r>
      <w:r>
        <w:rPr>
          <w:rFonts w:ascii="宋体" w:hAnsi="宋体" w:cs="宋体"/>
          <w:color w:val="auto"/>
          <w:szCs w:val="21"/>
          <w:u w:val="single"/>
        </w:rPr>
        <w:t xml:space="preserve">  </w:t>
      </w:r>
      <w:r>
        <w:rPr>
          <w:rFonts w:hint="eastAsia" w:hAnsi="宋体"/>
          <w:color w:val="auto"/>
          <w:sz w:val="22"/>
          <w:u w:val="single"/>
          <w:lang w:val="en-US" w:eastAsia="zh-CN"/>
        </w:rPr>
        <w:t>**************</w:t>
      </w:r>
      <w:r>
        <w:rPr>
          <w:rFonts w:ascii="宋体" w:hAnsi="宋体" w:cs="宋体"/>
          <w:color w:val="auto"/>
          <w:szCs w:val="21"/>
          <w:u w:val="single"/>
        </w:rPr>
        <w:t xml:space="preserve">  </w:t>
      </w:r>
      <w:r>
        <w:rPr>
          <w:rFonts w:hint="eastAsia" w:ascii="宋体" w:hAnsi="宋体" w:cs="宋体"/>
          <w:color w:val="auto"/>
          <w:szCs w:val="21"/>
        </w:rPr>
        <w:t>（工程全称）签订工程质量保修书。</w:t>
      </w:r>
    </w:p>
    <w:p w14:paraId="0892F182">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一、工程质量保修范围和内容</w:t>
      </w:r>
    </w:p>
    <w:p w14:paraId="404B714E">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承包人在质量保修期内，按照有关法律规定和合同约定，承担工程质量保修责任。</w:t>
      </w:r>
    </w:p>
    <w:p w14:paraId="45B9A540">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质量保修范围包括</w:t>
      </w:r>
      <w:r>
        <w:rPr>
          <w:rFonts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hAnsi="宋体"/>
          <w:bCs/>
          <w:color w:val="auto"/>
          <w:sz w:val="22"/>
          <w:u w:val="single"/>
          <w:lang w:val="en-US" w:eastAsia="zh-CN"/>
        </w:rPr>
        <w:t>，</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color w:val="auto"/>
          <w:sz w:val="22"/>
        </w:rPr>
        <w:t>。</w:t>
      </w:r>
      <w:r>
        <w:rPr>
          <w:rFonts w:hint="eastAsia" w:ascii="宋体" w:hAnsi="宋体" w:cs="宋体"/>
          <w:color w:val="auto"/>
          <w:szCs w:val="21"/>
        </w:rPr>
        <w:t>以及双方约定的其他项目。具体保修的内容，双方约定如下：</w:t>
      </w:r>
    </w:p>
    <w:p w14:paraId="2559AC76">
      <w:pPr>
        <w:pStyle w:val="37"/>
        <w:spacing w:line="360" w:lineRule="auto"/>
        <w:ind w:firstLine="420" w:firstLineChars="200"/>
        <w:rPr>
          <w:rFonts w:ascii="宋体" w:hAnsi="Times New Roman"/>
          <w:color w:val="auto"/>
          <w:szCs w:val="21"/>
        </w:rPr>
      </w:pPr>
      <w:r>
        <w:rPr>
          <w:rFonts w:ascii="宋体" w:hAnsi="宋体" w:cs="宋体"/>
          <w:color w:val="auto"/>
          <w:szCs w:val="21"/>
          <w:u w:val="single"/>
        </w:rPr>
        <w:t xml:space="preserve">                                                                                                                                                        </w:t>
      </w:r>
      <w:r>
        <w:rPr>
          <w:rFonts w:hint="eastAsia" w:ascii="宋体" w:hAnsi="宋体" w:cs="宋体"/>
          <w:color w:val="auto"/>
          <w:szCs w:val="21"/>
        </w:rPr>
        <w:t>。</w:t>
      </w:r>
    </w:p>
    <w:p w14:paraId="49CF896F">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二、质量保修期</w:t>
      </w:r>
    </w:p>
    <w:p w14:paraId="7D5A21BA">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根据《建设工程质量管理条例》及有关规定，工程的质量保修期如下：</w:t>
      </w:r>
    </w:p>
    <w:p w14:paraId="407945BE">
      <w:pPr>
        <w:pStyle w:val="37"/>
        <w:spacing w:line="360" w:lineRule="auto"/>
        <w:ind w:firstLine="420" w:firstLineChars="200"/>
        <w:rPr>
          <w:rFonts w:ascii="Times New Roman" w:hAnsi="Times New Roman"/>
          <w:color w:val="auto"/>
          <w:szCs w:val="21"/>
        </w:rPr>
      </w:pPr>
      <w:r>
        <w:rPr>
          <w:rFonts w:ascii="宋体" w:hAnsi="宋体" w:cs="宋体"/>
          <w:color w:val="auto"/>
          <w:szCs w:val="21"/>
        </w:rPr>
        <w:t>1</w:t>
      </w:r>
      <w:r>
        <w:rPr>
          <w:rFonts w:hint="eastAsia" w:ascii="宋体" w:hAnsi="宋体" w:cs="宋体"/>
          <w:color w:val="auto"/>
          <w:szCs w:val="21"/>
        </w:rPr>
        <w:t>．</w:t>
      </w:r>
      <w:r>
        <w:rPr>
          <w:rFonts w:hint="eastAsia" w:ascii="Times New Roman" w:hAnsi="Times New Roman" w:cs="宋体"/>
          <w:color w:val="auto"/>
          <w:szCs w:val="21"/>
        </w:rPr>
        <w:t>桥梁工程为</w:t>
      </w:r>
      <w:r>
        <w:rPr>
          <w:rFonts w:ascii="Times New Roman" w:hAnsi="Times New Roman"/>
          <w:color w:val="auto"/>
          <w:szCs w:val="21"/>
          <w:u w:val="single"/>
        </w:rPr>
        <w:t xml:space="preserve">     </w:t>
      </w:r>
      <w:r>
        <w:rPr>
          <w:rFonts w:hint="eastAsia" w:ascii="Times New Roman" w:hAnsi="Times New Roman" w:cs="宋体"/>
          <w:color w:val="auto"/>
          <w:szCs w:val="21"/>
        </w:rPr>
        <w:t>年（建议桥梁隧道主体结构工程为设计文件规定的合理使用年限）；</w:t>
      </w:r>
    </w:p>
    <w:p w14:paraId="25F1C809">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2</w:t>
      </w:r>
      <w:r>
        <w:rPr>
          <w:rFonts w:hint="eastAsia" w:ascii="宋体" w:hAnsi="宋体" w:cs="宋体"/>
          <w:color w:val="auto"/>
          <w:szCs w:val="21"/>
        </w:rPr>
        <w:t>．</w:t>
      </w:r>
      <w:r>
        <w:rPr>
          <w:rFonts w:hint="eastAsia" w:ascii="Times New Roman" w:hAnsi="Times New Roman" w:cs="宋体"/>
          <w:color w:val="auto"/>
          <w:szCs w:val="21"/>
        </w:rPr>
        <w:t>道路工程为</w:t>
      </w:r>
      <w:r>
        <w:rPr>
          <w:rFonts w:ascii="Times New Roman" w:hAnsi="Times New Roman"/>
          <w:color w:val="auto"/>
          <w:szCs w:val="21"/>
          <w:u w:val="single"/>
        </w:rPr>
        <w:t xml:space="preserve">     </w:t>
      </w:r>
      <w:r>
        <w:rPr>
          <w:rFonts w:hint="eastAsia" w:ascii="Times New Roman" w:hAnsi="Times New Roman" w:cs="宋体"/>
          <w:color w:val="auto"/>
          <w:szCs w:val="21"/>
        </w:rPr>
        <w:t>年（建议路基、路面、桥面为</w:t>
      </w:r>
      <w:r>
        <w:rPr>
          <w:rFonts w:ascii="Times New Roman" w:hAnsi="Times New Roman"/>
          <w:color w:val="auto"/>
          <w:szCs w:val="21"/>
        </w:rPr>
        <w:t>2</w:t>
      </w:r>
      <w:r>
        <w:rPr>
          <w:rFonts w:hint="eastAsia" w:ascii="Times New Roman" w:hAnsi="Times New Roman" w:cs="宋体"/>
          <w:color w:val="auto"/>
          <w:szCs w:val="21"/>
        </w:rPr>
        <w:t>年）；</w:t>
      </w:r>
    </w:p>
    <w:p w14:paraId="74C2F03F">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宋体" w:hAnsi="宋体" w:cs="宋体"/>
          <w:color w:val="auto"/>
          <w:szCs w:val="21"/>
        </w:rPr>
        <w:t>．</w:t>
      </w:r>
      <w:r>
        <w:rPr>
          <w:rFonts w:hint="eastAsia" w:ascii="Times New Roman" w:hAnsi="Times New Roman" w:cs="宋体"/>
          <w:color w:val="auto"/>
          <w:szCs w:val="21"/>
        </w:rPr>
        <w:t>排水（雨水）工程为</w:t>
      </w:r>
      <w:r>
        <w:rPr>
          <w:rFonts w:ascii="Times New Roman" w:hAnsi="Times New Roman"/>
          <w:color w:val="auto"/>
          <w:szCs w:val="21"/>
          <w:u w:val="single"/>
        </w:rPr>
        <w:t xml:space="preserve">     </w:t>
      </w:r>
      <w:r>
        <w:rPr>
          <w:rFonts w:hint="eastAsia" w:ascii="Times New Roman" w:hAnsi="Times New Roman" w:cs="宋体"/>
          <w:color w:val="auto"/>
          <w:szCs w:val="21"/>
        </w:rPr>
        <w:t>年（建议道路工程中的排水工程为</w:t>
      </w:r>
      <w:r>
        <w:rPr>
          <w:rFonts w:ascii="Times New Roman" w:hAnsi="Times New Roman"/>
          <w:color w:val="auto"/>
          <w:szCs w:val="21"/>
        </w:rPr>
        <w:t>3</w:t>
      </w:r>
      <w:r>
        <w:rPr>
          <w:rFonts w:hint="eastAsia" w:ascii="Times New Roman" w:hAnsi="Times New Roman" w:cs="宋体"/>
          <w:color w:val="auto"/>
          <w:szCs w:val="21"/>
        </w:rPr>
        <w:t>年）；</w:t>
      </w:r>
    </w:p>
    <w:p w14:paraId="47FD891B">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4</w:t>
      </w:r>
      <w:r>
        <w:rPr>
          <w:rFonts w:hint="eastAsia" w:ascii="宋体" w:hAnsi="宋体" w:cs="宋体"/>
          <w:color w:val="auto"/>
          <w:szCs w:val="21"/>
        </w:rPr>
        <w:t>．</w:t>
      </w:r>
      <w:r>
        <w:rPr>
          <w:rFonts w:hint="eastAsia" w:ascii="Times New Roman" w:hAnsi="Times New Roman" w:cs="宋体"/>
          <w:color w:val="auto"/>
          <w:szCs w:val="21"/>
        </w:rPr>
        <w:t>绿化工程为</w:t>
      </w:r>
      <w:r>
        <w:rPr>
          <w:rFonts w:ascii="Times New Roman" w:hAnsi="Times New Roman"/>
          <w:color w:val="auto"/>
          <w:szCs w:val="21"/>
        </w:rPr>
        <w:t xml:space="preserve"> </w:t>
      </w:r>
      <w:r>
        <w:rPr>
          <w:rFonts w:hint="eastAsia" w:ascii="Times New Roman" w:hAnsi="Times New Roman" w:cs="宋体"/>
          <w:color w:val="auto"/>
          <w:szCs w:val="21"/>
          <w:u w:val="single"/>
        </w:rPr>
        <w:t>单位工程竣工验收合格后</w:t>
      </w:r>
      <w:r>
        <w:rPr>
          <w:rFonts w:ascii="Times New Roman" w:hAnsi="Times New Roman"/>
          <w:color w:val="auto"/>
          <w:szCs w:val="21"/>
          <w:u w:val="single"/>
        </w:rPr>
        <w:t xml:space="preserve">    </w:t>
      </w:r>
      <w:r>
        <w:rPr>
          <w:rFonts w:hint="eastAsia" w:ascii="Times New Roman" w:hAnsi="Times New Roman" w:cs="宋体"/>
          <w:color w:val="auto"/>
          <w:szCs w:val="21"/>
          <w:u w:val="single"/>
        </w:rPr>
        <w:t>年</w:t>
      </w:r>
      <w:r>
        <w:rPr>
          <w:rFonts w:hint="eastAsia" w:ascii="Times New Roman" w:hAnsi="Times New Roman" w:cs="宋体"/>
          <w:color w:val="auto"/>
          <w:szCs w:val="21"/>
        </w:rPr>
        <w:t>；</w:t>
      </w:r>
    </w:p>
    <w:p w14:paraId="36100A04">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5.  </w:t>
      </w:r>
      <w:r>
        <w:rPr>
          <w:rFonts w:hint="eastAsia" w:ascii="Times New Roman" w:hAnsi="Times New Roman" w:cs="宋体"/>
          <w:color w:val="auto"/>
          <w:szCs w:val="21"/>
        </w:rPr>
        <w:t>地下防水工程为</w:t>
      </w:r>
      <w:r>
        <w:rPr>
          <w:rFonts w:ascii="Times New Roman" w:hAnsi="Times New Roman"/>
          <w:color w:val="auto"/>
          <w:szCs w:val="21"/>
          <w:u w:val="single"/>
        </w:rPr>
        <w:t xml:space="preserve">     </w:t>
      </w:r>
      <w:r>
        <w:rPr>
          <w:rFonts w:hint="eastAsia" w:ascii="Times New Roman" w:hAnsi="Times New Roman" w:cs="宋体"/>
          <w:color w:val="auto"/>
          <w:szCs w:val="21"/>
        </w:rPr>
        <w:t>年（建议为</w:t>
      </w:r>
      <w:r>
        <w:rPr>
          <w:rFonts w:ascii="Times New Roman" w:hAnsi="Times New Roman"/>
          <w:color w:val="auto"/>
          <w:szCs w:val="21"/>
        </w:rPr>
        <w:t>5</w:t>
      </w:r>
      <w:r>
        <w:rPr>
          <w:rFonts w:hint="eastAsia" w:ascii="Times New Roman" w:hAnsi="Times New Roman" w:cs="宋体"/>
          <w:color w:val="auto"/>
          <w:szCs w:val="21"/>
        </w:rPr>
        <w:t>年）；</w:t>
      </w:r>
    </w:p>
    <w:p w14:paraId="2D1BB2E6">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6</w:t>
      </w:r>
      <w:r>
        <w:rPr>
          <w:rFonts w:hint="eastAsia" w:ascii="宋体" w:hAnsi="宋体" w:cs="宋体"/>
          <w:color w:val="auto"/>
          <w:szCs w:val="21"/>
        </w:rPr>
        <w:t>．</w:t>
      </w:r>
      <w:r>
        <w:rPr>
          <w:rFonts w:hint="eastAsia" w:ascii="Times New Roman" w:hAnsi="Times New Roman" w:cs="宋体"/>
          <w:color w:val="auto"/>
          <w:szCs w:val="21"/>
        </w:rPr>
        <w:t>其他附属工程为</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2</w:t>
      </w:r>
      <w:r>
        <w:rPr>
          <w:rFonts w:ascii="Times New Roman" w:hAnsi="Times New Roman"/>
          <w:color w:val="auto"/>
          <w:szCs w:val="21"/>
          <w:u w:val="single"/>
        </w:rPr>
        <w:t xml:space="preserve">    </w:t>
      </w:r>
      <w:r>
        <w:rPr>
          <w:rFonts w:hint="eastAsia" w:ascii="Times New Roman" w:hAnsi="Times New Roman" w:cs="宋体"/>
          <w:color w:val="auto"/>
          <w:szCs w:val="21"/>
        </w:rPr>
        <w:t>年</w:t>
      </w:r>
      <w:r>
        <w:rPr>
          <w:rFonts w:hint="eastAsia" w:ascii="Times New Roman" w:hAnsi="Times New Roman" w:cs="宋体"/>
          <w:color w:val="auto"/>
          <w:szCs w:val="21"/>
          <w:lang w:eastAsia="zh-CN"/>
        </w:rPr>
        <w:t>（</w:t>
      </w:r>
      <w:r>
        <w:rPr>
          <w:rFonts w:hint="eastAsia" w:hAnsi="宋体"/>
          <w:bCs/>
          <w:color w:val="auto"/>
          <w:sz w:val="22"/>
          <w:u w:val="single"/>
          <w:lang w:val="en-US" w:eastAsia="zh-CN"/>
        </w:rPr>
        <w:t>运动场翻新改造工程</w:t>
      </w:r>
      <w:r>
        <w:rPr>
          <w:rFonts w:hint="eastAsia" w:ascii="Times New Roman" w:hAnsi="Times New Roman" w:cs="宋体"/>
          <w:color w:val="auto"/>
          <w:szCs w:val="21"/>
          <w:lang w:eastAsia="zh-CN"/>
        </w:rPr>
        <w:t>）</w:t>
      </w:r>
      <w:r>
        <w:rPr>
          <w:rFonts w:hint="eastAsia" w:ascii="Times New Roman" w:hAnsi="Times New Roman" w:cs="宋体"/>
          <w:color w:val="auto"/>
          <w:szCs w:val="21"/>
        </w:rPr>
        <w:t>；</w:t>
      </w:r>
    </w:p>
    <w:p w14:paraId="6AB99547">
      <w:pPr>
        <w:pStyle w:val="37"/>
        <w:spacing w:line="360" w:lineRule="auto"/>
        <w:ind w:firstLine="420" w:firstLineChars="200"/>
        <w:rPr>
          <w:rFonts w:ascii="宋体" w:hAnsi="Times New Roman"/>
          <w:color w:val="auto"/>
          <w:szCs w:val="21"/>
        </w:rPr>
      </w:pPr>
      <w:r>
        <w:rPr>
          <w:rFonts w:ascii="宋体" w:hAnsi="宋体" w:cs="宋体"/>
          <w:color w:val="auto"/>
          <w:szCs w:val="21"/>
        </w:rPr>
        <w:t>7</w:t>
      </w:r>
      <w:r>
        <w:rPr>
          <w:rFonts w:hint="eastAsia" w:ascii="宋体" w:hAnsi="宋体" w:cs="宋体"/>
          <w:color w:val="auto"/>
          <w:szCs w:val="21"/>
        </w:rPr>
        <w:t>．其他项目保修期限约定如下：</w:t>
      </w:r>
    </w:p>
    <w:p w14:paraId="38EA9BF1">
      <w:pPr>
        <w:pStyle w:val="37"/>
        <w:spacing w:line="360" w:lineRule="auto"/>
        <w:ind w:firstLine="420" w:firstLineChars="200"/>
        <w:rPr>
          <w:rFonts w:ascii="宋体" w:hAnsi="Times New Roman"/>
          <w:color w:val="auto"/>
          <w:szCs w:val="21"/>
        </w:rPr>
      </w:pPr>
      <w:r>
        <w:rPr>
          <w:rFonts w:ascii="宋体" w:hAnsi="宋体" w:cs="宋体"/>
          <w:color w:val="auto"/>
          <w:szCs w:val="21"/>
          <w:u w:val="single"/>
        </w:rPr>
        <w:t xml:space="preserve">                                                                                                                                                              </w:t>
      </w:r>
      <w:r>
        <w:rPr>
          <w:rFonts w:hint="eastAsia" w:ascii="宋体" w:hAnsi="宋体" w:cs="宋体"/>
          <w:color w:val="auto"/>
          <w:szCs w:val="21"/>
        </w:rPr>
        <w:t>。</w:t>
      </w:r>
    </w:p>
    <w:p w14:paraId="56A465F5">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质量保修期自工程竣工验收合格之日起计算。</w:t>
      </w:r>
    </w:p>
    <w:p w14:paraId="1319AF76">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三、缺陷责任期</w:t>
      </w:r>
    </w:p>
    <w:p w14:paraId="5A4D84D9">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工程缺陷责任期为</w:t>
      </w:r>
      <w:r>
        <w:rPr>
          <w:rFonts w:ascii="宋体" w:hAnsi="宋体" w:cs="宋体"/>
          <w:color w:val="auto"/>
          <w:szCs w:val="21"/>
          <w:u w:val="single"/>
        </w:rPr>
        <w:t xml:space="preserve">  </w:t>
      </w:r>
      <w:r>
        <w:rPr>
          <w:rFonts w:hint="eastAsia" w:ascii="宋体" w:hAnsi="宋体" w:cs="宋体"/>
          <w:color w:val="auto"/>
          <w:szCs w:val="21"/>
          <w:u w:val="single"/>
          <w:lang w:val="en-US" w:eastAsia="zh-CN"/>
        </w:rPr>
        <w:t>24</w:t>
      </w:r>
      <w:r>
        <w:rPr>
          <w:rFonts w:ascii="宋体" w:hAnsi="宋体" w:cs="宋体"/>
          <w:color w:val="auto"/>
          <w:szCs w:val="21"/>
          <w:u w:val="single"/>
        </w:rPr>
        <w:t xml:space="preserve"> </w:t>
      </w:r>
      <w:r>
        <w:rPr>
          <w:rFonts w:hint="eastAsia" w:ascii="宋体" w:hAnsi="宋体" w:cs="宋体"/>
          <w:color w:val="auto"/>
          <w:szCs w:val="21"/>
        </w:rPr>
        <w:t>个月</w:t>
      </w:r>
      <w:r>
        <w:rPr>
          <w:rFonts w:hint="eastAsia" w:ascii="Times New Roman" w:hAnsi="宋体" w:cs="宋体"/>
          <w:color w:val="auto"/>
          <w:szCs w:val="21"/>
        </w:rPr>
        <w:t>（最长不超过</w:t>
      </w:r>
      <w:r>
        <w:rPr>
          <w:rFonts w:ascii="Times New Roman" w:hAnsi="宋体"/>
          <w:color w:val="auto"/>
          <w:szCs w:val="21"/>
        </w:rPr>
        <w:t>24</w:t>
      </w:r>
      <w:r>
        <w:rPr>
          <w:rFonts w:hint="eastAsia" w:ascii="Times New Roman" w:hAnsi="宋体" w:cs="宋体"/>
          <w:color w:val="auto"/>
          <w:szCs w:val="21"/>
        </w:rPr>
        <w:t>个月）</w:t>
      </w:r>
      <w:r>
        <w:rPr>
          <w:rFonts w:hint="eastAsia" w:ascii="宋体" w:hAnsi="宋体" w:cs="宋体"/>
          <w:color w:val="auto"/>
          <w:szCs w:val="21"/>
        </w:rPr>
        <w:t>，缺陷责任期自工程竣工验收合格之日起计算。单位工程先于全部工程进行验收，单位工程缺陷责任期自单位工程验收合格之日起算。</w:t>
      </w:r>
    </w:p>
    <w:p w14:paraId="3EED0A43">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缺陷责任期</w:t>
      </w:r>
      <w:r>
        <w:rPr>
          <w:rFonts w:hint="eastAsia" w:ascii="Times New Roman" w:hAnsi="宋体" w:cs="宋体"/>
          <w:color w:val="auto"/>
          <w:szCs w:val="21"/>
          <w:u w:val="single"/>
        </w:rPr>
        <w:t>满</w:t>
      </w:r>
      <w:r>
        <w:rPr>
          <w:rFonts w:hint="eastAsia" w:ascii="仿宋_GB2312" w:hAnsi="宋体"/>
          <w:color w:val="auto"/>
          <w:szCs w:val="21"/>
        </w:rPr>
        <w:t>之日起</w:t>
      </w:r>
      <w:r>
        <w:rPr>
          <w:rFonts w:hint="eastAsia" w:ascii="仿宋_GB2312" w:hAnsi="宋体"/>
          <w:color w:val="auto"/>
          <w:szCs w:val="21"/>
          <w:u w:val="single"/>
        </w:rPr>
        <w:t xml:space="preserve"> </w:t>
      </w:r>
      <w:r>
        <w:rPr>
          <w:rFonts w:ascii="仿宋_GB2312" w:hAnsi="宋体"/>
          <w:color w:val="auto"/>
          <w:szCs w:val="21"/>
          <w:u w:val="single"/>
        </w:rPr>
        <w:t xml:space="preserve">  </w:t>
      </w:r>
      <w:r>
        <w:rPr>
          <w:rFonts w:hint="eastAsia" w:ascii="仿宋_GB2312" w:hAnsi="宋体"/>
          <w:color w:val="auto"/>
          <w:szCs w:val="21"/>
          <w:u w:val="single"/>
        </w:rPr>
        <w:t xml:space="preserve"> </w:t>
      </w:r>
      <w:r>
        <w:rPr>
          <w:rFonts w:hint="eastAsia" w:ascii="仿宋_GB2312" w:hAnsi="宋体"/>
          <w:color w:val="auto"/>
          <w:szCs w:val="21"/>
        </w:rPr>
        <w:t>天</w:t>
      </w:r>
      <w:r>
        <w:rPr>
          <w:rFonts w:hint="eastAsia" w:ascii="Times New Roman" w:hAnsi="宋体" w:cs="宋体"/>
          <w:color w:val="auto"/>
          <w:szCs w:val="21"/>
          <w:u w:val="single"/>
        </w:rPr>
        <w:t>（按</w:t>
      </w:r>
      <w:r>
        <w:rPr>
          <w:rFonts w:ascii="Times New Roman" w:hAnsi="宋体" w:cs="宋体"/>
          <w:color w:val="auto"/>
          <w:szCs w:val="21"/>
          <w:u w:val="single"/>
        </w:rPr>
        <w:t>合同约定期限）</w:t>
      </w:r>
      <w:r>
        <w:rPr>
          <w:rFonts w:hint="eastAsia" w:ascii="Times New Roman" w:hAnsi="宋体" w:cs="宋体"/>
          <w:color w:val="auto"/>
          <w:szCs w:val="21"/>
          <w:u w:val="single"/>
        </w:rPr>
        <w:t>，</w:t>
      </w:r>
      <w:r>
        <w:rPr>
          <w:rFonts w:hint="eastAsia" w:ascii="宋体" w:hAnsi="宋体" w:cs="宋体"/>
          <w:color w:val="auto"/>
          <w:szCs w:val="21"/>
        </w:rPr>
        <w:t>发包人应退还剩余的质量保证金。</w:t>
      </w:r>
    </w:p>
    <w:p w14:paraId="5AD8B386">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四、质量保修责任</w:t>
      </w:r>
    </w:p>
    <w:p w14:paraId="02877DC8">
      <w:pPr>
        <w:pStyle w:val="37"/>
        <w:spacing w:line="360" w:lineRule="auto"/>
        <w:ind w:firstLine="420" w:firstLineChars="200"/>
        <w:rPr>
          <w:rFonts w:ascii="宋体" w:hAnsi="Times New Roman"/>
          <w:color w:val="auto"/>
          <w:szCs w:val="21"/>
        </w:rPr>
      </w:pPr>
      <w:r>
        <w:rPr>
          <w:rFonts w:ascii="宋体" w:hAnsi="宋体" w:cs="宋体"/>
          <w:color w:val="auto"/>
          <w:szCs w:val="21"/>
        </w:rPr>
        <w:t>1</w:t>
      </w:r>
      <w:r>
        <w:rPr>
          <w:rFonts w:hint="eastAsia" w:ascii="宋体" w:hAnsi="宋体" w:cs="宋体"/>
          <w:color w:val="auto"/>
          <w:szCs w:val="21"/>
        </w:rPr>
        <w:t>．属于保修范围、内容的项目，承包人应当在接到保修通知之日起</w:t>
      </w:r>
      <w:r>
        <w:rPr>
          <w:rFonts w:ascii="宋体" w:hAnsi="宋体" w:cs="宋体"/>
          <w:color w:val="auto"/>
          <w:szCs w:val="21"/>
          <w:u w:val="single"/>
        </w:rPr>
        <w:t xml:space="preserve">      </w:t>
      </w:r>
      <w:r>
        <w:rPr>
          <w:rFonts w:hint="eastAsia" w:ascii="宋体" w:hAnsi="宋体" w:cs="宋体"/>
          <w:color w:val="auto"/>
          <w:szCs w:val="21"/>
        </w:rPr>
        <w:t>天内派人保修。承包人不在约定期限内派人保修的，发包人可以委托他人修理</w:t>
      </w:r>
      <w:r>
        <w:rPr>
          <w:rFonts w:hint="eastAsia" w:ascii="Times New Roman" w:hAnsi="宋体" w:cs="宋体"/>
          <w:color w:val="auto"/>
          <w:szCs w:val="21"/>
        </w:rPr>
        <w:t>，修理费用从质量保证金内扣除。</w:t>
      </w:r>
    </w:p>
    <w:p w14:paraId="4F8C4A17">
      <w:pPr>
        <w:pStyle w:val="37"/>
        <w:spacing w:line="360" w:lineRule="auto"/>
        <w:ind w:firstLine="420" w:firstLineChars="200"/>
        <w:rPr>
          <w:rFonts w:ascii="宋体" w:hAnsi="Times New Roman"/>
          <w:color w:val="auto"/>
          <w:szCs w:val="21"/>
        </w:rPr>
      </w:pPr>
      <w:r>
        <w:rPr>
          <w:rFonts w:ascii="宋体" w:hAnsi="宋体" w:cs="宋体"/>
          <w:color w:val="auto"/>
          <w:szCs w:val="21"/>
        </w:rPr>
        <w:t>2</w:t>
      </w:r>
      <w:r>
        <w:rPr>
          <w:rFonts w:hint="eastAsia" w:ascii="宋体" w:hAnsi="宋体" w:cs="宋体"/>
          <w:color w:val="auto"/>
          <w:szCs w:val="21"/>
        </w:rPr>
        <w:t>．发生紧急事故需抢修的，承包人在接到事故通知后，应当立即到达事故现场抢修。</w:t>
      </w:r>
    </w:p>
    <w:p w14:paraId="4315BC2D">
      <w:pPr>
        <w:pStyle w:val="37"/>
        <w:spacing w:line="360" w:lineRule="auto"/>
        <w:ind w:firstLine="420" w:firstLineChars="200"/>
        <w:rPr>
          <w:rFonts w:ascii="宋体" w:hAnsi="Times New Roman"/>
          <w:color w:val="auto"/>
          <w:szCs w:val="21"/>
        </w:rPr>
      </w:pPr>
      <w:r>
        <w:rPr>
          <w:rFonts w:ascii="宋体" w:hAnsi="宋体" w:cs="宋体"/>
          <w:color w:val="auto"/>
          <w:szCs w:val="21"/>
        </w:rPr>
        <w:t>3</w:t>
      </w:r>
      <w:r>
        <w:rPr>
          <w:rFonts w:hint="eastAsia" w:ascii="宋体" w:hAnsi="宋体" w:cs="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196FB38">
      <w:pPr>
        <w:pStyle w:val="37"/>
        <w:spacing w:line="360" w:lineRule="auto"/>
        <w:ind w:firstLine="420" w:firstLineChars="200"/>
        <w:rPr>
          <w:rFonts w:ascii="宋体" w:hAnsi="Times New Roman"/>
          <w:color w:val="auto"/>
          <w:szCs w:val="21"/>
        </w:rPr>
      </w:pPr>
      <w:r>
        <w:rPr>
          <w:rFonts w:ascii="宋体" w:hAnsi="宋体" w:cs="宋体"/>
          <w:color w:val="auto"/>
          <w:szCs w:val="21"/>
        </w:rPr>
        <w:t>4</w:t>
      </w:r>
      <w:r>
        <w:rPr>
          <w:rFonts w:hint="eastAsia" w:ascii="宋体" w:hAnsi="宋体" w:cs="宋体"/>
          <w:color w:val="auto"/>
          <w:szCs w:val="21"/>
        </w:rPr>
        <w:t>．质量保修完成后，由发包人组织验收。</w:t>
      </w:r>
    </w:p>
    <w:p w14:paraId="241C2E92">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五、保修费用</w:t>
      </w:r>
    </w:p>
    <w:p w14:paraId="380635AD">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保修费用由造成质量缺陷的责任方承担。</w:t>
      </w:r>
    </w:p>
    <w:p w14:paraId="41B23AA8">
      <w:pPr>
        <w:pStyle w:val="37"/>
        <w:spacing w:line="360" w:lineRule="auto"/>
        <w:ind w:firstLine="420" w:firstLineChars="200"/>
        <w:rPr>
          <w:rFonts w:ascii="黑体" w:hAnsi="宋体" w:eastAsia="黑体" w:cs="黑体"/>
          <w:color w:val="auto"/>
          <w:szCs w:val="21"/>
          <w:u w:val="single"/>
        </w:rPr>
      </w:pPr>
      <w:r>
        <w:rPr>
          <w:rFonts w:hint="eastAsia" w:ascii="黑体" w:hAnsi="宋体" w:eastAsia="黑体" w:cs="黑体"/>
          <w:color w:val="auto"/>
          <w:szCs w:val="21"/>
        </w:rPr>
        <w:t>六、双方约定的其他工程质量保修事项：</w:t>
      </w:r>
      <w:r>
        <w:rPr>
          <w:rFonts w:ascii="黑体" w:hAnsi="宋体" w:eastAsia="黑体" w:cs="黑体"/>
          <w:color w:val="auto"/>
          <w:szCs w:val="21"/>
          <w:u w:val="single"/>
        </w:rPr>
        <w:t xml:space="preserve">                                          </w:t>
      </w:r>
    </w:p>
    <w:p w14:paraId="03D6C7BB">
      <w:pPr>
        <w:pStyle w:val="37"/>
        <w:spacing w:line="360" w:lineRule="auto"/>
        <w:ind w:firstLine="420" w:firstLineChars="200"/>
        <w:jc w:val="left"/>
        <w:rPr>
          <w:rFonts w:ascii="宋体" w:hAnsi="Times New Roman"/>
          <w:color w:val="auto"/>
          <w:szCs w:val="21"/>
        </w:rPr>
      </w:pPr>
      <w:r>
        <w:rPr>
          <w:rFonts w:ascii="宋体" w:hAnsi="宋体" w:cs="宋体"/>
          <w:color w:val="auto"/>
          <w:szCs w:val="21"/>
          <w:u w:val="single"/>
        </w:rPr>
        <w:t xml:space="preserve">                                                                               </w:t>
      </w:r>
      <w:r>
        <w:rPr>
          <w:rFonts w:hint="eastAsia" w:ascii="宋体" w:hAnsi="宋体" w:cs="宋体"/>
          <w:color w:val="auto"/>
          <w:szCs w:val="21"/>
        </w:rPr>
        <w:t>。</w:t>
      </w:r>
    </w:p>
    <w:p w14:paraId="10107183">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工程质量保修书由发包人、承包人在工程竣工验收前共同</w:t>
      </w:r>
      <w:bookmarkStart w:id="1180" w:name="OLE_LINK35"/>
      <w:r>
        <w:rPr>
          <w:rFonts w:hint="eastAsia" w:ascii="宋体" w:hAnsi="宋体" w:cs="宋体"/>
          <w:color w:val="auto"/>
          <w:szCs w:val="21"/>
        </w:rPr>
        <w:t>签署</w:t>
      </w:r>
      <w:bookmarkEnd w:id="1180"/>
      <w:r>
        <w:rPr>
          <w:rFonts w:hint="eastAsia" w:ascii="宋体" w:hAnsi="宋体" w:cs="宋体"/>
          <w:color w:val="auto"/>
          <w:szCs w:val="21"/>
        </w:rPr>
        <w:t>，作为施工合同附件，其有效期限至保修期满。</w:t>
      </w:r>
    </w:p>
    <w:p w14:paraId="5C47751F">
      <w:pPr>
        <w:pStyle w:val="37"/>
        <w:spacing w:line="360" w:lineRule="auto"/>
        <w:ind w:firstLine="420"/>
        <w:rPr>
          <w:rFonts w:ascii="宋体" w:hAnsi="Times New Roman"/>
          <w:color w:val="auto"/>
          <w:szCs w:val="21"/>
        </w:rPr>
      </w:pPr>
    </w:p>
    <w:p w14:paraId="57AFFFC3">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发包人（公章）：</w:t>
      </w:r>
      <w:r>
        <w:rPr>
          <w:rStyle w:val="24"/>
          <w:rFonts w:hint="eastAsia" w:ascii="宋体" w:hAnsi="宋体" w:eastAsia="宋体" w:cs="宋体"/>
          <w:color w:val="auto"/>
          <w:highlight w:val="none"/>
          <w:u w:val="single"/>
        </w:rPr>
        <w:t xml:space="preserve">         </w:t>
      </w:r>
      <w:r>
        <w:rPr>
          <w:rStyle w:val="24"/>
          <w:rFonts w:hint="eastAsia" w:ascii="宋体" w:hAnsi="宋体" w:eastAsia="宋体" w:cs="宋体"/>
          <w:color w:val="auto"/>
          <w:highlight w:val="none"/>
        </w:rPr>
        <w:t xml:space="preserve">             承包人（公章）：</w:t>
      </w:r>
      <w:r>
        <w:rPr>
          <w:rStyle w:val="24"/>
          <w:rFonts w:hint="eastAsia" w:ascii="宋体" w:hAnsi="宋体" w:eastAsia="宋体" w:cs="宋体"/>
          <w:color w:val="auto"/>
          <w:highlight w:val="none"/>
          <w:u w:val="single"/>
        </w:rPr>
        <w:t>          </w:t>
      </w:r>
    </w:p>
    <w:p w14:paraId="287541FB">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地  址：</w:t>
      </w:r>
      <w:r>
        <w:rPr>
          <w:rStyle w:val="24"/>
          <w:rFonts w:hint="eastAsia" w:ascii="宋体" w:hAnsi="宋体" w:eastAsia="宋体" w:cs="宋体"/>
          <w:color w:val="auto"/>
          <w:highlight w:val="none"/>
          <w:u w:val="single"/>
        </w:rPr>
        <w:t xml:space="preserve">       </w:t>
      </w:r>
      <w:r>
        <w:rPr>
          <w:rStyle w:val="24"/>
          <w:rFonts w:hint="eastAsia" w:ascii="宋体" w:hAnsi="宋体" w:eastAsia="宋体" w:cs="宋体"/>
          <w:color w:val="auto"/>
          <w:highlight w:val="none"/>
        </w:rPr>
        <w:t xml:space="preserve">              地  址：</w:t>
      </w:r>
      <w:r>
        <w:rPr>
          <w:rStyle w:val="24"/>
          <w:rFonts w:hint="eastAsia" w:ascii="宋体" w:hAnsi="宋体" w:eastAsia="宋体" w:cs="宋体"/>
          <w:color w:val="auto"/>
          <w:highlight w:val="none"/>
          <w:u w:val="single"/>
        </w:rPr>
        <w:t>      </w:t>
      </w:r>
    </w:p>
    <w:p w14:paraId="44944866">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法定代表人（签字）：</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法定代表人（签字）：</w:t>
      </w:r>
      <w:r>
        <w:rPr>
          <w:rStyle w:val="24"/>
          <w:rFonts w:hint="eastAsia" w:ascii="宋体" w:hAnsi="宋体" w:eastAsia="宋体" w:cs="宋体"/>
          <w:color w:val="auto"/>
          <w:highlight w:val="none"/>
          <w:u w:val="single"/>
        </w:rPr>
        <w:t>     </w:t>
      </w:r>
    </w:p>
    <w:p w14:paraId="16E6A8C1">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委托代理人（签字）：</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委托代理人（签字）：</w:t>
      </w:r>
      <w:r>
        <w:rPr>
          <w:rStyle w:val="24"/>
          <w:rFonts w:hint="eastAsia" w:ascii="宋体" w:hAnsi="宋体" w:eastAsia="宋体" w:cs="宋体"/>
          <w:color w:val="auto"/>
          <w:highlight w:val="none"/>
          <w:u w:val="single"/>
        </w:rPr>
        <w:t>     </w:t>
      </w:r>
    </w:p>
    <w:p w14:paraId="2D25DE89">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电  话：</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电  话：</w:t>
      </w:r>
      <w:r>
        <w:rPr>
          <w:rStyle w:val="24"/>
          <w:rFonts w:hint="eastAsia" w:ascii="宋体" w:hAnsi="宋体" w:eastAsia="宋体" w:cs="宋体"/>
          <w:color w:val="auto"/>
          <w:highlight w:val="none"/>
          <w:u w:val="single"/>
        </w:rPr>
        <w:t>      </w:t>
      </w:r>
    </w:p>
    <w:p w14:paraId="4248224D">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传  真：</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传  真：</w:t>
      </w:r>
      <w:r>
        <w:rPr>
          <w:rStyle w:val="24"/>
          <w:rFonts w:hint="eastAsia" w:ascii="宋体" w:hAnsi="宋体" w:eastAsia="宋体" w:cs="宋体"/>
          <w:color w:val="auto"/>
          <w:highlight w:val="none"/>
          <w:u w:val="single"/>
        </w:rPr>
        <w:t>    </w:t>
      </w:r>
    </w:p>
    <w:p w14:paraId="77394CF0">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开户银行：</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开户银行：</w:t>
      </w:r>
      <w:r>
        <w:rPr>
          <w:rStyle w:val="24"/>
          <w:rFonts w:hint="eastAsia" w:ascii="宋体" w:hAnsi="宋体" w:eastAsia="宋体" w:cs="宋体"/>
          <w:color w:val="auto"/>
          <w:highlight w:val="none"/>
          <w:u w:val="single"/>
        </w:rPr>
        <w:t>  </w:t>
      </w:r>
    </w:p>
    <w:p w14:paraId="0BFC12AE">
      <w:pPr>
        <w:pStyle w:val="37"/>
        <w:tabs>
          <w:tab w:val="left" w:pos="2880"/>
          <w:tab w:val="left" w:pos="3060"/>
          <w:tab w:val="left" w:pos="4500"/>
        </w:tabs>
        <w:spacing w:line="360" w:lineRule="auto"/>
        <w:ind w:firstLine="420" w:firstLineChars="200"/>
        <w:rPr>
          <w:rStyle w:val="24"/>
          <w:rFonts w:ascii="Calibri" w:hAnsi="Calibri" w:eastAsia="宋体" w:cs="Times New Roman"/>
          <w:color w:val="auto"/>
          <w:highlight w:val="none"/>
        </w:rPr>
      </w:pPr>
      <w:r>
        <w:rPr>
          <w:rStyle w:val="24"/>
          <w:rFonts w:hint="eastAsia" w:ascii="宋体" w:hAnsi="宋体" w:eastAsia="宋体" w:cs="宋体"/>
          <w:color w:val="auto"/>
          <w:highlight w:val="none"/>
        </w:rPr>
        <w:t>账  号：</w:t>
      </w:r>
      <w:r>
        <w:rPr>
          <w:rStyle w:val="24"/>
          <w:rFonts w:hint="eastAsia" w:ascii="宋体" w:hAnsi="宋体" w:eastAsia="宋体" w:cs="宋体"/>
          <w:color w:val="auto"/>
          <w:highlight w:val="none"/>
          <w:u w:val="single"/>
        </w:rPr>
        <w:t xml:space="preserve">          </w:t>
      </w:r>
      <w:r>
        <w:rPr>
          <w:rStyle w:val="24"/>
          <w:rFonts w:hint="eastAsia" w:ascii="宋体" w:hAnsi="宋体" w:eastAsia="宋体" w:cs="宋体"/>
          <w:color w:val="auto"/>
          <w:highlight w:val="none"/>
        </w:rPr>
        <w:t xml:space="preserve">              账  号：</w:t>
      </w:r>
      <w:r>
        <w:rPr>
          <w:rStyle w:val="24"/>
          <w:rFonts w:hint="eastAsia" w:ascii="宋体" w:hAnsi="宋体" w:eastAsia="宋体" w:cs="宋体"/>
          <w:color w:val="auto"/>
          <w:highlight w:val="none"/>
          <w:u w:val="single"/>
        </w:rPr>
        <w:t></w:t>
      </w:r>
      <w:r>
        <w:rPr>
          <w:rStyle w:val="24"/>
          <w:rFonts w:ascii="宋体" w:hAnsi="宋体" w:eastAsia="宋体" w:cs="Times New Roman"/>
          <w:color w:val="auto"/>
          <w:highlight w:val="none"/>
          <w:u w:val="single"/>
        </w:rPr>
        <w:t></w:t>
      </w:r>
      <w:r>
        <w:rPr>
          <w:rStyle w:val="24"/>
          <w:rFonts w:hint="eastAsia" w:ascii="宋体" w:hAnsi="宋体" w:eastAsia="宋体" w:cs="Times New Roman"/>
          <w:color w:val="auto"/>
          <w:highlight w:val="none"/>
          <w:u w:val="single"/>
        </w:rPr>
        <w:t xml:space="preserve">    </w:t>
      </w:r>
      <w:r>
        <w:rPr>
          <w:rStyle w:val="24"/>
          <w:rFonts w:ascii="宋体" w:hAnsi="宋体" w:eastAsia="宋体" w:cs="Times New Roman"/>
          <w:color w:val="auto"/>
          <w:highlight w:val="none"/>
          <w:u w:val="single"/>
        </w:rPr>
        <w:t></w:t>
      </w:r>
    </w:p>
    <w:p w14:paraId="40E553DC">
      <w:pPr>
        <w:pStyle w:val="37"/>
        <w:tabs>
          <w:tab w:val="left" w:pos="7200"/>
          <w:tab w:val="left" w:pos="7380"/>
          <w:tab w:val="left" w:pos="7560"/>
        </w:tabs>
        <w:spacing w:line="360" w:lineRule="auto"/>
        <w:ind w:firstLine="420" w:firstLineChars="200"/>
        <w:rPr>
          <w:rStyle w:val="24"/>
          <w:rFonts w:ascii="Calibri" w:hAnsi="Calibri" w:eastAsia="宋体" w:cs="Times New Roman"/>
          <w:color w:val="auto"/>
          <w:highlight w:val="none"/>
        </w:rPr>
      </w:pPr>
      <w:r>
        <w:rPr>
          <w:rStyle w:val="24"/>
          <w:rFonts w:ascii="Calibri" w:hAnsi="宋体" w:eastAsia="宋体" w:cs="Times New Roman"/>
          <w:color w:val="auto"/>
          <w:highlight w:val="none"/>
        </w:rPr>
        <w:t>邮政编码：</w:t>
      </w:r>
      <w:r>
        <w:rPr>
          <w:rStyle w:val="24"/>
          <w:rFonts w:ascii="Calibri" w:hAnsi="Calibri" w:eastAsia="宋体" w:cs="Times New Roman"/>
          <w:color w:val="auto"/>
          <w:highlight w:val="none"/>
          <w:u w:val="single"/>
        </w:rPr>
        <w:t xml:space="preserve"> </w:t>
      </w:r>
      <w:r>
        <w:rPr>
          <w:rStyle w:val="24"/>
          <w:rFonts w:ascii="宋体" w:hAnsi="宋体" w:eastAsia="宋体" w:cs="Times New Roman"/>
          <w:color w:val="auto"/>
          <w:highlight w:val="none"/>
          <w:u w:val="single"/>
        </w:rPr>
        <w:t></w:t>
      </w:r>
      <w:r>
        <w:rPr>
          <w:rStyle w:val="24"/>
          <w:rFonts w:hint="eastAsia" w:ascii="宋体" w:hAnsi="宋体" w:eastAsia="宋体" w:cs="Times New Roman"/>
          <w:color w:val="auto"/>
          <w:highlight w:val="none"/>
          <w:u w:val="single"/>
        </w:rPr>
        <w:t xml:space="preserve">  </w:t>
      </w:r>
      <w:r>
        <w:rPr>
          <w:rStyle w:val="24"/>
          <w:rFonts w:ascii="Calibri" w:hAnsi="Calibri" w:eastAsia="宋体" w:cs="Times New Roman"/>
          <w:color w:val="auto"/>
          <w:highlight w:val="none"/>
          <w:u w:val="single"/>
        </w:rPr>
        <w:t xml:space="preserve">    </w:t>
      </w:r>
      <w:r>
        <w:rPr>
          <w:rStyle w:val="24"/>
          <w:rFonts w:ascii="Calibri" w:hAnsi="Calibri" w:eastAsia="宋体" w:cs="Times New Roman"/>
          <w:color w:val="auto"/>
          <w:highlight w:val="none"/>
        </w:rPr>
        <w:t xml:space="preserve"> </w:t>
      </w:r>
      <w:r>
        <w:rPr>
          <w:rStyle w:val="24"/>
          <w:rFonts w:hint="eastAsia" w:ascii="Calibri" w:hAnsi="Calibri" w:eastAsia="宋体" w:cs="Times New Roman"/>
          <w:color w:val="auto"/>
          <w:highlight w:val="none"/>
        </w:rPr>
        <w:t xml:space="preserve">             </w:t>
      </w:r>
      <w:r>
        <w:rPr>
          <w:rStyle w:val="24"/>
          <w:rFonts w:ascii="Calibri" w:hAnsi="宋体" w:eastAsia="宋体" w:cs="Times New Roman"/>
          <w:color w:val="auto"/>
          <w:highlight w:val="none"/>
        </w:rPr>
        <w:t>邮政编码：</w:t>
      </w:r>
      <w:r>
        <w:rPr>
          <w:rStyle w:val="24"/>
          <w:rFonts w:ascii="宋体" w:hAnsi="宋体" w:eastAsia="宋体" w:cs="Times New Roman"/>
          <w:color w:val="auto"/>
          <w:highlight w:val="none"/>
          <w:u w:val="single"/>
        </w:rPr>
        <w:t></w:t>
      </w:r>
      <w:r>
        <w:rPr>
          <w:rStyle w:val="24"/>
          <w:rFonts w:hint="eastAsia" w:ascii="宋体" w:hAnsi="宋体" w:eastAsia="宋体" w:cs="Times New Roman"/>
          <w:color w:val="auto"/>
          <w:highlight w:val="none"/>
          <w:u w:val="single"/>
        </w:rPr>
        <w:t xml:space="preserve">   </w:t>
      </w:r>
      <w:r>
        <w:rPr>
          <w:rStyle w:val="24"/>
          <w:rFonts w:ascii="宋体" w:hAnsi="宋体" w:eastAsia="宋体" w:cs="Times New Roman"/>
          <w:color w:val="auto"/>
          <w:highlight w:val="none"/>
          <w:u w:val="single"/>
        </w:rPr>
        <w:t></w:t>
      </w:r>
    </w:p>
    <w:p w14:paraId="611C342B">
      <w:pPr>
        <w:pStyle w:val="37"/>
        <w:spacing w:line="360" w:lineRule="auto"/>
        <w:rPr>
          <w:rFonts w:ascii="宋体" w:hAnsi="Times New Roman"/>
          <w:color w:val="auto"/>
          <w:szCs w:val="21"/>
        </w:rPr>
      </w:pPr>
    </w:p>
    <w:p w14:paraId="4DB23E3B">
      <w:pPr>
        <w:pStyle w:val="37"/>
        <w:spacing w:line="360" w:lineRule="auto"/>
        <w:rPr>
          <w:rFonts w:ascii="宋体" w:hAnsi="Times New Roman"/>
          <w:color w:val="auto"/>
          <w:szCs w:val="21"/>
        </w:rPr>
      </w:pPr>
    </w:p>
    <w:p w14:paraId="2638A7EC">
      <w:pPr>
        <w:pStyle w:val="37"/>
        <w:spacing w:line="360" w:lineRule="auto"/>
        <w:rPr>
          <w:rFonts w:ascii="宋体" w:hAnsi="Times New Roman"/>
          <w:color w:val="auto"/>
          <w:szCs w:val="21"/>
        </w:rPr>
      </w:pPr>
    </w:p>
    <w:p w14:paraId="23820116">
      <w:pPr>
        <w:pStyle w:val="37"/>
        <w:spacing w:line="360" w:lineRule="auto"/>
        <w:rPr>
          <w:rFonts w:ascii="宋体" w:hAnsi="Times New Roman"/>
          <w:color w:val="auto"/>
          <w:szCs w:val="21"/>
        </w:rPr>
      </w:pPr>
    </w:p>
    <w:p w14:paraId="1566BB8C">
      <w:pPr>
        <w:pStyle w:val="37"/>
        <w:spacing w:line="360" w:lineRule="auto"/>
        <w:rPr>
          <w:rFonts w:ascii="宋体" w:hAnsi="Times New Roman"/>
          <w:color w:val="auto"/>
          <w:szCs w:val="21"/>
        </w:rPr>
      </w:pPr>
    </w:p>
    <w:p w14:paraId="0E9CA755">
      <w:pPr>
        <w:pStyle w:val="37"/>
        <w:spacing w:line="360" w:lineRule="auto"/>
        <w:rPr>
          <w:rFonts w:ascii="宋体" w:hAnsi="Times New Roman"/>
          <w:color w:val="auto"/>
          <w:szCs w:val="21"/>
        </w:rPr>
      </w:pPr>
    </w:p>
    <w:p w14:paraId="57C1A880">
      <w:pPr>
        <w:pStyle w:val="37"/>
        <w:spacing w:line="360" w:lineRule="auto"/>
        <w:rPr>
          <w:rFonts w:ascii="宋体" w:hAnsi="Times New Roman"/>
          <w:color w:val="auto"/>
          <w:szCs w:val="21"/>
        </w:rPr>
      </w:pPr>
    </w:p>
    <w:p w14:paraId="48047E5C">
      <w:pPr>
        <w:pStyle w:val="37"/>
        <w:spacing w:line="360" w:lineRule="auto"/>
        <w:rPr>
          <w:rFonts w:ascii="宋体" w:hAnsi="Times New Roman"/>
          <w:color w:val="auto"/>
          <w:szCs w:val="21"/>
        </w:rPr>
      </w:pPr>
    </w:p>
    <w:p w14:paraId="6D73CF2A">
      <w:pPr>
        <w:pStyle w:val="37"/>
        <w:spacing w:line="360" w:lineRule="auto"/>
        <w:rPr>
          <w:rFonts w:ascii="宋体" w:hAnsi="Times New Roman"/>
          <w:color w:val="auto"/>
          <w:szCs w:val="21"/>
        </w:rPr>
      </w:pPr>
    </w:p>
    <w:p w14:paraId="3C7D147B">
      <w:pPr>
        <w:pStyle w:val="37"/>
        <w:spacing w:line="360" w:lineRule="auto"/>
        <w:rPr>
          <w:rFonts w:ascii="宋体" w:hAnsi="Times New Roman"/>
          <w:color w:val="auto"/>
          <w:szCs w:val="21"/>
        </w:rPr>
      </w:pPr>
    </w:p>
    <w:p w14:paraId="308D9FD9">
      <w:pPr>
        <w:pStyle w:val="37"/>
        <w:spacing w:line="360" w:lineRule="auto"/>
        <w:rPr>
          <w:rFonts w:ascii="宋体" w:hAnsi="Times New Roman"/>
          <w:color w:val="auto"/>
          <w:szCs w:val="21"/>
        </w:rPr>
      </w:pPr>
    </w:p>
    <w:p w14:paraId="46FC7852">
      <w:pPr>
        <w:pStyle w:val="37"/>
        <w:spacing w:line="360" w:lineRule="auto"/>
        <w:rPr>
          <w:rFonts w:ascii="宋体" w:hAnsi="Times New Roman"/>
          <w:color w:val="auto"/>
          <w:szCs w:val="21"/>
        </w:rPr>
      </w:pPr>
    </w:p>
    <w:p w14:paraId="2FE48F25">
      <w:pPr>
        <w:pStyle w:val="37"/>
        <w:spacing w:line="360" w:lineRule="auto"/>
        <w:rPr>
          <w:rFonts w:ascii="宋体" w:hAnsi="Times New Roman"/>
          <w:color w:val="auto"/>
          <w:szCs w:val="21"/>
        </w:rPr>
      </w:pPr>
    </w:p>
    <w:p w14:paraId="5EC108D4">
      <w:pPr>
        <w:pStyle w:val="37"/>
        <w:spacing w:line="360" w:lineRule="auto"/>
        <w:rPr>
          <w:rFonts w:ascii="宋体" w:hAnsi="Times New Roman"/>
          <w:color w:val="auto"/>
          <w:szCs w:val="21"/>
        </w:rPr>
      </w:pPr>
    </w:p>
    <w:p w14:paraId="083ACFB7">
      <w:pPr>
        <w:pStyle w:val="37"/>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t>附件</w:t>
      </w:r>
      <w:r>
        <w:rPr>
          <w:rFonts w:hint="eastAsia" w:ascii="Times New Roman" w:hAnsi="Times New Roman" w:eastAsia="仿宋_GB2312"/>
          <w:color w:val="auto"/>
          <w:sz w:val="30"/>
          <w:szCs w:val="30"/>
        </w:rPr>
        <w:t>3</w:t>
      </w:r>
      <w:r>
        <w:rPr>
          <w:rFonts w:ascii="Times New Roman" w:hAnsi="Times New Roman" w:eastAsia="仿宋_GB2312"/>
          <w:color w:val="auto"/>
          <w:sz w:val="30"/>
          <w:szCs w:val="30"/>
        </w:rPr>
        <w:t>：</w:t>
      </w:r>
    </w:p>
    <w:p w14:paraId="63AC3FDF">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ascii="Times New Roman" w:hAnsi="Times New Roman" w:eastAsia="黑体"/>
          <w:color w:val="auto"/>
          <w:sz w:val="30"/>
          <w:szCs w:val="30"/>
        </w:rPr>
        <w:t>主要建设工程文件目录</w:t>
      </w:r>
    </w:p>
    <w:tbl>
      <w:tblPr>
        <w:tblStyle w:val="22"/>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6154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D48472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文件名称</w:t>
            </w:r>
          </w:p>
        </w:tc>
        <w:tc>
          <w:tcPr>
            <w:tcW w:w="1276" w:type="dxa"/>
            <w:tcBorders>
              <w:top w:val="single" w:color="auto" w:sz="12" w:space="0"/>
              <w:bottom w:val="double" w:color="auto" w:sz="6" w:space="0"/>
            </w:tcBorders>
            <w:noWrap w:val="0"/>
            <w:vAlign w:val="center"/>
          </w:tcPr>
          <w:p w14:paraId="493F8A4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套数</w:t>
            </w:r>
          </w:p>
        </w:tc>
        <w:tc>
          <w:tcPr>
            <w:tcW w:w="1450" w:type="dxa"/>
            <w:tcBorders>
              <w:top w:val="single" w:color="auto" w:sz="12" w:space="0"/>
              <w:bottom w:val="double" w:color="auto" w:sz="6" w:space="0"/>
            </w:tcBorders>
            <w:noWrap w:val="0"/>
            <w:vAlign w:val="center"/>
          </w:tcPr>
          <w:p w14:paraId="4F3A62A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费用</w:t>
            </w:r>
            <w:r>
              <w:rPr>
                <w:rFonts w:hint="eastAsia" w:ascii="Times New Roman" w:hAnsi="Times New Roman" w:eastAsia="仿宋_GB2312"/>
                <w:color w:val="auto"/>
                <w:sz w:val="28"/>
                <w:szCs w:val="30"/>
              </w:rPr>
              <w:t>（元）</w:t>
            </w:r>
          </w:p>
        </w:tc>
        <w:tc>
          <w:tcPr>
            <w:tcW w:w="1243" w:type="dxa"/>
            <w:tcBorders>
              <w:top w:val="single" w:color="auto" w:sz="12" w:space="0"/>
              <w:bottom w:val="double" w:color="auto" w:sz="6" w:space="0"/>
            </w:tcBorders>
            <w:noWrap w:val="0"/>
            <w:vAlign w:val="center"/>
          </w:tcPr>
          <w:p w14:paraId="23E5442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质量</w:t>
            </w:r>
          </w:p>
        </w:tc>
        <w:tc>
          <w:tcPr>
            <w:tcW w:w="1450" w:type="dxa"/>
            <w:tcBorders>
              <w:top w:val="single" w:color="auto" w:sz="12" w:space="0"/>
              <w:bottom w:val="double" w:color="auto" w:sz="6" w:space="0"/>
            </w:tcBorders>
            <w:noWrap w:val="0"/>
            <w:vAlign w:val="top"/>
          </w:tcPr>
          <w:p w14:paraId="431BCB8F">
            <w:pPr>
              <w:pStyle w:val="37"/>
              <w:spacing w:line="440" w:lineRule="exact"/>
              <w:jc w:val="center"/>
              <w:rPr>
                <w:rFonts w:ascii="Times New Roman" w:hAnsi="Times New Roman" w:eastAsia="仿宋_GB2312"/>
                <w:color w:val="auto"/>
                <w:sz w:val="28"/>
                <w:szCs w:val="30"/>
              </w:rPr>
            </w:pPr>
            <w:r>
              <w:rPr>
                <w:rFonts w:ascii="Times New Roman" w:hAnsi="Times New Roman" w:eastAsia="仿宋_GB2312"/>
                <w:color w:val="auto"/>
                <w:sz w:val="28"/>
                <w:szCs w:val="30"/>
              </w:rPr>
              <w:t>移交时间</w:t>
            </w:r>
          </w:p>
        </w:tc>
        <w:tc>
          <w:tcPr>
            <w:tcW w:w="1667" w:type="dxa"/>
            <w:tcBorders>
              <w:top w:val="single" w:color="auto" w:sz="12" w:space="0"/>
              <w:bottom w:val="double" w:color="auto" w:sz="6" w:space="0"/>
            </w:tcBorders>
            <w:noWrap w:val="0"/>
            <w:vAlign w:val="top"/>
          </w:tcPr>
          <w:p w14:paraId="7E8397D4">
            <w:pPr>
              <w:pStyle w:val="37"/>
              <w:spacing w:line="440" w:lineRule="exact"/>
              <w:jc w:val="center"/>
              <w:rPr>
                <w:rFonts w:ascii="Times New Roman" w:hAnsi="Times New Roman" w:eastAsia="仿宋_GB2312"/>
                <w:color w:val="auto"/>
                <w:sz w:val="28"/>
                <w:szCs w:val="30"/>
              </w:rPr>
            </w:pPr>
            <w:r>
              <w:rPr>
                <w:rFonts w:ascii="Times New Roman" w:hAnsi="Times New Roman" w:eastAsia="仿宋_GB2312"/>
                <w:color w:val="auto"/>
                <w:sz w:val="28"/>
                <w:szCs w:val="30"/>
              </w:rPr>
              <w:t>责任人</w:t>
            </w:r>
          </w:p>
        </w:tc>
      </w:tr>
      <w:tr w14:paraId="4CFC9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D3128C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tcBorders>
              <w:top w:val="double" w:color="auto" w:sz="6" w:space="0"/>
              <w:bottom w:val="single" w:color="auto" w:sz="6" w:space="0"/>
            </w:tcBorders>
            <w:noWrap w:val="0"/>
            <w:vAlign w:val="center"/>
          </w:tcPr>
          <w:p w14:paraId="3F3B994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double" w:color="auto" w:sz="6" w:space="0"/>
              <w:bottom w:val="single" w:color="auto" w:sz="6" w:space="0"/>
            </w:tcBorders>
            <w:noWrap w:val="0"/>
            <w:vAlign w:val="center"/>
          </w:tcPr>
          <w:p w14:paraId="6E01DF9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tcBorders>
              <w:top w:val="double" w:color="auto" w:sz="6" w:space="0"/>
              <w:bottom w:val="single" w:color="auto" w:sz="6" w:space="0"/>
            </w:tcBorders>
            <w:noWrap w:val="0"/>
            <w:vAlign w:val="center"/>
          </w:tcPr>
          <w:p w14:paraId="54CE15F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double" w:color="auto" w:sz="6" w:space="0"/>
              <w:bottom w:val="single" w:color="auto" w:sz="6" w:space="0"/>
            </w:tcBorders>
            <w:noWrap w:val="0"/>
            <w:vAlign w:val="center"/>
          </w:tcPr>
          <w:p w14:paraId="7AFC8A2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tcBorders>
              <w:top w:val="double" w:color="auto" w:sz="6" w:space="0"/>
              <w:bottom w:val="single" w:color="auto" w:sz="6" w:space="0"/>
            </w:tcBorders>
            <w:noWrap w:val="0"/>
            <w:vAlign w:val="center"/>
          </w:tcPr>
          <w:p w14:paraId="22E4295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8345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601784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tcBorders>
              <w:top w:val="nil"/>
            </w:tcBorders>
            <w:noWrap w:val="0"/>
            <w:vAlign w:val="center"/>
          </w:tcPr>
          <w:p w14:paraId="482188D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nil"/>
            </w:tcBorders>
            <w:noWrap w:val="0"/>
            <w:vAlign w:val="center"/>
          </w:tcPr>
          <w:p w14:paraId="2BE1EC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tcBorders>
              <w:top w:val="nil"/>
            </w:tcBorders>
            <w:noWrap w:val="0"/>
            <w:vAlign w:val="center"/>
          </w:tcPr>
          <w:p w14:paraId="6F666CE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nil"/>
            </w:tcBorders>
            <w:noWrap w:val="0"/>
            <w:vAlign w:val="center"/>
          </w:tcPr>
          <w:p w14:paraId="4FDDE25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tcBorders>
              <w:top w:val="nil"/>
            </w:tcBorders>
            <w:noWrap w:val="0"/>
            <w:vAlign w:val="center"/>
          </w:tcPr>
          <w:p w14:paraId="3755153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95E6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67F020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315697A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53B2CB0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4C75B27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6996072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3C0050B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69D9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BA1C78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3951A5B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0E8755A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60B5A42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36E3FE5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409350B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4525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99813E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3EEEC31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1500571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4050D61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77AF27C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6725694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84E3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BB4C1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6C5CFBE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4EB56D3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28D6CC6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3F07BD7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66363EC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D229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72D599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0A2ED23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52A5D45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04B108E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3555CD3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5FE7FF6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5117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22E49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0A4546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14D1934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735D590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034EA22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1732EFA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0E3A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6B86667">
            <w:pPr>
              <w:pStyle w:val="37"/>
              <w:rPr>
                <w:rFonts w:ascii="Times New Roman" w:hAnsi="Times New Roman" w:eastAsia="仿宋_GB2312"/>
                <w:color w:val="auto"/>
                <w:sz w:val="30"/>
                <w:szCs w:val="30"/>
              </w:rPr>
            </w:pPr>
          </w:p>
        </w:tc>
        <w:tc>
          <w:tcPr>
            <w:tcW w:w="1276" w:type="dxa"/>
            <w:noWrap w:val="0"/>
            <w:vAlign w:val="top"/>
          </w:tcPr>
          <w:p w14:paraId="0FD5E210">
            <w:pPr>
              <w:pStyle w:val="37"/>
              <w:rPr>
                <w:rFonts w:ascii="Times New Roman" w:hAnsi="Times New Roman" w:eastAsia="仿宋_GB2312"/>
                <w:color w:val="auto"/>
                <w:sz w:val="30"/>
                <w:szCs w:val="30"/>
              </w:rPr>
            </w:pPr>
          </w:p>
        </w:tc>
        <w:tc>
          <w:tcPr>
            <w:tcW w:w="1450" w:type="dxa"/>
            <w:noWrap w:val="0"/>
            <w:vAlign w:val="top"/>
          </w:tcPr>
          <w:p w14:paraId="40007840">
            <w:pPr>
              <w:pStyle w:val="37"/>
              <w:rPr>
                <w:rFonts w:ascii="Times New Roman" w:hAnsi="Times New Roman" w:eastAsia="仿宋_GB2312"/>
                <w:color w:val="auto"/>
                <w:sz w:val="30"/>
                <w:szCs w:val="30"/>
              </w:rPr>
            </w:pPr>
          </w:p>
        </w:tc>
        <w:tc>
          <w:tcPr>
            <w:tcW w:w="1243" w:type="dxa"/>
            <w:noWrap w:val="0"/>
            <w:vAlign w:val="top"/>
          </w:tcPr>
          <w:p w14:paraId="452ECF9B">
            <w:pPr>
              <w:pStyle w:val="37"/>
              <w:rPr>
                <w:rFonts w:ascii="Times New Roman" w:hAnsi="Times New Roman" w:eastAsia="仿宋_GB2312"/>
                <w:color w:val="auto"/>
                <w:sz w:val="30"/>
                <w:szCs w:val="30"/>
              </w:rPr>
            </w:pPr>
          </w:p>
        </w:tc>
        <w:tc>
          <w:tcPr>
            <w:tcW w:w="1450" w:type="dxa"/>
            <w:noWrap w:val="0"/>
            <w:vAlign w:val="top"/>
          </w:tcPr>
          <w:p w14:paraId="35F0A180">
            <w:pPr>
              <w:pStyle w:val="37"/>
              <w:rPr>
                <w:rFonts w:ascii="Times New Roman" w:hAnsi="Times New Roman" w:eastAsia="仿宋_GB2312"/>
                <w:color w:val="auto"/>
                <w:sz w:val="30"/>
                <w:szCs w:val="30"/>
              </w:rPr>
            </w:pPr>
          </w:p>
        </w:tc>
        <w:tc>
          <w:tcPr>
            <w:tcW w:w="1667" w:type="dxa"/>
            <w:noWrap w:val="0"/>
            <w:vAlign w:val="top"/>
          </w:tcPr>
          <w:p w14:paraId="214135EE">
            <w:pPr>
              <w:pStyle w:val="37"/>
              <w:rPr>
                <w:rFonts w:ascii="Times New Roman" w:hAnsi="Times New Roman" w:eastAsia="仿宋_GB2312"/>
                <w:color w:val="auto"/>
                <w:sz w:val="30"/>
                <w:szCs w:val="30"/>
              </w:rPr>
            </w:pPr>
          </w:p>
        </w:tc>
      </w:tr>
      <w:tr w14:paraId="7BC17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CC1698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735F0CC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5DA08D0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0300D72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1DF2E3D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7E3FD9F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4518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0F3F1B4">
            <w:pPr>
              <w:pStyle w:val="37"/>
              <w:rPr>
                <w:rFonts w:ascii="Times New Roman" w:hAnsi="Times New Roman" w:eastAsia="仿宋_GB2312"/>
                <w:color w:val="auto"/>
                <w:sz w:val="30"/>
                <w:szCs w:val="30"/>
              </w:rPr>
            </w:pPr>
          </w:p>
        </w:tc>
        <w:tc>
          <w:tcPr>
            <w:tcW w:w="1276" w:type="dxa"/>
            <w:noWrap w:val="0"/>
            <w:vAlign w:val="top"/>
          </w:tcPr>
          <w:p w14:paraId="34076AD2">
            <w:pPr>
              <w:pStyle w:val="37"/>
              <w:rPr>
                <w:rFonts w:ascii="Times New Roman" w:hAnsi="Times New Roman" w:eastAsia="仿宋_GB2312"/>
                <w:color w:val="auto"/>
                <w:sz w:val="30"/>
                <w:szCs w:val="30"/>
              </w:rPr>
            </w:pPr>
          </w:p>
        </w:tc>
        <w:tc>
          <w:tcPr>
            <w:tcW w:w="1450" w:type="dxa"/>
            <w:noWrap w:val="0"/>
            <w:vAlign w:val="top"/>
          </w:tcPr>
          <w:p w14:paraId="3E4E6FBB">
            <w:pPr>
              <w:pStyle w:val="37"/>
              <w:rPr>
                <w:rFonts w:ascii="Times New Roman" w:hAnsi="Times New Roman" w:eastAsia="仿宋_GB2312"/>
                <w:color w:val="auto"/>
                <w:sz w:val="30"/>
                <w:szCs w:val="30"/>
              </w:rPr>
            </w:pPr>
          </w:p>
        </w:tc>
        <w:tc>
          <w:tcPr>
            <w:tcW w:w="1243" w:type="dxa"/>
            <w:noWrap w:val="0"/>
            <w:vAlign w:val="top"/>
          </w:tcPr>
          <w:p w14:paraId="77A3E409">
            <w:pPr>
              <w:pStyle w:val="37"/>
              <w:rPr>
                <w:rFonts w:ascii="Times New Roman" w:hAnsi="Times New Roman" w:eastAsia="仿宋_GB2312"/>
                <w:color w:val="auto"/>
                <w:sz w:val="30"/>
                <w:szCs w:val="30"/>
              </w:rPr>
            </w:pPr>
          </w:p>
        </w:tc>
        <w:tc>
          <w:tcPr>
            <w:tcW w:w="1450" w:type="dxa"/>
            <w:noWrap w:val="0"/>
            <w:vAlign w:val="top"/>
          </w:tcPr>
          <w:p w14:paraId="446AF340">
            <w:pPr>
              <w:pStyle w:val="37"/>
              <w:rPr>
                <w:rFonts w:ascii="Times New Roman" w:hAnsi="Times New Roman" w:eastAsia="仿宋_GB2312"/>
                <w:color w:val="auto"/>
                <w:sz w:val="30"/>
                <w:szCs w:val="30"/>
              </w:rPr>
            </w:pPr>
          </w:p>
        </w:tc>
        <w:tc>
          <w:tcPr>
            <w:tcW w:w="1667" w:type="dxa"/>
            <w:noWrap w:val="0"/>
            <w:vAlign w:val="top"/>
          </w:tcPr>
          <w:p w14:paraId="3559E0B9">
            <w:pPr>
              <w:pStyle w:val="37"/>
              <w:rPr>
                <w:rFonts w:ascii="Times New Roman" w:hAnsi="Times New Roman" w:eastAsia="仿宋_GB2312"/>
                <w:color w:val="auto"/>
                <w:sz w:val="30"/>
                <w:szCs w:val="30"/>
              </w:rPr>
            </w:pPr>
          </w:p>
        </w:tc>
      </w:tr>
      <w:tr w14:paraId="579C4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7A32707">
            <w:pPr>
              <w:pStyle w:val="37"/>
              <w:rPr>
                <w:rFonts w:ascii="Times New Roman" w:hAnsi="Times New Roman" w:eastAsia="仿宋_GB2312"/>
                <w:color w:val="auto"/>
                <w:sz w:val="30"/>
                <w:szCs w:val="30"/>
              </w:rPr>
            </w:pPr>
          </w:p>
        </w:tc>
        <w:tc>
          <w:tcPr>
            <w:tcW w:w="1276" w:type="dxa"/>
            <w:noWrap w:val="0"/>
            <w:vAlign w:val="top"/>
          </w:tcPr>
          <w:p w14:paraId="40CFAF29">
            <w:pPr>
              <w:pStyle w:val="37"/>
              <w:rPr>
                <w:rFonts w:ascii="Times New Roman" w:hAnsi="Times New Roman" w:eastAsia="仿宋_GB2312"/>
                <w:color w:val="auto"/>
                <w:sz w:val="30"/>
                <w:szCs w:val="30"/>
              </w:rPr>
            </w:pPr>
          </w:p>
        </w:tc>
        <w:tc>
          <w:tcPr>
            <w:tcW w:w="1450" w:type="dxa"/>
            <w:noWrap w:val="0"/>
            <w:vAlign w:val="top"/>
          </w:tcPr>
          <w:p w14:paraId="11154571">
            <w:pPr>
              <w:pStyle w:val="37"/>
              <w:rPr>
                <w:rFonts w:ascii="Times New Roman" w:hAnsi="Times New Roman" w:eastAsia="仿宋_GB2312"/>
                <w:color w:val="auto"/>
                <w:sz w:val="30"/>
                <w:szCs w:val="30"/>
              </w:rPr>
            </w:pPr>
          </w:p>
        </w:tc>
        <w:tc>
          <w:tcPr>
            <w:tcW w:w="1243" w:type="dxa"/>
            <w:noWrap w:val="0"/>
            <w:vAlign w:val="top"/>
          </w:tcPr>
          <w:p w14:paraId="29E9F964">
            <w:pPr>
              <w:pStyle w:val="37"/>
              <w:rPr>
                <w:rFonts w:ascii="Times New Roman" w:hAnsi="Times New Roman" w:eastAsia="仿宋_GB2312"/>
                <w:color w:val="auto"/>
                <w:sz w:val="30"/>
                <w:szCs w:val="30"/>
              </w:rPr>
            </w:pPr>
          </w:p>
        </w:tc>
        <w:tc>
          <w:tcPr>
            <w:tcW w:w="1450" w:type="dxa"/>
            <w:noWrap w:val="0"/>
            <w:vAlign w:val="top"/>
          </w:tcPr>
          <w:p w14:paraId="59062211">
            <w:pPr>
              <w:pStyle w:val="37"/>
              <w:rPr>
                <w:rFonts w:ascii="Times New Roman" w:hAnsi="Times New Roman" w:eastAsia="仿宋_GB2312"/>
                <w:color w:val="auto"/>
                <w:sz w:val="30"/>
                <w:szCs w:val="30"/>
              </w:rPr>
            </w:pPr>
          </w:p>
        </w:tc>
        <w:tc>
          <w:tcPr>
            <w:tcW w:w="1667" w:type="dxa"/>
            <w:noWrap w:val="0"/>
            <w:vAlign w:val="top"/>
          </w:tcPr>
          <w:p w14:paraId="0E9BFA9A">
            <w:pPr>
              <w:pStyle w:val="37"/>
              <w:rPr>
                <w:rFonts w:ascii="Times New Roman" w:hAnsi="Times New Roman" w:eastAsia="仿宋_GB2312"/>
                <w:color w:val="auto"/>
                <w:sz w:val="30"/>
                <w:szCs w:val="30"/>
              </w:rPr>
            </w:pPr>
          </w:p>
        </w:tc>
      </w:tr>
      <w:tr w14:paraId="75A4A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088300D">
            <w:pPr>
              <w:pStyle w:val="37"/>
              <w:rPr>
                <w:rFonts w:ascii="Times New Roman" w:hAnsi="Times New Roman" w:eastAsia="仿宋_GB2312"/>
                <w:color w:val="auto"/>
                <w:sz w:val="30"/>
                <w:szCs w:val="30"/>
              </w:rPr>
            </w:pPr>
          </w:p>
        </w:tc>
        <w:tc>
          <w:tcPr>
            <w:tcW w:w="1276" w:type="dxa"/>
            <w:noWrap w:val="0"/>
            <w:vAlign w:val="top"/>
          </w:tcPr>
          <w:p w14:paraId="29E6A719">
            <w:pPr>
              <w:pStyle w:val="37"/>
              <w:rPr>
                <w:rFonts w:ascii="Times New Roman" w:hAnsi="Times New Roman" w:eastAsia="仿宋_GB2312"/>
                <w:color w:val="auto"/>
                <w:sz w:val="30"/>
                <w:szCs w:val="30"/>
              </w:rPr>
            </w:pPr>
          </w:p>
        </w:tc>
        <w:tc>
          <w:tcPr>
            <w:tcW w:w="1450" w:type="dxa"/>
            <w:noWrap w:val="0"/>
            <w:vAlign w:val="top"/>
          </w:tcPr>
          <w:p w14:paraId="7E1CACC6">
            <w:pPr>
              <w:pStyle w:val="37"/>
              <w:rPr>
                <w:rFonts w:ascii="Times New Roman" w:hAnsi="Times New Roman" w:eastAsia="仿宋_GB2312"/>
                <w:color w:val="auto"/>
                <w:sz w:val="30"/>
                <w:szCs w:val="30"/>
              </w:rPr>
            </w:pPr>
          </w:p>
        </w:tc>
        <w:tc>
          <w:tcPr>
            <w:tcW w:w="1243" w:type="dxa"/>
            <w:noWrap w:val="0"/>
            <w:vAlign w:val="top"/>
          </w:tcPr>
          <w:p w14:paraId="63584099">
            <w:pPr>
              <w:pStyle w:val="37"/>
              <w:rPr>
                <w:rFonts w:ascii="Times New Roman" w:hAnsi="Times New Roman" w:eastAsia="仿宋_GB2312"/>
                <w:color w:val="auto"/>
                <w:sz w:val="30"/>
                <w:szCs w:val="30"/>
              </w:rPr>
            </w:pPr>
          </w:p>
        </w:tc>
        <w:tc>
          <w:tcPr>
            <w:tcW w:w="1450" w:type="dxa"/>
            <w:noWrap w:val="0"/>
            <w:vAlign w:val="top"/>
          </w:tcPr>
          <w:p w14:paraId="032B79CE">
            <w:pPr>
              <w:pStyle w:val="37"/>
              <w:rPr>
                <w:rFonts w:ascii="Times New Roman" w:hAnsi="Times New Roman" w:eastAsia="仿宋_GB2312"/>
                <w:color w:val="auto"/>
                <w:sz w:val="30"/>
                <w:szCs w:val="30"/>
              </w:rPr>
            </w:pPr>
          </w:p>
        </w:tc>
        <w:tc>
          <w:tcPr>
            <w:tcW w:w="1667" w:type="dxa"/>
            <w:noWrap w:val="0"/>
            <w:vAlign w:val="top"/>
          </w:tcPr>
          <w:p w14:paraId="7D2F1A21">
            <w:pPr>
              <w:pStyle w:val="37"/>
              <w:rPr>
                <w:rFonts w:ascii="Times New Roman" w:hAnsi="Times New Roman" w:eastAsia="仿宋_GB2312"/>
                <w:color w:val="auto"/>
                <w:sz w:val="30"/>
                <w:szCs w:val="30"/>
              </w:rPr>
            </w:pPr>
          </w:p>
        </w:tc>
      </w:tr>
      <w:tr w14:paraId="37999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top"/>
          </w:tcPr>
          <w:p w14:paraId="40A30FC0">
            <w:pPr>
              <w:pStyle w:val="37"/>
              <w:rPr>
                <w:rFonts w:ascii="Times New Roman" w:hAnsi="Times New Roman" w:eastAsia="仿宋_GB2312"/>
                <w:color w:val="auto"/>
                <w:sz w:val="30"/>
                <w:szCs w:val="30"/>
              </w:rPr>
            </w:pPr>
          </w:p>
        </w:tc>
        <w:tc>
          <w:tcPr>
            <w:tcW w:w="1276" w:type="dxa"/>
            <w:noWrap w:val="0"/>
            <w:vAlign w:val="top"/>
          </w:tcPr>
          <w:p w14:paraId="7B238D40">
            <w:pPr>
              <w:pStyle w:val="37"/>
              <w:rPr>
                <w:rFonts w:ascii="Times New Roman" w:hAnsi="Times New Roman" w:eastAsia="仿宋_GB2312"/>
                <w:color w:val="auto"/>
                <w:sz w:val="30"/>
                <w:szCs w:val="30"/>
              </w:rPr>
            </w:pPr>
          </w:p>
        </w:tc>
        <w:tc>
          <w:tcPr>
            <w:tcW w:w="1450" w:type="dxa"/>
            <w:noWrap w:val="0"/>
            <w:vAlign w:val="top"/>
          </w:tcPr>
          <w:p w14:paraId="0309A00D">
            <w:pPr>
              <w:pStyle w:val="37"/>
              <w:rPr>
                <w:rFonts w:ascii="Times New Roman" w:hAnsi="Times New Roman" w:eastAsia="仿宋_GB2312"/>
                <w:color w:val="auto"/>
                <w:sz w:val="30"/>
                <w:szCs w:val="30"/>
              </w:rPr>
            </w:pPr>
          </w:p>
        </w:tc>
        <w:tc>
          <w:tcPr>
            <w:tcW w:w="1243" w:type="dxa"/>
            <w:noWrap w:val="0"/>
            <w:vAlign w:val="top"/>
          </w:tcPr>
          <w:p w14:paraId="757CF500">
            <w:pPr>
              <w:pStyle w:val="37"/>
              <w:rPr>
                <w:rFonts w:ascii="Times New Roman" w:hAnsi="Times New Roman" w:eastAsia="仿宋_GB2312"/>
                <w:color w:val="auto"/>
                <w:sz w:val="30"/>
                <w:szCs w:val="30"/>
              </w:rPr>
            </w:pPr>
          </w:p>
        </w:tc>
        <w:tc>
          <w:tcPr>
            <w:tcW w:w="1450" w:type="dxa"/>
            <w:noWrap w:val="0"/>
            <w:vAlign w:val="top"/>
          </w:tcPr>
          <w:p w14:paraId="760902D2">
            <w:pPr>
              <w:pStyle w:val="37"/>
              <w:rPr>
                <w:rFonts w:ascii="Times New Roman" w:hAnsi="Times New Roman" w:eastAsia="仿宋_GB2312"/>
                <w:color w:val="auto"/>
                <w:sz w:val="30"/>
                <w:szCs w:val="30"/>
              </w:rPr>
            </w:pPr>
          </w:p>
        </w:tc>
        <w:tc>
          <w:tcPr>
            <w:tcW w:w="1667" w:type="dxa"/>
            <w:noWrap w:val="0"/>
            <w:vAlign w:val="top"/>
          </w:tcPr>
          <w:p w14:paraId="39EAF3C3">
            <w:pPr>
              <w:pStyle w:val="37"/>
              <w:rPr>
                <w:rFonts w:ascii="Times New Roman" w:hAnsi="Times New Roman" w:eastAsia="仿宋_GB2312"/>
                <w:color w:val="auto"/>
                <w:sz w:val="30"/>
                <w:szCs w:val="30"/>
              </w:rPr>
            </w:pPr>
          </w:p>
        </w:tc>
      </w:tr>
      <w:tr w14:paraId="281D1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E4A3B4E">
            <w:pPr>
              <w:pStyle w:val="37"/>
              <w:rPr>
                <w:rFonts w:ascii="Times New Roman" w:hAnsi="Times New Roman" w:eastAsia="仿宋_GB2312"/>
                <w:color w:val="auto"/>
                <w:sz w:val="30"/>
                <w:szCs w:val="30"/>
              </w:rPr>
            </w:pPr>
          </w:p>
        </w:tc>
        <w:tc>
          <w:tcPr>
            <w:tcW w:w="1276" w:type="dxa"/>
            <w:noWrap w:val="0"/>
            <w:vAlign w:val="top"/>
          </w:tcPr>
          <w:p w14:paraId="7D509BFB">
            <w:pPr>
              <w:pStyle w:val="37"/>
              <w:rPr>
                <w:rFonts w:ascii="Times New Roman" w:hAnsi="Times New Roman" w:eastAsia="仿宋_GB2312"/>
                <w:color w:val="auto"/>
                <w:sz w:val="30"/>
                <w:szCs w:val="30"/>
              </w:rPr>
            </w:pPr>
          </w:p>
        </w:tc>
        <w:tc>
          <w:tcPr>
            <w:tcW w:w="1450" w:type="dxa"/>
            <w:noWrap w:val="0"/>
            <w:vAlign w:val="top"/>
          </w:tcPr>
          <w:p w14:paraId="59EAB8DC">
            <w:pPr>
              <w:pStyle w:val="37"/>
              <w:rPr>
                <w:rFonts w:ascii="Times New Roman" w:hAnsi="Times New Roman" w:eastAsia="仿宋_GB2312"/>
                <w:color w:val="auto"/>
                <w:sz w:val="30"/>
                <w:szCs w:val="30"/>
              </w:rPr>
            </w:pPr>
          </w:p>
        </w:tc>
        <w:tc>
          <w:tcPr>
            <w:tcW w:w="1243" w:type="dxa"/>
            <w:noWrap w:val="0"/>
            <w:vAlign w:val="top"/>
          </w:tcPr>
          <w:p w14:paraId="1955314D">
            <w:pPr>
              <w:pStyle w:val="37"/>
              <w:rPr>
                <w:rFonts w:ascii="Times New Roman" w:hAnsi="Times New Roman" w:eastAsia="仿宋_GB2312"/>
                <w:color w:val="auto"/>
                <w:sz w:val="30"/>
                <w:szCs w:val="30"/>
              </w:rPr>
            </w:pPr>
          </w:p>
        </w:tc>
        <w:tc>
          <w:tcPr>
            <w:tcW w:w="1450" w:type="dxa"/>
            <w:noWrap w:val="0"/>
            <w:vAlign w:val="top"/>
          </w:tcPr>
          <w:p w14:paraId="15C6556E">
            <w:pPr>
              <w:pStyle w:val="37"/>
              <w:rPr>
                <w:rFonts w:ascii="Times New Roman" w:hAnsi="Times New Roman" w:eastAsia="仿宋_GB2312"/>
                <w:color w:val="auto"/>
                <w:sz w:val="30"/>
                <w:szCs w:val="30"/>
              </w:rPr>
            </w:pPr>
          </w:p>
        </w:tc>
        <w:tc>
          <w:tcPr>
            <w:tcW w:w="1667" w:type="dxa"/>
            <w:noWrap w:val="0"/>
            <w:vAlign w:val="top"/>
          </w:tcPr>
          <w:p w14:paraId="686E83B8">
            <w:pPr>
              <w:pStyle w:val="37"/>
              <w:rPr>
                <w:rFonts w:ascii="Times New Roman" w:hAnsi="Times New Roman" w:eastAsia="仿宋_GB2312"/>
                <w:color w:val="auto"/>
                <w:sz w:val="30"/>
                <w:szCs w:val="30"/>
              </w:rPr>
            </w:pPr>
          </w:p>
        </w:tc>
      </w:tr>
      <w:tr w14:paraId="13A4A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3AA824">
            <w:pPr>
              <w:pStyle w:val="37"/>
              <w:rPr>
                <w:rFonts w:ascii="Times New Roman" w:hAnsi="Times New Roman" w:eastAsia="仿宋_GB2312"/>
                <w:color w:val="auto"/>
                <w:sz w:val="30"/>
                <w:szCs w:val="30"/>
              </w:rPr>
            </w:pPr>
          </w:p>
        </w:tc>
        <w:tc>
          <w:tcPr>
            <w:tcW w:w="1276" w:type="dxa"/>
            <w:noWrap w:val="0"/>
            <w:vAlign w:val="top"/>
          </w:tcPr>
          <w:p w14:paraId="7B090670">
            <w:pPr>
              <w:pStyle w:val="37"/>
              <w:rPr>
                <w:rFonts w:ascii="Times New Roman" w:hAnsi="Times New Roman" w:eastAsia="仿宋_GB2312"/>
                <w:color w:val="auto"/>
                <w:sz w:val="30"/>
                <w:szCs w:val="30"/>
              </w:rPr>
            </w:pPr>
          </w:p>
        </w:tc>
        <w:tc>
          <w:tcPr>
            <w:tcW w:w="1450" w:type="dxa"/>
            <w:noWrap w:val="0"/>
            <w:vAlign w:val="top"/>
          </w:tcPr>
          <w:p w14:paraId="1EF434C6">
            <w:pPr>
              <w:pStyle w:val="37"/>
              <w:rPr>
                <w:rFonts w:ascii="Times New Roman" w:hAnsi="Times New Roman" w:eastAsia="仿宋_GB2312"/>
                <w:color w:val="auto"/>
                <w:sz w:val="30"/>
                <w:szCs w:val="30"/>
              </w:rPr>
            </w:pPr>
          </w:p>
        </w:tc>
        <w:tc>
          <w:tcPr>
            <w:tcW w:w="1243" w:type="dxa"/>
            <w:noWrap w:val="0"/>
            <w:vAlign w:val="top"/>
          </w:tcPr>
          <w:p w14:paraId="4A9E9AA1">
            <w:pPr>
              <w:pStyle w:val="37"/>
              <w:rPr>
                <w:rFonts w:ascii="Times New Roman" w:hAnsi="Times New Roman" w:eastAsia="仿宋_GB2312"/>
                <w:color w:val="auto"/>
                <w:sz w:val="30"/>
                <w:szCs w:val="30"/>
              </w:rPr>
            </w:pPr>
          </w:p>
        </w:tc>
        <w:tc>
          <w:tcPr>
            <w:tcW w:w="1450" w:type="dxa"/>
            <w:noWrap w:val="0"/>
            <w:vAlign w:val="top"/>
          </w:tcPr>
          <w:p w14:paraId="36F3C896">
            <w:pPr>
              <w:pStyle w:val="37"/>
              <w:rPr>
                <w:rFonts w:ascii="Times New Roman" w:hAnsi="Times New Roman" w:eastAsia="仿宋_GB2312"/>
                <w:color w:val="auto"/>
                <w:sz w:val="30"/>
                <w:szCs w:val="30"/>
              </w:rPr>
            </w:pPr>
          </w:p>
        </w:tc>
        <w:tc>
          <w:tcPr>
            <w:tcW w:w="1667" w:type="dxa"/>
            <w:noWrap w:val="0"/>
            <w:vAlign w:val="top"/>
          </w:tcPr>
          <w:p w14:paraId="09940643">
            <w:pPr>
              <w:pStyle w:val="37"/>
              <w:rPr>
                <w:rFonts w:ascii="Times New Roman" w:hAnsi="Times New Roman" w:eastAsia="仿宋_GB2312"/>
                <w:color w:val="auto"/>
                <w:sz w:val="30"/>
                <w:szCs w:val="30"/>
              </w:rPr>
            </w:pPr>
          </w:p>
        </w:tc>
      </w:tr>
      <w:tr w14:paraId="1F787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7DB439C">
            <w:pPr>
              <w:pStyle w:val="37"/>
              <w:rPr>
                <w:rFonts w:ascii="Times New Roman" w:hAnsi="Times New Roman" w:eastAsia="仿宋_GB2312"/>
                <w:color w:val="auto"/>
                <w:sz w:val="30"/>
                <w:szCs w:val="30"/>
              </w:rPr>
            </w:pPr>
          </w:p>
        </w:tc>
        <w:tc>
          <w:tcPr>
            <w:tcW w:w="1276" w:type="dxa"/>
            <w:noWrap w:val="0"/>
            <w:vAlign w:val="top"/>
          </w:tcPr>
          <w:p w14:paraId="0D6FF8E5">
            <w:pPr>
              <w:pStyle w:val="37"/>
              <w:rPr>
                <w:rFonts w:ascii="Times New Roman" w:hAnsi="Times New Roman" w:eastAsia="仿宋_GB2312"/>
                <w:color w:val="auto"/>
                <w:sz w:val="30"/>
                <w:szCs w:val="30"/>
              </w:rPr>
            </w:pPr>
          </w:p>
        </w:tc>
        <w:tc>
          <w:tcPr>
            <w:tcW w:w="1450" w:type="dxa"/>
            <w:noWrap w:val="0"/>
            <w:vAlign w:val="top"/>
          </w:tcPr>
          <w:p w14:paraId="6DE7C98B">
            <w:pPr>
              <w:pStyle w:val="37"/>
              <w:rPr>
                <w:rFonts w:ascii="Times New Roman" w:hAnsi="Times New Roman" w:eastAsia="仿宋_GB2312"/>
                <w:color w:val="auto"/>
                <w:sz w:val="30"/>
                <w:szCs w:val="30"/>
              </w:rPr>
            </w:pPr>
          </w:p>
        </w:tc>
        <w:tc>
          <w:tcPr>
            <w:tcW w:w="1243" w:type="dxa"/>
            <w:noWrap w:val="0"/>
            <w:vAlign w:val="top"/>
          </w:tcPr>
          <w:p w14:paraId="0139997E">
            <w:pPr>
              <w:pStyle w:val="37"/>
              <w:rPr>
                <w:rFonts w:ascii="Times New Roman" w:hAnsi="Times New Roman" w:eastAsia="仿宋_GB2312"/>
                <w:color w:val="auto"/>
                <w:sz w:val="30"/>
                <w:szCs w:val="30"/>
              </w:rPr>
            </w:pPr>
          </w:p>
        </w:tc>
        <w:tc>
          <w:tcPr>
            <w:tcW w:w="1450" w:type="dxa"/>
            <w:noWrap w:val="0"/>
            <w:vAlign w:val="top"/>
          </w:tcPr>
          <w:p w14:paraId="6109114C">
            <w:pPr>
              <w:pStyle w:val="37"/>
              <w:rPr>
                <w:rFonts w:ascii="Times New Roman" w:hAnsi="Times New Roman" w:eastAsia="仿宋_GB2312"/>
                <w:color w:val="auto"/>
                <w:sz w:val="30"/>
                <w:szCs w:val="30"/>
              </w:rPr>
            </w:pPr>
          </w:p>
        </w:tc>
        <w:tc>
          <w:tcPr>
            <w:tcW w:w="1667" w:type="dxa"/>
            <w:noWrap w:val="0"/>
            <w:vAlign w:val="top"/>
          </w:tcPr>
          <w:p w14:paraId="76EAE07F">
            <w:pPr>
              <w:pStyle w:val="37"/>
              <w:rPr>
                <w:rFonts w:ascii="Times New Roman" w:hAnsi="Times New Roman" w:eastAsia="仿宋_GB2312"/>
                <w:color w:val="auto"/>
                <w:sz w:val="30"/>
                <w:szCs w:val="30"/>
              </w:rPr>
            </w:pPr>
          </w:p>
        </w:tc>
      </w:tr>
    </w:tbl>
    <w:p w14:paraId="7D7EC209">
      <w:pPr>
        <w:pStyle w:val="37"/>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br w:type="page"/>
      </w:r>
      <w:r>
        <w:rPr>
          <w:rFonts w:hint="eastAsia" w:ascii="Times New Roman" w:hAnsi="Times New Roman" w:eastAsia="仿宋_GB2312" w:cs="仿宋_GB2312"/>
          <w:color w:val="auto"/>
          <w:sz w:val="30"/>
          <w:szCs w:val="30"/>
        </w:rPr>
        <w:t>附件</w:t>
      </w:r>
      <w:r>
        <w:rPr>
          <w:rFonts w:hint="eastAsia" w:ascii="Times New Roman" w:hAnsi="Times New Roman" w:eastAsia="仿宋_GB2312"/>
          <w:color w:val="auto"/>
          <w:sz w:val="30"/>
          <w:szCs w:val="30"/>
        </w:rPr>
        <w:t>4</w:t>
      </w:r>
      <w:r>
        <w:rPr>
          <w:rFonts w:hint="eastAsia" w:ascii="Times New Roman" w:hAnsi="Times New Roman" w:eastAsia="仿宋_GB2312" w:cs="仿宋_GB2312"/>
          <w:color w:val="auto"/>
          <w:sz w:val="30"/>
          <w:szCs w:val="30"/>
        </w:rPr>
        <w:t>：</w:t>
      </w:r>
    </w:p>
    <w:p w14:paraId="48FAB4B5">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承包人用于本工程施工的机械设备表</w:t>
      </w:r>
    </w:p>
    <w:tbl>
      <w:tblPr>
        <w:tblStyle w:val="22"/>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41A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248A6A6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序号</w:t>
            </w:r>
          </w:p>
        </w:tc>
        <w:tc>
          <w:tcPr>
            <w:tcW w:w="1418" w:type="dxa"/>
            <w:noWrap w:val="0"/>
            <w:vAlign w:val="center"/>
          </w:tcPr>
          <w:p w14:paraId="0253A0F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机械或设备名称</w:t>
            </w:r>
          </w:p>
        </w:tc>
        <w:tc>
          <w:tcPr>
            <w:tcW w:w="850" w:type="dxa"/>
            <w:noWrap w:val="0"/>
            <w:vAlign w:val="center"/>
          </w:tcPr>
          <w:p w14:paraId="71546F2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规格型号</w:t>
            </w:r>
          </w:p>
        </w:tc>
        <w:tc>
          <w:tcPr>
            <w:tcW w:w="1058" w:type="dxa"/>
            <w:noWrap w:val="0"/>
            <w:vAlign w:val="center"/>
          </w:tcPr>
          <w:p w14:paraId="0E99216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数量</w:t>
            </w:r>
          </w:p>
        </w:tc>
        <w:tc>
          <w:tcPr>
            <w:tcW w:w="880" w:type="dxa"/>
            <w:noWrap w:val="0"/>
            <w:vAlign w:val="center"/>
          </w:tcPr>
          <w:p w14:paraId="029BEC1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产地</w:t>
            </w:r>
          </w:p>
        </w:tc>
        <w:tc>
          <w:tcPr>
            <w:tcW w:w="1020" w:type="dxa"/>
            <w:noWrap w:val="0"/>
            <w:vAlign w:val="center"/>
          </w:tcPr>
          <w:p w14:paraId="04271A5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制造年份</w:t>
            </w:r>
          </w:p>
        </w:tc>
        <w:tc>
          <w:tcPr>
            <w:tcW w:w="1480" w:type="dxa"/>
            <w:noWrap w:val="0"/>
            <w:vAlign w:val="center"/>
          </w:tcPr>
          <w:p w14:paraId="3A47966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额定功率（</w:t>
            </w:r>
            <w:r>
              <w:rPr>
                <w:rFonts w:ascii="Times New Roman" w:hAnsi="Times New Roman" w:eastAsia="仿宋_GB2312"/>
                <w:color w:val="auto"/>
                <w:sz w:val="28"/>
                <w:szCs w:val="28"/>
              </w:rPr>
              <w:t>kW</w:t>
            </w:r>
            <w:r>
              <w:rPr>
                <w:rFonts w:hint="eastAsia" w:ascii="Times New Roman" w:hAnsi="Times New Roman" w:eastAsia="仿宋_GB2312" w:cs="仿宋_GB2312"/>
                <w:color w:val="auto"/>
                <w:sz w:val="28"/>
                <w:szCs w:val="28"/>
              </w:rPr>
              <w:t>）</w:t>
            </w:r>
          </w:p>
        </w:tc>
        <w:tc>
          <w:tcPr>
            <w:tcW w:w="1020" w:type="dxa"/>
            <w:noWrap w:val="0"/>
            <w:vAlign w:val="center"/>
          </w:tcPr>
          <w:p w14:paraId="6FD606F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生产能力</w:t>
            </w:r>
          </w:p>
        </w:tc>
        <w:tc>
          <w:tcPr>
            <w:tcW w:w="921" w:type="dxa"/>
            <w:noWrap w:val="0"/>
            <w:vAlign w:val="center"/>
          </w:tcPr>
          <w:p w14:paraId="2781016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备注</w:t>
            </w:r>
          </w:p>
        </w:tc>
      </w:tr>
      <w:tr w14:paraId="7F58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57D94A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55CED83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0CC4D46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0A5EF07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03337CA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638D758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2B6749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491239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0CD2406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5E5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B617C9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09ABBE3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3EA873E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3233F8B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075458F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CEFCB0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14E774F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DC6AFF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067DD8C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2A3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F5115C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1F294DA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2AA88F5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69C532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405DA26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0D5E5F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4C8A56B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A37F64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194E089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0AD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35ACB8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5D096A7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629D138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0272569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1283D50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66C34D3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107DF6C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526238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2146FE1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7AF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C4673D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22C761A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041650D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441808A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17BABE2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539220F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22BA617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54E65E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3801C65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17D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57B442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39F7235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40974FA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65AB41A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3A214CE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39F1D04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143E73E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B134EB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7E072A4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FAF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E14787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264C9FD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6A121D6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7D06BDC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01C46C2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676C30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691FCA6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615044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1139992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0FF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1B3EAB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60A0BE6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0A0E8BD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38450C0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2E47860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3A1EDDB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4153EC6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31DAE4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0E5D47F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5B5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B1CE4E2">
            <w:pPr>
              <w:pStyle w:val="37"/>
              <w:rPr>
                <w:rFonts w:ascii="Times New Roman" w:hAnsi="Times New Roman" w:eastAsia="仿宋_GB2312"/>
                <w:color w:val="auto"/>
                <w:sz w:val="30"/>
                <w:szCs w:val="30"/>
              </w:rPr>
            </w:pPr>
          </w:p>
        </w:tc>
        <w:tc>
          <w:tcPr>
            <w:tcW w:w="1418" w:type="dxa"/>
            <w:noWrap w:val="0"/>
            <w:vAlign w:val="top"/>
          </w:tcPr>
          <w:p w14:paraId="3D1ACAF0">
            <w:pPr>
              <w:pStyle w:val="37"/>
              <w:rPr>
                <w:rFonts w:ascii="Times New Roman" w:hAnsi="Times New Roman" w:eastAsia="仿宋_GB2312"/>
                <w:color w:val="auto"/>
                <w:sz w:val="30"/>
                <w:szCs w:val="30"/>
              </w:rPr>
            </w:pPr>
          </w:p>
        </w:tc>
        <w:tc>
          <w:tcPr>
            <w:tcW w:w="850" w:type="dxa"/>
            <w:noWrap w:val="0"/>
            <w:vAlign w:val="top"/>
          </w:tcPr>
          <w:p w14:paraId="2DE1938B">
            <w:pPr>
              <w:pStyle w:val="37"/>
              <w:rPr>
                <w:rFonts w:ascii="Times New Roman" w:hAnsi="Times New Roman" w:eastAsia="仿宋_GB2312"/>
                <w:color w:val="auto"/>
                <w:sz w:val="30"/>
                <w:szCs w:val="30"/>
              </w:rPr>
            </w:pPr>
          </w:p>
        </w:tc>
        <w:tc>
          <w:tcPr>
            <w:tcW w:w="1058" w:type="dxa"/>
            <w:noWrap w:val="0"/>
            <w:vAlign w:val="top"/>
          </w:tcPr>
          <w:p w14:paraId="4BDC71D4">
            <w:pPr>
              <w:pStyle w:val="37"/>
              <w:rPr>
                <w:rFonts w:ascii="Times New Roman" w:hAnsi="Times New Roman" w:eastAsia="仿宋_GB2312"/>
                <w:color w:val="auto"/>
                <w:sz w:val="30"/>
                <w:szCs w:val="30"/>
              </w:rPr>
            </w:pPr>
          </w:p>
        </w:tc>
        <w:tc>
          <w:tcPr>
            <w:tcW w:w="880" w:type="dxa"/>
            <w:noWrap w:val="0"/>
            <w:vAlign w:val="top"/>
          </w:tcPr>
          <w:p w14:paraId="37BAFC8E">
            <w:pPr>
              <w:pStyle w:val="37"/>
              <w:rPr>
                <w:rFonts w:ascii="Times New Roman" w:hAnsi="Times New Roman" w:eastAsia="仿宋_GB2312"/>
                <w:color w:val="auto"/>
                <w:sz w:val="30"/>
                <w:szCs w:val="30"/>
              </w:rPr>
            </w:pPr>
          </w:p>
        </w:tc>
        <w:tc>
          <w:tcPr>
            <w:tcW w:w="1020" w:type="dxa"/>
            <w:noWrap w:val="0"/>
            <w:vAlign w:val="top"/>
          </w:tcPr>
          <w:p w14:paraId="56F45CA2">
            <w:pPr>
              <w:pStyle w:val="37"/>
              <w:rPr>
                <w:rFonts w:ascii="Times New Roman" w:hAnsi="Times New Roman" w:eastAsia="仿宋_GB2312"/>
                <w:color w:val="auto"/>
                <w:sz w:val="30"/>
                <w:szCs w:val="30"/>
              </w:rPr>
            </w:pPr>
          </w:p>
        </w:tc>
        <w:tc>
          <w:tcPr>
            <w:tcW w:w="1480" w:type="dxa"/>
            <w:noWrap w:val="0"/>
            <w:vAlign w:val="top"/>
          </w:tcPr>
          <w:p w14:paraId="2E36372A">
            <w:pPr>
              <w:pStyle w:val="37"/>
              <w:rPr>
                <w:rFonts w:ascii="Times New Roman" w:hAnsi="Times New Roman" w:eastAsia="仿宋_GB2312"/>
                <w:color w:val="auto"/>
                <w:sz w:val="30"/>
                <w:szCs w:val="30"/>
              </w:rPr>
            </w:pPr>
          </w:p>
        </w:tc>
        <w:tc>
          <w:tcPr>
            <w:tcW w:w="1020" w:type="dxa"/>
            <w:noWrap w:val="0"/>
            <w:vAlign w:val="top"/>
          </w:tcPr>
          <w:p w14:paraId="4840DC20">
            <w:pPr>
              <w:pStyle w:val="37"/>
              <w:rPr>
                <w:rFonts w:ascii="Times New Roman" w:hAnsi="Times New Roman" w:eastAsia="仿宋_GB2312"/>
                <w:color w:val="auto"/>
                <w:sz w:val="30"/>
                <w:szCs w:val="30"/>
              </w:rPr>
            </w:pPr>
          </w:p>
        </w:tc>
        <w:tc>
          <w:tcPr>
            <w:tcW w:w="921" w:type="dxa"/>
            <w:noWrap w:val="0"/>
            <w:vAlign w:val="top"/>
          </w:tcPr>
          <w:p w14:paraId="33E8F48C">
            <w:pPr>
              <w:pStyle w:val="37"/>
              <w:rPr>
                <w:rFonts w:ascii="Times New Roman" w:hAnsi="Times New Roman" w:eastAsia="仿宋_GB2312"/>
                <w:color w:val="auto"/>
                <w:sz w:val="30"/>
                <w:szCs w:val="30"/>
              </w:rPr>
            </w:pPr>
          </w:p>
        </w:tc>
      </w:tr>
      <w:tr w14:paraId="5EC5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9E98DA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633C049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16068D6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1C67B64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5171ED3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C4704D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4CDB2B0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1FE08D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23CFB69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56E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1C5A009">
            <w:pPr>
              <w:pStyle w:val="37"/>
              <w:rPr>
                <w:rFonts w:ascii="Times New Roman" w:hAnsi="Times New Roman" w:eastAsia="仿宋_GB2312"/>
                <w:color w:val="auto"/>
                <w:sz w:val="30"/>
                <w:szCs w:val="30"/>
              </w:rPr>
            </w:pPr>
          </w:p>
        </w:tc>
        <w:tc>
          <w:tcPr>
            <w:tcW w:w="1418" w:type="dxa"/>
            <w:noWrap w:val="0"/>
            <w:vAlign w:val="top"/>
          </w:tcPr>
          <w:p w14:paraId="12055931">
            <w:pPr>
              <w:pStyle w:val="37"/>
              <w:rPr>
                <w:rFonts w:ascii="Times New Roman" w:hAnsi="Times New Roman" w:eastAsia="仿宋_GB2312"/>
                <w:color w:val="auto"/>
                <w:sz w:val="30"/>
                <w:szCs w:val="30"/>
              </w:rPr>
            </w:pPr>
          </w:p>
        </w:tc>
        <w:tc>
          <w:tcPr>
            <w:tcW w:w="850" w:type="dxa"/>
            <w:noWrap w:val="0"/>
            <w:vAlign w:val="top"/>
          </w:tcPr>
          <w:p w14:paraId="7E6A3906">
            <w:pPr>
              <w:pStyle w:val="37"/>
              <w:rPr>
                <w:rFonts w:ascii="Times New Roman" w:hAnsi="Times New Roman" w:eastAsia="仿宋_GB2312"/>
                <w:color w:val="auto"/>
                <w:sz w:val="30"/>
                <w:szCs w:val="30"/>
              </w:rPr>
            </w:pPr>
          </w:p>
        </w:tc>
        <w:tc>
          <w:tcPr>
            <w:tcW w:w="1058" w:type="dxa"/>
            <w:noWrap w:val="0"/>
            <w:vAlign w:val="top"/>
          </w:tcPr>
          <w:p w14:paraId="3BE0EA8E">
            <w:pPr>
              <w:pStyle w:val="37"/>
              <w:rPr>
                <w:rFonts w:ascii="Times New Roman" w:hAnsi="Times New Roman" w:eastAsia="仿宋_GB2312"/>
                <w:color w:val="auto"/>
                <w:sz w:val="30"/>
                <w:szCs w:val="30"/>
              </w:rPr>
            </w:pPr>
          </w:p>
        </w:tc>
        <w:tc>
          <w:tcPr>
            <w:tcW w:w="880" w:type="dxa"/>
            <w:noWrap w:val="0"/>
            <w:vAlign w:val="top"/>
          </w:tcPr>
          <w:p w14:paraId="46F215EB">
            <w:pPr>
              <w:pStyle w:val="37"/>
              <w:rPr>
                <w:rFonts w:ascii="Times New Roman" w:hAnsi="Times New Roman" w:eastAsia="仿宋_GB2312"/>
                <w:color w:val="auto"/>
                <w:sz w:val="30"/>
                <w:szCs w:val="30"/>
              </w:rPr>
            </w:pPr>
          </w:p>
        </w:tc>
        <w:tc>
          <w:tcPr>
            <w:tcW w:w="1020" w:type="dxa"/>
            <w:noWrap w:val="0"/>
            <w:vAlign w:val="top"/>
          </w:tcPr>
          <w:p w14:paraId="7179223E">
            <w:pPr>
              <w:pStyle w:val="37"/>
              <w:rPr>
                <w:rFonts w:ascii="Times New Roman" w:hAnsi="Times New Roman" w:eastAsia="仿宋_GB2312"/>
                <w:color w:val="auto"/>
                <w:sz w:val="30"/>
                <w:szCs w:val="30"/>
              </w:rPr>
            </w:pPr>
          </w:p>
        </w:tc>
        <w:tc>
          <w:tcPr>
            <w:tcW w:w="1480" w:type="dxa"/>
            <w:noWrap w:val="0"/>
            <w:vAlign w:val="top"/>
          </w:tcPr>
          <w:p w14:paraId="0BA89D44">
            <w:pPr>
              <w:pStyle w:val="37"/>
              <w:rPr>
                <w:rFonts w:ascii="Times New Roman" w:hAnsi="Times New Roman" w:eastAsia="仿宋_GB2312"/>
                <w:color w:val="auto"/>
                <w:sz w:val="30"/>
                <w:szCs w:val="30"/>
              </w:rPr>
            </w:pPr>
          </w:p>
        </w:tc>
        <w:tc>
          <w:tcPr>
            <w:tcW w:w="1020" w:type="dxa"/>
            <w:noWrap w:val="0"/>
            <w:vAlign w:val="top"/>
          </w:tcPr>
          <w:p w14:paraId="1E6829C5">
            <w:pPr>
              <w:pStyle w:val="37"/>
              <w:rPr>
                <w:rFonts w:ascii="Times New Roman" w:hAnsi="Times New Roman" w:eastAsia="仿宋_GB2312"/>
                <w:color w:val="auto"/>
                <w:sz w:val="30"/>
                <w:szCs w:val="30"/>
              </w:rPr>
            </w:pPr>
          </w:p>
        </w:tc>
        <w:tc>
          <w:tcPr>
            <w:tcW w:w="921" w:type="dxa"/>
            <w:noWrap w:val="0"/>
            <w:vAlign w:val="top"/>
          </w:tcPr>
          <w:p w14:paraId="6BDEB7BC">
            <w:pPr>
              <w:pStyle w:val="37"/>
              <w:rPr>
                <w:rFonts w:ascii="Times New Roman" w:hAnsi="Times New Roman" w:eastAsia="仿宋_GB2312"/>
                <w:color w:val="auto"/>
                <w:sz w:val="30"/>
                <w:szCs w:val="30"/>
              </w:rPr>
            </w:pPr>
          </w:p>
        </w:tc>
      </w:tr>
      <w:tr w14:paraId="2C1E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617FF74">
            <w:pPr>
              <w:pStyle w:val="37"/>
              <w:rPr>
                <w:rFonts w:ascii="Times New Roman" w:hAnsi="Times New Roman" w:eastAsia="仿宋_GB2312"/>
                <w:color w:val="auto"/>
                <w:sz w:val="30"/>
                <w:szCs w:val="30"/>
              </w:rPr>
            </w:pPr>
          </w:p>
        </w:tc>
        <w:tc>
          <w:tcPr>
            <w:tcW w:w="1418" w:type="dxa"/>
            <w:noWrap w:val="0"/>
            <w:vAlign w:val="top"/>
          </w:tcPr>
          <w:p w14:paraId="7B5A078A">
            <w:pPr>
              <w:pStyle w:val="37"/>
              <w:rPr>
                <w:rFonts w:ascii="Times New Roman" w:hAnsi="Times New Roman" w:eastAsia="仿宋_GB2312"/>
                <w:color w:val="auto"/>
                <w:sz w:val="30"/>
                <w:szCs w:val="30"/>
              </w:rPr>
            </w:pPr>
          </w:p>
        </w:tc>
        <w:tc>
          <w:tcPr>
            <w:tcW w:w="850" w:type="dxa"/>
            <w:noWrap w:val="0"/>
            <w:vAlign w:val="top"/>
          </w:tcPr>
          <w:p w14:paraId="4F8638C7">
            <w:pPr>
              <w:pStyle w:val="37"/>
              <w:rPr>
                <w:rFonts w:ascii="Times New Roman" w:hAnsi="Times New Roman" w:eastAsia="仿宋_GB2312"/>
                <w:color w:val="auto"/>
                <w:sz w:val="30"/>
                <w:szCs w:val="30"/>
              </w:rPr>
            </w:pPr>
          </w:p>
        </w:tc>
        <w:tc>
          <w:tcPr>
            <w:tcW w:w="1058" w:type="dxa"/>
            <w:noWrap w:val="0"/>
            <w:vAlign w:val="top"/>
          </w:tcPr>
          <w:p w14:paraId="1E802148">
            <w:pPr>
              <w:pStyle w:val="37"/>
              <w:rPr>
                <w:rFonts w:ascii="Times New Roman" w:hAnsi="Times New Roman" w:eastAsia="仿宋_GB2312"/>
                <w:color w:val="auto"/>
                <w:sz w:val="30"/>
                <w:szCs w:val="30"/>
              </w:rPr>
            </w:pPr>
          </w:p>
        </w:tc>
        <w:tc>
          <w:tcPr>
            <w:tcW w:w="880" w:type="dxa"/>
            <w:noWrap w:val="0"/>
            <w:vAlign w:val="top"/>
          </w:tcPr>
          <w:p w14:paraId="5CD07F4B">
            <w:pPr>
              <w:pStyle w:val="37"/>
              <w:rPr>
                <w:rFonts w:ascii="Times New Roman" w:hAnsi="Times New Roman" w:eastAsia="仿宋_GB2312"/>
                <w:color w:val="auto"/>
                <w:sz w:val="30"/>
                <w:szCs w:val="30"/>
              </w:rPr>
            </w:pPr>
          </w:p>
        </w:tc>
        <w:tc>
          <w:tcPr>
            <w:tcW w:w="1020" w:type="dxa"/>
            <w:noWrap w:val="0"/>
            <w:vAlign w:val="top"/>
          </w:tcPr>
          <w:p w14:paraId="0ED97C7A">
            <w:pPr>
              <w:pStyle w:val="37"/>
              <w:rPr>
                <w:rFonts w:ascii="Times New Roman" w:hAnsi="Times New Roman" w:eastAsia="仿宋_GB2312"/>
                <w:color w:val="auto"/>
                <w:sz w:val="30"/>
                <w:szCs w:val="30"/>
              </w:rPr>
            </w:pPr>
          </w:p>
        </w:tc>
        <w:tc>
          <w:tcPr>
            <w:tcW w:w="1480" w:type="dxa"/>
            <w:noWrap w:val="0"/>
            <w:vAlign w:val="top"/>
          </w:tcPr>
          <w:p w14:paraId="74F01180">
            <w:pPr>
              <w:pStyle w:val="37"/>
              <w:rPr>
                <w:rFonts w:ascii="Times New Roman" w:hAnsi="Times New Roman" w:eastAsia="仿宋_GB2312"/>
                <w:color w:val="auto"/>
                <w:sz w:val="30"/>
                <w:szCs w:val="30"/>
              </w:rPr>
            </w:pPr>
          </w:p>
        </w:tc>
        <w:tc>
          <w:tcPr>
            <w:tcW w:w="1020" w:type="dxa"/>
            <w:noWrap w:val="0"/>
            <w:vAlign w:val="top"/>
          </w:tcPr>
          <w:p w14:paraId="0504CC01">
            <w:pPr>
              <w:pStyle w:val="37"/>
              <w:rPr>
                <w:rFonts w:ascii="Times New Roman" w:hAnsi="Times New Roman" w:eastAsia="仿宋_GB2312"/>
                <w:color w:val="auto"/>
                <w:sz w:val="30"/>
                <w:szCs w:val="30"/>
              </w:rPr>
            </w:pPr>
          </w:p>
        </w:tc>
        <w:tc>
          <w:tcPr>
            <w:tcW w:w="921" w:type="dxa"/>
            <w:noWrap w:val="0"/>
            <w:vAlign w:val="top"/>
          </w:tcPr>
          <w:p w14:paraId="426870BB">
            <w:pPr>
              <w:pStyle w:val="37"/>
              <w:rPr>
                <w:rFonts w:ascii="Times New Roman" w:hAnsi="Times New Roman" w:eastAsia="仿宋_GB2312"/>
                <w:color w:val="auto"/>
                <w:sz w:val="30"/>
                <w:szCs w:val="30"/>
              </w:rPr>
            </w:pPr>
          </w:p>
        </w:tc>
      </w:tr>
      <w:tr w14:paraId="5C5C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A0EC6E6">
            <w:pPr>
              <w:pStyle w:val="37"/>
              <w:rPr>
                <w:rFonts w:ascii="Times New Roman" w:hAnsi="Times New Roman" w:eastAsia="仿宋_GB2312"/>
                <w:color w:val="auto"/>
                <w:sz w:val="30"/>
                <w:szCs w:val="30"/>
              </w:rPr>
            </w:pPr>
          </w:p>
        </w:tc>
        <w:tc>
          <w:tcPr>
            <w:tcW w:w="1418" w:type="dxa"/>
            <w:noWrap w:val="0"/>
            <w:vAlign w:val="top"/>
          </w:tcPr>
          <w:p w14:paraId="25BCF066">
            <w:pPr>
              <w:pStyle w:val="37"/>
              <w:rPr>
                <w:rFonts w:ascii="Times New Roman" w:hAnsi="Times New Roman" w:eastAsia="仿宋_GB2312"/>
                <w:color w:val="auto"/>
                <w:sz w:val="30"/>
                <w:szCs w:val="30"/>
              </w:rPr>
            </w:pPr>
          </w:p>
        </w:tc>
        <w:tc>
          <w:tcPr>
            <w:tcW w:w="850" w:type="dxa"/>
            <w:noWrap w:val="0"/>
            <w:vAlign w:val="top"/>
          </w:tcPr>
          <w:p w14:paraId="66125C63">
            <w:pPr>
              <w:pStyle w:val="37"/>
              <w:rPr>
                <w:rFonts w:ascii="Times New Roman" w:hAnsi="Times New Roman" w:eastAsia="仿宋_GB2312"/>
                <w:color w:val="auto"/>
                <w:sz w:val="30"/>
                <w:szCs w:val="30"/>
              </w:rPr>
            </w:pPr>
          </w:p>
        </w:tc>
        <w:tc>
          <w:tcPr>
            <w:tcW w:w="1058" w:type="dxa"/>
            <w:noWrap w:val="0"/>
            <w:vAlign w:val="top"/>
          </w:tcPr>
          <w:p w14:paraId="6C71D509">
            <w:pPr>
              <w:pStyle w:val="37"/>
              <w:rPr>
                <w:rFonts w:ascii="Times New Roman" w:hAnsi="Times New Roman" w:eastAsia="仿宋_GB2312"/>
                <w:color w:val="auto"/>
                <w:sz w:val="30"/>
                <w:szCs w:val="30"/>
              </w:rPr>
            </w:pPr>
          </w:p>
        </w:tc>
        <w:tc>
          <w:tcPr>
            <w:tcW w:w="880" w:type="dxa"/>
            <w:noWrap w:val="0"/>
            <w:vAlign w:val="top"/>
          </w:tcPr>
          <w:p w14:paraId="1CFF8681">
            <w:pPr>
              <w:pStyle w:val="37"/>
              <w:rPr>
                <w:rFonts w:ascii="Times New Roman" w:hAnsi="Times New Roman" w:eastAsia="仿宋_GB2312"/>
                <w:color w:val="auto"/>
                <w:sz w:val="30"/>
                <w:szCs w:val="30"/>
              </w:rPr>
            </w:pPr>
          </w:p>
        </w:tc>
        <w:tc>
          <w:tcPr>
            <w:tcW w:w="1020" w:type="dxa"/>
            <w:noWrap w:val="0"/>
            <w:vAlign w:val="top"/>
          </w:tcPr>
          <w:p w14:paraId="069DCF59">
            <w:pPr>
              <w:pStyle w:val="37"/>
              <w:rPr>
                <w:rFonts w:ascii="Times New Roman" w:hAnsi="Times New Roman" w:eastAsia="仿宋_GB2312"/>
                <w:color w:val="auto"/>
                <w:sz w:val="30"/>
                <w:szCs w:val="30"/>
              </w:rPr>
            </w:pPr>
          </w:p>
        </w:tc>
        <w:tc>
          <w:tcPr>
            <w:tcW w:w="1480" w:type="dxa"/>
            <w:noWrap w:val="0"/>
            <w:vAlign w:val="top"/>
          </w:tcPr>
          <w:p w14:paraId="7BD5BE90">
            <w:pPr>
              <w:pStyle w:val="37"/>
              <w:rPr>
                <w:rFonts w:ascii="Times New Roman" w:hAnsi="Times New Roman" w:eastAsia="仿宋_GB2312"/>
                <w:color w:val="auto"/>
                <w:sz w:val="30"/>
                <w:szCs w:val="30"/>
              </w:rPr>
            </w:pPr>
          </w:p>
        </w:tc>
        <w:tc>
          <w:tcPr>
            <w:tcW w:w="1020" w:type="dxa"/>
            <w:noWrap w:val="0"/>
            <w:vAlign w:val="top"/>
          </w:tcPr>
          <w:p w14:paraId="4446092B">
            <w:pPr>
              <w:pStyle w:val="37"/>
              <w:rPr>
                <w:rFonts w:ascii="Times New Roman" w:hAnsi="Times New Roman" w:eastAsia="仿宋_GB2312"/>
                <w:color w:val="auto"/>
                <w:sz w:val="30"/>
                <w:szCs w:val="30"/>
              </w:rPr>
            </w:pPr>
          </w:p>
        </w:tc>
        <w:tc>
          <w:tcPr>
            <w:tcW w:w="921" w:type="dxa"/>
            <w:noWrap w:val="0"/>
            <w:vAlign w:val="top"/>
          </w:tcPr>
          <w:p w14:paraId="6E1FEF6C">
            <w:pPr>
              <w:pStyle w:val="37"/>
              <w:rPr>
                <w:rFonts w:ascii="Times New Roman" w:hAnsi="Times New Roman" w:eastAsia="仿宋_GB2312"/>
                <w:color w:val="auto"/>
                <w:sz w:val="30"/>
                <w:szCs w:val="30"/>
              </w:rPr>
            </w:pPr>
          </w:p>
        </w:tc>
      </w:tr>
      <w:tr w14:paraId="4B8C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1E75AAF">
            <w:pPr>
              <w:pStyle w:val="37"/>
              <w:rPr>
                <w:rFonts w:ascii="Times New Roman" w:hAnsi="Times New Roman" w:eastAsia="仿宋_GB2312"/>
                <w:color w:val="auto"/>
                <w:sz w:val="30"/>
                <w:szCs w:val="30"/>
              </w:rPr>
            </w:pPr>
          </w:p>
        </w:tc>
        <w:tc>
          <w:tcPr>
            <w:tcW w:w="1418" w:type="dxa"/>
            <w:noWrap w:val="0"/>
            <w:vAlign w:val="top"/>
          </w:tcPr>
          <w:p w14:paraId="76827FB7">
            <w:pPr>
              <w:pStyle w:val="37"/>
              <w:rPr>
                <w:rFonts w:ascii="Times New Roman" w:hAnsi="Times New Roman" w:eastAsia="仿宋_GB2312"/>
                <w:color w:val="auto"/>
                <w:sz w:val="30"/>
                <w:szCs w:val="30"/>
              </w:rPr>
            </w:pPr>
          </w:p>
        </w:tc>
        <w:tc>
          <w:tcPr>
            <w:tcW w:w="850" w:type="dxa"/>
            <w:noWrap w:val="0"/>
            <w:vAlign w:val="top"/>
          </w:tcPr>
          <w:p w14:paraId="18E379C5">
            <w:pPr>
              <w:pStyle w:val="37"/>
              <w:rPr>
                <w:rFonts w:ascii="Times New Roman" w:hAnsi="Times New Roman" w:eastAsia="仿宋_GB2312"/>
                <w:color w:val="auto"/>
                <w:sz w:val="30"/>
                <w:szCs w:val="30"/>
              </w:rPr>
            </w:pPr>
          </w:p>
        </w:tc>
        <w:tc>
          <w:tcPr>
            <w:tcW w:w="1058" w:type="dxa"/>
            <w:noWrap w:val="0"/>
            <w:vAlign w:val="top"/>
          </w:tcPr>
          <w:p w14:paraId="67779BFE">
            <w:pPr>
              <w:pStyle w:val="37"/>
              <w:rPr>
                <w:rFonts w:ascii="Times New Roman" w:hAnsi="Times New Roman" w:eastAsia="仿宋_GB2312"/>
                <w:color w:val="auto"/>
                <w:sz w:val="30"/>
                <w:szCs w:val="30"/>
              </w:rPr>
            </w:pPr>
          </w:p>
        </w:tc>
        <w:tc>
          <w:tcPr>
            <w:tcW w:w="880" w:type="dxa"/>
            <w:noWrap w:val="0"/>
            <w:vAlign w:val="top"/>
          </w:tcPr>
          <w:p w14:paraId="6DB4BD34">
            <w:pPr>
              <w:pStyle w:val="37"/>
              <w:rPr>
                <w:rFonts w:ascii="Times New Roman" w:hAnsi="Times New Roman" w:eastAsia="仿宋_GB2312"/>
                <w:color w:val="auto"/>
                <w:sz w:val="30"/>
                <w:szCs w:val="30"/>
              </w:rPr>
            </w:pPr>
          </w:p>
        </w:tc>
        <w:tc>
          <w:tcPr>
            <w:tcW w:w="1020" w:type="dxa"/>
            <w:noWrap w:val="0"/>
            <w:vAlign w:val="top"/>
          </w:tcPr>
          <w:p w14:paraId="0737FB65">
            <w:pPr>
              <w:pStyle w:val="37"/>
              <w:rPr>
                <w:rFonts w:ascii="Times New Roman" w:hAnsi="Times New Roman" w:eastAsia="仿宋_GB2312"/>
                <w:color w:val="auto"/>
                <w:sz w:val="30"/>
                <w:szCs w:val="30"/>
              </w:rPr>
            </w:pPr>
          </w:p>
        </w:tc>
        <w:tc>
          <w:tcPr>
            <w:tcW w:w="1480" w:type="dxa"/>
            <w:noWrap w:val="0"/>
            <w:vAlign w:val="top"/>
          </w:tcPr>
          <w:p w14:paraId="33C2FEF7">
            <w:pPr>
              <w:pStyle w:val="37"/>
              <w:rPr>
                <w:rFonts w:ascii="Times New Roman" w:hAnsi="Times New Roman" w:eastAsia="仿宋_GB2312"/>
                <w:color w:val="auto"/>
                <w:sz w:val="30"/>
                <w:szCs w:val="30"/>
              </w:rPr>
            </w:pPr>
          </w:p>
        </w:tc>
        <w:tc>
          <w:tcPr>
            <w:tcW w:w="1020" w:type="dxa"/>
            <w:noWrap w:val="0"/>
            <w:vAlign w:val="top"/>
          </w:tcPr>
          <w:p w14:paraId="17B8B61E">
            <w:pPr>
              <w:pStyle w:val="37"/>
              <w:rPr>
                <w:rFonts w:ascii="Times New Roman" w:hAnsi="Times New Roman" w:eastAsia="仿宋_GB2312"/>
                <w:color w:val="auto"/>
                <w:sz w:val="30"/>
                <w:szCs w:val="30"/>
              </w:rPr>
            </w:pPr>
          </w:p>
        </w:tc>
        <w:tc>
          <w:tcPr>
            <w:tcW w:w="921" w:type="dxa"/>
            <w:noWrap w:val="0"/>
            <w:vAlign w:val="top"/>
          </w:tcPr>
          <w:p w14:paraId="0AB7E7D7">
            <w:pPr>
              <w:pStyle w:val="37"/>
              <w:rPr>
                <w:rFonts w:ascii="Times New Roman" w:hAnsi="Times New Roman" w:eastAsia="仿宋_GB2312"/>
                <w:color w:val="auto"/>
                <w:sz w:val="30"/>
                <w:szCs w:val="30"/>
              </w:rPr>
            </w:pPr>
          </w:p>
        </w:tc>
      </w:tr>
      <w:tr w14:paraId="78F0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B552374">
            <w:pPr>
              <w:pStyle w:val="37"/>
              <w:rPr>
                <w:rFonts w:ascii="Times New Roman" w:hAnsi="Times New Roman" w:eastAsia="仿宋_GB2312"/>
                <w:color w:val="auto"/>
                <w:sz w:val="30"/>
                <w:szCs w:val="30"/>
              </w:rPr>
            </w:pPr>
          </w:p>
        </w:tc>
        <w:tc>
          <w:tcPr>
            <w:tcW w:w="1418" w:type="dxa"/>
            <w:noWrap w:val="0"/>
            <w:vAlign w:val="top"/>
          </w:tcPr>
          <w:p w14:paraId="440B326D">
            <w:pPr>
              <w:pStyle w:val="37"/>
              <w:rPr>
                <w:rFonts w:ascii="Times New Roman" w:hAnsi="Times New Roman" w:eastAsia="仿宋_GB2312"/>
                <w:color w:val="auto"/>
                <w:sz w:val="30"/>
                <w:szCs w:val="30"/>
              </w:rPr>
            </w:pPr>
          </w:p>
        </w:tc>
        <w:tc>
          <w:tcPr>
            <w:tcW w:w="850" w:type="dxa"/>
            <w:noWrap w:val="0"/>
            <w:vAlign w:val="top"/>
          </w:tcPr>
          <w:p w14:paraId="30E54074">
            <w:pPr>
              <w:pStyle w:val="37"/>
              <w:rPr>
                <w:rFonts w:ascii="Times New Roman" w:hAnsi="Times New Roman" w:eastAsia="仿宋_GB2312"/>
                <w:color w:val="auto"/>
                <w:sz w:val="30"/>
                <w:szCs w:val="30"/>
              </w:rPr>
            </w:pPr>
          </w:p>
        </w:tc>
        <w:tc>
          <w:tcPr>
            <w:tcW w:w="1058" w:type="dxa"/>
            <w:noWrap w:val="0"/>
            <w:vAlign w:val="top"/>
          </w:tcPr>
          <w:p w14:paraId="3619E7C0">
            <w:pPr>
              <w:pStyle w:val="37"/>
              <w:rPr>
                <w:rFonts w:ascii="Times New Roman" w:hAnsi="Times New Roman" w:eastAsia="仿宋_GB2312"/>
                <w:color w:val="auto"/>
                <w:sz w:val="30"/>
                <w:szCs w:val="30"/>
              </w:rPr>
            </w:pPr>
          </w:p>
        </w:tc>
        <w:tc>
          <w:tcPr>
            <w:tcW w:w="880" w:type="dxa"/>
            <w:noWrap w:val="0"/>
            <w:vAlign w:val="top"/>
          </w:tcPr>
          <w:p w14:paraId="657DDD92">
            <w:pPr>
              <w:pStyle w:val="37"/>
              <w:rPr>
                <w:rFonts w:ascii="Times New Roman" w:hAnsi="Times New Roman" w:eastAsia="仿宋_GB2312"/>
                <w:color w:val="auto"/>
                <w:sz w:val="30"/>
                <w:szCs w:val="30"/>
              </w:rPr>
            </w:pPr>
          </w:p>
        </w:tc>
        <w:tc>
          <w:tcPr>
            <w:tcW w:w="1020" w:type="dxa"/>
            <w:noWrap w:val="0"/>
            <w:vAlign w:val="top"/>
          </w:tcPr>
          <w:p w14:paraId="7C215C84">
            <w:pPr>
              <w:pStyle w:val="37"/>
              <w:rPr>
                <w:rFonts w:ascii="Times New Roman" w:hAnsi="Times New Roman" w:eastAsia="仿宋_GB2312"/>
                <w:color w:val="auto"/>
                <w:sz w:val="30"/>
                <w:szCs w:val="30"/>
              </w:rPr>
            </w:pPr>
          </w:p>
        </w:tc>
        <w:tc>
          <w:tcPr>
            <w:tcW w:w="1480" w:type="dxa"/>
            <w:noWrap w:val="0"/>
            <w:vAlign w:val="top"/>
          </w:tcPr>
          <w:p w14:paraId="357AA8F2">
            <w:pPr>
              <w:pStyle w:val="37"/>
              <w:rPr>
                <w:rFonts w:ascii="Times New Roman" w:hAnsi="Times New Roman" w:eastAsia="仿宋_GB2312"/>
                <w:color w:val="auto"/>
                <w:sz w:val="30"/>
                <w:szCs w:val="30"/>
              </w:rPr>
            </w:pPr>
          </w:p>
        </w:tc>
        <w:tc>
          <w:tcPr>
            <w:tcW w:w="1020" w:type="dxa"/>
            <w:noWrap w:val="0"/>
            <w:vAlign w:val="top"/>
          </w:tcPr>
          <w:p w14:paraId="0515C0D0">
            <w:pPr>
              <w:pStyle w:val="37"/>
              <w:rPr>
                <w:rFonts w:ascii="Times New Roman" w:hAnsi="Times New Roman" w:eastAsia="仿宋_GB2312"/>
                <w:color w:val="auto"/>
                <w:sz w:val="30"/>
                <w:szCs w:val="30"/>
              </w:rPr>
            </w:pPr>
          </w:p>
        </w:tc>
        <w:tc>
          <w:tcPr>
            <w:tcW w:w="921" w:type="dxa"/>
            <w:noWrap w:val="0"/>
            <w:vAlign w:val="top"/>
          </w:tcPr>
          <w:p w14:paraId="5E58A5D5">
            <w:pPr>
              <w:pStyle w:val="37"/>
              <w:rPr>
                <w:rFonts w:ascii="Times New Roman" w:hAnsi="Times New Roman" w:eastAsia="仿宋_GB2312"/>
                <w:color w:val="auto"/>
                <w:sz w:val="30"/>
                <w:szCs w:val="30"/>
              </w:rPr>
            </w:pPr>
          </w:p>
        </w:tc>
      </w:tr>
      <w:tr w14:paraId="38D3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970F5CE">
            <w:pPr>
              <w:pStyle w:val="37"/>
              <w:rPr>
                <w:rFonts w:ascii="Times New Roman" w:hAnsi="Times New Roman" w:eastAsia="仿宋_GB2312"/>
                <w:color w:val="auto"/>
                <w:sz w:val="30"/>
                <w:szCs w:val="30"/>
              </w:rPr>
            </w:pPr>
          </w:p>
        </w:tc>
        <w:tc>
          <w:tcPr>
            <w:tcW w:w="1418" w:type="dxa"/>
            <w:noWrap w:val="0"/>
            <w:vAlign w:val="top"/>
          </w:tcPr>
          <w:p w14:paraId="1870BE00">
            <w:pPr>
              <w:pStyle w:val="37"/>
              <w:rPr>
                <w:rFonts w:ascii="Times New Roman" w:hAnsi="Times New Roman" w:eastAsia="仿宋_GB2312"/>
                <w:color w:val="auto"/>
                <w:sz w:val="30"/>
                <w:szCs w:val="30"/>
              </w:rPr>
            </w:pPr>
          </w:p>
        </w:tc>
        <w:tc>
          <w:tcPr>
            <w:tcW w:w="850" w:type="dxa"/>
            <w:noWrap w:val="0"/>
            <w:vAlign w:val="top"/>
          </w:tcPr>
          <w:p w14:paraId="2DBC154A">
            <w:pPr>
              <w:pStyle w:val="37"/>
              <w:rPr>
                <w:rFonts w:ascii="Times New Roman" w:hAnsi="Times New Roman" w:eastAsia="仿宋_GB2312"/>
                <w:color w:val="auto"/>
                <w:sz w:val="30"/>
                <w:szCs w:val="30"/>
              </w:rPr>
            </w:pPr>
          </w:p>
        </w:tc>
        <w:tc>
          <w:tcPr>
            <w:tcW w:w="1058" w:type="dxa"/>
            <w:noWrap w:val="0"/>
            <w:vAlign w:val="top"/>
          </w:tcPr>
          <w:p w14:paraId="75412751">
            <w:pPr>
              <w:pStyle w:val="37"/>
              <w:rPr>
                <w:rFonts w:ascii="Times New Roman" w:hAnsi="Times New Roman" w:eastAsia="仿宋_GB2312"/>
                <w:color w:val="auto"/>
                <w:sz w:val="30"/>
                <w:szCs w:val="30"/>
              </w:rPr>
            </w:pPr>
          </w:p>
        </w:tc>
        <w:tc>
          <w:tcPr>
            <w:tcW w:w="880" w:type="dxa"/>
            <w:noWrap w:val="0"/>
            <w:vAlign w:val="top"/>
          </w:tcPr>
          <w:p w14:paraId="42F5B731">
            <w:pPr>
              <w:pStyle w:val="37"/>
              <w:rPr>
                <w:rFonts w:ascii="Times New Roman" w:hAnsi="Times New Roman" w:eastAsia="仿宋_GB2312"/>
                <w:color w:val="auto"/>
                <w:sz w:val="30"/>
                <w:szCs w:val="30"/>
              </w:rPr>
            </w:pPr>
          </w:p>
        </w:tc>
        <w:tc>
          <w:tcPr>
            <w:tcW w:w="1020" w:type="dxa"/>
            <w:noWrap w:val="0"/>
            <w:vAlign w:val="top"/>
          </w:tcPr>
          <w:p w14:paraId="78874371">
            <w:pPr>
              <w:pStyle w:val="37"/>
              <w:rPr>
                <w:rFonts w:ascii="Times New Roman" w:hAnsi="Times New Roman" w:eastAsia="仿宋_GB2312"/>
                <w:color w:val="auto"/>
                <w:sz w:val="30"/>
                <w:szCs w:val="30"/>
              </w:rPr>
            </w:pPr>
          </w:p>
        </w:tc>
        <w:tc>
          <w:tcPr>
            <w:tcW w:w="1480" w:type="dxa"/>
            <w:noWrap w:val="0"/>
            <w:vAlign w:val="top"/>
          </w:tcPr>
          <w:p w14:paraId="43482C7A">
            <w:pPr>
              <w:pStyle w:val="37"/>
              <w:rPr>
                <w:rFonts w:ascii="Times New Roman" w:hAnsi="Times New Roman" w:eastAsia="仿宋_GB2312"/>
                <w:color w:val="auto"/>
                <w:sz w:val="30"/>
                <w:szCs w:val="30"/>
              </w:rPr>
            </w:pPr>
          </w:p>
        </w:tc>
        <w:tc>
          <w:tcPr>
            <w:tcW w:w="1020" w:type="dxa"/>
            <w:noWrap w:val="0"/>
            <w:vAlign w:val="top"/>
          </w:tcPr>
          <w:p w14:paraId="41F23BD8">
            <w:pPr>
              <w:pStyle w:val="37"/>
              <w:rPr>
                <w:rFonts w:ascii="Times New Roman" w:hAnsi="Times New Roman" w:eastAsia="仿宋_GB2312"/>
                <w:color w:val="auto"/>
                <w:sz w:val="30"/>
                <w:szCs w:val="30"/>
              </w:rPr>
            </w:pPr>
          </w:p>
        </w:tc>
        <w:tc>
          <w:tcPr>
            <w:tcW w:w="921" w:type="dxa"/>
            <w:noWrap w:val="0"/>
            <w:vAlign w:val="top"/>
          </w:tcPr>
          <w:p w14:paraId="5B822711">
            <w:pPr>
              <w:pStyle w:val="37"/>
              <w:rPr>
                <w:rFonts w:ascii="Times New Roman" w:hAnsi="Times New Roman" w:eastAsia="仿宋_GB2312"/>
                <w:color w:val="auto"/>
                <w:sz w:val="30"/>
                <w:szCs w:val="30"/>
              </w:rPr>
            </w:pPr>
          </w:p>
        </w:tc>
      </w:tr>
    </w:tbl>
    <w:p w14:paraId="38FA3813">
      <w:pPr>
        <w:ind w:firstLine="600" w:firstLineChars="200"/>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br w:type="page"/>
      </w:r>
    </w:p>
    <w:p w14:paraId="6918A10C">
      <w:pPr>
        <w:ind w:firstLine="600" w:firstLineChars="200"/>
        <w:rPr>
          <w:rFonts w:ascii="Times New Roman" w:hAnsi="Times New Roman" w:eastAsia="黑体"/>
          <w:color w:val="auto"/>
          <w:sz w:val="30"/>
          <w:szCs w:val="30"/>
        </w:rPr>
      </w:pPr>
      <w:r>
        <w:rPr>
          <w:rFonts w:hint="eastAsia" w:ascii="Times New Roman" w:hAnsi="Times New Roman" w:eastAsia="仿宋_GB2312" w:cs="仿宋_GB2312"/>
          <w:color w:val="auto"/>
          <w:sz w:val="30"/>
          <w:szCs w:val="30"/>
        </w:rPr>
        <w:t>附</w:t>
      </w:r>
      <w:bookmarkStart w:id="1181" w:name="_Toc296503228"/>
      <w:bookmarkStart w:id="1182" w:name="_Toc296891268"/>
      <w:bookmarkStart w:id="1183" w:name="_Toc296891056"/>
      <w:bookmarkStart w:id="1184" w:name="_Toc296347227"/>
      <w:bookmarkStart w:id="1185" w:name="_Toc267261699"/>
      <w:bookmarkStart w:id="1186" w:name="_Toc296944567"/>
      <w:bookmarkStart w:id="1187" w:name="_Toc296346729"/>
      <w:r>
        <w:rPr>
          <w:rFonts w:hint="eastAsia" w:ascii="Times New Roman" w:hAnsi="Times New Roman" w:eastAsia="仿宋_GB2312" w:cs="仿宋_GB2312"/>
          <w:color w:val="auto"/>
          <w:sz w:val="30"/>
          <w:szCs w:val="30"/>
        </w:rPr>
        <w:t>件</w:t>
      </w:r>
      <w:r>
        <w:rPr>
          <w:rFonts w:hint="eastAsia" w:ascii="Times New Roman" w:hAnsi="Times New Roman" w:eastAsia="仿宋_GB2312"/>
          <w:color w:val="auto"/>
          <w:sz w:val="30"/>
          <w:szCs w:val="30"/>
        </w:rPr>
        <w:t>5</w:t>
      </w:r>
      <w:r>
        <w:rPr>
          <w:rFonts w:hint="eastAsia" w:ascii="Times New Roman" w:hAnsi="Times New Roman" w:eastAsia="仿宋_GB2312" w:cs="仿宋_GB2312"/>
          <w:color w:val="auto"/>
          <w:sz w:val="30"/>
          <w:szCs w:val="30"/>
        </w:rPr>
        <w:t>：</w:t>
      </w:r>
    </w:p>
    <w:bookmarkEnd w:id="1181"/>
    <w:bookmarkEnd w:id="1182"/>
    <w:bookmarkEnd w:id="1183"/>
    <w:bookmarkEnd w:id="1184"/>
    <w:bookmarkEnd w:id="1185"/>
    <w:bookmarkEnd w:id="1186"/>
    <w:bookmarkEnd w:id="1187"/>
    <w:p w14:paraId="01E7B883">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承包人主要施工管理人员表</w:t>
      </w:r>
    </w:p>
    <w:tbl>
      <w:tblPr>
        <w:tblStyle w:val="22"/>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387"/>
        <w:gridCol w:w="1176"/>
        <w:gridCol w:w="3957"/>
      </w:tblGrid>
      <w:tr w14:paraId="7BAF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02EFF3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名</w:t>
            </w:r>
            <w:r>
              <w:rPr>
                <w:rFonts w:ascii="Times New Roman" w:hAnsi="Times New Roman" w:eastAsia="仿宋_GB2312"/>
                <w:color w:val="auto"/>
                <w:sz w:val="28"/>
                <w:szCs w:val="28"/>
              </w:rPr>
              <w:t xml:space="preserve">    </w:t>
            </w:r>
            <w:r>
              <w:rPr>
                <w:rFonts w:hint="eastAsia" w:ascii="Times New Roman" w:hAnsi="Times New Roman" w:eastAsia="仿宋_GB2312" w:cs="仿宋_GB2312"/>
                <w:color w:val="auto"/>
                <w:sz w:val="28"/>
                <w:szCs w:val="28"/>
              </w:rPr>
              <w:t>称</w:t>
            </w:r>
          </w:p>
        </w:tc>
        <w:tc>
          <w:tcPr>
            <w:tcW w:w="1418" w:type="dxa"/>
            <w:noWrap w:val="0"/>
            <w:vAlign w:val="center"/>
          </w:tcPr>
          <w:p w14:paraId="642598C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姓名</w:t>
            </w:r>
          </w:p>
        </w:tc>
        <w:tc>
          <w:tcPr>
            <w:tcW w:w="1387" w:type="dxa"/>
            <w:noWrap w:val="0"/>
            <w:vAlign w:val="center"/>
          </w:tcPr>
          <w:p w14:paraId="7AA91EF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职务</w:t>
            </w:r>
          </w:p>
        </w:tc>
        <w:tc>
          <w:tcPr>
            <w:tcW w:w="1176" w:type="dxa"/>
            <w:noWrap w:val="0"/>
            <w:vAlign w:val="center"/>
          </w:tcPr>
          <w:p w14:paraId="41E828C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职称</w:t>
            </w:r>
          </w:p>
        </w:tc>
        <w:tc>
          <w:tcPr>
            <w:tcW w:w="3957" w:type="dxa"/>
            <w:noWrap w:val="0"/>
            <w:vAlign w:val="center"/>
          </w:tcPr>
          <w:p w14:paraId="2ADFD8DB">
            <w:pPr>
              <w:pStyle w:val="37"/>
              <w:keepNext/>
              <w:adjustRightInd w:val="0"/>
              <w:spacing w:line="440" w:lineRule="exact"/>
              <w:ind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计划进场时间</w:t>
            </w:r>
          </w:p>
        </w:tc>
      </w:tr>
      <w:tr w14:paraId="72C9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6F05506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一、总部人员</w:t>
            </w:r>
          </w:p>
        </w:tc>
      </w:tr>
      <w:tr w14:paraId="4B61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7C0BCF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项目主管</w:t>
            </w:r>
          </w:p>
        </w:tc>
        <w:tc>
          <w:tcPr>
            <w:tcW w:w="1418" w:type="dxa"/>
            <w:noWrap w:val="0"/>
            <w:vAlign w:val="center"/>
          </w:tcPr>
          <w:p w14:paraId="3791667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2579621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23D4902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3C60A11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372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5CE912E">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70584FD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3D3966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3088C9C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411A936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85F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043BAA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6F62541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59BB53F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1121C6B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68FDB33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01B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31970C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35641FD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146029C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3B42B36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5D30440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56C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46E9C00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二、现场人员</w:t>
            </w:r>
          </w:p>
        </w:tc>
      </w:tr>
      <w:tr w14:paraId="16D2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9DB3AF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项目经理</w:t>
            </w:r>
          </w:p>
        </w:tc>
        <w:tc>
          <w:tcPr>
            <w:tcW w:w="1418" w:type="dxa"/>
            <w:noWrap w:val="0"/>
            <w:vAlign w:val="center"/>
          </w:tcPr>
          <w:p w14:paraId="0242829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5DE8C600">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43C57B6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50B3220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11B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E5F305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项目副经理</w:t>
            </w:r>
          </w:p>
        </w:tc>
        <w:tc>
          <w:tcPr>
            <w:tcW w:w="1418" w:type="dxa"/>
            <w:noWrap w:val="0"/>
            <w:vAlign w:val="center"/>
          </w:tcPr>
          <w:p w14:paraId="03B55F1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54CB8B9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169BFDF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6260C3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818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3BAE2C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技术负责人</w:t>
            </w:r>
          </w:p>
        </w:tc>
        <w:tc>
          <w:tcPr>
            <w:tcW w:w="1418" w:type="dxa"/>
            <w:noWrap w:val="0"/>
            <w:vAlign w:val="center"/>
          </w:tcPr>
          <w:p w14:paraId="2829A13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0858DC8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4ED3B10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6A23279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00C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3BF0F4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造价管理</w:t>
            </w:r>
          </w:p>
        </w:tc>
        <w:tc>
          <w:tcPr>
            <w:tcW w:w="1418" w:type="dxa"/>
            <w:noWrap w:val="0"/>
            <w:vAlign w:val="center"/>
          </w:tcPr>
          <w:p w14:paraId="5C5970E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FA8D30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7ED8A02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EE346C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45E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7F585A6">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质量管理</w:t>
            </w:r>
          </w:p>
        </w:tc>
        <w:tc>
          <w:tcPr>
            <w:tcW w:w="1418" w:type="dxa"/>
            <w:noWrap w:val="0"/>
            <w:vAlign w:val="center"/>
          </w:tcPr>
          <w:p w14:paraId="61885B2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0280829F">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2D45F8E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185FD7A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41D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448FC86">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3539030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46DFE6B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41DEE7F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3848B01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288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49EA7E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3E4E0A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06F0A3C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52C2695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0EBB4CD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858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4A0DCC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材料管理</w:t>
            </w:r>
          </w:p>
        </w:tc>
        <w:tc>
          <w:tcPr>
            <w:tcW w:w="1418" w:type="dxa"/>
            <w:noWrap w:val="0"/>
            <w:vAlign w:val="center"/>
          </w:tcPr>
          <w:p w14:paraId="4BE53C1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F6A7B6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454B940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082454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F3D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67A793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计划管理</w:t>
            </w:r>
          </w:p>
        </w:tc>
        <w:tc>
          <w:tcPr>
            <w:tcW w:w="1418" w:type="dxa"/>
            <w:noWrap w:val="0"/>
            <w:vAlign w:val="center"/>
          </w:tcPr>
          <w:p w14:paraId="76536E4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6D8CDB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1BD0D04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849379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B6E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AAC07D7">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安全管理</w:t>
            </w:r>
          </w:p>
        </w:tc>
        <w:tc>
          <w:tcPr>
            <w:tcW w:w="1418" w:type="dxa"/>
            <w:noWrap w:val="0"/>
            <w:vAlign w:val="center"/>
          </w:tcPr>
          <w:p w14:paraId="75B62C8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A1515C4">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78827CE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12BF22C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321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0DFAB4D">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2F9D112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3E75FFB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3738FBD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780EB2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76B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44F82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EBB5B2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524A568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75A99EF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EFDA97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DF0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9F1806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79D4B9F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6709B308">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678FF90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5B0CD6C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B52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1F7673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3DCCF4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432F7A3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392BA03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5D57BDF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55A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751C2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F8D5C4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29023AD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7D83819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75114A1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C55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6CF5D9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6ABA8D4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4DA8A62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1A5AD4C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4A29230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bl>
    <w:p w14:paraId="50C66092">
      <w:pPr>
        <w:pStyle w:val="37"/>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br w:type="page"/>
      </w:r>
      <w:r>
        <w:rPr>
          <w:rFonts w:hint="eastAsia" w:ascii="Times New Roman" w:hAnsi="Times New Roman" w:eastAsia="仿宋_GB2312" w:cs="仿宋_GB2312"/>
          <w:color w:val="auto"/>
          <w:sz w:val="30"/>
          <w:szCs w:val="30"/>
        </w:rPr>
        <w:t>附</w:t>
      </w:r>
      <w:bookmarkStart w:id="1188" w:name="_Toc296944568"/>
      <w:bookmarkStart w:id="1189" w:name="_Toc296347228"/>
      <w:bookmarkStart w:id="1190" w:name="_Toc296891057"/>
      <w:bookmarkStart w:id="1191" w:name="_Toc296346730"/>
      <w:bookmarkStart w:id="1192" w:name="_Toc296503229"/>
      <w:bookmarkStart w:id="1193" w:name="_Toc296891269"/>
      <w:r>
        <w:rPr>
          <w:rFonts w:hint="eastAsia" w:ascii="Times New Roman" w:hAnsi="Times New Roman" w:eastAsia="仿宋_GB2312" w:cs="仿宋_GB2312"/>
          <w:color w:val="auto"/>
          <w:sz w:val="30"/>
          <w:szCs w:val="30"/>
        </w:rPr>
        <w:t>件</w:t>
      </w:r>
      <w:r>
        <w:rPr>
          <w:rFonts w:hint="eastAsia" w:ascii="Times New Roman" w:hAnsi="Times New Roman" w:eastAsia="仿宋_GB2312"/>
          <w:color w:val="auto"/>
          <w:sz w:val="30"/>
          <w:szCs w:val="30"/>
        </w:rPr>
        <w:t>6</w:t>
      </w:r>
      <w:r>
        <w:rPr>
          <w:rFonts w:hint="eastAsia" w:ascii="Times New Roman" w:hAnsi="Times New Roman" w:eastAsia="仿宋_GB2312" w:cs="仿宋_GB2312"/>
          <w:color w:val="auto"/>
          <w:sz w:val="30"/>
          <w:szCs w:val="30"/>
        </w:rPr>
        <w:t>：</w:t>
      </w:r>
    </w:p>
    <w:bookmarkEnd w:id="1188"/>
    <w:bookmarkEnd w:id="1189"/>
    <w:bookmarkEnd w:id="1190"/>
    <w:bookmarkEnd w:id="1191"/>
    <w:bookmarkEnd w:id="1192"/>
    <w:bookmarkEnd w:id="1193"/>
    <w:p w14:paraId="287FF214">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分包人主要施工管理人员表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9AC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0ADB52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名</w:t>
            </w:r>
            <w:r>
              <w:rPr>
                <w:rFonts w:ascii="Times New Roman" w:hAnsi="Times New Roman" w:eastAsia="仿宋_GB2312"/>
                <w:color w:val="auto"/>
                <w:sz w:val="28"/>
                <w:szCs w:val="28"/>
              </w:rPr>
              <w:t xml:space="preserve">    </w:t>
            </w:r>
            <w:r>
              <w:rPr>
                <w:rFonts w:hint="eastAsia" w:ascii="Times New Roman" w:hAnsi="Times New Roman" w:eastAsia="仿宋_GB2312" w:cs="仿宋_GB2312"/>
                <w:color w:val="auto"/>
                <w:sz w:val="28"/>
                <w:szCs w:val="28"/>
              </w:rPr>
              <w:t>称</w:t>
            </w:r>
          </w:p>
        </w:tc>
        <w:tc>
          <w:tcPr>
            <w:tcW w:w="1418" w:type="dxa"/>
            <w:noWrap w:val="0"/>
            <w:vAlign w:val="center"/>
          </w:tcPr>
          <w:p w14:paraId="1C8D39F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姓名</w:t>
            </w:r>
          </w:p>
        </w:tc>
        <w:tc>
          <w:tcPr>
            <w:tcW w:w="1134" w:type="dxa"/>
            <w:noWrap w:val="0"/>
            <w:vAlign w:val="center"/>
          </w:tcPr>
          <w:p w14:paraId="20EDA00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职务</w:t>
            </w:r>
          </w:p>
        </w:tc>
        <w:tc>
          <w:tcPr>
            <w:tcW w:w="1134" w:type="dxa"/>
            <w:noWrap w:val="0"/>
            <w:vAlign w:val="center"/>
          </w:tcPr>
          <w:p w14:paraId="3926BE2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职称</w:t>
            </w:r>
          </w:p>
        </w:tc>
        <w:tc>
          <w:tcPr>
            <w:tcW w:w="4252" w:type="dxa"/>
            <w:noWrap w:val="0"/>
            <w:vAlign w:val="center"/>
          </w:tcPr>
          <w:p w14:paraId="19D4348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主要资历、经验及承担过的项目</w:t>
            </w:r>
          </w:p>
        </w:tc>
      </w:tr>
      <w:tr w14:paraId="093C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0F3319B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一、总部人员</w:t>
            </w:r>
          </w:p>
        </w:tc>
      </w:tr>
      <w:tr w14:paraId="6FC5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CDFC44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项目主管</w:t>
            </w:r>
          </w:p>
        </w:tc>
        <w:tc>
          <w:tcPr>
            <w:tcW w:w="1418" w:type="dxa"/>
            <w:noWrap w:val="0"/>
            <w:vAlign w:val="center"/>
          </w:tcPr>
          <w:p w14:paraId="1796906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78279DF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BCF564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701C40F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33A0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CA5DBDF">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77F0A4D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CEBAAE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387CDC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F13BB5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9B2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8098C2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306D2CE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6ABA66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32CEDA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791422F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7B3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22762B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77F36E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18004F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A61117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7AC4C0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3AB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01DCB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二、现场人员</w:t>
            </w:r>
          </w:p>
        </w:tc>
      </w:tr>
      <w:tr w14:paraId="2620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B7DF8E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项目经理</w:t>
            </w:r>
          </w:p>
        </w:tc>
        <w:tc>
          <w:tcPr>
            <w:tcW w:w="1418" w:type="dxa"/>
            <w:noWrap w:val="0"/>
            <w:vAlign w:val="center"/>
          </w:tcPr>
          <w:p w14:paraId="4B3C71F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EDB084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2CF13A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77AD173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EC8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5E1EF1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项目副经理</w:t>
            </w:r>
          </w:p>
        </w:tc>
        <w:tc>
          <w:tcPr>
            <w:tcW w:w="1418" w:type="dxa"/>
            <w:noWrap w:val="0"/>
            <w:vAlign w:val="center"/>
          </w:tcPr>
          <w:p w14:paraId="65546E9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09B9910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1934FF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EF33B6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09E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F58CDF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技术负责人</w:t>
            </w:r>
          </w:p>
        </w:tc>
        <w:tc>
          <w:tcPr>
            <w:tcW w:w="1418" w:type="dxa"/>
            <w:noWrap w:val="0"/>
            <w:vAlign w:val="center"/>
          </w:tcPr>
          <w:p w14:paraId="73D4E0E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884E03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558ACE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0DFE36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0FB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3622FF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造价管理</w:t>
            </w:r>
          </w:p>
        </w:tc>
        <w:tc>
          <w:tcPr>
            <w:tcW w:w="1418" w:type="dxa"/>
            <w:noWrap w:val="0"/>
            <w:vAlign w:val="center"/>
          </w:tcPr>
          <w:p w14:paraId="405CCE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516CDE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4BB888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4341A6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674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B4735E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质量管理</w:t>
            </w:r>
          </w:p>
        </w:tc>
        <w:tc>
          <w:tcPr>
            <w:tcW w:w="1418" w:type="dxa"/>
            <w:noWrap w:val="0"/>
            <w:vAlign w:val="center"/>
          </w:tcPr>
          <w:p w14:paraId="76F6BC3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8D878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2B46259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0CC894E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590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214F49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材料管理</w:t>
            </w:r>
          </w:p>
        </w:tc>
        <w:tc>
          <w:tcPr>
            <w:tcW w:w="1418" w:type="dxa"/>
            <w:noWrap w:val="0"/>
            <w:vAlign w:val="center"/>
          </w:tcPr>
          <w:p w14:paraId="16E4B02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0E639BD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D6D6B8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1068F4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0EB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DD0447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计划管理</w:t>
            </w:r>
          </w:p>
        </w:tc>
        <w:tc>
          <w:tcPr>
            <w:tcW w:w="1418" w:type="dxa"/>
            <w:noWrap w:val="0"/>
            <w:vAlign w:val="center"/>
          </w:tcPr>
          <w:p w14:paraId="381BA83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76CE085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437AA4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3F5D0CF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2B0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36046E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安全管理</w:t>
            </w:r>
          </w:p>
        </w:tc>
        <w:tc>
          <w:tcPr>
            <w:tcW w:w="1418" w:type="dxa"/>
            <w:noWrap w:val="0"/>
            <w:vAlign w:val="center"/>
          </w:tcPr>
          <w:p w14:paraId="4F56C4B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1F7D6A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8092E3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3D4A053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8EF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01B91D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3CBA16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5AEE4CA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F31EEB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4D3947C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3F67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EDCB9A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22C57F7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44BC623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7912384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110A079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883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E05CAF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28810B0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582DEA0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680A19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EEB5C7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9CB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22D14E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06FC7AA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31C9AA0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2F3EEBF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5AC6AD1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979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9FDD43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1A63889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2C971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61FFD8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EB62A6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3F7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A15443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43A7F0C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061B929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1A48C19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003E954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bl>
    <w:p w14:paraId="4989E6A2">
      <w:pPr>
        <w:pStyle w:val="37"/>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br w:type="page"/>
      </w:r>
      <w:bookmarkStart w:id="1194" w:name="_Toc267261701"/>
      <w:r>
        <w:rPr>
          <w:rFonts w:hint="eastAsia" w:ascii="Times New Roman" w:hAnsi="Times New Roman" w:eastAsia="仿宋_GB2312" w:cs="仿宋_GB2312"/>
          <w:color w:val="auto"/>
          <w:sz w:val="30"/>
          <w:szCs w:val="30"/>
        </w:rPr>
        <w:t>附</w:t>
      </w:r>
      <w:bookmarkStart w:id="1195" w:name="_Toc296944570"/>
      <w:bookmarkStart w:id="1196" w:name="_Toc296346732"/>
      <w:bookmarkStart w:id="1197" w:name="_Toc296891059"/>
      <w:bookmarkStart w:id="1198" w:name="_Toc296891271"/>
      <w:bookmarkStart w:id="1199" w:name="_Toc296347230"/>
      <w:bookmarkStart w:id="1200" w:name="_Toc296503231"/>
      <w:r>
        <w:rPr>
          <w:rFonts w:hint="eastAsia" w:ascii="Times New Roman" w:hAnsi="Times New Roman" w:eastAsia="仿宋_GB2312" w:cs="仿宋_GB2312"/>
          <w:color w:val="auto"/>
          <w:sz w:val="30"/>
          <w:szCs w:val="30"/>
        </w:rPr>
        <w:t>件</w:t>
      </w:r>
      <w:r>
        <w:rPr>
          <w:rFonts w:hint="eastAsia" w:ascii="Times New Roman" w:hAnsi="Times New Roman" w:eastAsia="仿宋_GB2312"/>
          <w:color w:val="auto"/>
          <w:sz w:val="30"/>
          <w:szCs w:val="30"/>
        </w:rPr>
        <w:t>7</w:t>
      </w:r>
      <w:r>
        <w:rPr>
          <w:rFonts w:hint="eastAsia" w:ascii="Times New Roman" w:hAnsi="Times New Roman" w:eastAsia="仿宋_GB2312" w:cs="仿宋_GB2312"/>
          <w:color w:val="auto"/>
          <w:sz w:val="30"/>
          <w:szCs w:val="30"/>
        </w:rPr>
        <w:t>：</w:t>
      </w:r>
    </w:p>
    <w:bookmarkEnd w:id="1194"/>
    <w:bookmarkEnd w:id="1195"/>
    <w:bookmarkEnd w:id="1196"/>
    <w:bookmarkEnd w:id="1197"/>
    <w:bookmarkEnd w:id="1198"/>
    <w:bookmarkEnd w:id="1199"/>
    <w:bookmarkEnd w:id="1200"/>
    <w:p w14:paraId="2D31325D">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履约担保</w:t>
      </w:r>
    </w:p>
    <w:p w14:paraId="602400EA">
      <w:pPr>
        <w:pStyle w:val="37"/>
        <w:spacing w:line="360" w:lineRule="auto"/>
        <w:rPr>
          <w:rFonts w:ascii="Times New Roman" w:hAnsi="Times New Roman"/>
          <w:color w:val="auto"/>
          <w:szCs w:val="21"/>
          <w:u w:val="single"/>
        </w:rPr>
      </w:pPr>
    </w:p>
    <w:p w14:paraId="28538D7E">
      <w:pPr>
        <w:pStyle w:val="37"/>
        <w:spacing w:line="360" w:lineRule="auto"/>
        <w:ind w:firstLine="420" w:firstLineChars="200"/>
        <w:rPr>
          <w:rFonts w:ascii="Times New Roman" w:hAnsi="Times New Roman"/>
          <w:color w:val="auto"/>
          <w:szCs w:val="21"/>
        </w:rPr>
      </w:pPr>
      <w:r>
        <w:rPr>
          <w:rFonts w:ascii="Times New Roman" w:hAnsi="Times New Roman"/>
          <w:color w:val="auto"/>
          <w:szCs w:val="21"/>
          <w:u w:val="single"/>
        </w:rPr>
        <w:t xml:space="preserve">                          </w:t>
      </w:r>
      <w:r>
        <w:rPr>
          <w:rFonts w:hint="eastAsia" w:ascii="Times New Roman" w:hAnsi="宋体" w:cs="宋体"/>
          <w:color w:val="auto"/>
          <w:szCs w:val="21"/>
        </w:rPr>
        <w:t>（发包人名称）：</w:t>
      </w:r>
    </w:p>
    <w:p w14:paraId="395D2D1D">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鉴于</w:t>
      </w:r>
      <w:r>
        <w:rPr>
          <w:rFonts w:ascii="Times New Roman" w:hAnsi="Times New Roman"/>
          <w:color w:val="auto"/>
          <w:szCs w:val="21"/>
          <w:u w:val="single"/>
        </w:rPr>
        <w:t xml:space="preserve">                                        </w:t>
      </w:r>
      <w:r>
        <w:rPr>
          <w:rFonts w:hint="eastAsia" w:ascii="Times New Roman" w:hAnsi="宋体" w:cs="宋体"/>
          <w:color w:val="auto"/>
          <w:szCs w:val="21"/>
        </w:rPr>
        <w:t>（发包人名称，以下简称</w:t>
      </w:r>
      <w:r>
        <w:rPr>
          <w:rFonts w:ascii="Times New Roman" w:hAnsi="Times New Roman"/>
          <w:color w:val="auto"/>
          <w:szCs w:val="21"/>
        </w:rPr>
        <w:t>“</w:t>
      </w:r>
      <w:r>
        <w:rPr>
          <w:rFonts w:hint="eastAsia" w:ascii="Times New Roman" w:hAnsi="宋体" w:cs="宋体"/>
          <w:color w:val="auto"/>
          <w:szCs w:val="21"/>
        </w:rPr>
        <w:t>发包人</w:t>
      </w:r>
      <w:r>
        <w:rPr>
          <w:rFonts w:ascii="Times New Roman" w:hAnsi="Times New Roman"/>
          <w:color w:val="auto"/>
          <w:szCs w:val="21"/>
        </w:rPr>
        <w:t>”</w:t>
      </w:r>
      <w:r>
        <w:rPr>
          <w:rFonts w:hint="eastAsia" w:ascii="Times New Roman" w:hAnsi="宋体" w:cs="宋体"/>
          <w:color w:val="auto"/>
          <w:szCs w:val="21"/>
        </w:rPr>
        <w:t>）</w:t>
      </w:r>
      <w:r>
        <w:rPr>
          <w:rFonts w:ascii="Times New Roman" w:hAnsi="宋体"/>
          <w:color w:val="auto"/>
          <w:szCs w:val="21"/>
        </w:rPr>
        <w:t xml:space="preserve"> </w:t>
      </w:r>
      <w:r>
        <w:rPr>
          <w:rFonts w:hint="eastAsia" w:ascii="Times New Roman" w:hAnsi="宋体" w:cs="宋体"/>
          <w:color w:val="auto"/>
          <w:szCs w:val="21"/>
        </w:rPr>
        <w:t>已于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日发放成交通知书，明确</w:t>
      </w:r>
      <w:r>
        <w:rPr>
          <w:rFonts w:ascii="Times New Roman" w:hAnsi="Times New Roman"/>
          <w:color w:val="auto"/>
          <w:szCs w:val="21"/>
          <w:u w:val="single"/>
        </w:rPr>
        <w:t xml:space="preserve">                           </w:t>
      </w:r>
      <w:r>
        <w:rPr>
          <w:rFonts w:hint="eastAsia" w:ascii="Times New Roman" w:hAnsi="宋体" w:cs="宋体"/>
          <w:color w:val="auto"/>
          <w:szCs w:val="21"/>
        </w:rPr>
        <w:t>（承包人名称）（以下</w:t>
      </w:r>
      <w:r>
        <w:rPr>
          <w:rFonts w:hint="eastAsia"/>
          <w:color w:val="auto"/>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承包人</w:t>
      </w:r>
      <w:r>
        <w:rPr>
          <w:rFonts w:ascii="Times New Roman" w:hAnsi="Times New Roman"/>
          <w:color w:val="auto"/>
          <w:szCs w:val="21"/>
        </w:rPr>
        <w:t>”</w:t>
      </w:r>
      <w:r>
        <w:rPr>
          <w:rFonts w:hint="eastAsia" w:ascii="Times New Roman" w:hAnsi="宋体" w:cs="宋体"/>
          <w:color w:val="auto"/>
          <w:szCs w:val="21"/>
        </w:rPr>
        <w:t>）于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日为</w:t>
      </w:r>
      <w:r>
        <w:rPr>
          <w:rFonts w:ascii="Times New Roman" w:hAnsi="Times New Roman"/>
          <w:color w:val="auto"/>
          <w:szCs w:val="21"/>
          <w:u w:val="single"/>
        </w:rPr>
        <w:t xml:space="preserve">                       </w:t>
      </w:r>
      <w:r>
        <w:rPr>
          <w:rFonts w:hint="eastAsia" w:ascii="Times New Roman" w:hAnsi="宋体" w:cs="宋体"/>
          <w:color w:val="auto"/>
          <w:szCs w:val="21"/>
        </w:rPr>
        <w:t>（工程名称）的成交人。我方愿意无条件地、不可撤销地就承包人履行与你方签订的合同，向你方提供连带责任担保。</w:t>
      </w:r>
      <w:r>
        <w:rPr>
          <w:rFonts w:ascii="Times New Roman" w:hAnsi="Times New Roman"/>
          <w:color w:val="auto"/>
          <w:szCs w:val="21"/>
        </w:rPr>
        <w:t xml:space="preserve"> </w:t>
      </w:r>
    </w:p>
    <w:p w14:paraId="7F7AEFE6">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担保金额人民币（大写）</w:t>
      </w:r>
      <w:r>
        <w:rPr>
          <w:rFonts w:ascii="Times New Roman" w:hAnsi="Times New Roman"/>
          <w:color w:val="auto"/>
          <w:szCs w:val="21"/>
          <w:u w:val="single"/>
        </w:rPr>
        <w:t xml:space="preserve">                 </w:t>
      </w:r>
      <w:r>
        <w:rPr>
          <w:rFonts w:hint="eastAsia" w:ascii="Times New Roman" w:hAnsi="宋体" w:cs="宋体"/>
          <w:color w:val="auto"/>
          <w:szCs w:val="21"/>
        </w:rPr>
        <w:t>（</w:t>
      </w:r>
      <w:r>
        <w:rPr>
          <w:rFonts w:ascii="Times New Roman" w:hAnsi="Times New Roman"/>
          <w:color w:val="auto"/>
          <w:szCs w:val="21"/>
        </w:rPr>
        <w:t>¥</w:t>
      </w:r>
      <w:r>
        <w:rPr>
          <w:rFonts w:ascii="Times New Roman" w:hAnsi="Times New Roman"/>
          <w:color w:val="auto"/>
          <w:szCs w:val="21"/>
          <w:u w:val="single"/>
        </w:rPr>
        <w:t xml:space="preserve">             </w:t>
      </w:r>
      <w:r>
        <w:rPr>
          <w:rFonts w:hint="eastAsia" w:ascii="Times New Roman" w:hAnsi="宋体" w:cs="宋体"/>
          <w:color w:val="auto"/>
          <w:szCs w:val="21"/>
        </w:rPr>
        <w:t>）。</w:t>
      </w:r>
    </w:p>
    <w:p w14:paraId="46486E1D">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担保有效期自你方与承包人签订的合同生效之日起至你方签发或应签发工程接收证书之日止。</w:t>
      </w:r>
    </w:p>
    <w:p w14:paraId="6F6F0956">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在本担保有效期内，因承包人违反合同约定的义务给你方造成经济损失时，我方在收到你方以书面形式提出的在担保金额内的赔偿要求后，在</w:t>
      </w:r>
      <w:r>
        <w:rPr>
          <w:rFonts w:ascii="Times New Roman" w:hAnsi="Times New Roman"/>
          <w:color w:val="auto"/>
          <w:szCs w:val="21"/>
        </w:rPr>
        <w:t>7</w:t>
      </w:r>
      <w:r>
        <w:rPr>
          <w:rFonts w:hint="eastAsia" w:ascii="Times New Roman" w:hAnsi="宋体" w:cs="宋体"/>
          <w:color w:val="auto"/>
          <w:szCs w:val="21"/>
        </w:rPr>
        <w:t>天内无条件支付。</w:t>
      </w:r>
    </w:p>
    <w:p w14:paraId="526B05D6">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你方和承包人按合同约定变更合同时，我方承担本担保规定的义务不变。</w:t>
      </w:r>
    </w:p>
    <w:p w14:paraId="4E7845C5">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5. </w:t>
      </w:r>
      <w:r>
        <w:rPr>
          <w:rFonts w:hint="eastAsia" w:ascii="Times New Roman" w:hAnsi="宋体" w:cs="宋体"/>
          <w:color w:val="auto"/>
          <w:szCs w:val="21"/>
        </w:rPr>
        <w:t>因本保函发生的纠纷，可由双方协商解决，协商不成的，任何一方均可提请</w:t>
      </w:r>
      <w:r>
        <w:rPr>
          <w:rFonts w:ascii="Times New Roman" w:hAnsi="Times New Roman"/>
          <w:color w:val="auto"/>
          <w:szCs w:val="21"/>
          <w:u w:val="single"/>
        </w:rPr>
        <w:t xml:space="preserve">      </w:t>
      </w:r>
      <w:r>
        <w:rPr>
          <w:rFonts w:hint="eastAsia" w:ascii="Times New Roman" w:hAnsi="宋体" w:cs="宋体"/>
          <w:color w:val="auto"/>
          <w:szCs w:val="21"/>
        </w:rPr>
        <w:t>仲裁委员会仲裁。</w:t>
      </w:r>
    </w:p>
    <w:p w14:paraId="09BCA493">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6. </w:t>
      </w:r>
      <w:r>
        <w:rPr>
          <w:rFonts w:hint="eastAsia" w:ascii="Times New Roman" w:hAnsi="宋体" w:cs="宋体"/>
          <w:color w:val="auto"/>
          <w:szCs w:val="21"/>
        </w:rPr>
        <w:t>本保函自我方法定代表人（或其授权代理人）签字并加盖公章之日起生效。</w:t>
      </w:r>
    </w:p>
    <w:p w14:paraId="4CB7E8C1">
      <w:pPr>
        <w:pStyle w:val="37"/>
        <w:spacing w:line="360" w:lineRule="auto"/>
        <w:rPr>
          <w:rFonts w:ascii="Times New Roman" w:hAnsi="Times New Roman"/>
          <w:color w:val="auto"/>
          <w:szCs w:val="21"/>
        </w:rPr>
      </w:pPr>
    </w:p>
    <w:p w14:paraId="0B8EF03B">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担</w:t>
      </w:r>
      <w:r>
        <w:rPr>
          <w:rFonts w:ascii="Times New Roman" w:hAnsi="Times New Roman"/>
          <w:color w:val="auto"/>
          <w:szCs w:val="21"/>
        </w:rPr>
        <w:t xml:space="preserve"> </w:t>
      </w:r>
      <w:r>
        <w:rPr>
          <w:rFonts w:hint="eastAsia" w:ascii="Times New Roman" w:hAnsi="宋体" w:cs="宋体"/>
          <w:color w:val="auto"/>
          <w:szCs w:val="21"/>
        </w:rPr>
        <w:t>保</w:t>
      </w:r>
      <w:r>
        <w:rPr>
          <w:rFonts w:ascii="Times New Roman" w:hAnsi="Times New Roman"/>
          <w:color w:val="auto"/>
          <w:szCs w:val="21"/>
        </w:rPr>
        <w:t xml:space="preserve"> </w:t>
      </w:r>
      <w:r>
        <w:rPr>
          <w:rFonts w:hint="eastAsia" w:ascii="Times New Roman" w:hAnsi="宋体" w:cs="宋体"/>
          <w:color w:val="auto"/>
          <w:szCs w:val="21"/>
        </w:rPr>
        <w:t>人：</w:t>
      </w:r>
      <w:r>
        <w:rPr>
          <w:rFonts w:ascii="Times New Roman" w:hAnsi="Times New Roman"/>
          <w:color w:val="auto"/>
          <w:szCs w:val="21"/>
          <w:u w:val="single"/>
        </w:rPr>
        <w:t xml:space="preserve">                           </w:t>
      </w:r>
      <w:r>
        <w:rPr>
          <w:rFonts w:hint="eastAsia" w:ascii="Times New Roman" w:hAnsi="宋体" w:cs="宋体"/>
          <w:color w:val="auto"/>
          <w:szCs w:val="21"/>
        </w:rPr>
        <w:t>（盖单位章）</w:t>
      </w:r>
    </w:p>
    <w:p w14:paraId="23406E99">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法定代表人或其委托代理人：</w:t>
      </w:r>
      <w:r>
        <w:rPr>
          <w:rFonts w:ascii="Times New Roman" w:hAnsi="Times New Roman"/>
          <w:color w:val="auto"/>
          <w:szCs w:val="21"/>
          <w:u w:val="single"/>
        </w:rPr>
        <w:t xml:space="preserve">               </w:t>
      </w:r>
      <w:r>
        <w:rPr>
          <w:rFonts w:hint="eastAsia" w:ascii="Times New Roman" w:hAnsi="宋体" w:cs="宋体"/>
          <w:color w:val="auto"/>
          <w:szCs w:val="21"/>
        </w:rPr>
        <w:t>（签字）</w:t>
      </w:r>
    </w:p>
    <w:p w14:paraId="7BE26144">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地</w:t>
      </w:r>
      <w:r>
        <w:rPr>
          <w:rFonts w:ascii="Times New Roman" w:hAnsi="Times New Roman"/>
          <w:color w:val="auto"/>
          <w:szCs w:val="21"/>
        </w:rPr>
        <w:t xml:space="preserve">    </w:t>
      </w:r>
      <w:r>
        <w:rPr>
          <w:rFonts w:hint="eastAsia" w:ascii="Times New Roman" w:hAnsi="宋体" w:cs="宋体"/>
          <w:color w:val="auto"/>
          <w:szCs w:val="21"/>
        </w:rPr>
        <w:t>址：</w:t>
      </w:r>
      <w:r>
        <w:rPr>
          <w:rFonts w:ascii="Times New Roman" w:hAnsi="Times New Roman"/>
          <w:color w:val="auto"/>
          <w:szCs w:val="21"/>
          <w:u w:val="single"/>
        </w:rPr>
        <w:t xml:space="preserve">                                      </w:t>
      </w:r>
    </w:p>
    <w:p w14:paraId="162291F5">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邮政编码：</w:t>
      </w:r>
      <w:r>
        <w:rPr>
          <w:rFonts w:ascii="Times New Roman" w:hAnsi="Times New Roman"/>
          <w:color w:val="auto"/>
          <w:szCs w:val="21"/>
          <w:u w:val="single"/>
        </w:rPr>
        <w:t xml:space="preserve">                                      </w:t>
      </w:r>
    </w:p>
    <w:p w14:paraId="4DE98D71">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电</w:t>
      </w:r>
      <w:r>
        <w:rPr>
          <w:rFonts w:ascii="Times New Roman" w:hAnsi="Times New Roman"/>
          <w:color w:val="auto"/>
          <w:szCs w:val="21"/>
        </w:rPr>
        <w:t xml:space="preserve">    </w:t>
      </w:r>
      <w:r>
        <w:rPr>
          <w:rFonts w:hint="eastAsia" w:ascii="Times New Roman" w:hAnsi="宋体" w:cs="宋体"/>
          <w:color w:val="auto"/>
          <w:szCs w:val="21"/>
        </w:rPr>
        <w:t>话：</w:t>
      </w:r>
      <w:r>
        <w:rPr>
          <w:rFonts w:ascii="Times New Roman" w:hAnsi="Times New Roman"/>
          <w:color w:val="auto"/>
          <w:szCs w:val="21"/>
          <w:u w:val="single"/>
        </w:rPr>
        <w:t xml:space="preserve">                                      </w:t>
      </w:r>
    </w:p>
    <w:p w14:paraId="6F6EFF40">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传</w:t>
      </w:r>
      <w:r>
        <w:rPr>
          <w:rFonts w:ascii="Times New Roman" w:hAnsi="Times New Roman"/>
          <w:color w:val="auto"/>
          <w:szCs w:val="21"/>
        </w:rPr>
        <w:t xml:space="preserve">    </w:t>
      </w:r>
      <w:r>
        <w:rPr>
          <w:rFonts w:hint="eastAsia" w:ascii="Times New Roman" w:hAnsi="宋体" w:cs="宋体"/>
          <w:color w:val="auto"/>
          <w:szCs w:val="21"/>
        </w:rPr>
        <w:t>真：</w:t>
      </w:r>
      <w:r>
        <w:rPr>
          <w:rFonts w:ascii="Times New Roman" w:hAnsi="Times New Roman"/>
          <w:color w:val="auto"/>
          <w:szCs w:val="21"/>
          <w:u w:val="single"/>
        </w:rPr>
        <w:t xml:space="preserve">                                      </w:t>
      </w:r>
    </w:p>
    <w:p w14:paraId="3F3C3975">
      <w:pPr>
        <w:pStyle w:val="37"/>
        <w:spacing w:line="360" w:lineRule="auto"/>
        <w:ind w:left="1329" w:firstLine="420" w:firstLineChars="200"/>
        <w:rPr>
          <w:rFonts w:ascii="Times New Roman" w:hAnsi="Times New Roman"/>
          <w:color w:val="auto"/>
          <w:szCs w:val="21"/>
        </w:rPr>
      </w:pPr>
      <w:r>
        <w:rPr>
          <w:rFonts w:ascii="Times New Roman" w:hAnsi="Times New Roman"/>
          <w:color w:val="auto"/>
          <w:szCs w:val="21"/>
        </w:rPr>
        <w:t xml:space="preserve">               </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w:t>
      </w:r>
    </w:p>
    <w:p w14:paraId="5E4FBB57">
      <w:pPr>
        <w:pStyle w:val="37"/>
        <w:spacing w:line="360" w:lineRule="auto"/>
        <w:ind w:left="1329" w:hanging="1329" w:hangingChars="633"/>
        <w:rPr>
          <w:rFonts w:ascii="Times New Roman" w:hAnsi="Times New Roman"/>
          <w:color w:val="auto"/>
          <w:szCs w:val="21"/>
        </w:rPr>
      </w:pPr>
    </w:p>
    <w:p w14:paraId="51E4A017">
      <w:pPr>
        <w:pStyle w:val="37"/>
        <w:spacing w:line="360" w:lineRule="auto"/>
        <w:ind w:right="150" w:firstLine="420" w:firstLineChars="200"/>
        <w:jc w:val="left"/>
        <w:rPr>
          <w:rFonts w:ascii="仿宋_GB2312" w:hAnsi="宋体" w:cs="宋体"/>
          <w:color w:val="auto"/>
          <w:szCs w:val="21"/>
        </w:rPr>
      </w:pPr>
      <w:r>
        <w:rPr>
          <w:rFonts w:hint="eastAsia" w:ascii="Times New Roman" w:hAnsi="宋体" w:cs="宋体"/>
          <w:color w:val="auto"/>
          <w:szCs w:val="21"/>
        </w:rPr>
        <w:t>（备注</w:t>
      </w:r>
      <w:r>
        <w:rPr>
          <w:rFonts w:ascii="Times New Roman" w:hAnsi="宋体" w:cs="宋体"/>
          <w:color w:val="auto"/>
          <w:szCs w:val="21"/>
        </w:rPr>
        <w:t>：</w:t>
      </w:r>
      <w:r>
        <w:rPr>
          <w:rFonts w:hint="eastAsia" w:ascii="Times New Roman"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5CD90FD5">
      <w:pPr>
        <w:ind w:firstLine="600" w:firstLineChars="200"/>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br w:type="page"/>
      </w:r>
    </w:p>
    <w:p w14:paraId="30D12AED">
      <w:pPr>
        <w:pStyle w:val="37"/>
        <w:spacing w:line="360" w:lineRule="auto"/>
        <w:ind w:firstLine="600" w:firstLineChars="200"/>
        <w:rPr>
          <w:rFonts w:ascii="Times New Roman" w:hAnsi="Times New Roman" w:eastAsia="黑体"/>
          <w:color w:val="auto"/>
          <w:sz w:val="30"/>
          <w:szCs w:val="30"/>
        </w:rPr>
      </w:pPr>
      <w:r>
        <w:rPr>
          <w:rFonts w:hint="eastAsia" w:ascii="Times New Roman" w:hAnsi="Times New Roman" w:eastAsia="仿宋_GB2312" w:cs="仿宋_GB2312"/>
          <w:color w:val="auto"/>
          <w:sz w:val="30"/>
          <w:szCs w:val="30"/>
        </w:rPr>
        <w:t>附件</w:t>
      </w:r>
      <w:r>
        <w:rPr>
          <w:rFonts w:hint="eastAsia" w:ascii="Times New Roman" w:hAnsi="Times New Roman" w:eastAsia="仿宋_GB2312"/>
          <w:color w:val="auto"/>
          <w:sz w:val="30"/>
          <w:szCs w:val="30"/>
        </w:rPr>
        <w:t>8</w:t>
      </w:r>
      <w:r>
        <w:rPr>
          <w:rFonts w:hint="eastAsia" w:ascii="Times New Roman" w:hAnsi="Times New Roman" w:eastAsia="仿宋_GB2312" w:cs="仿宋_GB2312"/>
          <w:color w:val="auto"/>
          <w:sz w:val="30"/>
          <w:szCs w:val="30"/>
        </w:rPr>
        <w:t>：</w:t>
      </w:r>
    </w:p>
    <w:p w14:paraId="2C39C9EA">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预付款担保</w:t>
      </w:r>
    </w:p>
    <w:p w14:paraId="3554CCBA">
      <w:pPr>
        <w:pStyle w:val="37"/>
        <w:spacing w:line="360" w:lineRule="auto"/>
        <w:ind w:firstLine="420" w:firstLineChars="200"/>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 xml:space="preserve"> </w:t>
      </w:r>
      <w:r>
        <w:rPr>
          <w:rFonts w:hint="eastAsia" w:ascii="Times New Roman" w:hAnsi="宋体" w:cs="宋体"/>
          <w:color w:val="auto"/>
          <w:szCs w:val="21"/>
        </w:rPr>
        <w:t>（发包人名称）：</w:t>
      </w:r>
    </w:p>
    <w:p w14:paraId="13444052">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根据</w:t>
      </w:r>
      <w:r>
        <w:rPr>
          <w:rFonts w:ascii="Times New Roman" w:hAnsi="Times New Roman"/>
          <w:color w:val="auto"/>
          <w:szCs w:val="21"/>
          <w:u w:val="single"/>
        </w:rPr>
        <w:t xml:space="preserve">                 </w:t>
      </w:r>
      <w:r>
        <w:rPr>
          <w:rFonts w:hint="eastAsia" w:ascii="Times New Roman" w:hAnsi="宋体" w:cs="宋体"/>
          <w:color w:val="auto"/>
          <w:szCs w:val="21"/>
        </w:rPr>
        <w:t>（承包人名称）（以下</w:t>
      </w:r>
      <w:r>
        <w:rPr>
          <w:rFonts w:hint="eastAsia" w:ascii="Times New Roman" w:hAnsi="宋体" w:cs="宋体"/>
          <w:color w:val="auto"/>
          <w:szCs w:val="21"/>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承包人</w:t>
      </w:r>
      <w:r>
        <w:rPr>
          <w:rFonts w:ascii="Times New Roman" w:hAnsi="Times New Roman"/>
          <w:color w:val="auto"/>
          <w:szCs w:val="21"/>
        </w:rPr>
        <w:t>”</w:t>
      </w:r>
      <w:r>
        <w:rPr>
          <w:rFonts w:hint="eastAsia" w:ascii="Times New Roman" w:hAnsi="宋体" w:cs="宋体"/>
          <w:color w:val="auto"/>
          <w:szCs w:val="21"/>
        </w:rPr>
        <w:t>）与</w:t>
      </w:r>
      <w:r>
        <w:rPr>
          <w:rFonts w:ascii="Times New Roman" w:hAnsi="Times New Roman"/>
          <w:color w:val="auto"/>
          <w:szCs w:val="21"/>
          <w:u w:val="single"/>
        </w:rPr>
        <w:t xml:space="preserve">                        </w:t>
      </w:r>
      <w:r>
        <w:rPr>
          <w:rFonts w:hint="eastAsia" w:ascii="Times New Roman" w:hAnsi="宋体" w:cs="宋体"/>
          <w:color w:val="auto"/>
          <w:szCs w:val="21"/>
        </w:rPr>
        <w:t>（发包人名称）（以下简称</w:t>
      </w:r>
      <w:r>
        <w:rPr>
          <w:rFonts w:ascii="Times New Roman" w:hAnsi="Times New Roman"/>
          <w:color w:val="auto"/>
          <w:szCs w:val="21"/>
        </w:rPr>
        <w:t>“</w:t>
      </w:r>
      <w:r>
        <w:rPr>
          <w:rFonts w:hint="eastAsia" w:ascii="Times New Roman" w:hAnsi="宋体" w:cs="宋体"/>
          <w:color w:val="auto"/>
          <w:szCs w:val="21"/>
        </w:rPr>
        <w:t>发包人</w:t>
      </w:r>
      <w:r>
        <w:rPr>
          <w:rFonts w:ascii="Times New Roman" w:hAnsi="Times New Roman"/>
          <w:color w:val="auto"/>
          <w:szCs w:val="21"/>
        </w:rPr>
        <w:t>”</w:t>
      </w:r>
      <w:r>
        <w:rPr>
          <w:rFonts w:hint="eastAsia" w:ascii="Times New Roman" w:hAnsi="宋体" w:cs="宋体"/>
          <w:color w:val="auto"/>
          <w:szCs w:val="21"/>
        </w:rPr>
        <w:t>）于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日签订的</w:t>
      </w:r>
      <w:r>
        <w:rPr>
          <w:rFonts w:ascii="Times New Roman" w:hAnsi="Times New Roman"/>
          <w:color w:val="auto"/>
          <w:szCs w:val="21"/>
          <w:u w:val="single"/>
        </w:rPr>
        <w:t xml:space="preserve">                   </w:t>
      </w:r>
      <w:r>
        <w:rPr>
          <w:rFonts w:hint="eastAsia" w:ascii="Times New Roman" w:hAnsi="宋体" w:cs="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14:paraId="1B970D61">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担保金额人民币（大写）</w:t>
      </w:r>
      <w:r>
        <w:rPr>
          <w:rFonts w:ascii="Times New Roman" w:hAnsi="Times New Roman"/>
          <w:color w:val="auto"/>
          <w:szCs w:val="21"/>
          <w:u w:val="single"/>
        </w:rPr>
        <w:t xml:space="preserve">                </w:t>
      </w:r>
      <w:r>
        <w:rPr>
          <w:rFonts w:hint="eastAsia" w:ascii="Times New Roman" w:hAnsi="宋体" w:cs="宋体"/>
          <w:color w:val="auto"/>
          <w:szCs w:val="21"/>
        </w:rPr>
        <w:t>（</w:t>
      </w:r>
      <w:r>
        <w:rPr>
          <w:rFonts w:ascii="Times New Roman" w:hAnsi="Times New Roman"/>
          <w:color w:val="auto"/>
          <w:szCs w:val="21"/>
        </w:rPr>
        <w:t>¥</w:t>
      </w:r>
      <w:r>
        <w:rPr>
          <w:rFonts w:ascii="Times New Roman" w:hAnsi="Times New Roman"/>
          <w:color w:val="auto"/>
          <w:szCs w:val="21"/>
          <w:u w:val="single"/>
        </w:rPr>
        <w:t xml:space="preserve">             </w:t>
      </w:r>
      <w:r>
        <w:rPr>
          <w:rFonts w:hint="eastAsia" w:ascii="Times New Roman" w:hAnsi="宋体" w:cs="宋体"/>
          <w:color w:val="auto"/>
          <w:szCs w:val="21"/>
        </w:rPr>
        <w:t>）。</w:t>
      </w:r>
    </w:p>
    <w:p w14:paraId="41652F28">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担保有效期自预付款支付给承包人起生效，至你方签发的进度款支付证书说明已完全扣清止。</w:t>
      </w:r>
    </w:p>
    <w:p w14:paraId="091E2982">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24EE54F">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你方和承包人按合同约定变更合同时，我方承担本保函规定的义务不变。</w:t>
      </w:r>
    </w:p>
    <w:p w14:paraId="0116B40D">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5. </w:t>
      </w:r>
      <w:r>
        <w:rPr>
          <w:rFonts w:hint="eastAsia" w:ascii="Times New Roman" w:hAnsi="宋体" w:cs="宋体"/>
          <w:color w:val="auto"/>
          <w:szCs w:val="21"/>
        </w:rPr>
        <w:t>因本保函发生的纠纷，可由双方协商解决，协商不成的，任何一方均可提请</w:t>
      </w:r>
      <w:r>
        <w:rPr>
          <w:rFonts w:ascii="Times New Roman" w:hAnsi="Times New Roman"/>
          <w:color w:val="auto"/>
          <w:szCs w:val="21"/>
          <w:u w:val="single"/>
        </w:rPr>
        <w:t xml:space="preserve">      </w:t>
      </w:r>
      <w:r>
        <w:rPr>
          <w:rFonts w:hint="eastAsia" w:ascii="Times New Roman" w:hAnsi="宋体" w:cs="宋体"/>
          <w:color w:val="auto"/>
          <w:szCs w:val="21"/>
        </w:rPr>
        <w:t>仲裁委员会仲裁。</w:t>
      </w:r>
    </w:p>
    <w:p w14:paraId="016AC54B">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6. </w:t>
      </w:r>
      <w:r>
        <w:rPr>
          <w:rFonts w:hint="eastAsia" w:ascii="Times New Roman" w:hAnsi="宋体" w:cs="宋体"/>
          <w:color w:val="auto"/>
          <w:szCs w:val="21"/>
        </w:rPr>
        <w:t>本保函自我方法定代表人（或其授权代理人）签字并加盖公章之日起生效。</w:t>
      </w:r>
    </w:p>
    <w:p w14:paraId="5A5BFF89">
      <w:pPr>
        <w:pStyle w:val="37"/>
        <w:spacing w:line="360" w:lineRule="auto"/>
        <w:rPr>
          <w:rFonts w:ascii="Times New Roman" w:hAnsi="Times New Roman"/>
          <w:color w:val="auto"/>
          <w:szCs w:val="21"/>
        </w:rPr>
      </w:pPr>
    </w:p>
    <w:p w14:paraId="589272AA">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担保人：</w:t>
      </w:r>
      <w:r>
        <w:rPr>
          <w:rFonts w:ascii="Times New Roman" w:hAnsi="Times New Roman"/>
          <w:color w:val="auto"/>
          <w:szCs w:val="21"/>
          <w:u w:val="single"/>
        </w:rPr>
        <w:t xml:space="preserve">                          </w:t>
      </w:r>
      <w:r>
        <w:rPr>
          <w:rFonts w:hint="eastAsia" w:ascii="Times New Roman" w:hAnsi="宋体" w:cs="宋体"/>
          <w:color w:val="auto"/>
          <w:szCs w:val="21"/>
        </w:rPr>
        <w:t>（盖单位章）</w:t>
      </w:r>
    </w:p>
    <w:p w14:paraId="463AE3C4">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法定代表人或其委托代理人：</w:t>
      </w:r>
      <w:r>
        <w:rPr>
          <w:rFonts w:ascii="Times New Roman" w:hAnsi="Times New Roman"/>
          <w:color w:val="auto"/>
          <w:szCs w:val="21"/>
          <w:u w:val="single"/>
        </w:rPr>
        <w:t xml:space="preserve">            </w:t>
      </w:r>
      <w:r>
        <w:rPr>
          <w:rFonts w:hint="eastAsia" w:ascii="Times New Roman" w:hAnsi="宋体" w:cs="宋体"/>
          <w:color w:val="auto"/>
          <w:szCs w:val="21"/>
        </w:rPr>
        <w:t>（签字）</w:t>
      </w:r>
    </w:p>
    <w:p w14:paraId="3A7BCD67">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地</w:t>
      </w:r>
      <w:r>
        <w:rPr>
          <w:rFonts w:ascii="Times New Roman" w:hAnsi="Times New Roman"/>
          <w:color w:val="auto"/>
          <w:szCs w:val="21"/>
        </w:rPr>
        <w:t xml:space="preserve">    </w:t>
      </w:r>
      <w:r>
        <w:rPr>
          <w:rFonts w:hint="eastAsia" w:ascii="Times New Roman" w:hAnsi="宋体" w:cs="宋体"/>
          <w:color w:val="auto"/>
          <w:szCs w:val="21"/>
        </w:rPr>
        <w:t>址：</w:t>
      </w:r>
      <w:r>
        <w:rPr>
          <w:rFonts w:ascii="Times New Roman" w:hAnsi="Times New Roman"/>
          <w:color w:val="auto"/>
          <w:szCs w:val="21"/>
          <w:u w:val="single"/>
        </w:rPr>
        <w:t xml:space="preserve">                            </w:t>
      </w:r>
    </w:p>
    <w:p w14:paraId="330138C2">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邮政编码：</w:t>
      </w:r>
      <w:r>
        <w:rPr>
          <w:rFonts w:ascii="Times New Roman" w:hAnsi="Times New Roman"/>
          <w:color w:val="auto"/>
          <w:szCs w:val="21"/>
          <w:u w:val="single"/>
        </w:rPr>
        <w:t xml:space="preserve">                            </w:t>
      </w:r>
    </w:p>
    <w:p w14:paraId="424D565E">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电</w:t>
      </w:r>
      <w:r>
        <w:rPr>
          <w:rFonts w:ascii="Times New Roman" w:hAnsi="Times New Roman"/>
          <w:color w:val="auto"/>
          <w:szCs w:val="21"/>
        </w:rPr>
        <w:t xml:space="preserve">    </w:t>
      </w:r>
      <w:r>
        <w:rPr>
          <w:rFonts w:hint="eastAsia" w:ascii="Times New Roman" w:hAnsi="宋体" w:cs="宋体"/>
          <w:color w:val="auto"/>
          <w:szCs w:val="21"/>
        </w:rPr>
        <w:t>话：</w:t>
      </w:r>
      <w:r>
        <w:rPr>
          <w:rFonts w:ascii="Times New Roman" w:hAnsi="Times New Roman"/>
          <w:color w:val="auto"/>
          <w:szCs w:val="21"/>
          <w:u w:val="single"/>
        </w:rPr>
        <w:t xml:space="preserve">                            </w:t>
      </w:r>
    </w:p>
    <w:p w14:paraId="08E3D962">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传</w:t>
      </w:r>
      <w:r>
        <w:rPr>
          <w:rFonts w:ascii="Times New Roman" w:hAnsi="Times New Roman"/>
          <w:color w:val="auto"/>
          <w:szCs w:val="21"/>
        </w:rPr>
        <w:t xml:space="preserve">    </w:t>
      </w:r>
      <w:r>
        <w:rPr>
          <w:rFonts w:hint="eastAsia" w:ascii="Times New Roman" w:hAnsi="宋体" w:cs="宋体"/>
          <w:color w:val="auto"/>
          <w:szCs w:val="21"/>
        </w:rPr>
        <w:t>真：</w:t>
      </w:r>
      <w:r>
        <w:rPr>
          <w:rFonts w:ascii="Times New Roman" w:hAnsi="Times New Roman"/>
          <w:color w:val="auto"/>
          <w:szCs w:val="21"/>
          <w:u w:val="single"/>
        </w:rPr>
        <w:t xml:space="preserve">                            </w:t>
      </w:r>
    </w:p>
    <w:p w14:paraId="5E0AB159">
      <w:pPr>
        <w:pStyle w:val="37"/>
        <w:spacing w:line="360" w:lineRule="auto"/>
        <w:ind w:firstLine="420" w:firstLineChars="200"/>
        <w:rPr>
          <w:rFonts w:ascii="Times New Roman" w:hAnsi="宋体"/>
          <w:color w:val="auto"/>
          <w:szCs w:val="21"/>
        </w:rPr>
      </w:pPr>
      <w:r>
        <w:rPr>
          <w:rFonts w:ascii="Times New Roman" w:hAnsi="Times New Roman"/>
          <w:color w:val="auto"/>
          <w:szCs w:val="21"/>
        </w:rPr>
        <w:t xml:space="preserve">            </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w:t>
      </w:r>
    </w:p>
    <w:p w14:paraId="28906CC4">
      <w:pPr>
        <w:pStyle w:val="37"/>
        <w:spacing w:line="360" w:lineRule="auto"/>
        <w:ind w:right="150" w:firstLine="420" w:firstLineChars="200"/>
        <w:jc w:val="left"/>
        <w:rPr>
          <w:rFonts w:ascii="仿宋_GB2312" w:hAnsi="宋体" w:cs="宋体"/>
          <w:color w:val="auto"/>
          <w:szCs w:val="21"/>
        </w:rPr>
      </w:pPr>
      <w:r>
        <w:rPr>
          <w:rFonts w:hint="eastAsia" w:ascii="Times New Roman" w:hAnsi="宋体" w:cs="宋体"/>
          <w:color w:val="auto"/>
          <w:szCs w:val="21"/>
        </w:rPr>
        <w:t>（备注</w:t>
      </w:r>
      <w:r>
        <w:rPr>
          <w:rFonts w:ascii="Times New Roman" w:hAnsi="宋体" w:cs="宋体"/>
          <w:color w:val="auto"/>
          <w:szCs w:val="21"/>
        </w:rPr>
        <w:t>：</w:t>
      </w:r>
      <w:r>
        <w:rPr>
          <w:rFonts w:hint="eastAsia" w:ascii="Times New Roman"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3C05F55E">
      <w:pPr>
        <w:pStyle w:val="37"/>
        <w:spacing w:line="360" w:lineRule="auto"/>
        <w:ind w:right="150" w:firstLine="420" w:firstLineChars="200"/>
        <w:jc w:val="left"/>
        <w:rPr>
          <w:rFonts w:ascii="仿宋_GB2312" w:hAnsi="宋体" w:cs="宋体"/>
          <w:color w:val="auto"/>
          <w:szCs w:val="21"/>
        </w:rPr>
      </w:pPr>
    </w:p>
    <w:p w14:paraId="728A451B">
      <w:pPr>
        <w:pStyle w:val="37"/>
        <w:spacing w:line="440" w:lineRule="exact"/>
        <w:jc w:val="left"/>
        <w:rPr>
          <w:rFonts w:hint="eastAsia" w:ascii="Times New Roman" w:hAnsi="Times New Roman" w:eastAsia="仿宋_GB2312" w:cs="仿宋_GB2312"/>
          <w:color w:val="auto"/>
          <w:sz w:val="30"/>
          <w:szCs w:val="30"/>
        </w:rPr>
      </w:pPr>
    </w:p>
    <w:p w14:paraId="4417BFD9">
      <w:pPr>
        <w:pStyle w:val="37"/>
        <w:spacing w:line="440" w:lineRule="exact"/>
        <w:jc w:val="left"/>
        <w:rPr>
          <w:rFonts w:hint="eastAsia" w:ascii="Times New Roman" w:hAnsi="Times New Roman" w:eastAsia="仿宋_GB2312" w:cs="仿宋_GB2312"/>
          <w:color w:val="auto"/>
          <w:sz w:val="30"/>
          <w:szCs w:val="30"/>
        </w:rPr>
      </w:pPr>
    </w:p>
    <w:p w14:paraId="2D39C50D">
      <w:pPr>
        <w:pStyle w:val="37"/>
        <w:spacing w:line="440" w:lineRule="exact"/>
        <w:ind w:firstLine="600" w:firstLineChars="200"/>
        <w:jc w:val="left"/>
        <w:rPr>
          <w:rFonts w:ascii="Times New Roman" w:hAnsi="Times New Roman" w:eastAsia="黑体"/>
          <w:color w:val="auto"/>
          <w:sz w:val="30"/>
          <w:szCs w:val="30"/>
        </w:rPr>
      </w:pPr>
      <w:r>
        <w:rPr>
          <w:rFonts w:hint="eastAsia" w:ascii="Times New Roman" w:hAnsi="Times New Roman" w:eastAsia="仿宋_GB2312" w:cs="仿宋_GB2312"/>
          <w:color w:val="auto"/>
          <w:sz w:val="30"/>
          <w:szCs w:val="30"/>
        </w:rPr>
        <w:t>附件</w:t>
      </w:r>
      <w:r>
        <w:rPr>
          <w:rFonts w:hint="eastAsia" w:ascii="Times New Roman" w:hAnsi="Times New Roman" w:eastAsia="仿宋_GB2312"/>
          <w:color w:val="auto"/>
          <w:sz w:val="30"/>
          <w:szCs w:val="30"/>
        </w:rPr>
        <w:t>9</w:t>
      </w:r>
      <w:r>
        <w:rPr>
          <w:rFonts w:hint="eastAsia" w:ascii="Times New Roman" w:hAnsi="Times New Roman" w:eastAsia="仿宋_GB2312" w:cs="仿宋_GB2312"/>
          <w:color w:val="auto"/>
          <w:sz w:val="30"/>
          <w:szCs w:val="30"/>
        </w:rPr>
        <w:t>：</w:t>
      </w:r>
    </w:p>
    <w:p w14:paraId="0B5C2BDF">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支付担保</w:t>
      </w:r>
    </w:p>
    <w:p w14:paraId="5FADC4FC">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u w:val="single"/>
        </w:rPr>
        <w:t xml:space="preserve">                     </w:t>
      </w:r>
      <w:r>
        <w:rPr>
          <w:rFonts w:hint="eastAsia" w:ascii="Times New Roman" w:hAnsi="宋体" w:cs="宋体"/>
          <w:color w:val="auto"/>
          <w:szCs w:val="21"/>
        </w:rPr>
        <w:t>（承包人）：</w:t>
      </w:r>
    </w:p>
    <w:p w14:paraId="5FD8073C">
      <w:pPr>
        <w:pStyle w:val="37"/>
        <w:spacing w:line="360" w:lineRule="auto"/>
        <w:ind w:firstLine="420" w:firstLineChars="200"/>
        <w:jc w:val="left"/>
        <w:rPr>
          <w:rFonts w:ascii="Times New Roman" w:hAnsi="宋体"/>
          <w:color w:val="auto"/>
          <w:szCs w:val="21"/>
        </w:rPr>
      </w:pPr>
      <w:r>
        <w:rPr>
          <w:rFonts w:hint="eastAsia" w:ascii="Times New Roman" w:hAnsi="宋体" w:cs="宋体"/>
          <w:color w:val="auto"/>
          <w:szCs w:val="21"/>
        </w:rPr>
        <w:t>鉴于你方作为承包人已经与</w:t>
      </w:r>
      <w:r>
        <w:rPr>
          <w:rFonts w:ascii="Times New Roman" w:hAnsi="Times New Roman"/>
          <w:color w:val="auto"/>
          <w:szCs w:val="21"/>
          <w:u w:val="single"/>
        </w:rPr>
        <w:t xml:space="preserve">           </w:t>
      </w:r>
      <w:r>
        <w:rPr>
          <w:rFonts w:hint="eastAsia" w:ascii="Times New Roman" w:hAnsi="宋体" w:cs="宋体"/>
          <w:color w:val="auto"/>
          <w:szCs w:val="21"/>
        </w:rPr>
        <w:t>（发包人名称）（以下</w:t>
      </w:r>
      <w:r>
        <w:rPr>
          <w:rFonts w:hint="eastAsia" w:ascii="Times New Roman" w:hAnsi="宋体" w:cs="宋体"/>
          <w:color w:val="auto"/>
          <w:szCs w:val="21"/>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发包人</w:t>
      </w:r>
      <w:r>
        <w:rPr>
          <w:rFonts w:ascii="Times New Roman" w:hAnsi="Times New Roman"/>
          <w:color w:val="auto"/>
          <w:szCs w:val="21"/>
        </w:rPr>
        <w:t>”</w:t>
      </w:r>
      <w:r>
        <w:rPr>
          <w:rFonts w:hint="eastAsia" w:ascii="Times New Roman" w:hAnsi="宋体" w:cs="宋体"/>
          <w:color w:val="auto"/>
          <w:szCs w:val="21"/>
        </w:rPr>
        <w:t>）于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日签订了</w:t>
      </w:r>
      <w:r>
        <w:rPr>
          <w:rFonts w:ascii="Times New Roman" w:hAnsi="Times New Roman"/>
          <w:color w:val="auto"/>
          <w:szCs w:val="21"/>
          <w:u w:val="single"/>
        </w:rPr>
        <w:t xml:space="preserve">                          </w:t>
      </w:r>
      <w:r>
        <w:rPr>
          <w:rFonts w:hint="eastAsia" w:ascii="Times New Roman" w:hAnsi="宋体" w:cs="宋体"/>
          <w:color w:val="auto"/>
          <w:szCs w:val="21"/>
        </w:rPr>
        <w:t>（工程名称）《建设工程施工合同》（以下</w:t>
      </w:r>
      <w:r>
        <w:rPr>
          <w:rFonts w:hint="eastAsia"/>
          <w:color w:val="auto"/>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主合同</w:t>
      </w:r>
      <w:r>
        <w:rPr>
          <w:rFonts w:ascii="Times New Roman" w:hAnsi="Times New Roman"/>
          <w:color w:val="auto"/>
          <w:szCs w:val="21"/>
        </w:rPr>
        <w:t>”</w:t>
      </w:r>
      <w:r>
        <w:rPr>
          <w:rFonts w:hint="eastAsia" w:ascii="Times New Roman" w:hAnsi="宋体" w:cs="宋体"/>
          <w:color w:val="auto"/>
          <w:szCs w:val="21"/>
        </w:rPr>
        <w:t>），应发包人的申请，我方愿就发包人履行主合同约定的工程款支付义务以保证的方式向你方提供如下担保：</w:t>
      </w:r>
    </w:p>
    <w:p w14:paraId="2FEF409E">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一、保证的范围及保证金额</w:t>
      </w:r>
    </w:p>
    <w:p w14:paraId="26DB9875">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我方的保证范围是主合同约定的工程款。</w:t>
      </w:r>
    </w:p>
    <w:p w14:paraId="25C80206">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本保函所称主合同约定的工程款是指主合同约定的除工程质量保证金以外的合同价款。</w:t>
      </w:r>
    </w:p>
    <w:p w14:paraId="142BEE0D">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我方保证的金额是主合同约定的工程款的</w:t>
      </w:r>
      <w:r>
        <w:rPr>
          <w:rFonts w:ascii="Times New Roman" w:hAnsi="Times New Roman"/>
          <w:color w:val="auto"/>
          <w:szCs w:val="21"/>
          <w:u w:val="single"/>
        </w:rPr>
        <w:t xml:space="preserve">      </w:t>
      </w:r>
      <w:r>
        <w:rPr>
          <w:rFonts w:ascii="Times New Roman" w:hAnsi="Times New Roman"/>
          <w:color w:val="auto"/>
          <w:szCs w:val="21"/>
        </w:rPr>
        <w:t>%</w:t>
      </w:r>
      <w:r>
        <w:rPr>
          <w:rFonts w:hint="eastAsia" w:ascii="Times New Roman" w:hAnsi="宋体" w:cs="宋体"/>
          <w:color w:val="auto"/>
          <w:szCs w:val="21"/>
        </w:rPr>
        <w:t>，数额最高不超过人民币</w:t>
      </w:r>
      <w:r>
        <w:rPr>
          <w:rFonts w:hint="eastAsia" w:ascii="Times New Roman" w:hAnsi="宋体" w:cs="宋体"/>
          <w:color w:val="auto"/>
          <w:szCs w:val="21"/>
          <w:lang w:eastAsia="zh-CN"/>
        </w:rPr>
        <w:t>（</w:t>
      </w:r>
      <w:r>
        <w:rPr>
          <w:rFonts w:hint="eastAsia" w:ascii="Times New Roman" w:hAnsi="宋体" w:cs="宋体"/>
          <w:color w:val="auto"/>
          <w:szCs w:val="21"/>
        </w:rPr>
        <w:t>大写</w:t>
      </w:r>
      <w:r>
        <w:rPr>
          <w:rFonts w:hint="eastAsia" w:ascii="Times New Roman" w:hAnsi="宋体" w:cs="宋体"/>
          <w:color w:val="auto"/>
          <w:szCs w:val="21"/>
          <w:u w:val="single"/>
          <w:lang w:eastAsia="zh-CN"/>
        </w:rPr>
        <w:t>）</w:t>
      </w:r>
      <w:r>
        <w:rPr>
          <w:rFonts w:hint="eastAsia" w:ascii="Times New Roman" w:hAnsi="宋体" w:cs="宋体"/>
          <w:color w:val="auto"/>
          <w:szCs w:val="21"/>
          <w:u w:val="single"/>
          <w:lang w:val="en-US" w:eastAsia="zh-CN"/>
        </w:rPr>
        <w:t xml:space="preserve">             </w:t>
      </w:r>
      <w:r>
        <w:rPr>
          <w:rFonts w:hint="eastAsia" w:ascii="Times New Roman" w:hAnsi="宋体" w:cs="宋体"/>
          <w:color w:val="auto"/>
          <w:szCs w:val="21"/>
        </w:rPr>
        <w:t>（</w:t>
      </w:r>
      <w:r>
        <w:rPr>
          <w:rFonts w:hint="eastAsia" w:hAnsi="宋体" w:cs="宋体"/>
          <w:color w:val="auto"/>
          <w:szCs w:val="21"/>
          <w:lang w:val="en-US" w:eastAsia="zh-CN"/>
        </w:rPr>
        <w:t>小写</w:t>
      </w:r>
      <w:r>
        <w:rPr>
          <w:rFonts w:hint="eastAsia" w:hAnsi="宋体" w:cs="宋体"/>
          <w:color w:val="auto"/>
          <w:szCs w:val="21"/>
          <w:lang w:eastAsia="zh-CN"/>
        </w:rPr>
        <w:t>）（</w:t>
      </w:r>
      <w:r>
        <w:rPr>
          <w:rFonts w:hint="default" w:ascii="Arial" w:hAnsi="Arial" w:cs="Arial"/>
          <w:color w:val="auto"/>
          <w:szCs w:val="21"/>
          <w:lang w:eastAsia="zh-CN"/>
        </w:rPr>
        <w:t>¥</w:t>
      </w:r>
      <w:r>
        <w:rPr>
          <w:rFonts w:ascii="Times New Roman" w:hAnsi="Times New Roman"/>
          <w:color w:val="auto"/>
          <w:szCs w:val="21"/>
          <w:u w:val="single"/>
        </w:rPr>
        <w:t xml:space="preserve">        </w:t>
      </w:r>
      <w:r>
        <w:rPr>
          <w:rFonts w:hint="eastAsia" w:ascii="Times New Roman" w:hAnsi="宋体" w:cs="宋体"/>
          <w:color w:val="auto"/>
          <w:szCs w:val="21"/>
        </w:rPr>
        <w:t>）。</w:t>
      </w:r>
    </w:p>
    <w:p w14:paraId="1A46D42B">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二、保证的方式及保证期间</w:t>
      </w:r>
    </w:p>
    <w:p w14:paraId="0E6499E7">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我方保证的方式为：连带责任保证。</w:t>
      </w:r>
    </w:p>
    <w:p w14:paraId="0136031B">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我方保证的期间为：自本合同生效之日起至主合同约定的工程款支付完毕之日后</w:t>
      </w:r>
      <w:r>
        <w:rPr>
          <w:rFonts w:ascii="Times New Roman" w:hAnsi="Times New Roman"/>
          <w:color w:val="auto"/>
          <w:szCs w:val="21"/>
          <w:u w:val="single"/>
        </w:rPr>
        <w:t xml:space="preserve">    </w:t>
      </w:r>
      <w:r>
        <w:rPr>
          <w:rFonts w:hint="eastAsia" w:ascii="Times New Roman" w:hAnsi="宋体" w:cs="宋体"/>
          <w:color w:val="auto"/>
          <w:szCs w:val="21"/>
        </w:rPr>
        <w:t>日内。</w:t>
      </w:r>
    </w:p>
    <w:p w14:paraId="028437DB">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你方与发包人协议变更工程款支付日期的，经我方书面同意后，保证期间按照变更后的支付日期做相应调整。</w:t>
      </w:r>
    </w:p>
    <w:p w14:paraId="6B055757">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三、承担保证责任的形式</w:t>
      </w:r>
    </w:p>
    <w:p w14:paraId="4BD163DA">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我方承担保证责任的形式是代为支付。发包人未按主合同约定向你方支付工程款的，由我方在保证金额内代为支付。</w:t>
      </w:r>
    </w:p>
    <w:p w14:paraId="0526FCAD">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四、代偿的安排</w:t>
      </w:r>
    </w:p>
    <w:p w14:paraId="29A4B3A7">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你方要求我方承担保证责任的，应向我方发出书面索赔通知及发包人未支付主合同约定工程款的证明材料。索赔通知应写明要求索赔的金额，支付款项应到达的账号。</w:t>
      </w:r>
    </w:p>
    <w:p w14:paraId="71791189">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12807AB3">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我方收到你方的书面索赔通知及相应的证明材料后７天内无条件支付。</w:t>
      </w:r>
    </w:p>
    <w:p w14:paraId="5607526F">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五、保证责任的解除</w:t>
      </w:r>
    </w:p>
    <w:p w14:paraId="730CFF5C">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在本保函承诺的保证期间内，你方未书面向我方主张保证责任的，自保证期间届满次日起，我方保证责任解除。</w:t>
      </w:r>
    </w:p>
    <w:p w14:paraId="6B369290">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发包人按主合同约定履行了工程款的全部支付义务的，自本保函承诺的保证期间届满次日起，我方保证责任解除。</w:t>
      </w:r>
    </w:p>
    <w:p w14:paraId="046C5283">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我方按照本保函向你方履行保证责任所支付金额达到本保函保证金额时，自我方向你方支付（支付款项从我方账户划出）之日起，保证责任即解除。</w:t>
      </w:r>
    </w:p>
    <w:p w14:paraId="673102DB">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按照法律法规的规定或出现应解除我方保证责任的其他情形的，我方在本保函项下的保证责任亦解除。</w:t>
      </w:r>
    </w:p>
    <w:p w14:paraId="587B8720">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5. </w:t>
      </w:r>
      <w:r>
        <w:rPr>
          <w:rFonts w:hint="eastAsia" w:ascii="Times New Roman" w:hAnsi="宋体" w:cs="宋体"/>
          <w:color w:val="auto"/>
          <w:szCs w:val="21"/>
        </w:rPr>
        <w:t>我方解除保证责任后，你方应自我方保证责任解除之日起</w:t>
      </w:r>
      <w:r>
        <w:rPr>
          <w:rFonts w:ascii="Times New Roman" w:hAnsi="Times New Roman"/>
          <w:color w:val="auto"/>
          <w:szCs w:val="21"/>
          <w:u w:val="single"/>
        </w:rPr>
        <w:t xml:space="preserve">  </w:t>
      </w:r>
      <w:r>
        <w:rPr>
          <w:rFonts w:hint="eastAsia" w:ascii="Times New Roman" w:hAnsi="宋体" w:cs="宋体"/>
          <w:color w:val="auto"/>
          <w:szCs w:val="21"/>
        </w:rPr>
        <w:t>个工作日内，将本保函原件返还我方。</w:t>
      </w:r>
    </w:p>
    <w:p w14:paraId="7C15CA2C">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六、免责条款</w:t>
      </w:r>
    </w:p>
    <w:p w14:paraId="2D077590">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因你方违约致使发包人不能履行义务的，我方不承担保证责任。</w:t>
      </w:r>
    </w:p>
    <w:p w14:paraId="444AE596">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依照法律法规的规定或你方与发包人的另行约定，免除发包人部分或全部义务的，我方亦免除其相应的保证责任。</w:t>
      </w:r>
    </w:p>
    <w:p w14:paraId="79DAD0A0">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你方与发包人协议变更主合同的，如加重发包人责任致使我方保证责任加重的，需征得我方书面同意，否则我方不再承担因此而加重部分的保证责任，但主合同第</w:t>
      </w:r>
      <w:r>
        <w:rPr>
          <w:rFonts w:ascii="Times New Roman" w:hAnsi="Times New Roman"/>
          <w:color w:val="auto"/>
          <w:szCs w:val="21"/>
        </w:rPr>
        <w:t>10</w:t>
      </w:r>
      <w:r>
        <w:rPr>
          <w:rFonts w:hint="eastAsia" w:ascii="Times New Roman" w:hAnsi="宋体" w:cs="宋体"/>
          <w:color w:val="auto"/>
          <w:szCs w:val="21"/>
        </w:rPr>
        <w:t>条〔变更〕约定的变更不受本款限制。</w:t>
      </w:r>
    </w:p>
    <w:p w14:paraId="6C53A426">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因不可抗力造成发包人不能履行义务的，我方不承担保证责任。</w:t>
      </w:r>
    </w:p>
    <w:p w14:paraId="7D229F41">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七、争议解决</w:t>
      </w:r>
    </w:p>
    <w:p w14:paraId="39EA7171">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因本保函或本保函相关事项发生的纠纷，可由双方协商解决，协商不成的，按下列第</w:t>
      </w:r>
      <w:r>
        <w:rPr>
          <w:rFonts w:ascii="Times New Roman" w:hAnsi="Times New Roman"/>
          <w:color w:val="auto"/>
          <w:szCs w:val="21"/>
          <w:u w:val="single"/>
        </w:rPr>
        <w:t xml:space="preserve">     </w:t>
      </w:r>
      <w:r>
        <w:rPr>
          <w:rFonts w:hint="eastAsia" w:ascii="Times New Roman" w:hAnsi="宋体" w:cs="宋体"/>
          <w:color w:val="auto"/>
          <w:szCs w:val="21"/>
        </w:rPr>
        <w:t>种方式解决：</w:t>
      </w:r>
    </w:p>
    <w:p w14:paraId="6B9F5F04">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w:t>
      </w:r>
      <w:r>
        <w:rPr>
          <w:rFonts w:ascii="Times New Roman" w:hAnsi="Times New Roman"/>
          <w:color w:val="auto"/>
          <w:szCs w:val="21"/>
        </w:rPr>
        <w:t>1</w:t>
      </w:r>
      <w:r>
        <w:rPr>
          <w:rFonts w:hint="eastAsia" w:ascii="Times New Roman" w:hAnsi="宋体" w:cs="宋体"/>
          <w:color w:val="auto"/>
          <w:szCs w:val="21"/>
        </w:rPr>
        <w:t>）向</w:t>
      </w:r>
      <w:r>
        <w:rPr>
          <w:rFonts w:ascii="Times New Roman" w:hAnsi="Times New Roman"/>
          <w:color w:val="auto"/>
          <w:szCs w:val="21"/>
          <w:u w:val="single"/>
        </w:rPr>
        <w:t xml:space="preserve">               </w:t>
      </w:r>
      <w:r>
        <w:rPr>
          <w:rFonts w:hint="eastAsia" w:ascii="Times New Roman" w:hAnsi="宋体" w:cs="宋体"/>
          <w:color w:val="auto"/>
          <w:szCs w:val="21"/>
        </w:rPr>
        <w:t>仲裁委员会申请仲裁；（</w:t>
      </w:r>
      <w:r>
        <w:rPr>
          <w:rFonts w:ascii="Times New Roman" w:hAnsi="Times New Roman"/>
          <w:color w:val="auto"/>
          <w:szCs w:val="21"/>
        </w:rPr>
        <w:t>2</w:t>
      </w:r>
      <w:r>
        <w:rPr>
          <w:rFonts w:hint="eastAsia" w:ascii="Times New Roman" w:hAnsi="宋体" w:cs="宋体"/>
          <w:color w:val="auto"/>
          <w:szCs w:val="21"/>
        </w:rPr>
        <w:t>）向</w:t>
      </w:r>
      <w:r>
        <w:rPr>
          <w:rFonts w:ascii="Times New Roman" w:hAnsi="Times New Roman"/>
          <w:color w:val="auto"/>
          <w:szCs w:val="21"/>
          <w:u w:val="single"/>
        </w:rPr>
        <w:t xml:space="preserve">                 </w:t>
      </w:r>
      <w:r>
        <w:rPr>
          <w:rFonts w:hint="eastAsia" w:ascii="Times New Roman" w:hAnsi="宋体" w:cs="宋体"/>
          <w:color w:val="auto"/>
          <w:szCs w:val="21"/>
        </w:rPr>
        <w:t>人民法院起诉。</w:t>
      </w:r>
    </w:p>
    <w:p w14:paraId="0DFBDF18">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八、保函的生效</w:t>
      </w:r>
    </w:p>
    <w:p w14:paraId="05EDF0A1">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本保函自我方法定代表人（或其授权代理人）签字并加盖公章之日起生效。</w:t>
      </w:r>
    </w:p>
    <w:p w14:paraId="6B2FF37A">
      <w:pPr>
        <w:pStyle w:val="37"/>
        <w:spacing w:line="360" w:lineRule="auto"/>
        <w:ind w:right="600" w:firstLine="420" w:firstLineChars="200"/>
        <w:jc w:val="left"/>
        <w:rPr>
          <w:rFonts w:ascii="Times New Roman" w:hAnsi="Times New Roman"/>
          <w:color w:val="auto"/>
          <w:szCs w:val="21"/>
        </w:rPr>
      </w:pPr>
      <w:r>
        <w:rPr>
          <w:rFonts w:hint="eastAsia" w:ascii="Times New Roman" w:hAnsi="宋体" w:cs="宋体"/>
          <w:color w:val="auto"/>
          <w:szCs w:val="21"/>
        </w:rPr>
        <w:t>担保人：</w:t>
      </w:r>
      <w:r>
        <w:rPr>
          <w:rFonts w:ascii="Times New Roman" w:hAnsi="Times New Roman"/>
          <w:color w:val="auto"/>
          <w:szCs w:val="21"/>
          <w:u w:val="single"/>
        </w:rPr>
        <w:t xml:space="preserve">                                   </w:t>
      </w:r>
      <w:r>
        <w:rPr>
          <w:rFonts w:hint="eastAsia" w:ascii="Times New Roman" w:hAnsi="宋体" w:cs="宋体"/>
          <w:color w:val="auto"/>
          <w:szCs w:val="21"/>
        </w:rPr>
        <w:t>（盖章）</w:t>
      </w:r>
    </w:p>
    <w:p w14:paraId="0D247718">
      <w:pPr>
        <w:pStyle w:val="37"/>
        <w:spacing w:line="360" w:lineRule="auto"/>
        <w:ind w:right="1200" w:firstLine="420" w:firstLineChars="200"/>
        <w:rPr>
          <w:rFonts w:ascii="Times New Roman" w:hAnsi="Times New Roman"/>
          <w:color w:val="auto"/>
          <w:szCs w:val="21"/>
        </w:rPr>
      </w:pPr>
      <w:r>
        <w:rPr>
          <w:rFonts w:hint="eastAsia" w:ascii="Times New Roman" w:hAnsi="宋体" w:cs="宋体"/>
          <w:color w:val="auto"/>
          <w:szCs w:val="21"/>
        </w:rPr>
        <w:t>法定代表人或委托代理人：</w:t>
      </w:r>
      <w:r>
        <w:rPr>
          <w:rFonts w:ascii="Times New Roman" w:hAnsi="Times New Roman"/>
          <w:color w:val="auto"/>
          <w:szCs w:val="21"/>
          <w:u w:val="single"/>
        </w:rPr>
        <w:t xml:space="preserve">                   </w:t>
      </w:r>
      <w:r>
        <w:rPr>
          <w:rFonts w:hint="eastAsia" w:ascii="Times New Roman" w:hAnsi="宋体" w:cs="宋体"/>
          <w:color w:val="auto"/>
          <w:szCs w:val="21"/>
        </w:rPr>
        <w:t>（签字）</w:t>
      </w:r>
    </w:p>
    <w:p w14:paraId="53348A46">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地</w:t>
      </w:r>
      <w:r>
        <w:rPr>
          <w:rFonts w:ascii="Times New Roman" w:hAnsi="Times New Roman"/>
          <w:color w:val="auto"/>
          <w:szCs w:val="21"/>
        </w:rPr>
        <w:t xml:space="preserve">    </w:t>
      </w:r>
      <w:r>
        <w:rPr>
          <w:rFonts w:hint="eastAsia" w:ascii="Times New Roman" w:hAnsi="宋体" w:cs="宋体"/>
          <w:color w:val="auto"/>
          <w:szCs w:val="21"/>
        </w:rPr>
        <w:t>址：</w:t>
      </w:r>
      <w:r>
        <w:rPr>
          <w:rFonts w:ascii="Times New Roman" w:hAnsi="Times New Roman"/>
          <w:color w:val="auto"/>
          <w:szCs w:val="21"/>
          <w:u w:val="single"/>
        </w:rPr>
        <w:t xml:space="preserve">                                        </w:t>
      </w:r>
    </w:p>
    <w:p w14:paraId="11348A7C">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邮政编码：</w:t>
      </w:r>
      <w:r>
        <w:rPr>
          <w:rFonts w:ascii="Times New Roman" w:hAnsi="Times New Roman"/>
          <w:color w:val="auto"/>
          <w:szCs w:val="21"/>
          <w:u w:val="single"/>
        </w:rPr>
        <w:t xml:space="preserve">                                        </w:t>
      </w:r>
    </w:p>
    <w:p w14:paraId="224BEC54">
      <w:pPr>
        <w:pStyle w:val="37"/>
        <w:spacing w:line="360" w:lineRule="auto"/>
        <w:ind w:firstLine="420" w:firstLineChars="200"/>
        <w:jc w:val="left"/>
        <w:rPr>
          <w:rFonts w:ascii="Times New Roman" w:hAnsi="Times New Roman"/>
          <w:color w:val="auto"/>
          <w:szCs w:val="21"/>
          <w:u w:val="single"/>
        </w:rPr>
      </w:pPr>
      <w:r>
        <w:rPr>
          <w:rFonts w:hint="eastAsia" w:ascii="Times New Roman" w:hAnsi="宋体" w:cs="宋体"/>
          <w:color w:val="auto"/>
          <w:szCs w:val="21"/>
        </w:rPr>
        <w:t>传</w:t>
      </w:r>
      <w:r>
        <w:rPr>
          <w:rFonts w:ascii="Times New Roman" w:hAnsi="Times New Roman"/>
          <w:color w:val="auto"/>
          <w:szCs w:val="21"/>
        </w:rPr>
        <w:t xml:space="preserve">    </w:t>
      </w:r>
      <w:r>
        <w:rPr>
          <w:rFonts w:hint="eastAsia" w:ascii="Times New Roman" w:hAnsi="宋体" w:cs="宋体"/>
          <w:color w:val="auto"/>
          <w:szCs w:val="21"/>
        </w:rPr>
        <w:t>真：</w:t>
      </w:r>
      <w:r>
        <w:rPr>
          <w:rFonts w:ascii="Times New Roman" w:hAnsi="Times New Roman"/>
          <w:color w:val="auto"/>
          <w:szCs w:val="21"/>
          <w:u w:val="single"/>
        </w:rPr>
        <w:t xml:space="preserve">                                        </w:t>
      </w:r>
    </w:p>
    <w:p w14:paraId="0BF5969D">
      <w:pPr>
        <w:pStyle w:val="37"/>
        <w:spacing w:line="360" w:lineRule="auto"/>
        <w:ind w:right="150" w:firstLine="420" w:firstLineChars="200"/>
        <w:jc w:val="left"/>
        <w:rPr>
          <w:rFonts w:ascii="Times New Roman" w:hAnsi="宋体" w:cs="宋体"/>
          <w:color w:val="auto"/>
          <w:szCs w:val="21"/>
        </w:rPr>
      </w:pP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w:t>
      </w:r>
    </w:p>
    <w:p w14:paraId="5682EAAA">
      <w:pPr>
        <w:pStyle w:val="37"/>
        <w:spacing w:line="360" w:lineRule="auto"/>
        <w:ind w:right="150" w:firstLine="420" w:firstLineChars="200"/>
        <w:jc w:val="left"/>
        <w:rPr>
          <w:rFonts w:ascii="仿宋_GB2312" w:hAnsi="宋体" w:cs="宋体"/>
          <w:color w:val="auto"/>
          <w:szCs w:val="21"/>
        </w:rPr>
      </w:pPr>
      <w:r>
        <w:rPr>
          <w:rFonts w:hint="eastAsia" w:ascii="Times New Roman" w:hAnsi="宋体" w:cs="宋体"/>
          <w:color w:val="auto"/>
          <w:szCs w:val="21"/>
        </w:rPr>
        <w:t>（备注</w:t>
      </w:r>
      <w:r>
        <w:rPr>
          <w:rFonts w:ascii="Times New Roman" w:hAnsi="宋体" w:cs="宋体"/>
          <w:color w:val="auto"/>
          <w:szCs w:val="21"/>
        </w:rPr>
        <w:t>：</w:t>
      </w:r>
      <w:r>
        <w:rPr>
          <w:rFonts w:hint="eastAsia" w:ascii="Times New Roman"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326FD989">
      <w:pPr>
        <w:pStyle w:val="37"/>
        <w:spacing w:line="360" w:lineRule="auto"/>
        <w:ind w:right="150" w:firstLine="420" w:firstLineChars="200"/>
        <w:jc w:val="left"/>
        <w:rPr>
          <w:rFonts w:ascii="仿宋_GB2312" w:hAnsi="宋体" w:cs="宋体"/>
          <w:color w:val="auto"/>
          <w:szCs w:val="21"/>
        </w:rPr>
      </w:pPr>
    </w:p>
    <w:p w14:paraId="76632CEE">
      <w:pPr>
        <w:pStyle w:val="37"/>
        <w:spacing w:line="360" w:lineRule="auto"/>
        <w:ind w:right="150" w:firstLine="420" w:firstLineChars="200"/>
        <w:jc w:val="left"/>
        <w:rPr>
          <w:rFonts w:ascii="仿宋_GB2312" w:hAnsi="宋体" w:cs="宋体"/>
          <w:color w:val="auto"/>
          <w:szCs w:val="21"/>
        </w:rPr>
      </w:pPr>
    </w:p>
    <w:p w14:paraId="066EE070">
      <w:pPr>
        <w:pStyle w:val="37"/>
        <w:spacing w:line="360" w:lineRule="auto"/>
        <w:ind w:right="150" w:firstLine="420" w:firstLineChars="200"/>
        <w:jc w:val="left"/>
        <w:rPr>
          <w:rFonts w:ascii="仿宋_GB2312" w:hAnsi="宋体" w:cs="宋体"/>
          <w:color w:val="auto"/>
          <w:szCs w:val="21"/>
        </w:rPr>
      </w:pPr>
    </w:p>
    <w:p w14:paraId="78A5849B">
      <w:pPr>
        <w:pStyle w:val="37"/>
        <w:ind w:firstLine="600" w:firstLineChars="200"/>
        <w:jc w:val="left"/>
        <w:rPr>
          <w:rFonts w:hint="eastAsia" w:ascii="Times New Roman" w:hAnsi="宋体" w:cs="宋体"/>
          <w:color w:val="auto"/>
          <w:sz w:val="30"/>
          <w:szCs w:val="30"/>
        </w:rPr>
      </w:pPr>
      <w:r>
        <w:rPr>
          <w:rFonts w:hint="eastAsia" w:ascii="Times New Roman" w:hAnsi="宋体" w:cs="宋体"/>
          <w:color w:val="auto"/>
          <w:sz w:val="30"/>
          <w:szCs w:val="30"/>
        </w:rPr>
        <w:t>附件10：</w:t>
      </w:r>
    </w:p>
    <w:p w14:paraId="79009B8D">
      <w:pPr>
        <w:pStyle w:val="37"/>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预付款支付申请（核准）表</w:t>
      </w:r>
    </w:p>
    <w:p w14:paraId="35811C6C">
      <w:pPr>
        <w:pStyle w:val="37"/>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5"/>
      </w:tblGrid>
      <w:tr w14:paraId="4C2E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noWrap w:val="0"/>
            <w:vAlign w:val="top"/>
          </w:tcPr>
          <w:p w14:paraId="23926010">
            <w:pPr>
              <w:pStyle w:val="37"/>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4C0D9537">
            <w:pPr>
              <w:pStyle w:val="37"/>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我方根据施工合同的约定，现申请支付工程预付款额为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p>
          <w:p w14:paraId="282F869D">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7802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3F907901">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340" w:type="dxa"/>
                  <w:noWrap w:val="0"/>
                  <w:vAlign w:val="center"/>
                </w:tcPr>
                <w:p w14:paraId="4AA11ED8">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764" w:type="dxa"/>
                  <w:noWrap w:val="0"/>
                  <w:vAlign w:val="center"/>
                </w:tcPr>
                <w:p w14:paraId="3C343AB9">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2240" w:type="dxa"/>
                  <w:noWrap w:val="0"/>
                  <w:vAlign w:val="center"/>
                </w:tcPr>
                <w:p w14:paraId="5BF67CC0">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1080" w:type="dxa"/>
                  <w:noWrap w:val="0"/>
                  <w:vAlign w:val="center"/>
                </w:tcPr>
                <w:p w14:paraId="12D0910D">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1DFD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F5BC0B8">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340" w:type="dxa"/>
                  <w:noWrap w:val="0"/>
                  <w:vAlign w:val="top"/>
                </w:tcPr>
                <w:p w14:paraId="207DC2FE">
                  <w:pPr>
                    <w:pStyle w:val="37"/>
                    <w:spacing w:line="280" w:lineRule="exact"/>
                    <w:rPr>
                      <w:rFonts w:hint="eastAsia" w:ascii="Times New Roman" w:hAnsi="Times New Roman"/>
                      <w:color w:val="auto"/>
                      <w:szCs w:val="21"/>
                    </w:rPr>
                  </w:pPr>
                  <w:r>
                    <w:rPr>
                      <w:rFonts w:hint="eastAsia" w:ascii="Times New Roman" w:hAnsi="Times New Roman"/>
                      <w:color w:val="auto"/>
                      <w:szCs w:val="21"/>
                    </w:rPr>
                    <w:t>已签约合同价款金额</w:t>
                  </w:r>
                </w:p>
              </w:tc>
              <w:tc>
                <w:tcPr>
                  <w:tcW w:w="1764" w:type="dxa"/>
                  <w:noWrap w:val="0"/>
                  <w:vAlign w:val="top"/>
                </w:tcPr>
                <w:p w14:paraId="52D4E500">
                  <w:pPr>
                    <w:pStyle w:val="37"/>
                    <w:spacing w:line="280" w:lineRule="exact"/>
                    <w:rPr>
                      <w:rFonts w:hint="eastAsia" w:ascii="Times New Roman" w:hAnsi="Times New Roman"/>
                      <w:color w:val="auto"/>
                      <w:szCs w:val="21"/>
                    </w:rPr>
                  </w:pPr>
                </w:p>
              </w:tc>
              <w:tc>
                <w:tcPr>
                  <w:tcW w:w="2240" w:type="dxa"/>
                  <w:noWrap w:val="0"/>
                  <w:vAlign w:val="top"/>
                </w:tcPr>
                <w:p w14:paraId="5A52C871">
                  <w:pPr>
                    <w:pStyle w:val="37"/>
                    <w:spacing w:line="280" w:lineRule="exact"/>
                    <w:rPr>
                      <w:rFonts w:hint="eastAsia" w:ascii="Times New Roman" w:hAnsi="Times New Roman"/>
                      <w:color w:val="auto"/>
                      <w:szCs w:val="21"/>
                    </w:rPr>
                  </w:pPr>
                </w:p>
              </w:tc>
              <w:tc>
                <w:tcPr>
                  <w:tcW w:w="1080" w:type="dxa"/>
                  <w:noWrap w:val="0"/>
                  <w:vAlign w:val="top"/>
                </w:tcPr>
                <w:p w14:paraId="76C3DFAB">
                  <w:pPr>
                    <w:pStyle w:val="37"/>
                    <w:spacing w:line="280" w:lineRule="exact"/>
                    <w:rPr>
                      <w:rFonts w:hint="eastAsia" w:ascii="Times New Roman" w:hAnsi="Times New Roman"/>
                      <w:color w:val="auto"/>
                      <w:szCs w:val="21"/>
                    </w:rPr>
                  </w:pPr>
                </w:p>
              </w:tc>
            </w:tr>
            <w:tr w14:paraId="37A4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7E5F24E">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340" w:type="dxa"/>
                  <w:noWrap w:val="0"/>
                  <w:vAlign w:val="top"/>
                </w:tcPr>
                <w:p w14:paraId="17369931">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其中：安全文明施工费</w:t>
                  </w:r>
                </w:p>
              </w:tc>
              <w:tc>
                <w:tcPr>
                  <w:tcW w:w="1764" w:type="dxa"/>
                  <w:noWrap w:val="0"/>
                  <w:vAlign w:val="top"/>
                </w:tcPr>
                <w:p w14:paraId="28F3CACA">
                  <w:pPr>
                    <w:pStyle w:val="37"/>
                    <w:spacing w:line="280" w:lineRule="exact"/>
                    <w:rPr>
                      <w:rFonts w:hint="eastAsia" w:ascii="Times New Roman" w:hAnsi="Times New Roman"/>
                      <w:color w:val="auto"/>
                      <w:szCs w:val="21"/>
                    </w:rPr>
                  </w:pPr>
                </w:p>
              </w:tc>
              <w:tc>
                <w:tcPr>
                  <w:tcW w:w="2240" w:type="dxa"/>
                  <w:noWrap w:val="0"/>
                  <w:vAlign w:val="top"/>
                </w:tcPr>
                <w:p w14:paraId="3755835A">
                  <w:pPr>
                    <w:pStyle w:val="37"/>
                    <w:spacing w:line="280" w:lineRule="exact"/>
                    <w:rPr>
                      <w:rFonts w:hint="eastAsia" w:ascii="Times New Roman" w:hAnsi="Times New Roman"/>
                      <w:color w:val="auto"/>
                      <w:szCs w:val="21"/>
                    </w:rPr>
                  </w:pPr>
                </w:p>
              </w:tc>
              <w:tc>
                <w:tcPr>
                  <w:tcW w:w="1080" w:type="dxa"/>
                  <w:noWrap w:val="0"/>
                  <w:vAlign w:val="top"/>
                </w:tcPr>
                <w:p w14:paraId="399F0881">
                  <w:pPr>
                    <w:pStyle w:val="37"/>
                    <w:spacing w:line="280" w:lineRule="exact"/>
                    <w:rPr>
                      <w:rFonts w:hint="eastAsia" w:ascii="Times New Roman" w:hAnsi="Times New Roman"/>
                      <w:color w:val="auto"/>
                      <w:szCs w:val="21"/>
                    </w:rPr>
                  </w:pPr>
                </w:p>
              </w:tc>
            </w:tr>
            <w:tr w14:paraId="02A9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61295D6">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340" w:type="dxa"/>
                  <w:noWrap w:val="0"/>
                  <w:vAlign w:val="top"/>
                </w:tcPr>
                <w:p w14:paraId="55AC858B">
                  <w:pPr>
                    <w:pStyle w:val="37"/>
                    <w:spacing w:line="280" w:lineRule="exact"/>
                    <w:rPr>
                      <w:rFonts w:hint="eastAsia" w:ascii="Times New Roman" w:hAnsi="Times New Roman"/>
                      <w:color w:val="auto"/>
                      <w:szCs w:val="21"/>
                    </w:rPr>
                  </w:pPr>
                  <w:r>
                    <w:rPr>
                      <w:rFonts w:hint="eastAsia" w:ascii="Times New Roman" w:hAnsi="Times New Roman"/>
                      <w:color w:val="auto"/>
                      <w:szCs w:val="21"/>
                    </w:rPr>
                    <w:t>应支付的预付款</w:t>
                  </w:r>
                </w:p>
              </w:tc>
              <w:tc>
                <w:tcPr>
                  <w:tcW w:w="1764" w:type="dxa"/>
                  <w:noWrap w:val="0"/>
                  <w:vAlign w:val="top"/>
                </w:tcPr>
                <w:p w14:paraId="1BD499BC">
                  <w:pPr>
                    <w:pStyle w:val="37"/>
                    <w:spacing w:line="280" w:lineRule="exact"/>
                    <w:rPr>
                      <w:rFonts w:hint="eastAsia" w:ascii="Times New Roman" w:hAnsi="Times New Roman"/>
                      <w:color w:val="auto"/>
                      <w:szCs w:val="21"/>
                    </w:rPr>
                  </w:pPr>
                </w:p>
              </w:tc>
              <w:tc>
                <w:tcPr>
                  <w:tcW w:w="2240" w:type="dxa"/>
                  <w:noWrap w:val="0"/>
                  <w:vAlign w:val="top"/>
                </w:tcPr>
                <w:p w14:paraId="016556F1">
                  <w:pPr>
                    <w:pStyle w:val="37"/>
                    <w:spacing w:line="280" w:lineRule="exact"/>
                    <w:rPr>
                      <w:rFonts w:hint="eastAsia" w:ascii="Times New Roman" w:hAnsi="Times New Roman"/>
                      <w:color w:val="auto"/>
                      <w:szCs w:val="21"/>
                    </w:rPr>
                  </w:pPr>
                </w:p>
              </w:tc>
              <w:tc>
                <w:tcPr>
                  <w:tcW w:w="1080" w:type="dxa"/>
                  <w:noWrap w:val="0"/>
                  <w:vAlign w:val="top"/>
                </w:tcPr>
                <w:p w14:paraId="71CA9B4A">
                  <w:pPr>
                    <w:pStyle w:val="37"/>
                    <w:spacing w:line="280" w:lineRule="exact"/>
                    <w:rPr>
                      <w:rFonts w:hint="eastAsia" w:ascii="Times New Roman" w:hAnsi="Times New Roman"/>
                      <w:color w:val="auto"/>
                      <w:szCs w:val="21"/>
                    </w:rPr>
                  </w:pPr>
                </w:p>
              </w:tc>
            </w:tr>
            <w:tr w14:paraId="25EC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2EB650F">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340" w:type="dxa"/>
                  <w:noWrap w:val="0"/>
                  <w:vAlign w:val="top"/>
                </w:tcPr>
                <w:p w14:paraId="6848F813">
                  <w:pPr>
                    <w:pStyle w:val="37"/>
                    <w:spacing w:line="280" w:lineRule="exact"/>
                    <w:rPr>
                      <w:rFonts w:hint="eastAsia" w:ascii="Times New Roman" w:hAnsi="Times New Roman"/>
                      <w:color w:val="auto"/>
                      <w:szCs w:val="21"/>
                    </w:rPr>
                  </w:pPr>
                  <w:r>
                    <w:rPr>
                      <w:rFonts w:hint="eastAsia" w:ascii="Times New Roman" w:hAnsi="Times New Roman"/>
                      <w:color w:val="auto"/>
                      <w:szCs w:val="21"/>
                    </w:rPr>
                    <w:t>应支付的安全文明施工费预付款</w:t>
                  </w:r>
                </w:p>
              </w:tc>
              <w:tc>
                <w:tcPr>
                  <w:tcW w:w="1764" w:type="dxa"/>
                  <w:noWrap w:val="0"/>
                  <w:vAlign w:val="top"/>
                </w:tcPr>
                <w:p w14:paraId="09A1C03C">
                  <w:pPr>
                    <w:pStyle w:val="37"/>
                    <w:spacing w:line="280" w:lineRule="exact"/>
                    <w:rPr>
                      <w:rFonts w:hint="eastAsia" w:ascii="Times New Roman" w:hAnsi="Times New Roman"/>
                      <w:color w:val="auto"/>
                      <w:szCs w:val="21"/>
                    </w:rPr>
                  </w:pPr>
                </w:p>
              </w:tc>
              <w:tc>
                <w:tcPr>
                  <w:tcW w:w="2240" w:type="dxa"/>
                  <w:noWrap w:val="0"/>
                  <w:vAlign w:val="top"/>
                </w:tcPr>
                <w:p w14:paraId="69E45713">
                  <w:pPr>
                    <w:pStyle w:val="37"/>
                    <w:spacing w:line="280" w:lineRule="exact"/>
                    <w:rPr>
                      <w:rFonts w:hint="eastAsia" w:ascii="Times New Roman" w:hAnsi="Times New Roman"/>
                      <w:color w:val="auto"/>
                      <w:szCs w:val="21"/>
                    </w:rPr>
                  </w:pPr>
                </w:p>
              </w:tc>
              <w:tc>
                <w:tcPr>
                  <w:tcW w:w="1080" w:type="dxa"/>
                  <w:noWrap w:val="0"/>
                  <w:vAlign w:val="top"/>
                </w:tcPr>
                <w:p w14:paraId="31C57896">
                  <w:pPr>
                    <w:pStyle w:val="37"/>
                    <w:spacing w:line="280" w:lineRule="exact"/>
                    <w:rPr>
                      <w:rFonts w:hint="eastAsia" w:ascii="Times New Roman" w:hAnsi="Times New Roman"/>
                      <w:color w:val="auto"/>
                      <w:szCs w:val="21"/>
                    </w:rPr>
                  </w:pPr>
                </w:p>
              </w:tc>
            </w:tr>
            <w:tr w14:paraId="2C87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1CA1E3D">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5</w:t>
                  </w:r>
                </w:p>
              </w:tc>
              <w:tc>
                <w:tcPr>
                  <w:tcW w:w="3340" w:type="dxa"/>
                  <w:noWrap w:val="0"/>
                  <w:vAlign w:val="top"/>
                </w:tcPr>
                <w:p w14:paraId="3B832D1C">
                  <w:pPr>
                    <w:pStyle w:val="37"/>
                    <w:spacing w:line="280" w:lineRule="exact"/>
                    <w:rPr>
                      <w:rFonts w:hint="eastAsia" w:ascii="Times New Roman" w:hAnsi="Times New Roman"/>
                      <w:color w:val="auto"/>
                      <w:szCs w:val="21"/>
                    </w:rPr>
                  </w:pPr>
                  <w:r>
                    <w:rPr>
                      <w:rFonts w:hint="eastAsia" w:ascii="Times New Roman" w:hAnsi="Times New Roman"/>
                      <w:color w:val="auto"/>
                      <w:szCs w:val="21"/>
                    </w:rPr>
                    <w:t>合计应支付的预付款</w:t>
                  </w:r>
                </w:p>
              </w:tc>
              <w:tc>
                <w:tcPr>
                  <w:tcW w:w="1764" w:type="dxa"/>
                  <w:noWrap w:val="0"/>
                  <w:vAlign w:val="top"/>
                </w:tcPr>
                <w:p w14:paraId="75FF3BD8">
                  <w:pPr>
                    <w:pStyle w:val="37"/>
                    <w:spacing w:line="280" w:lineRule="exact"/>
                    <w:rPr>
                      <w:rFonts w:hint="eastAsia" w:ascii="Times New Roman" w:hAnsi="Times New Roman"/>
                      <w:color w:val="auto"/>
                      <w:szCs w:val="21"/>
                    </w:rPr>
                  </w:pPr>
                </w:p>
              </w:tc>
              <w:tc>
                <w:tcPr>
                  <w:tcW w:w="2240" w:type="dxa"/>
                  <w:noWrap w:val="0"/>
                  <w:vAlign w:val="top"/>
                </w:tcPr>
                <w:p w14:paraId="5BBCDD80">
                  <w:pPr>
                    <w:pStyle w:val="37"/>
                    <w:spacing w:line="280" w:lineRule="exact"/>
                    <w:rPr>
                      <w:rFonts w:hint="eastAsia" w:ascii="Times New Roman" w:hAnsi="Times New Roman"/>
                      <w:color w:val="auto"/>
                      <w:szCs w:val="21"/>
                    </w:rPr>
                  </w:pPr>
                </w:p>
              </w:tc>
              <w:tc>
                <w:tcPr>
                  <w:tcW w:w="1080" w:type="dxa"/>
                  <w:noWrap w:val="0"/>
                  <w:vAlign w:val="top"/>
                </w:tcPr>
                <w:p w14:paraId="23E88C29">
                  <w:pPr>
                    <w:pStyle w:val="37"/>
                    <w:spacing w:line="280" w:lineRule="exact"/>
                    <w:rPr>
                      <w:rFonts w:hint="eastAsia" w:ascii="Times New Roman" w:hAnsi="Times New Roman"/>
                      <w:color w:val="auto"/>
                      <w:szCs w:val="21"/>
                    </w:rPr>
                  </w:pPr>
                </w:p>
              </w:tc>
            </w:tr>
            <w:tr w14:paraId="655A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F8E8217">
                  <w:pPr>
                    <w:pStyle w:val="37"/>
                    <w:spacing w:line="280" w:lineRule="exact"/>
                    <w:jc w:val="center"/>
                    <w:rPr>
                      <w:rFonts w:hint="eastAsia" w:ascii="Times New Roman" w:hAnsi="Times New Roman"/>
                      <w:color w:val="auto"/>
                      <w:szCs w:val="21"/>
                    </w:rPr>
                  </w:pPr>
                </w:p>
              </w:tc>
              <w:tc>
                <w:tcPr>
                  <w:tcW w:w="3340" w:type="dxa"/>
                  <w:noWrap w:val="0"/>
                  <w:vAlign w:val="top"/>
                </w:tcPr>
                <w:p w14:paraId="475CCA60">
                  <w:pPr>
                    <w:pStyle w:val="37"/>
                    <w:spacing w:line="280" w:lineRule="exact"/>
                    <w:rPr>
                      <w:rFonts w:hint="eastAsia" w:ascii="Times New Roman" w:hAnsi="Times New Roman"/>
                      <w:color w:val="auto"/>
                      <w:szCs w:val="21"/>
                    </w:rPr>
                  </w:pPr>
                </w:p>
              </w:tc>
              <w:tc>
                <w:tcPr>
                  <w:tcW w:w="1764" w:type="dxa"/>
                  <w:noWrap w:val="0"/>
                  <w:vAlign w:val="top"/>
                </w:tcPr>
                <w:p w14:paraId="584791A7">
                  <w:pPr>
                    <w:pStyle w:val="37"/>
                    <w:spacing w:line="280" w:lineRule="exact"/>
                    <w:rPr>
                      <w:rFonts w:hint="eastAsia" w:ascii="Times New Roman" w:hAnsi="Times New Roman"/>
                      <w:color w:val="auto"/>
                      <w:szCs w:val="21"/>
                    </w:rPr>
                  </w:pPr>
                </w:p>
              </w:tc>
              <w:tc>
                <w:tcPr>
                  <w:tcW w:w="2240" w:type="dxa"/>
                  <w:noWrap w:val="0"/>
                  <w:vAlign w:val="top"/>
                </w:tcPr>
                <w:p w14:paraId="5C5D1BF2">
                  <w:pPr>
                    <w:pStyle w:val="37"/>
                    <w:spacing w:line="280" w:lineRule="exact"/>
                    <w:rPr>
                      <w:rFonts w:hint="eastAsia" w:ascii="Times New Roman" w:hAnsi="Times New Roman"/>
                      <w:color w:val="auto"/>
                      <w:szCs w:val="21"/>
                    </w:rPr>
                  </w:pPr>
                </w:p>
              </w:tc>
              <w:tc>
                <w:tcPr>
                  <w:tcW w:w="1080" w:type="dxa"/>
                  <w:noWrap w:val="0"/>
                  <w:vAlign w:val="top"/>
                </w:tcPr>
                <w:p w14:paraId="084B9FC6">
                  <w:pPr>
                    <w:pStyle w:val="37"/>
                    <w:spacing w:line="280" w:lineRule="exact"/>
                    <w:rPr>
                      <w:rFonts w:hint="eastAsia" w:ascii="Times New Roman" w:hAnsi="Times New Roman"/>
                      <w:color w:val="auto"/>
                      <w:szCs w:val="21"/>
                    </w:rPr>
                  </w:pPr>
                </w:p>
              </w:tc>
            </w:tr>
          </w:tbl>
          <w:p w14:paraId="6F59F477">
            <w:pPr>
              <w:pStyle w:val="37"/>
              <w:wordWrap w:val="0"/>
              <w:spacing w:line="400" w:lineRule="exact"/>
              <w:ind w:right="420"/>
              <w:rPr>
                <w:rFonts w:hint="eastAsia" w:ascii="Times New Roman" w:hAnsi="Times New Roman"/>
                <w:color w:val="auto"/>
                <w:szCs w:val="21"/>
              </w:rPr>
            </w:pPr>
          </w:p>
          <w:p w14:paraId="190B6018">
            <w:pPr>
              <w:pStyle w:val="37"/>
              <w:wordWrap w:val="0"/>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 xml:space="preserve">                                            承包人（章）             </w:t>
            </w:r>
          </w:p>
          <w:p w14:paraId="329CAB0C">
            <w:pPr>
              <w:pStyle w:val="37"/>
              <w:spacing w:line="400" w:lineRule="exact"/>
              <w:ind w:right="420" w:firstLine="420" w:firstLineChars="200"/>
              <w:rPr>
                <w:rFonts w:hint="eastAsia" w:ascii="Times New Roman" w:hAnsi="Times New Roman"/>
                <w:color w:val="auto"/>
                <w:szCs w:val="21"/>
                <w:u w:val="single"/>
              </w:rPr>
            </w:pP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p>
          <w:p w14:paraId="6F563782">
            <w:pPr>
              <w:pStyle w:val="37"/>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0248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5" w:type="dxa"/>
            <w:noWrap w:val="0"/>
            <w:vAlign w:val="top"/>
          </w:tcPr>
          <w:p w14:paraId="65EEAB06">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07C57443">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□与合同约定不相符，修改意见见附件。</w:t>
            </w:r>
          </w:p>
          <w:p w14:paraId="7830FC85">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□与合同约定相符，具体金额由造价工程师复核。</w:t>
            </w:r>
          </w:p>
          <w:p w14:paraId="3F56D29F">
            <w:pPr>
              <w:pStyle w:val="37"/>
              <w:spacing w:line="360" w:lineRule="exact"/>
              <w:ind w:firstLine="435"/>
              <w:jc w:val="right"/>
              <w:rPr>
                <w:rFonts w:hint="eastAsia" w:ascii="Times New Roman" w:hAnsi="Times New Roman"/>
                <w:color w:val="auto"/>
                <w:szCs w:val="21"/>
              </w:rPr>
            </w:pPr>
          </w:p>
          <w:p w14:paraId="64746830">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1268F089">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1012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noWrap w:val="0"/>
            <w:vAlign w:val="top"/>
          </w:tcPr>
          <w:p w14:paraId="35C5FD16">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174B6FB5">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1F8C34E0">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679BA6B1">
            <w:pPr>
              <w:pStyle w:val="37"/>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2CD027AF">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40698273">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7E85D90C">
      <w:pPr>
        <w:pStyle w:val="37"/>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注：1.在选择栏中的“□”内作标识“√”。 </w:t>
      </w:r>
    </w:p>
    <w:p w14:paraId="329FEEFB">
      <w:pPr>
        <w:pStyle w:val="37"/>
        <w:spacing w:before="156" w:beforeLines="50"/>
        <w:ind w:firstLine="540" w:firstLineChars="300"/>
        <w:rPr>
          <w:rFonts w:hint="eastAsia" w:ascii="Times New Roman" w:hAnsi="Times New Roman" w:eastAsia="仿宋_GB2312"/>
          <w:color w:val="auto"/>
          <w:sz w:val="30"/>
          <w:szCs w:val="30"/>
        </w:rPr>
      </w:pPr>
      <w:r>
        <w:rPr>
          <w:rFonts w:hint="eastAsia" w:ascii="Times New Roman" w:hAnsi="Times New Roman"/>
          <w:color w:val="auto"/>
          <w:sz w:val="18"/>
          <w:szCs w:val="18"/>
        </w:rPr>
        <w:t xml:space="preserve"> 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1E168ECD">
      <w:pPr>
        <w:pStyle w:val="37"/>
        <w:spacing w:before="156" w:beforeLines="50"/>
        <w:ind w:left="1200" w:firstLine="600" w:firstLineChars="200"/>
        <w:rPr>
          <w:rFonts w:hint="eastAsia" w:ascii="Times New Roman" w:hAnsi="Times New Roman" w:eastAsia="仿宋_GB2312"/>
          <w:color w:val="auto"/>
          <w:sz w:val="30"/>
          <w:szCs w:val="30"/>
        </w:rPr>
      </w:pPr>
      <w:r>
        <w:rPr>
          <w:rFonts w:hint="eastAsia" w:ascii="Times New Roman" w:hAnsi="Times New Roman" w:eastAsia="仿宋_GB2312"/>
          <w:color w:val="auto"/>
          <w:sz w:val="30"/>
          <w:szCs w:val="30"/>
        </w:rPr>
        <w:t>附件11：</w:t>
      </w:r>
    </w:p>
    <w:p w14:paraId="7D04DE06">
      <w:pPr>
        <w:pStyle w:val="37"/>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进度款支付申请（核准）表</w:t>
      </w:r>
    </w:p>
    <w:p w14:paraId="5A023E15">
      <w:pPr>
        <w:pStyle w:val="37"/>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CB4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072" w:type="dxa"/>
            <w:noWrap w:val="0"/>
            <w:vAlign w:val="top"/>
          </w:tcPr>
          <w:p w14:paraId="7B1A4E9C">
            <w:pPr>
              <w:pStyle w:val="37"/>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00F91AB0">
            <w:pPr>
              <w:pStyle w:val="37"/>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我方于</w:t>
            </w:r>
            <w:r>
              <w:rPr>
                <w:rFonts w:hint="eastAsia" w:ascii="Times New Roman" w:hAnsi="Times New Roman"/>
                <w:color w:val="auto"/>
                <w:szCs w:val="21"/>
                <w:u w:val="single"/>
              </w:rPr>
              <w:t xml:space="preserve">         </w:t>
            </w:r>
            <w:r>
              <w:rPr>
                <w:rFonts w:hint="eastAsia" w:ascii="Times New Roman" w:hAnsi="Times New Roman"/>
                <w:color w:val="auto"/>
                <w:szCs w:val="21"/>
              </w:rPr>
              <w:t>至</w:t>
            </w:r>
            <w:r>
              <w:rPr>
                <w:rFonts w:hint="eastAsia" w:ascii="Times New Roman" w:hAnsi="Times New Roman"/>
                <w:color w:val="auto"/>
                <w:szCs w:val="21"/>
                <w:u w:val="single"/>
              </w:rPr>
              <w:t xml:space="preserve">          </w:t>
            </w:r>
            <w:r>
              <w:rPr>
                <w:rFonts w:hint="eastAsia" w:ascii="Times New Roman" w:hAnsi="Times New Roman"/>
                <w:color w:val="auto"/>
                <w:szCs w:val="21"/>
              </w:rPr>
              <w:t>期间已完成了</w:t>
            </w:r>
            <w:r>
              <w:rPr>
                <w:rFonts w:hint="eastAsia" w:ascii="Times New Roman" w:hAnsi="Times New Roman"/>
                <w:color w:val="auto"/>
                <w:szCs w:val="21"/>
                <w:u w:val="single"/>
              </w:rPr>
              <w:t xml:space="preserve">               </w:t>
            </w:r>
            <w:r>
              <w:rPr>
                <w:rFonts w:hint="eastAsia" w:ascii="Times New Roman" w:hAnsi="Times New Roman"/>
                <w:color w:val="auto"/>
                <w:szCs w:val="21"/>
              </w:rPr>
              <w:t>工作，根据施工合同的约定，现申请支付本期的合同款额为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76"/>
              <w:gridCol w:w="1328"/>
              <w:gridCol w:w="1426"/>
              <w:gridCol w:w="1250"/>
              <w:gridCol w:w="919"/>
            </w:tblGrid>
            <w:tr w14:paraId="42B3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4" w:type="dxa"/>
                  <w:noWrap w:val="0"/>
                  <w:vAlign w:val="center"/>
                </w:tcPr>
                <w:p w14:paraId="3A42BAC4">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276" w:type="dxa"/>
                  <w:noWrap w:val="0"/>
                  <w:vAlign w:val="center"/>
                </w:tcPr>
                <w:p w14:paraId="26D8272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328" w:type="dxa"/>
                  <w:noWrap w:val="0"/>
                  <w:vAlign w:val="center"/>
                </w:tcPr>
                <w:p w14:paraId="2328A232">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实际金额（元）</w:t>
                  </w:r>
                </w:p>
              </w:tc>
              <w:tc>
                <w:tcPr>
                  <w:tcW w:w="1426" w:type="dxa"/>
                  <w:noWrap w:val="0"/>
                  <w:vAlign w:val="center"/>
                </w:tcPr>
                <w:p w14:paraId="214DA6E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1250" w:type="dxa"/>
                  <w:noWrap w:val="0"/>
                  <w:vAlign w:val="center"/>
                </w:tcPr>
                <w:p w14:paraId="6BE7A68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919" w:type="dxa"/>
                  <w:noWrap w:val="0"/>
                  <w:vAlign w:val="center"/>
                </w:tcPr>
                <w:p w14:paraId="705AF3C6">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7A21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4BBEED0">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276" w:type="dxa"/>
                  <w:noWrap w:val="0"/>
                  <w:vAlign w:val="top"/>
                </w:tcPr>
                <w:p w14:paraId="12A9B6DE">
                  <w:pPr>
                    <w:pStyle w:val="37"/>
                    <w:spacing w:line="280" w:lineRule="exact"/>
                    <w:rPr>
                      <w:rFonts w:hint="eastAsia" w:ascii="Times New Roman" w:hAnsi="Times New Roman"/>
                      <w:color w:val="auto"/>
                      <w:szCs w:val="21"/>
                    </w:rPr>
                  </w:pPr>
                  <w:r>
                    <w:rPr>
                      <w:rFonts w:hint="eastAsia" w:ascii="Times New Roman" w:hAnsi="Times New Roman"/>
                      <w:color w:val="auto"/>
                      <w:szCs w:val="21"/>
                    </w:rPr>
                    <w:t>累计已完成的工程价款</w:t>
                  </w:r>
                </w:p>
              </w:tc>
              <w:tc>
                <w:tcPr>
                  <w:tcW w:w="1328" w:type="dxa"/>
                  <w:noWrap w:val="0"/>
                  <w:vAlign w:val="top"/>
                </w:tcPr>
                <w:p w14:paraId="65FE1415">
                  <w:pPr>
                    <w:pStyle w:val="37"/>
                    <w:spacing w:line="280" w:lineRule="exact"/>
                    <w:rPr>
                      <w:rFonts w:hint="eastAsia" w:ascii="Times New Roman" w:hAnsi="Times New Roman"/>
                      <w:color w:val="auto"/>
                      <w:szCs w:val="21"/>
                    </w:rPr>
                  </w:pPr>
                </w:p>
              </w:tc>
              <w:tc>
                <w:tcPr>
                  <w:tcW w:w="1426" w:type="dxa"/>
                  <w:noWrap w:val="0"/>
                  <w:vAlign w:val="top"/>
                </w:tcPr>
                <w:p w14:paraId="3624244A">
                  <w:pPr>
                    <w:pStyle w:val="37"/>
                    <w:spacing w:line="280" w:lineRule="exact"/>
                    <w:rPr>
                      <w:rFonts w:hint="eastAsia" w:ascii="Times New Roman" w:hAnsi="Times New Roman"/>
                      <w:color w:val="auto"/>
                      <w:szCs w:val="21"/>
                    </w:rPr>
                  </w:pPr>
                </w:p>
              </w:tc>
              <w:tc>
                <w:tcPr>
                  <w:tcW w:w="1250" w:type="dxa"/>
                  <w:noWrap w:val="0"/>
                  <w:vAlign w:val="top"/>
                </w:tcPr>
                <w:p w14:paraId="33C7DA7E">
                  <w:pPr>
                    <w:pStyle w:val="37"/>
                    <w:spacing w:line="280" w:lineRule="exact"/>
                    <w:rPr>
                      <w:rFonts w:hint="eastAsia" w:ascii="Times New Roman" w:hAnsi="Times New Roman"/>
                      <w:color w:val="auto"/>
                      <w:szCs w:val="21"/>
                    </w:rPr>
                  </w:pPr>
                </w:p>
              </w:tc>
              <w:tc>
                <w:tcPr>
                  <w:tcW w:w="919" w:type="dxa"/>
                  <w:noWrap w:val="0"/>
                  <w:vAlign w:val="top"/>
                </w:tcPr>
                <w:p w14:paraId="32D05D2E">
                  <w:pPr>
                    <w:pStyle w:val="37"/>
                    <w:spacing w:line="280" w:lineRule="exact"/>
                    <w:rPr>
                      <w:rFonts w:hint="eastAsia" w:ascii="Times New Roman" w:hAnsi="Times New Roman"/>
                      <w:color w:val="auto"/>
                      <w:szCs w:val="21"/>
                    </w:rPr>
                  </w:pPr>
                </w:p>
              </w:tc>
            </w:tr>
            <w:tr w14:paraId="30CA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56B75095">
                  <w:pPr>
                    <w:pStyle w:val="37"/>
                    <w:spacing w:line="280" w:lineRule="exact"/>
                    <w:jc w:val="center"/>
                    <w:rPr>
                      <w:rFonts w:hint="eastAsia" w:ascii="Times New Roman" w:hAnsi="Times New Roman"/>
                      <w:color w:val="auto"/>
                      <w:szCs w:val="21"/>
                    </w:rPr>
                  </w:pPr>
                </w:p>
              </w:tc>
              <w:tc>
                <w:tcPr>
                  <w:tcW w:w="3276" w:type="dxa"/>
                  <w:noWrap w:val="0"/>
                  <w:vAlign w:val="top"/>
                </w:tcPr>
                <w:p w14:paraId="64727471">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04E5145C">
                  <w:pPr>
                    <w:pStyle w:val="37"/>
                    <w:spacing w:line="280" w:lineRule="exact"/>
                    <w:rPr>
                      <w:rFonts w:hint="eastAsia" w:ascii="Times New Roman" w:hAnsi="Times New Roman"/>
                      <w:color w:val="auto"/>
                      <w:szCs w:val="21"/>
                    </w:rPr>
                  </w:pPr>
                </w:p>
              </w:tc>
              <w:tc>
                <w:tcPr>
                  <w:tcW w:w="1426" w:type="dxa"/>
                  <w:noWrap w:val="0"/>
                  <w:vAlign w:val="top"/>
                </w:tcPr>
                <w:p w14:paraId="6199E305">
                  <w:pPr>
                    <w:pStyle w:val="37"/>
                    <w:spacing w:line="280" w:lineRule="exact"/>
                    <w:rPr>
                      <w:rFonts w:hint="eastAsia" w:ascii="Times New Roman" w:hAnsi="Times New Roman"/>
                      <w:color w:val="auto"/>
                      <w:szCs w:val="21"/>
                    </w:rPr>
                  </w:pPr>
                </w:p>
              </w:tc>
              <w:tc>
                <w:tcPr>
                  <w:tcW w:w="1250" w:type="dxa"/>
                  <w:noWrap w:val="0"/>
                  <w:vAlign w:val="top"/>
                </w:tcPr>
                <w:p w14:paraId="32693C41">
                  <w:pPr>
                    <w:pStyle w:val="37"/>
                    <w:spacing w:line="280" w:lineRule="exact"/>
                    <w:rPr>
                      <w:rFonts w:hint="eastAsia" w:ascii="Times New Roman" w:hAnsi="Times New Roman"/>
                      <w:color w:val="auto"/>
                      <w:szCs w:val="21"/>
                    </w:rPr>
                  </w:pPr>
                </w:p>
              </w:tc>
              <w:tc>
                <w:tcPr>
                  <w:tcW w:w="919" w:type="dxa"/>
                  <w:noWrap w:val="0"/>
                  <w:vAlign w:val="top"/>
                </w:tcPr>
                <w:p w14:paraId="6383C26E">
                  <w:pPr>
                    <w:pStyle w:val="37"/>
                    <w:spacing w:line="280" w:lineRule="exact"/>
                    <w:rPr>
                      <w:rFonts w:hint="eastAsia" w:ascii="Times New Roman" w:hAnsi="Times New Roman"/>
                      <w:color w:val="auto"/>
                      <w:szCs w:val="21"/>
                    </w:rPr>
                  </w:pPr>
                </w:p>
              </w:tc>
            </w:tr>
            <w:tr w14:paraId="6EA9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48394F3F">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276" w:type="dxa"/>
                  <w:noWrap w:val="0"/>
                  <w:vAlign w:val="top"/>
                </w:tcPr>
                <w:p w14:paraId="389CAFAC">
                  <w:pPr>
                    <w:pStyle w:val="37"/>
                    <w:spacing w:line="280" w:lineRule="exact"/>
                    <w:rPr>
                      <w:rFonts w:hint="eastAsia" w:ascii="Times New Roman" w:hAnsi="Times New Roman"/>
                      <w:color w:val="auto"/>
                      <w:szCs w:val="21"/>
                    </w:rPr>
                  </w:pPr>
                  <w:r>
                    <w:rPr>
                      <w:rFonts w:hint="eastAsia" w:ascii="Times New Roman" w:hAnsi="Times New Roman"/>
                      <w:color w:val="auto"/>
                      <w:szCs w:val="21"/>
                    </w:rPr>
                    <w:t>累计已实际支付的工程价款</w:t>
                  </w:r>
                </w:p>
              </w:tc>
              <w:tc>
                <w:tcPr>
                  <w:tcW w:w="1328" w:type="dxa"/>
                  <w:noWrap w:val="0"/>
                  <w:vAlign w:val="top"/>
                </w:tcPr>
                <w:p w14:paraId="45F0B92A">
                  <w:pPr>
                    <w:pStyle w:val="37"/>
                    <w:spacing w:line="280" w:lineRule="exact"/>
                    <w:rPr>
                      <w:rFonts w:hint="eastAsia" w:ascii="Times New Roman" w:hAnsi="Times New Roman"/>
                      <w:color w:val="auto"/>
                      <w:szCs w:val="21"/>
                    </w:rPr>
                  </w:pPr>
                </w:p>
              </w:tc>
              <w:tc>
                <w:tcPr>
                  <w:tcW w:w="1426" w:type="dxa"/>
                  <w:noWrap w:val="0"/>
                  <w:vAlign w:val="top"/>
                </w:tcPr>
                <w:p w14:paraId="174871F3">
                  <w:pPr>
                    <w:pStyle w:val="37"/>
                    <w:spacing w:line="280" w:lineRule="exact"/>
                    <w:rPr>
                      <w:rFonts w:hint="eastAsia" w:ascii="Times New Roman" w:hAnsi="Times New Roman"/>
                      <w:color w:val="auto"/>
                      <w:szCs w:val="21"/>
                    </w:rPr>
                  </w:pPr>
                </w:p>
              </w:tc>
              <w:tc>
                <w:tcPr>
                  <w:tcW w:w="1250" w:type="dxa"/>
                  <w:noWrap w:val="0"/>
                  <w:vAlign w:val="top"/>
                </w:tcPr>
                <w:p w14:paraId="20240DC5">
                  <w:pPr>
                    <w:pStyle w:val="37"/>
                    <w:spacing w:line="280" w:lineRule="exact"/>
                    <w:rPr>
                      <w:rFonts w:hint="eastAsia" w:ascii="Times New Roman" w:hAnsi="Times New Roman"/>
                      <w:color w:val="auto"/>
                      <w:szCs w:val="21"/>
                    </w:rPr>
                  </w:pPr>
                </w:p>
              </w:tc>
              <w:tc>
                <w:tcPr>
                  <w:tcW w:w="919" w:type="dxa"/>
                  <w:noWrap w:val="0"/>
                  <w:vAlign w:val="top"/>
                </w:tcPr>
                <w:p w14:paraId="75D38F1C">
                  <w:pPr>
                    <w:pStyle w:val="37"/>
                    <w:spacing w:line="280" w:lineRule="exact"/>
                    <w:rPr>
                      <w:rFonts w:hint="eastAsia" w:ascii="Times New Roman" w:hAnsi="Times New Roman"/>
                      <w:color w:val="auto"/>
                      <w:szCs w:val="21"/>
                    </w:rPr>
                  </w:pPr>
                </w:p>
              </w:tc>
            </w:tr>
            <w:tr w14:paraId="4013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460AE5C2">
                  <w:pPr>
                    <w:pStyle w:val="37"/>
                    <w:spacing w:line="280" w:lineRule="exact"/>
                    <w:jc w:val="center"/>
                    <w:rPr>
                      <w:rFonts w:hint="eastAsia" w:ascii="Times New Roman" w:hAnsi="Times New Roman"/>
                      <w:color w:val="auto"/>
                      <w:szCs w:val="21"/>
                    </w:rPr>
                  </w:pPr>
                </w:p>
              </w:tc>
              <w:tc>
                <w:tcPr>
                  <w:tcW w:w="3276" w:type="dxa"/>
                  <w:noWrap w:val="0"/>
                  <w:vAlign w:val="top"/>
                </w:tcPr>
                <w:p w14:paraId="5CD243C6">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2B98EE68">
                  <w:pPr>
                    <w:pStyle w:val="37"/>
                    <w:spacing w:line="280" w:lineRule="exact"/>
                    <w:rPr>
                      <w:rFonts w:hint="eastAsia" w:ascii="Times New Roman" w:hAnsi="Times New Roman"/>
                      <w:color w:val="auto"/>
                      <w:szCs w:val="21"/>
                    </w:rPr>
                  </w:pPr>
                </w:p>
              </w:tc>
              <w:tc>
                <w:tcPr>
                  <w:tcW w:w="1426" w:type="dxa"/>
                  <w:noWrap w:val="0"/>
                  <w:vAlign w:val="top"/>
                </w:tcPr>
                <w:p w14:paraId="28C21D88">
                  <w:pPr>
                    <w:pStyle w:val="37"/>
                    <w:spacing w:line="280" w:lineRule="exact"/>
                    <w:rPr>
                      <w:rFonts w:hint="eastAsia" w:ascii="Times New Roman" w:hAnsi="Times New Roman"/>
                      <w:color w:val="auto"/>
                      <w:szCs w:val="21"/>
                    </w:rPr>
                  </w:pPr>
                </w:p>
              </w:tc>
              <w:tc>
                <w:tcPr>
                  <w:tcW w:w="1250" w:type="dxa"/>
                  <w:noWrap w:val="0"/>
                  <w:vAlign w:val="top"/>
                </w:tcPr>
                <w:p w14:paraId="2F86F011">
                  <w:pPr>
                    <w:pStyle w:val="37"/>
                    <w:spacing w:line="280" w:lineRule="exact"/>
                    <w:rPr>
                      <w:rFonts w:hint="eastAsia" w:ascii="Times New Roman" w:hAnsi="Times New Roman"/>
                      <w:color w:val="auto"/>
                      <w:szCs w:val="21"/>
                    </w:rPr>
                  </w:pPr>
                </w:p>
              </w:tc>
              <w:tc>
                <w:tcPr>
                  <w:tcW w:w="919" w:type="dxa"/>
                  <w:noWrap w:val="0"/>
                  <w:vAlign w:val="top"/>
                </w:tcPr>
                <w:p w14:paraId="7889677B">
                  <w:pPr>
                    <w:pStyle w:val="37"/>
                    <w:spacing w:line="280" w:lineRule="exact"/>
                    <w:rPr>
                      <w:rFonts w:hint="eastAsia" w:ascii="Times New Roman" w:hAnsi="Times New Roman"/>
                      <w:color w:val="auto"/>
                      <w:szCs w:val="21"/>
                    </w:rPr>
                  </w:pPr>
                </w:p>
              </w:tc>
            </w:tr>
            <w:tr w14:paraId="10C5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5716A77">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276" w:type="dxa"/>
                  <w:noWrap w:val="0"/>
                  <w:vAlign w:val="top"/>
                </w:tcPr>
                <w:p w14:paraId="719E0488">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本周期已完成的工程价款</w:t>
                  </w:r>
                </w:p>
              </w:tc>
              <w:tc>
                <w:tcPr>
                  <w:tcW w:w="1328" w:type="dxa"/>
                  <w:noWrap w:val="0"/>
                  <w:vAlign w:val="top"/>
                </w:tcPr>
                <w:p w14:paraId="0BD540B4">
                  <w:pPr>
                    <w:pStyle w:val="37"/>
                    <w:spacing w:line="280" w:lineRule="exact"/>
                    <w:rPr>
                      <w:rFonts w:hint="eastAsia" w:ascii="Times New Roman" w:hAnsi="Times New Roman"/>
                      <w:color w:val="auto"/>
                      <w:szCs w:val="21"/>
                    </w:rPr>
                  </w:pPr>
                </w:p>
              </w:tc>
              <w:tc>
                <w:tcPr>
                  <w:tcW w:w="1426" w:type="dxa"/>
                  <w:noWrap w:val="0"/>
                  <w:vAlign w:val="top"/>
                </w:tcPr>
                <w:p w14:paraId="578624E0">
                  <w:pPr>
                    <w:pStyle w:val="37"/>
                    <w:spacing w:line="280" w:lineRule="exact"/>
                    <w:rPr>
                      <w:rFonts w:hint="eastAsia" w:ascii="Times New Roman" w:hAnsi="Times New Roman"/>
                      <w:color w:val="auto"/>
                      <w:szCs w:val="21"/>
                    </w:rPr>
                  </w:pPr>
                </w:p>
              </w:tc>
              <w:tc>
                <w:tcPr>
                  <w:tcW w:w="1250" w:type="dxa"/>
                  <w:noWrap w:val="0"/>
                  <w:vAlign w:val="top"/>
                </w:tcPr>
                <w:p w14:paraId="2A61701E">
                  <w:pPr>
                    <w:pStyle w:val="37"/>
                    <w:spacing w:line="280" w:lineRule="exact"/>
                    <w:rPr>
                      <w:rFonts w:hint="eastAsia" w:ascii="Times New Roman" w:hAnsi="Times New Roman"/>
                      <w:color w:val="auto"/>
                      <w:szCs w:val="21"/>
                    </w:rPr>
                  </w:pPr>
                </w:p>
              </w:tc>
              <w:tc>
                <w:tcPr>
                  <w:tcW w:w="919" w:type="dxa"/>
                  <w:noWrap w:val="0"/>
                  <w:vAlign w:val="top"/>
                </w:tcPr>
                <w:p w14:paraId="5976665A">
                  <w:pPr>
                    <w:pStyle w:val="37"/>
                    <w:spacing w:line="280" w:lineRule="exact"/>
                    <w:rPr>
                      <w:rFonts w:hint="eastAsia" w:ascii="Times New Roman" w:hAnsi="Times New Roman"/>
                      <w:color w:val="auto"/>
                      <w:szCs w:val="21"/>
                    </w:rPr>
                  </w:pPr>
                </w:p>
              </w:tc>
            </w:tr>
            <w:tr w14:paraId="1A52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25BCC599">
                  <w:pPr>
                    <w:pStyle w:val="37"/>
                    <w:spacing w:line="280" w:lineRule="exact"/>
                    <w:jc w:val="center"/>
                    <w:rPr>
                      <w:rFonts w:hint="eastAsia" w:ascii="Times New Roman" w:hAnsi="Times New Roman"/>
                      <w:color w:val="auto"/>
                      <w:szCs w:val="21"/>
                    </w:rPr>
                  </w:pPr>
                </w:p>
              </w:tc>
              <w:tc>
                <w:tcPr>
                  <w:tcW w:w="3276" w:type="dxa"/>
                  <w:noWrap w:val="0"/>
                  <w:vAlign w:val="top"/>
                </w:tcPr>
                <w:p w14:paraId="0E17287C">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27788184">
                  <w:pPr>
                    <w:pStyle w:val="37"/>
                    <w:spacing w:line="280" w:lineRule="exact"/>
                    <w:rPr>
                      <w:rFonts w:hint="eastAsia" w:ascii="Times New Roman" w:hAnsi="Times New Roman"/>
                      <w:color w:val="auto"/>
                      <w:szCs w:val="21"/>
                    </w:rPr>
                  </w:pPr>
                </w:p>
              </w:tc>
              <w:tc>
                <w:tcPr>
                  <w:tcW w:w="1426" w:type="dxa"/>
                  <w:noWrap w:val="0"/>
                  <w:vAlign w:val="top"/>
                </w:tcPr>
                <w:p w14:paraId="3857AF6B">
                  <w:pPr>
                    <w:pStyle w:val="37"/>
                    <w:spacing w:line="280" w:lineRule="exact"/>
                    <w:rPr>
                      <w:rFonts w:hint="eastAsia" w:ascii="Times New Roman" w:hAnsi="Times New Roman"/>
                      <w:color w:val="auto"/>
                      <w:szCs w:val="21"/>
                    </w:rPr>
                  </w:pPr>
                </w:p>
              </w:tc>
              <w:tc>
                <w:tcPr>
                  <w:tcW w:w="1250" w:type="dxa"/>
                  <w:noWrap w:val="0"/>
                  <w:vAlign w:val="top"/>
                </w:tcPr>
                <w:p w14:paraId="0AD64FCF">
                  <w:pPr>
                    <w:pStyle w:val="37"/>
                    <w:spacing w:line="280" w:lineRule="exact"/>
                    <w:rPr>
                      <w:rFonts w:hint="eastAsia" w:ascii="Times New Roman" w:hAnsi="Times New Roman"/>
                      <w:color w:val="auto"/>
                      <w:szCs w:val="21"/>
                    </w:rPr>
                  </w:pPr>
                </w:p>
              </w:tc>
              <w:tc>
                <w:tcPr>
                  <w:tcW w:w="919" w:type="dxa"/>
                  <w:noWrap w:val="0"/>
                  <w:vAlign w:val="top"/>
                </w:tcPr>
                <w:p w14:paraId="109111A7">
                  <w:pPr>
                    <w:pStyle w:val="37"/>
                    <w:spacing w:line="280" w:lineRule="exact"/>
                    <w:rPr>
                      <w:rFonts w:hint="eastAsia" w:ascii="Times New Roman" w:hAnsi="Times New Roman"/>
                      <w:color w:val="auto"/>
                      <w:szCs w:val="21"/>
                    </w:rPr>
                  </w:pPr>
                </w:p>
              </w:tc>
            </w:tr>
            <w:tr w14:paraId="0237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0A32CF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276" w:type="dxa"/>
                  <w:noWrap w:val="0"/>
                  <w:vAlign w:val="top"/>
                </w:tcPr>
                <w:p w14:paraId="21DEED0C">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本周期应扣减的金额</w:t>
                  </w:r>
                </w:p>
              </w:tc>
              <w:tc>
                <w:tcPr>
                  <w:tcW w:w="1328" w:type="dxa"/>
                  <w:noWrap w:val="0"/>
                  <w:vAlign w:val="top"/>
                </w:tcPr>
                <w:p w14:paraId="78424FB2">
                  <w:pPr>
                    <w:pStyle w:val="37"/>
                    <w:spacing w:line="280" w:lineRule="exact"/>
                    <w:rPr>
                      <w:rFonts w:hint="eastAsia" w:ascii="Times New Roman" w:hAnsi="Times New Roman"/>
                      <w:color w:val="auto"/>
                      <w:szCs w:val="21"/>
                    </w:rPr>
                  </w:pPr>
                </w:p>
              </w:tc>
              <w:tc>
                <w:tcPr>
                  <w:tcW w:w="1426" w:type="dxa"/>
                  <w:noWrap w:val="0"/>
                  <w:vAlign w:val="top"/>
                </w:tcPr>
                <w:p w14:paraId="59741F0A">
                  <w:pPr>
                    <w:pStyle w:val="37"/>
                    <w:spacing w:line="280" w:lineRule="exact"/>
                    <w:rPr>
                      <w:rFonts w:hint="eastAsia" w:ascii="Times New Roman" w:hAnsi="Times New Roman"/>
                      <w:color w:val="auto"/>
                      <w:szCs w:val="21"/>
                    </w:rPr>
                  </w:pPr>
                </w:p>
              </w:tc>
              <w:tc>
                <w:tcPr>
                  <w:tcW w:w="1250" w:type="dxa"/>
                  <w:noWrap w:val="0"/>
                  <w:vAlign w:val="top"/>
                </w:tcPr>
                <w:p w14:paraId="1EF8397F">
                  <w:pPr>
                    <w:pStyle w:val="37"/>
                    <w:spacing w:line="280" w:lineRule="exact"/>
                    <w:rPr>
                      <w:rFonts w:hint="eastAsia" w:ascii="Times New Roman" w:hAnsi="Times New Roman"/>
                      <w:color w:val="auto"/>
                      <w:szCs w:val="21"/>
                    </w:rPr>
                  </w:pPr>
                </w:p>
              </w:tc>
              <w:tc>
                <w:tcPr>
                  <w:tcW w:w="919" w:type="dxa"/>
                  <w:noWrap w:val="0"/>
                  <w:vAlign w:val="top"/>
                </w:tcPr>
                <w:p w14:paraId="2719C16D">
                  <w:pPr>
                    <w:pStyle w:val="37"/>
                    <w:spacing w:line="280" w:lineRule="exact"/>
                    <w:rPr>
                      <w:rFonts w:hint="eastAsia" w:ascii="Times New Roman" w:hAnsi="Times New Roman"/>
                      <w:color w:val="auto"/>
                      <w:szCs w:val="21"/>
                    </w:rPr>
                  </w:pPr>
                </w:p>
              </w:tc>
            </w:tr>
            <w:tr w14:paraId="3EB2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1B7AA9F3">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4.1</w:t>
                  </w:r>
                </w:p>
              </w:tc>
              <w:tc>
                <w:tcPr>
                  <w:tcW w:w="3276" w:type="dxa"/>
                  <w:noWrap w:val="0"/>
                  <w:vAlign w:val="top"/>
                </w:tcPr>
                <w:p w14:paraId="68A4481E">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本周期实际应抵扣的预付款</w:t>
                  </w:r>
                </w:p>
              </w:tc>
              <w:tc>
                <w:tcPr>
                  <w:tcW w:w="1328" w:type="dxa"/>
                  <w:noWrap w:val="0"/>
                  <w:vAlign w:val="top"/>
                </w:tcPr>
                <w:p w14:paraId="14CFD749">
                  <w:pPr>
                    <w:pStyle w:val="37"/>
                    <w:spacing w:line="280" w:lineRule="exact"/>
                    <w:rPr>
                      <w:rFonts w:hint="eastAsia" w:ascii="Times New Roman" w:hAnsi="Times New Roman"/>
                      <w:color w:val="auto"/>
                      <w:szCs w:val="21"/>
                    </w:rPr>
                  </w:pPr>
                </w:p>
              </w:tc>
              <w:tc>
                <w:tcPr>
                  <w:tcW w:w="1426" w:type="dxa"/>
                  <w:noWrap w:val="0"/>
                  <w:vAlign w:val="top"/>
                </w:tcPr>
                <w:p w14:paraId="72B5235B">
                  <w:pPr>
                    <w:pStyle w:val="37"/>
                    <w:spacing w:line="280" w:lineRule="exact"/>
                    <w:rPr>
                      <w:rFonts w:hint="eastAsia" w:ascii="Times New Roman" w:hAnsi="Times New Roman"/>
                      <w:color w:val="auto"/>
                      <w:szCs w:val="21"/>
                    </w:rPr>
                  </w:pPr>
                </w:p>
              </w:tc>
              <w:tc>
                <w:tcPr>
                  <w:tcW w:w="1250" w:type="dxa"/>
                  <w:noWrap w:val="0"/>
                  <w:vAlign w:val="top"/>
                </w:tcPr>
                <w:p w14:paraId="14F834B7">
                  <w:pPr>
                    <w:pStyle w:val="37"/>
                    <w:spacing w:line="280" w:lineRule="exact"/>
                    <w:rPr>
                      <w:rFonts w:hint="eastAsia" w:ascii="Times New Roman" w:hAnsi="Times New Roman"/>
                      <w:color w:val="auto"/>
                      <w:szCs w:val="21"/>
                    </w:rPr>
                  </w:pPr>
                </w:p>
              </w:tc>
              <w:tc>
                <w:tcPr>
                  <w:tcW w:w="919" w:type="dxa"/>
                  <w:noWrap w:val="0"/>
                  <w:vAlign w:val="top"/>
                </w:tcPr>
                <w:p w14:paraId="2F638A90">
                  <w:pPr>
                    <w:pStyle w:val="37"/>
                    <w:spacing w:line="280" w:lineRule="exact"/>
                    <w:rPr>
                      <w:rFonts w:hint="eastAsia" w:ascii="Times New Roman" w:hAnsi="Times New Roman"/>
                      <w:color w:val="auto"/>
                      <w:szCs w:val="21"/>
                    </w:rPr>
                  </w:pPr>
                </w:p>
              </w:tc>
            </w:tr>
            <w:tr w14:paraId="6E09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18FDBCAD">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4.2</w:t>
                  </w:r>
                </w:p>
              </w:tc>
              <w:tc>
                <w:tcPr>
                  <w:tcW w:w="3276" w:type="dxa"/>
                  <w:noWrap w:val="0"/>
                  <w:vAlign w:val="top"/>
                </w:tcPr>
                <w:p w14:paraId="465C982C">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本周期应扣减的金额</w:t>
                  </w:r>
                </w:p>
              </w:tc>
              <w:tc>
                <w:tcPr>
                  <w:tcW w:w="1328" w:type="dxa"/>
                  <w:noWrap w:val="0"/>
                  <w:vAlign w:val="top"/>
                </w:tcPr>
                <w:p w14:paraId="1867FAB8">
                  <w:pPr>
                    <w:pStyle w:val="37"/>
                    <w:spacing w:line="280" w:lineRule="exact"/>
                    <w:rPr>
                      <w:rFonts w:hint="eastAsia" w:ascii="Times New Roman" w:hAnsi="Times New Roman"/>
                      <w:color w:val="auto"/>
                      <w:szCs w:val="21"/>
                    </w:rPr>
                  </w:pPr>
                </w:p>
              </w:tc>
              <w:tc>
                <w:tcPr>
                  <w:tcW w:w="1426" w:type="dxa"/>
                  <w:noWrap w:val="0"/>
                  <w:vAlign w:val="top"/>
                </w:tcPr>
                <w:p w14:paraId="64255C06">
                  <w:pPr>
                    <w:pStyle w:val="37"/>
                    <w:spacing w:line="280" w:lineRule="exact"/>
                    <w:rPr>
                      <w:rFonts w:hint="eastAsia" w:ascii="Times New Roman" w:hAnsi="Times New Roman"/>
                      <w:color w:val="auto"/>
                      <w:szCs w:val="21"/>
                    </w:rPr>
                  </w:pPr>
                </w:p>
              </w:tc>
              <w:tc>
                <w:tcPr>
                  <w:tcW w:w="1250" w:type="dxa"/>
                  <w:noWrap w:val="0"/>
                  <w:vAlign w:val="top"/>
                </w:tcPr>
                <w:p w14:paraId="38015F57">
                  <w:pPr>
                    <w:pStyle w:val="37"/>
                    <w:spacing w:line="280" w:lineRule="exact"/>
                    <w:rPr>
                      <w:rFonts w:hint="eastAsia" w:ascii="Times New Roman" w:hAnsi="Times New Roman"/>
                      <w:color w:val="auto"/>
                      <w:szCs w:val="21"/>
                    </w:rPr>
                  </w:pPr>
                </w:p>
              </w:tc>
              <w:tc>
                <w:tcPr>
                  <w:tcW w:w="919" w:type="dxa"/>
                  <w:noWrap w:val="0"/>
                  <w:vAlign w:val="top"/>
                </w:tcPr>
                <w:p w14:paraId="33056D2E">
                  <w:pPr>
                    <w:pStyle w:val="37"/>
                    <w:spacing w:line="280" w:lineRule="exact"/>
                    <w:rPr>
                      <w:rFonts w:hint="eastAsia" w:ascii="Times New Roman" w:hAnsi="Times New Roman"/>
                      <w:color w:val="auto"/>
                      <w:szCs w:val="21"/>
                    </w:rPr>
                  </w:pPr>
                </w:p>
              </w:tc>
            </w:tr>
            <w:tr w14:paraId="1664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5C7ED5AD">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5</w:t>
                  </w:r>
                </w:p>
              </w:tc>
              <w:tc>
                <w:tcPr>
                  <w:tcW w:w="3276" w:type="dxa"/>
                  <w:noWrap w:val="0"/>
                  <w:vAlign w:val="top"/>
                </w:tcPr>
                <w:p w14:paraId="54D6DA96">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本周期应支付的合同价款</w:t>
                  </w:r>
                </w:p>
              </w:tc>
              <w:tc>
                <w:tcPr>
                  <w:tcW w:w="1328" w:type="dxa"/>
                  <w:noWrap w:val="0"/>
                  <w:vAlign w:val="top"/>
                </w:tcPr>
                <w:p w14:paraId="4CD81863">
                  <w:pPr>
                    <w:pStyle w:val="37"/>
                    <w:spacing w:line="280" w:lineRule="exact"/>
                    <w:rPr>
                      <w:rFonts w:hint="eastAsia" w:ascii="Times New Roman" w:hAnsi="Times New Roman"/>
                      <w:color w:val="auto"/>
                      <w:szCs w:val="21"/>
                    </w:rPr>
                  </w:pPr>
                </w:p>
              </w:tc>
              <w:tc>
                <w:tcPr>
                  <w:tcW w:w="1426" w:type="dxa"/>
                  <w:noWrap w:val="0"/>
                  <w:vAlign w:val="top"/>
                </w:tcPr>
                <w:p w14:paraId="2B5B0A95">
                  <w:pPr>
                    <w:pStyle w:val="37"/>
                    <w:spacing w:line="280" w:lineRule="exact"/>
                    <w:rPr>
                      <w:rFonts w:hint="eastAsia" w:ascii="Times New Roman" w:hAnsi="Times New Roman"/>
                      <w:color w:val="auto"/>
                      <w:szCs w:val="21"/>
                    </w:rPr>
                  </w:pPr>
                </w:p>
              </w:tc>
              <w:tc>
                <w:tcPr>
                  <w:tcW w:w="1250" w:type="dxa"/>
                  <w:noWrap w:val="0"/>
                  <w:vAlign w:val="top"/>
                </w:tcPr>
                <w:p w14:paraId="33199DBE">
                  <w:pPr>
                    <w:pStyle w:val="37"/>
                    <w:spacing w:line="280" w:lineRule="exact"/>
                    <w:rPr>
                      <w:rFonts w:hint="eastAsia" w:ascii="Times New Roman" w:hAnsi="Times New Roman"/>
                      <w:color w:val="auto"/>
                      <w:szCs w:val="21"/>
                    </w:rPr>
                  </w:pPr>
                </w:p>
              </w:tc>
              <w:tc>
                <w:tcPr>
                  <w:tcW w:w="919" w:type="dxa"/>
                  <w:noWrap w:val="0"/>
                  <w:vAlign w:val="top"/>
                </w:tcPr>
                <w:p w14:paraId="0259FCAA">
                  <w:pPr>
                    <w:pStyle w:val="37"/>
                    <w:spacing w:line="280" w:lineRule="exact"/>
                    <w:rPr>
                      <w:rFonts w:hint="eastAsia" w:ascii="Times New Roman" w:hAnsi="Times New Roman"/>
                      <w:color w:val="auto"/>
                      <w:szCs w:val="21"/>
                    </w:rPr>
                  </w:pPr>
                </w:p>
              </w:tc>
            </w:tr>
            <w:tr w14:paraId="215D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63A949F2">
                  <w:pPr>
                    <w:pStyle w:val="37"/>
                    <w:spacing w:line="280" w:lineRule="exact"/>
                    <w:jc w:val="center"/>
                    <w:rPr>
                      <w:rFonts w:hint="eastAsia" w:ascii="Times New Roman" w:hAnsi="Times New Roman"/>
                      <w:color w:val="auto"/>
                      <w:szCs w:val="21"/>
                    </w:rPr>
                  </w:pPr>
                </w:p>
              </w:tc>
              <w:tc>
                <w:tcPr>
                  <w:tcW w:w="3276" w:type="dxa"/>
                  <w:noWrap w:val="0"/>
                  <w:vAlign w:val="top"/>
                </w:tcPr>
                <w:p w14:paraId="6419D328">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7E9835FB">
                  <w:pPr>
                    <w:pStyle w:val="37"/>
                    <w:spacing w:line="280" w:lineRule="exact"/>
                    <w:rPr>
                      <w:rFonts w:hint="eastAsia" w:ascii="Times New Roman" w:hAnsi="Times New Roman"/>
                      <w:color w:val="auto"/>
                      <w:szCs w:val="21"/>
                    </w:rPr>
                  </w:pPr>
                </w:p>
              </w:tc>
              <w:tc>
                <w:tcPr>
                  <w:tcW w:w="1426" w:type="dxa"/>
                  <w:noWrap w:val="0"/>
                  <w:vAlign w:val="top"/>
                </w:tcPr>
                <w:p w14:paraId="72C8E91E">
                  <w:pPr>
                    <w:pStyle w:val="37"/>
                    <w:spacing w:line="280" w:lineRule="exact"/>
                    <w:rPr>
                      <w:rFonts w:hint="eastAsia" w:ascii="Times New Roman" w:hAnsi="Times New Roman"/>
                      <w:color w:val="auto"/>
                      <w:szCs w:val="21"/>
                    </w:rPr>
                  </w:pPr>
                </w:p>
              </w:tc>
              <w:tc>
                <w:tcPr>
                  <w:tcW w:w="1250" w:type="dxa"/>
                  <w:noWrap w:val="0"/>
                  <w:vAlign w:val="top"/>
                </w:tcPr>
                <w:p w14:paraId="21F618F5">
                  <w:pPr>
                    <w:pStyle w:val="37"/>
                    <w:spacing w:line="280" w:lineRule="exact"/>
                    <w:rPr>
                      <w:rFonts w:hint="eastAsia" w:ascii="Times New Roman" w:hAnsi="Times New Roman"/>
                      <w:color w:val="auto"/>
                      <w:szCs w:val="21"/>
                    </w:rPr>
                  </w:pPr>
                </w:p>
              </w:tc>
              <w:tc>
                <w:tcPr>
                  <w:tcW w:w="919" w:type="dxa"/>
                  <w:noWrap w:val="0"/>
                  <w:vAlign w:val="top"/>
                </w:tcPr>
                <w:p w14:paraId="792BBFB4">
                  <w:pPr>
                    <w:pStyle w:val="37"/>
                    <w:spacing w:line="280" w:lineRule="exact"/>
                    <w:rPr>
                      <w:rFonts w:hint="eastAsia" w:ascii="Times New Roman" w:hAnsi="Times New Roman"/>
                      <w:color w:val="auto"/>
                      <w:szCs w:val="21"/>
                    </w:rPr>
                  </w:pPr>
                </w:p>
              </w:tc>
            </w:tr>
          </w:tbl>
          <w:p w14:paraId="3E4553E3">
            <w:pPr>
              <w:pStyle w:val="37"/>
              <w:wordWrap w:val="0"/>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附：上述3、4详见附件清单。</w:t>
            </w:r>
          </w:p>
          <w:p w14:paraId="3C62C479">
            <w:pPr>
              <w:pStyle w:val="37"/>
              <w:wordWrap w:val="0"/>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 xml:space="preserve">                                      承包人（章）             </w:t>
            </w:r>
          </w:p>
          <w:p w14:paraId="58A37448">
            <w:pPr>
              <w:pStyle w:val="37"/>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 xml:space="preserve">                                 </w:t>
            </w: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581E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072" w:type="dxa"/>
            <w:noWrap w:val="0"/>
            <w:vAlign w:val="top"/>
          </w:tcPr>
          <w:p w14:paraId="4577A57A">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2FC1F997">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□与实际施工情况不相符，修改意见见附件。</w:t>
            </w:r>
          </w:p>
          <w:p w14:paraId="466A3EC6">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□与实际施工情况相符，具体金额由造价工程师复核。</w:t>
            </w:r>
          </w:p>
          <w:p w14:paraId="7538E60F">
            <w:pPr>
              <w:pStyle w:val="37"/>
              <w:spacing w:line="360" w:lineRule="exact"/>
              <w:ind w:firstLine="435"/>
              <w:jc w:val="right"/>
              <w:rPr>
                <w:rFonts w:hint="eastAsia" w:ascii="Times New Roman" w:hAnsi="Times New Roman"/>
                <w:color w:val="auto"/>
                <w:szCs w:val="21"/>
              </w:rPr>
            </w:pPr>
          </w:p>
          <w:p w14:paraId="7CD1EDCC">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3417C3B2">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p w14:paraId="585C2E51">
            <w:pPr>
              <w:pStyle w:val="37"/>
              <w:spacing w:line="360" w:lineRule="exact"/>
              <w:ind w:firstLine="435"/>
              <w:jc w:val="both"/>
              <w:rPr>
                <w:rFonts w:hint="eastAsia" w:ascii="Times New Roman" w:hAnsi="Times New Roman"/>
                <w:color w:val="auto"/>
                <w:szCs w:val="21"/>
                <w:u w:val="single"/>
              </w:rPr>
            </w:pPr>
          </w:p>
        </w:tc>
      </w:tr>
      <w:tr w14:paraId="286D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1BED4183">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68DFDFC9">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4149C2B1">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69E21592">
            <w:pPr>
              <w:pStyle w:val="37"/>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33FDEA28">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2091F5EB">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2BE6DF04">
      <w:pPr>
        <w:pStyle w:val="37"/>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注：1.在选择栏中的“□”内作标识“√”。 </w:t>
      </w:r>
    </w:p>
    <w:p w14:paraId="1659377C">
      <w:pPr>
        <w:pStyle w:val="37"/>
        <w:spacing w:before="156" w:beforeLines="50"/>
        <w:ind w:firstLine="540" w:firstLineChars="300"/>
        <w:rPr>
          <w:rFonts w:hint="eastAsia" w:ascii="Times New Roman" w:hAnsi="Times New Roman"/>
          <w:color w:val="auto"/>
          <w:sz w:val="18"/>
          <w:szCs w:val="18"/>
        </w:rPr>
      </w:pPr>
      <w:r>
        <w:rPr>
          <w:rFonts w:hint="eastAsia" w:ascii="Times New Roman" w:hAnsi="Times New Roman"/>
          <w:color w:val="auto"/>
          <w:sz w:val="18"/>
          <w:szCs w:val="18"/>
        </w:rPr>
        <w:t>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4E823FC3">
      <w:pPr>
        <w:pStyle w:val="37"/>
        <w:ind w:firstLine="600" w:firstLineChars="200"/>
        <w:jc w:val="left"/>
        <w:rPr>
          <w:rFonts w:hint="eastAsia" w:ascii="Times New Roman" w:hAnsi="Times New Roman"/>
          <w:color w:val="auto"/>
          <w:sz w:val="30"/>
          <w:szCs w:val="30"/>
        </w:rPr>
      </w:pPr>
      <w:r>
        <w:rPr>
          <w:rFonts w:hint="eastAsia" w:ascii="Times New Roman" w:hAnsi="Times New Roman"/>
          <w:color w:val="auto"/>
          <w:sz w:val="30"/>
          <w:szCs w:val="30"/>
        </w:rPr>
        <w:t>附件12</w:t>
      </w:r>
    </w:p>
    <w:p w14:paraId="67B648C1">
      <w:pPr>
        <w:pStyle w:val="37"/>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竣工结算款支付申请（核准）表</w:t>
      </w:r>
    </w:p>
    <w:p w14:paraId="27D4E410">
      <w:pPr>
        <w:pStyle w:val="37"/>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639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noWrap w:val="0"/>
            <w:vAlign w:val="top"/>
          </w:tcPr>
          <w:p w14:paraId="19525D9D">
            <w:pPr>
              <w:pStyle w:val="37"/>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210A22BF">
            <w:pPr>
              <w:pStyle w:val="37"/>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我方于</w:t>
            </w:r>
            <w:r>
              <w:rPr>
                <w:rFonts w:hint="eastAsia" w:ascii="Times New Roman" w:hAnsi="Times New Roman"/>
                <w:color w:val="auto"/>
                <w:szCs w:val="21"/>
                <w:u w:val="single"/>
              </w:rPr>
              <w:t xml:space="preserve">         </w:t>
            </w:r>
            <w:r>
              <w:rPr>
                <w:rFonts w:hint="eastAsia" w:ascii="Times New Roman" w:hAnsi="Times New Roman"/>
                <w:color w:val="auto"/>
                <w:szCs w:val="21"/>
              </w:rPr>
              <w:t>至</w:t>
            </w:r>
            <w:r>
              <w:rPr>
                <w:rFonts w:hint="eastAsia" w:ascii="Times New Roman" w:hAnsi="Times New Roman"/>
                <w:color w:val="auto"/>
                <w:szCs w:val="21"/>
                <w:u w:val="single"/>
              </w:rPr>
              <w:t xml:space="preserve">          </w:t>
            </w:r>
            <w:r>
              <w:rPr>
                <w:rFonts w:hint="eastAsia" w:ascii="Times New Roman" w:hAnsi="Times New Roman"/>
                <w:color w:val="auto"/>
                <w:szCs w:val="21"/>
              </w:rPr>
              <w:t>期间已完成了合同约定的工作，根据施工合同的约定，现申请支付竣工结算的工程款额为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362"/>
              <w:gridCol w:w="1605"/>
              <w:gridCol w:w="1605"/>
              <w:gridCol w:w="1628"/>
            </w:tblGrid>
            <w:tr w14:paraId="2225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3" w:type="dxa"/>
                  <w:noWrap w:val="0"/>
                  <w:vAlign w:val="center"/>
                </w:tcPr>
                <w:p w14:paraId="09BF41A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362" w:type="dxa"/>
                  <w:noWrap w:val="0"/>
                  <w:vAlign w:val="center"/>
                </w:tcPr>
                <w:p w14:paraId="060E2859">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605" w:type="dxa"/>
                  <w:noWrap w:val="0"/>
                  <w:vAlign w:val="center"/>
                </w:tcPr>
                <w:p w14:paraId="3143B958">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1605" w:type="dxa"/>
                  <w:noWrap w:val="0"/>
                  <w:vAlign w:val="center"/>
                </w:tcPr>
                <w:p w14:paraId="7FB652E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1628" w:type="dxa"/>
                  <w:noWrap w:val="0"/>
                  <w:vAlign w:val="center"/>
                </w:tcPr>
                <w:p w14:paraId="78E53B52">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1F70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3C9A141A">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362" w:type="dxa"/>
                  <w:noWrap w:val="0"/>
                  <w:vAlign w:val="top"/>
                </w:tcPr>
                <w:p w14:paraId="088B145E">
                  <w:pPr>
                    <w:pStyle w:val="37"/>
                    <w:spacing w:line="280" w:lineRule="exact"/>
                    <w:rPr>
                      <w:rFonts w:hint="eastAsia" w:ascii="Times New Roman" w:hAnsi="Times New Roman"/>
                      <w:color w:val="auto"/>
                      <w:szCs w:val="21"/>
                    </w:rPr>
                  </w:pPr>
                  <w:r>
                    <w:rPr>
                      <w:rFonts w:hint="eastAsia" w:ascii="Times New Roman" w:hAnsi="Times New Roman"/>
                      <w:color w:val="auto"/>
                      <w:szCs w:val="21"/>
                    </w:rPr>
                    <w:t>竣工结算合同价款总额</w:t>
                  </w:r>
                </w:p>
              </w:tc>
              <w:tc>
                <w:tcPr>
                  <w:tcW w:w="1605" w:type="dxa"/>
                  <w:noWrap w:val="0"/>
                  <w:vAlign w:val="top"/>
                </w:tcPr>
                <w:p w14:paraId="51CFDCCE">
                  <w:pPr>
                    <w:pStyle w:val="37"/>
                    <w:spacing w:line="280" w:lineRule="exact"/>
                    <w:rPr>
                      <w:rFonts w:hint="eastAsia" w:ascii="Times New Roman" w:hAnsi="Times New Roman"/>
                      <w:color w:val="auto"/>
                      <w:szCs w:val="21"/>
                    </w:rPr>
                  </w:pPr>
                </w:p>
              </w:tc>
              <w:tc>
                <w:tcPr>
                  <w:tcW w:w="1605" w:type="dxa"/>
                  <w:noWrap w:val="0"/>
                  <w:vAlign w:val="top"/>
                </w:tcPr>
                <w:p w14:paraId="1D1DB29B">
                  <w:pPr>
                    <w:pStyle w:val="37"/>
                    <w:spacing w:line="280" w:lineRule="exact"/>
                    <w:rPr>
                      <w:rFonts w:hint="eastAsia" w:ascii="Times New Roman" w:hAnsi="Times New Roman"/>
                      <w:color w:val="auto"/>
                      <w:szCs w:val="21"/>
                    </w:rPr>
                  </w:pPr>
                </w:p>
              </w:tc>
              <w:tc>
                <w:tcPr>
                  <w:tcW w:w="1628" w:type="dxa"/>
                  <w:noWrap w:val="0"/>
                  <w:vAlign w:val="top"/>
                </w:tcPr>
                <w:p w14:paraId="0BEB2C5C">
                  <w:pPr>
                    <w:pStyle w:val="37"/>
                    <w:spacing w:line="280" w:lineRule="exact"/>
                    <w:rPr>
                      <w:rFonts w:hint="eastAsia" w:ascii="Times New Roman" w:hAnsi="Times New Roman"/>
                      <w:color w:val="auto"/>
                      <w:szCs w:val="21"/>
                    </w:rPr>
                  </w:pPr>
                </w:p>
              </w:tc>
            </w:tr>
            <w:tr w14:paraId="2B99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6DF84F50">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362" w:type="dxa"/>
                  <w:noWrap w:val="0"/>
                  <w:vAlign w:val="top"/>
                </w:tcPr>
                <w:p w14:paraId="3653CC0B">
                  <w:pPr>
                    <w:pStyle w:val="37"/>
                    <w:spacing w:line="280" w:lineRule="exact"/>
                    <w:rPr>
                      <w:rFonts w:hint="eastAsia" w:ascii="Times New Roman" w:hAnsi="Times New Roman"/>
                      <w:color w:val="auto"/>
                      <w:szCs w:val="21"/>
                    </w:rPr>
                  </w:pPr>
                  <w:r>
                    <w:rPr>
                      <w:rFonts w:hint="eastAsia" w:ascii="Times New Roman" w:hAnsi="Times New Roman"/>
                      <w:color w:val="auto"/>
                      <w:szCs w:val="21"/>
                    </w:rPr>
                    <w:t>累计已实际支付的合同价款</w:t>
                  </w:r>
                </w:p>
              </w:tc>
              <w:tc>
                <w:tcPr>
                  <w:tcW w:w="1605" w:type="dxa"/>
                  <w:noWrap w:val="0"/>
                  <w:vAlign w:val="top"/>
                </w:tcPr>
                <w:p w14:paraId="294C6640">
                  <w:pPr>
                    <w:pStyle w:val="37"/>
                    <w:spacing w:line="280" w:lineRule="exact"/>
                    <w:rPr>
                      <w:rFonts w:hint="eastAsia" w:ascii="Times New Roman" w:hAnsi="Times New Roman"/>
                      <w:color w:val="auto"/>
                      <w:szCs w:val="21"/>
                    </w:rPr>
                  </w:pPr>
                </w:p>
              </w:tc>
              <w:tc>
                <w:tcPr>
                  <w:tcW w:w="1605" w:type="dxa"/>
                  <w:noWrap w:val="0"/>
                  <w:vAlign w:val="top"/>
                </w:tcPr>
                <w:p w14:paraId="5D50A7A3">
                  <w:pPr>
                    <w:pStyle w:val="37"/>
                    <w:spacing w:line="280" w:lineRule="exact"/>
                    <w:rPr>
                      <w:rFonts w:hint="eastAsia" w:ascii="Times New Roman" w:hAnsi="Times New Roman"/>
                      <w:color w:val="auto"/>
                      <w:szCs w:val="21"/>
                    </w:rPr>
                  </w:pPr>
                </w:p>
              </w:tc>
              <w:tc>
                <w:tcPr>
                  <w:tcW w:w="1628" w:type="dxa"/>
                  <w:noWrap w:val="0"/>
                  <w:vAlign w:val="top"/>
                </w:tcPr>
                <w:p w14:paraId="1C2D5CB0">
                  <w:pPr>
                    <w:pStyle w:val="37"/>
                    <w:spacing w:line="280" w:lineRule="exact"/>
                    <w:rPr>
                      <w:rFonts w:hint="eastAsia" w:ascii="Times New Roman" w:hAnsi="Times New Roman"/>
                      <w:color w:val="auto"/>
                      <w:szCs w:val="21"/>
                    </w:rPr>
                  </w:pPr>
                </w:p>
              </w:tc>
            </w:tr>
            <w:tr w14:paraId="5E6E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41F810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362" w:type="dxa"/>
                  <w:noWrap w:val="0"/>
                  <w:vAlign w:val="top"/>
                </w:tcPr>
                <w:p w14:paraId="086E430D">
                  <w:pPr>
                    <w:pStyle w:val="37"/>
                    <w:spacing w:line="280" w:lineRule="exact"/>
                    <w:rPr>
                      <w:rFonts w:hint="eastAsia" w:ascii="Times New Roman" w:hAnsi="Times New Roman"/>
                      <w:color w:val="auto"/>
                      <w:szCs w:val="21"/>
                    </w:rPr>
                  </w:pPr>
                  <w:r>
                    <w:rPr>
                      <w:rFonts w:hint="eastAsia" w:ascii="Times New Roman" w:hAnsi="Times New Roman"/>
                      <w:color w:val="auto"/>
                      <w:szCs w:val="21"/>
                    </w:rPr>
                    <w:t>应预留的质量保证金</w:t>
                  </w:r>
                </w:p>
              </w:tc>
              <w:tc>
                <w:tcPr>
                  <w:tcW w:w="1605" w:type="dxa"/>
                  <w:noWrap w:val="0"/>
                  <w:vAlign w:val="top"/>
                </w:tcPr>
                <w:p w14:paraId="028BD156">
                  <w:pPr>
                    <w:pStyle w:val="37"/>
                    <w:spacing w:line="280" w:lineRule="exact"/>
                    <w:rPr>
                      <w:rFonts w:hint="eastAsia" w:ascii="Times New Roman" w:hAnsi="Times New Roman"/>
                      <w:color w:val="auto"/>
                      <w:szCs w:val="21"/>
                    </w:rPr>
                  </w:pPr>
                </w:p>
              </w:tc>
              <w:tc>
                <w:tcPr>
                  <w:tcW w:w="1605" w:type="dxa"/>
                  <w:noWrap w:val="0"/>
                  <w:vAlign w:val="top"/>
                </w:tcPr>
                <w:p w14:paraId="4B7C8E0A">
                  <w:pPr>
                    <w:pStyle w:val="37"/>
                    <w:spacing w:line="280" w:lineRule="exact"/>
                    <w:rPr>
                      <w:rFonts w:hint="eastAsia" w:ascii="Times New Roman" w:hAnsi="Times New Roman"/>
                      <w:color w:val="auto"/>
                      <w:szCs w:val="21"/>
                    </w:rPr>
                  </w:pPr>
                </w:p>
              </w:tc>
              <w:tc>
                <w:tcPr>
                  <w:tcW w:w="1628" w:type="dxa"/>
                  <w:noWrap w:val="0"/>
                  <w:vAlign w:val="top"/>
                </w:tcPr>
                <w:p w14:paraId="3723F4BD">
                  <w:pPr>
                    <w:pStyle w:val="37"/>
                    <w:spacing w:line="280" w:lineRule="exact"/>
                    <w:rPr>
                      <w:rFonts w:hint="eastAsia" w:ascii="Times New Roman" w:hAnsi="Times New Roman"/>
                      <w:color w:val="auto"/>
                      <w:szCs w:val="21"/>
                    </w:rPr>
                  </w:pPr>
                </w:p>
              </w:tc>
            </w:tr>
            <w:tr w14:paraId="4CED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151A735">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362" w:type="dxa"/>
                  <w:noWrap w:val="0"/>
                  <w:vAlign w:val="top"/>
                </w:tcPr>
                <w:p w14:paraId="129E449C">
                  <w:pPr>
                    <w:pStyle w:val="37"/>
                    <w:spacing w:line="280" w:lineRule="exact"/>
                    <w:rPr>
                      <w:rFonts w:hint="eastAsia" w:ascii="Times New Roman" w:hAnsi="Times New Roman"/>
                      <w:color w:val="auto"/>
                      <w:szCs w:val="21"/>
                    </w:rPr>
                  </w:pPr>
                  <w:r>
                    <w:rPr>
                      <w:rFonts w:hint="eastAsia" w:ascii="Times New Roman" w:hAnsi="Times New Roman"/>
                      <w:color w:val="auto"/>
                      <w:szCs w:val="21"/>
                    </w:rPr>
                    <w:t>应支付的竣工结算款金额</w:t>
                  </w:r>
                </w:p>
              </w:tc>
              <w:tc>
                <w:tcPr>
                  <w:tcW w:w="1605" w:type="dxa"/>
                  <w:noWrap w:val="0"/>
                  <w:vAlign w:val="top"/>
                </w:tcPr>
                <w:p w14:paraId="5921CEDD">
                  <w:pPr>
                    <w:pStyle w:val="37"/>
                    <w:spacing w:line="280" w:lineRule="exact"/>
                    <w:rPr>
                      <w:rFonts w:hint="eastAsia" w:ascii="Times New Roman" w:hAnsi="Times New Roman"/>
                      <w:color w:val="auto"/>
                      <w:szCs w:val="21"/>
                    </w:rPr>
                  </w:pPr>
                </w:p>
              </w:tc>
              <w:tc>
                <w:tcPr>
                  <w:tcW w:w="1605" w:type="dxa"/>
                  <w:noWrap w:val="0"/>
                  <w:vAlign w:val="top"/>
                </w:tcPr>
                <w:p w14:paraId="45BCCB3E">
                  <w:pPr>
                    <w:pStyle w:val="37"/>
                    <w:spacing w:line="280" w:lineRule="exact"/>
                    <w:rPr>
                      <w:rFonts w:hint="eastAsia" w:ascii="Times New Roman" w:hAnsi="Times New Roman"/>
                      <w:color w:val="auto"/>
                      <w:szCs w:val="21"/>
                    </w:rPr>
                  </w:pPr>
                </w:p>
              </w:tc>
              <w:tc>
                <w:tcPr>
                  <w:tcW w:w="1628" w:type="dxa"/>
                  <w:noWrap w:val="0"/>
                  <w:vAlign w:val="top"/>
                </w:tcPr>
                <w:p w14:paraId="350A63D3">
                  <w:pPr>
                    <w:pStyle w:val="37"/>
                    <w:spacing w:line="280" w:lineRule="exact"/>
                    <w:rPr>
                      <w:rFonts w:hint="eastAsia" w:ascii="Times New Roman" w:hAnsi="Times New Roman"/>
                      <w:color w:val="auto"/>
                      <w:szCs w:val="21"/>
                    </w:rPr>
                  </w:pPr>
                </w:p>
              </w:tc>
            </w:tr>
            <w:tr w14:paraId="7C0A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4C96F46">
                  <w:pPr>
                    <w:pStyle w:val="37"/>
                    <w:spacing w:line="280" w:lineRule="exact"/>
                    <w:jc w:val="center"/>
                    <w:rPr>
                      <w:rFonts w:hint="eastAsia" w:ascii="Times New Roman" w:hAnsi="Times New Roman"/>
                      <w:color w:val="auto"/>
                      <w:szCs w:val="21"/>
                    </w:rPr>
                  </w:pPr>
                </w:p>
              </w:tc>
              <w:tc>
                <w:tcPr>
                  <w:tcW w:w="3362" w:type="dxa"/>
                  <w:noWrap w:val="0"/>
                  <w:vAlign w:val="top"/>
                </w:tcPr>
                <w:p w14:paraId="27B03060">
                  <w:pPr>
                    <w:pStyle w:val="37"/>
                    <w:spacing w:line="280" w:lineRule="exact"/>
                    <w:rPr>
                      <w:rFonts w:hint="eastAsia" w:ascii="Times New Roman" w:hAnsi="Times New Roman"/>
                      <w:color w:val="auto"/>
                      <w:szCs w:val="21"/>
                    </w:rPr>
                  </w:pPr>
                </w:p>
              </w:tc>
              <w:tc>
                <w:tcPr>
                  <w:tcW w:w="1605" w:type="dxa"/>
                  <w:noWrap w:val="0"/>
                  <w:vAlign w:val="top"/>
                </w:tcPr>
                <w:p w14:paraId="33B645D0">
                  <w:pPr>
                    <w:pStyle w:val="37"/>
                    <w:spacing w:line="280" w:lineRule="exact"/>
                    <w:rPr>
                      <w:rFonts w:hint="eastAsia" w:ascii="Times New Roman" w:hAnsi="Times New Roman"/>
                      <w:color w:val="auto"/>
                      <w:szCs w:val="21"/>
                    </w:rPr>
                  </w:pPr>
                </w:p>
              </w:tc>
              <w:tc>
                <w:tcPr>
                  <w:tcW w:w="1605" w:type="dxa"/>
                  <w:noWrap w:val="0"/>
                  <w:vAlign w:val="top"/>
                </w:tcPr>
                <w:p w14:paraId="16444685">
                  <w:pPr>
                    <w:pStyle w:val="37"/>
                    <w:spacing w:line="280" w:lineRule="exact"/>
                    <w:rPr>
                      <w:rFonts w:hint="eastAsia" w:ascii="Times New Roman" w:hAnsi="Times New Roman"/>
                      <w:color w:val="auto"/>
                      <w:szCs w:val="21"/>
                    </w:rPr>
                  </w:pPr>
                </w:p>
              </w:tc>
              <w:tc>
                <w:tcPr>
                  <w:tcW w:w="1628" w:type="dxa"/>
                  <w:noWrap w:val="0"/>
                  <w:vAlign w:val="top"/>
                </w:tcPr>
                <w:p w14:paraId="0F9C31E0">
                  <w:pPr>
                    <w:pStyle w:val="37"/>
                    <w:spacing w:line="280" w:lineRule="exact"/>
                    <w:rPr>
                      <w:rFonts w:hint="eastAsia" w:ascii="Times New Roman" w:hAnsi="Times New Roman"/>
                      <w:color w:val="auto"/>
                      <w:szCs w:val="21"/>
                    </w:rPr>
                  </w:pPr>
                </w:p>
              </w:tc>
            </w:tr>
            <w:tr w14:paraId="2AF8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0941003">
                  <w:pPr>
                    <w:pStyle w:val="37"/>
                    <w:spacing w:line="280" w:lineRule="exact"/>
                    <w:jc w:val="center"/>
                    <w:rPr>
                      <w:rFonts w:hint="eastAsia" w:ascii="Times New Roman" w:hAnsi="Times New Roman"/>
                      <w:color w:val="auto"/>
                      <w:szCs w:val="21"/>
                    </w:rPr>
                  </w:pPr>
                </w:p>
              </w:tc>
              <w:tc>
                <w:tcPr>
                  <w:tcW w:w="3362" w:type="dxa"/>
                  <w:noWrap w:val="0"/>
                  <w:vAlign w:val="top"/>
                </w:tcPr>
                <w:p w14:paraId="171572DD">
                  <w:pPr>
                    <w:pStyle w:val="37"/>
                    <w:spacing w:line="280" w:lineRule="exact"/>
                    <w:rPr>
                      <w:rFonts w:hint="eastAsia" w:ascii="Times New Roman" w:hAnsi="Times New Roman"/>
                      <w:color w:val="auto"/>
                      <w:szCs w:val="21"/>
                    </w:rPr>
                  </w:pPr>
                </w:p>
              </w:tc>
              <w:tc>
                <w:tcPr>
                  <w:tcW w:w="1605" w:type="dxa"/>
                  <w:noWrap w:val="0"/>
                  <w:vAlign w:val="top"/>
                </w:tcPr>
                <w:p w14:paraId="42F40DA3">
                  <w:pPr>
                    <w:pStyle w:val="37"/>
                    <w:spacing w:line="280" w:lineRule="exact"/>
                    <w:rPr>
                      <w:rFonts w:hint="eastAsia" w:ascii="Times New Roman" w:hAnsi="Times New Roman"/>
                      <w:color w:val="auto"/>
                      <w:szCs w:val="21"/>
                    </w:rPr>
                  </w:pPr>
                </w:p>
              </w:tc>
              <w:tc>
                <w:tcPr>
                  <w:tcW w:w="1605" w:type="dxa"/>
                  <w:noWrap w:val="0"/>
                  <w:vAlign w:val="top"/>
                </w:tcPr>
                <w:p w14:paraId="6613F7CA">
                  <w:pPr>
                    <w:pStyle w:val="37"/>
                    <w:spacing w:line="280" w:lineRule="exact"/>
                    <w:rPr>
                      <w:rFonts w:hint="eastAsia" w:ascii="Times New Roman" w:hAnsi="Times New Roman"/>
                      <w:color w:val="auto"/>
                      <w:szCs w:val="21"/>
                    </w:rPr>
                  </w:pPr>
                </w:p>
              </w:tc>
              <w:tc>
                <w:tcPr>
                  <w:tcW w:w="1628" w:type="dxa"/>
                  <w:noWrap w:val="0"/>
                  <w:vAlign w:val="top"/>
                </w:tcPr>
                <w:p w14:paraId="1EC78B44">
                  <w:pPr>
                    <w:pStyle w:val="37"/>
                    <w:spacing w:line="280" w:lineRule="exact"/>
                    <w:rPr>
                      <w:rFonts w:hint="eastAsia" w:ascii="Times New Roman" w:hAnsi="Times New Roman"/>
                      <w:color w:val="auto"/>
                      <w:szCs w:val="21"/>
                    </w:rPr>
                  </w:pPr>
                </w:p>
              </w:tc>
            </w:tr>
            <w:tr w14:paraId="51C3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5792AB91">
                  <w:pPr>
                    <w:pStyle w:val="37"/>
                    <w:spacing w:line="280" w:lineRule="exact"/>
                    <w:jc w:val="center"/>
                    <w:rPr>
                      <w:rFonts w:hint="eastAsia" w:ascii="Times New Roman" w:hAnsi="Times New Roman"/>
                      <w:color w:val="auto"/>
                      <w:szCs w:val="21"/>
                    </w:rPr>
                  </w:pPr>
                </w:p>
              </w:tc>
              <w:tc>
                <w:tcPr>
                  <w:tcW w:w="3362" w:type="dxa"/>
                  <w:noWrap w:val="0"/>
                  <w:vAlign w:val="top"/>
                </w:tcPr>
                <w:p w14:paraId="75BD5872">
                  <w:pPr>
                    <w:pStyle w:val="37"/>
                    <w:spacing w:line="280" w:lineRule="exact"/>
                    <w:rPr>
                      <w:rFonts w:hint="eastAsia" w:ascii="Times New Roman" w:hAnsi="Times New Roman"/>
                      <w:color w:val="auto"/>
                      <w:szCs w:val="21"/>
                    </w:rPr>
                  </w:pPr>
                </w:p>
              </w:tc>
              <w:tc>
                <w:tcPr>
                  <w:tcW w:w="1605" w:type="dxa"/>
                  <w:noWrap w:val="0"/>
                  <w:vAlign w:val="top"/>
                </w:tcPr>
                <w:p w14:paraId="5CED3395">
                  <w:pPr>
                    <w:pStyle w:val="37"/>
                    <w:spacing w:line="280" w:lineRule="exact"/>
                    <w:rPr>
                      <w:rFonts w:hint="eastAsia" w:ascii="Times New Roman" w:hAnsi="Times New Roman"/>
                      <w:color w:val="auto"/>
                      <w:szCs w:val="21"/>
                    </w:rPr>
                  </w:pPr>
                </w:p>
              </w:tc>
              <w:tc>
                <w:tcPr>
                  <w:tcW w:w="1605" w:type="dxa"/>
                  <w:noWrap w:val="0"/>
                  <w:vAlign w:val="top"/>
                </w:tcPr>
                <w:p w14:paraId="4BB6C60F">
                  <w:pPr>
                    <w:pStyle w:val="37"/>
                    <w:spacing w:line="280" w:lineRule="exact"/>
                    <w:rPr>
                      <w:rFonts w:hint="eastAsia" w:ascii="Times New Roman" w:hAnsi="Times New Roman"/>
                      <w:color w:val="auto"/>
                      <w:szCs w:val="21"/>
                    </w:rPr>
                  </w:pPr>
                </w:p>
              </w:tc>
              <w:tc>
                <w:tcPr>
                  <w:tcW w:w="1628" w:type="dxa"/>
                  <w:noWrap w:val="0"/>
                  <w:vAlign w:val="top"/>
                </w:tcPr>
                <w:p w14:paraId="6568781B">
                  <w:pPr>
                    <w:pStyle w:val="37"/>
                    <w:spacing w:line="280" w:lineRule="exact"/>
                    <w:rPr>
                      <w:rFonts w:hint="eastAsia" w:ascii="Times New Roman" w:hAnsi="Times New Roman"/>
                      <w:color w:val="auto"/>
                      <w:szCs w:val="21"/>
                    </w:rPr>
                  </w:pPr>
                </w:p>
              </w:tc>
            </w:tr>
            <w:tr w14:paraId="7440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3785295">
                  <w:pPr>
                    <w:pStyle w:val="37"/>
                    <w:spacing w:line="280" w:lineRule="exact"/>
                    <w:jc w:val="center"/>
                    <w:rPr>
                      <w:rFonts w:hint="eastAsia" w:ascii="Times New Roman" w:hAnsi="Times New Roman"/>
                      <w:color w:val="auto"/>
                      <w:szCs w:val="21"/>
                    </w:rPr>
                  </w:pPr>
                </w:p>
              </w:tc>
              <w:tc>
                <w:tcPr>
                  <w:tcW w:w="3362" w:type="dxa"/>
                  <w:noWrap w:val="0"/>
                  <w:vAlign w:val="top"/>
                </w:tcPr>
                <w:p w14:paraId="2C612EFF">
                  <w:pPr>
                    <w:pStyle w:val="37"/>
                    <w:spacing w:line="280" w:lineRule="exact"/>
                    <w:rPr>
                      <w:rFonts w:hint="eastAsia" w:ascii="Times New Roman" w:hAnsi="Times New Roman"/>
                      <w:color w:val="auto"/>
                      <w:szCs w:val="21"/>
                    </w:rPr>
                  </w:pPr>
                </w:p>
              </w:tc>
              <w:tc>
                <w:tcPr>
                  <w:tcW w:w="1605" w:type="dxa"/>
                  <w:noWrap w:val="0"/>
                  <w:vAlign w:val="top"/>
                </w:tcPr>
                <w:p w14:paraId="4EA4126E">
                  <w:pPr>
                    <w:pStyle w:val="37"/>
                    <w:spacing w:line="280" w:lineRule="exact"/>
                    <w:rPr>
                      <w:rFonts w:hint="eastAsia" w:ascii="Times New Roman" w:hAnsi="Times New Roman"/>
                      <w:color w:val="auto"/>
                      <w:szCs w:val="21"/>
                    </w:rPr>
                  </w:pPr>
                </w:p>
              </w:tc>
              <w:tc>
                <w:tcPr>
                  <w:tcW w:w="1605" w:type="dxa"/>
                  <w:noWrap w:val="0"/>
                  <w:vAlign w:val="top"/>
                </w:tcPr>
                <w:p w14:paraId="62FBE854">
                  <w:pPr>
                    <w:pStyle w:val="37"/>
                    <w:spacing w:line="280" w:lineRule="exact"/>
                    <w:rPr>
                      <w:rFonts w:hint="eastAsia" w:ascii="Times New Roman" w:hAnsi="Times New Roman"/>
                      <w:color w:val="auto"/>
                      <w:szCs w:val="21"/>
                    </w:rPr>
                  </w:pPr>
                </w:p>
              </w:tc>
              <w:tc>
                <w:tcPr>
                  <w:tcW w:w="1628" w:type="dxa"/>
                  <w:noWrap w:val="0"/>
                  <w:vAlign w:val="top"/>
                </w:tcPr>
                <w:p w14:paraId="40630BF2">
                  <w:pPr>
                    <w:pStyle w:val="37"/>
                    <w:spacing w:line="280" w:lineRule="exact"/>
                    <w:rPr>
                      <w:rFonts w:hint="eastAsia" w:ascii="Times New Roman" w:hAnsi="Times New Roman"/>
                      <w:color w:val="auto"/>
                      <w:szCs w:val="21"/>
                    </w:rPr>
                  </w:pPr>
                </w:p>
              </w:tc>
            </w:tr>
            <w:tr w14:paraId="32B4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C6EDEC7">
                  <w:pPr>
                    <w:pStyle w:val="37"/>
                    <w:spacing w:line="280" w:lineRule="exact"/>
                    <w:jc w:val="center"/>
                    <w:rPr>
                      <w:rFonts w:hint="eastAsia" w:ascii="Times New Roman" w:hAnsi="Times New Roman"/>
                      <w:color w:val="auto"/>
                      <w:szCs w:val="21"/>
                    </w:rPr>
                  </w:pPr>
                </w:p>
              </w:tc>
              <w:tc>
                <w:tcPr>
                  <w:tcW w:w="3362" w:type="dxa"/>
                  <w:noWrap w:val="0"/>
                  <w:vAlign w:val="top"/>
                </w:tcPr>
                <w:p w14:paraId="4D3C61F3">
                  <w:pPr>
                    <w:pStyle w:val="37"/>
                    <w:spacing w:line="280" w:lineRule="exact"/>
                    <w:rPr>
                      <w:rFonts w:hint="eastAsia" w:ascii="Times New Roman" w:hAnsi="Times New Roman"/>
                      <w:color w:val="auto"/>
                      <w:szCs w:val="21"/>
                    </w:rPr>
                  </w:pPr>
                </w:p>
              </w:tc>
              <w:tc>
                <w:tcPr>
                  <w:tcW w:w="1605" w:type="dxa"/>
                  <w:noWrap w:val="0"/>
                  <w:vAlign w:val="top"/>
                </w:tcPr>
                <w:p w14:paraId="27CFA7BA">
                  <w:pPr>
                    <w:pStyle w:val="37"/>
                    <w:spacing w:line="280" w:lineRule="exact"/>
                    <w:rPr>
                      <w:rFonts w:hint="eastAsia" w:ascii="Times New Roman" w:hAnsi="Times New Roman"/>
                      <w:color w:val="auto"/>
                      <w:szCs w:val="21"/>
                    </w:rPr>
                  </w:pPr>
                </w:p>
              </w:tc>
              <w:tc>
                <w:tcPr>
                  <w:tcW w:w="1605" w:type="dxa"/>
                  <w:noWrap w:val="0"/>
                  <w:vAlign w:val="top"/>
                </w:tcPr>
                <w:p w14:paraId="72E42836">
                  <w:pPr>
                    <w:pStyle w:val="37"/>
                    <w:spacing w:line="280" w:lineRule="exact"/>
                    <w:rPr>
                      <w:rFonts w:hint="eastAsia" w:ascii="Times New Roman" w:hAnsi="Times New Roman"/>
                      <w:color w:val="auto"/>
                      <w:szCs w:val="21"/>
                    </w:rPr>
                  </w:pPr>
                </w:p>
              </w:tc>
              <w:tc>
                <w:tcPr>
                  <w:tcW w:w="1628" w:type="dxa"/>
                  <w:noWrap w:val="0"/>
                  <w:vAlign w:val="top"/>
                </w:tcPr>
                <w:p w14:paraId="521BEB9F">
                  <w:pPr>
                    <w:pStyle w:val="37"/>
                    <w:spacing w:line="280" w:lineRule="exact"/>
                    <w:rPr>
                      <w:rFonts w:hint="eastAsia" w:ascii="Times New Roman" w:hAnsi="Times New Roman"/>
                      <w:color w:val="auto"/>
                      <w:szCs w:val="21"/>
                    </w:rPr>
                  </w:pPr>
                </w:p>
              </w:tc>
            </w:tr>
          </w:tbl>
          <w:p w14:paraId="40BBED12">
            <w:pPr>
              <w:pStyle w:val="37"/>
              <w:spacing w:line="400" w:lineRule="exact"/>
              <w:ind w:right="420" w:firstLine="435"/>
              <w:jc w:val="center"/>
              <w:rPr>
                <w:rFonts w:hint="eastAsia" w:ascii="Times New Roman" w:hAnsi="Times New Roman"/>
                <w:color w:val="auto"/>
                <w:szCs w:val="21"/>
              </w:rPr>
            </w:pPr>
          </w:p>
          <w:p w14:paraId="20E65A63">
            <w:pPr>
              <w:pStyle w:val="37"/>
              <w:spacing w:line="400" w:lineRule="exact"/>
              <w:ind w:right="420" w:firstLine="420" w:firstLineChars="200"/>
              <w:jc w:val="center"/>
              <w:rPr>
                <w:rFonts w:hint="eastAsia" w:ascii="Times New Roman" w:hAnsi="Times New Roman"/>
                <w:color w:val="auto"/>
                <w:szCs w:val="21"/>
              </w:rPr>
            </w:pPr>
            <w:r>
              <w:rPr>
                <w:rFonts w:hint="eastAsia" w:ascii="Times New Roman" w:hAnsi="Times New Roman"/>
                <w:color w:val="auto"/>
                <w:szCs w:val="21"/>
              </w:rPr>
              <w:t xml:space="preserve">                                            承包人（章）             </w:t>
            </w:r>
          </w:p>
          <w:p w14:paraId="6C2B76DD">
            <w:pPr>
              <w:pStyle w:val="37"/>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造价人员</w:t>
            </w:r>
            <w:r>
              <w:rPr>
                <w:rFonts w:hint="eastAsia" w:ascii="Times New Roman" w:hAnsi="Times New Roman"/>
                <w:color w:val="auto"/>
                <w:szCs w:val="21"/>
                <w:u w:val="single"/>
              </w:rPr>
              <w:t xml:space="preserve">               </w:t>
            </w: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4F93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72" w:type="dxa"/>
            <w:noWrap w:val="0"/>
            <w:vAlign w:val="top"/>
          </w:tcPr>
          <w:p w14:paraId="15DA2FA3">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536C74DB">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□与实际施工情况不相符，修改意见见附件。</w:t>
            </w:r>
          </w:p>
          <w:p w14:paraId="257C0EDD">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□与实际施工情况相符，具体金额由造价工程师复核。</w:t>
            </w:r>
          </w:p>
          <w:p w14:paraId="1B43AC3D">
            <w:pPr>
              <w:pStyle w:val="37"/>
              <w:spacing w:line="360" w:lineRule="exact"/>
              <w:ind w:firstLine="435"/>
              <w:jc w:val="right"/>
              <w:rPr>
                <w:rFonts w:hint="eastAsia" w:ascii="Times New Roman" w:hAnsi="Times New Roman"/>
                <w:color w:val="auto"/>
                <w:szCs w:val="21"/>
              </w:rPr>
            </w:pPr>
          </w:p>
          <w:p w14:paraId="4647091A">
            <w:pPr>
              <w:pStyle w:val="37"/>
              <w:spacing w:line="360" w:lineRule="exact"/>
              <w:ind w:firstLine="435"/>
              <w:jc w:val="right"/>
              <w:rPr>
                <w:rFonts w:hint="eastAsia" w:ascii="Times New Roman" w:hAnsi="Times New Roman"/>
                <w:color w:val="auto"/>
                <w:szCs w:val="21"/>
              </w:rPr>
            </w:pPr>
          </w:p>
          <w:p w14:paraId="3C4236C7">
            <w:pPr>
              <w:pStyle w:val="37"/>
              <w:spacing w:line="360" w:lineRule="exact"/>
              <w:ind w:firstLine="420" w:firstLineChars="200"/>
              <w:jc w:val="center"/>
              <w:rPr>
                <w:rFonts w:hint="eastAsia"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 xml:space="preserve">     </w:t>
            </w:r>
          </w:p>
          <w:p w14:paraId="0DB25E66">
            <w:pPr>
              <w:pStyle w:val="37"/>
              <w:spacing w:line="360" w:lineRule="exact"/>
              <w:ind w:firstLine="420" w:firstLineChars="200"/>
              <w:jc w:val="center"/>
              <w:rPr>
                <w:rFonts w:hint="eastAsia" w:ascii="Times New Roman" w:hAnsi="Times New Roman"/>
                <w:color w:val="auto"/>
                <w:szCs w:val="21"/>
                <w:u w:val="single"/>
              </w:rPr>
            </w:pP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5970ED41">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tc>
      </w:tr>
      <w:tr w14:paraId="342A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47F10ED2">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47993E0D">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12C40B35">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0C14B1CF">
            <w:pPr>
              <w:pStyle w:val="37"/>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705836CE">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5166AF2E">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17A7FAF3">
      <w:pPr>
        <w:pStyle w:val="37"/>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注：1.在选择栏中的“□”内作标识“√”。 </w:t>
      </w:r>
    </w:p>
    <w:p w14:paraId="69C7A3D9">
      <w:pPr>
        <w:pStyle w:val="37"/>
        <w:spacing w:before="156" w:beforeLines="50"/>
        <w:ind w:firstLine="720" w:firstLineChars="400"/>
        <w:rPr>
          <w:rFonts w:hint="eastAsia" w:ascii="Times New Roman" w:hAnsi="Times New Roman"/>
          <w:color w:val="auto"/>
          <w:sz w:val="18"/>
          <w:szCs w:val="18"/>
        </w:rPr>
      </w:pPr>
      <w:r>
        <w:rPr>
          <w:rFonts w:hint="eastAsia" w:ascii="Times New Roman" w:hAnsi="Times New Roman"/>
          <w:color w:val="auto"/>
          <w:sz w:val="18"/>
          <w:szCs w:val="18"/>
        </w:rPr>
        <w:t>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703A0F96">
      <w:pPr>
        <w:pStyle w:val="37"/>
        <w:ind w:right="360"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                                                                                            </w:t>
      </w:r>
    </w:p>
    <w:p w14:paraId="7415CF70">
      <w:pPr>
        <w:pStyle w:val="37"/>
        <w:ind w:firstLine="600" w:firstLineChars="200"/>
        <w:jc w:val="left"/>
        <w:rPr>
          <w:rFonts w:hint="eastAsia" w:ascii="Times New Roman" w:hAnsi="Times New Roman"/>
          <w:b/>
          <w:color w:val="auto"/>
          <w:sz w:val="30"/>
          <w:szCs w:val="30"/>
        </w:rPr>
      </w:pPr>
      <w:r>
        <w:rPr>
          <w:rFonts w:hint="eastAsia" w:ascii="Times New Roman" w:hAnsi="宋体" w:cs="宋体"/>
          <w:color w:val="auto"/>
          <w:sz w:val="30"/>
          <w:szCs w:val="30"/>
        </w:rPr>
        <w:t>附件13：</w:t>
      </w:r>
    </w:p>
    <w:p w14:paraId="0A0854C2">
      <w:pPr>
        <w:pStyle w:val="37"/>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最终结算款支付申请（核准）表</w:t>
      </w:r>
    </w:p>
    <w:p w14:paraId="1533C280">
      <w:pPr>
        <w:pStyle w:val="37"/>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271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4" w:hRule="atLeast"/>
          <w:jc w:val="center"/>
        </w:trPr>
        <w:tc>
          <w:tcPr>
            <w:tcW w:w="9072" w:type="dxa"/>
            <w:noWrap w:val="0"/>
            <w:vAlign w:val="top"/>
          </w:tcPr>
          <w:p w14:paraId="5503D593">
            <w:pPr>
              <w:pStyle w:val="37"/>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015D57DE">
            <w:pPr>
              <w:pStyle w:val="37"/>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我方于</w:t>
            </w:r>
            <w:r>
              <w:rPr>
                <w:rFonts w:hint="eastAsia" w:ascii="Times New Roman" w:hAnsi="Times New Roman"/>
                <w:color w:val="auto"/>
                <w:szCs w:val="21"/>
                <w:u w:val="single"/>
              </w:rPr>
              <w:t xml:space="preserve">         </w:t>
            </w:r>
            <w:r>
              <w:rPr>
                <w:rFonts w:hint="eastAsia" w:ascii="Times New Roman" w:hAnsi="Times New Roman"/>
                <w:color w:val="auto"/>
                <w:szCs w:val="21"/>
              </w:rPr>
              <w:t>至</w:t>
            </w:r>
            <w:r>
              <w:rPr>
                <w:rFonts w:hint="eastAsia" w:ascii="Times New Roman" w:hAnsi="Times New Roman"/>
                <w:color w:val="auto"/>
                <w:szCs w:val="21"/>
                <w:u w:val="single"/>
              </w:rPr>
              <w:t xml:space="preserve">          </w:t>
            </w:r>
            <w:r>
              <w:rPr>
                <w:rFonts w:hint="eastAsia" w:ascii="Times New Roman" w:hAnsi="Times New Roman"/>
                <w:color w:val="auto"/>
                <w:szCs w:val="21"/>
              </w:rPr>
              <w:t>期间已完成了缺陷修复工作，根据施工合同的约定，现申请支付最终结清合同款额为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364"/>
              <w:gridCol w:w="1605"/>
              <w:gridCol w:w="1605"/>
              <w:gridCol w:w="1627"/>
            </w:tblGrid>
            <w:tr w14:paraId="75F1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2" w:type="dxa"/>
                  <w:noWrap w:val="0"/>
                  <w:vAlign w:val="center"/>
                </w:tcPr>
                <w:p w14:paraId="658DE486">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364" w:type="dxa"/>
                  <w:noWrap w:val="0"/>
                  <w:vAlign w:val="center"/>
                </w:tcPr>
                <w:p w14:paraId="13F8EC8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605" w:type="dxa"/>
                  <w:noWrap w:val="0"/>
                  <w:vAlign w:val="center"/>
                </w:tcPr>
                <w:p w14:paraId="0D67E599">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1605" w:type="dxa"/>
                  <w:noWrap w:val="0"/>
                  <w:vAlign w:val="center"/>
                </w:tcPr>
                <w:p w14:paraId="1CBD2EA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1627" w:type="dxa"/>
                  <w:noWrap w:val="0"/>
                  <w:vAlign w:val="center"/>
                </w:tcPr>
                <w:p w14:paraId="79F0C1D7">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242F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87C8C4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364" w:type="dxa"/>
                  <w:noWrap w:val="0"/>
                  <w:vAlign w:val="top"/>
                </w:tcPr>
                <w:p w14:paraId="44254D1C">
                  <w:pPr>
                    <w:pStyle w:val="37"/>
                    <w:spacing w:line="280" w:lineRule="exact"/>
                    <w:rPr>
                      <w:rFonts w:hint="eastAsia" w:ascii="Times New Roman" w:hAnsi="Times New Roman"/>
                      <w:color w:val="auto"/>
                      <w:szCs w:val="21"/>
                    </w:rPr>
                  </w:pPr>
                  <w:r>
                    <w:rPr>
                      <w:rFonts w:hint="eastAsia" w:ascii="Times New Roman" w:hAnsi="Times New Roman"/>
                      <w:color w:val="auto"/>
                      <w:szCs w:val="21"/>
                    </w:rPr>
                    <w:t>已预留的质量保证金</w:t>
                  </w:r>
                </w:p>
              </w:tc>
              <w:tc>
                <w:tcPr>
                  <w:tcW w:w="1605" w:type="dxa"/>
                  <w:noWrap w:val="0"/>
                  <w:vAlign w:val="top"/>
                </w:tcPr>
                <w:p w14:paraId="038E493F">
                  <w:pPr>
                    <w:pStyle w:val="37"/>
                    <w:spacing w:line="280" w:lineRule="exact"/>
                    <w:rPr>
                      <w:rFonts w:hint="eastAsia" w:ascii="Times New Roman" w:hAnsi="Times New Roman"/>
                      <w:color w:val="auto"/>
                      <w:szCs w:val="21"/>
                    </w:rPr>
                  </w:pPr>
                </w:p>
              </w:tc>
              <w:tc>
                <w:tcPr>
                  <w:tcW w:w="1605" w:type="dxa"/>
                  <w:noWrap w:val="0"/>
                  <w:vAlign w:val="top"/>
                </w:tcPr>
                <w:p w14:paraId="33BCFF1A">
                  <w:pPr>
                    <w:pStyle w:val="37"/>
                    <w:spacing w:line="280" w:lineRule="exact"/>
                    <w:rPr>
                      <w:rFonts w:hint="eastAsia" w:ascii="Times New Roman" w:hAnsi="Times New Roman"/>
                      <w:color w:val="auto"/>
                      <w:szCs w:val="21"/>
                    </w:rPr>
                  </w:pPr>
                </w:p>
              </w:tc>
              <w:tc>
                <w:tcPr>
                  <w:tcW w:w="1627" w:type="dxa"/>
                  <w:noWrap w:val="0"/>
                  <w:vAlign w:val="top"/>
                </w:tcPr>
                <w:p w14:paraId="2E63E95D">
                  <w:pPr>
                    <w:pStyle w:val="37"/>
                    <w:spacing w:line="280" w:lineRule="exact"/>
                    <w:rPr>
                      <w:rFonts w:hint="eastAsia" w:ascii="Times New Roman" w:hAnsi="Times New Roman"/>
                      <w:color w:val="auto"/>
                      <w:szCs w:val="21"/>
                    </w:rPr>
                  </w:pPr>
                </w:p>
              </w:tc>
            </w:tr>
            <w:tr w14:paraId="6846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885E27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364" w:type="dxa"/>
                  <w:noWrap w:val="0"/>
                  <w:vAlign w:val="top"/>
                </w:tcPr>
                <w:p w14:paraId="3A0E7551">
                  <w:pPr>
                    <w:pStyle w:val="37"/>
                    <w:spacing w:line="280" w:lineRule="exact"/>
                    <w:rPr>
                      <w:rFonts w:hint="eastAsia" w:ascii="Times New Roman" w:hAnsi="Times New Roman"/>
                      <w:color w:val="auto"/>
                      <w:szCs w:val="21"/>
                    </w:rPr>
                  </w:pPr>
                  <w:r>
                    <w:rPr>
                      <w:rFonts w:hint="eastAsia" w:ascii="Times New Roman" w:hAnsi="Times New Roman"/>
                      <w:color w:val="auto"/>
                      <w:szCs w:val="21"/>
                    </w:rPr>
                    <w:t>应增加因发包人原因造成缺陷的修复金额</w:t>
                  </w:r>
                </w:p>
              </w:tc>
              <w:tc>
                <w:tcPr>
                  <w:tcW w:w="1605" w:type="dxa"/>
                  <w:noWrap w:val="0"/>
                  <w:vAlign w:val="top"/>
                </w:tcPr>
                <w:p w14:paraId="1749134D">
                  <w:pPr>
                    <w:pStyle w:val="37"/>
                    <w:spacing w:line="280" w:lineRule="exact"/>
                    <w:rPr>
                      <w:rFonts w:hint="eastAsia" w:ascii="Times New Roman" w:hAnsi="Times New Roman"/>
                      <w:color w:val="auto"/>
                      <w:szCs w:val="21"/>
                    </w:rPr>
                  </w:pPr>
                </w:p>
              </w:tc>
              <w:tc>
                <w:tcPr>
                  <w:tcW w:w="1605" w:type="dxa"/>
                  <w:noWrap w:val="0"/>
                  <w:vAlign w:val="top"/>
                </w:tcPr>
                <w:p w14:paraId="264F8445">
                  <w:pPr>
                    <w:pStyle w:val="37"/>
                    <w:spacing w:line="280" w:lineRule="exact"/>
                    <w:rPr>
                      <w:rFonts w:hint="eastAsia" w:ascii="Times New Roman" w:hAnsi="Times New Roman"/>
                      <w:color w:val="auto"/>
                      <w:szCs w:val="21"/>
                    </w:rPr>
                  </w:pPr>
                </w:p>
              </w:tc>
              <w:tc>
                <w:tcPr>
                  <w:tcW w:w="1627" w:type="dxa"/>
                  <w:noWrap w:val="0"/>
                  <w:vAlign w:val="top"/>
                </w:tcPr>
                <w:p w14:paraId="7DF7086A">
                  <w:pPr>
                    <w:pStyle w:val="37"/>
                    <w:spacing w:line="280" w:lineRule="exact"/>
                    <w:rPr>
                      <w:rFonts w:hint="eastAsia" w:ascii="Times New Roman" w:hAnsi="Times New Roman"/>
                      <w:color w:val="auto"/>
                      <w:szCs w:val="21"/>
                    </w:rPr>
                  </w:pPr>
                </w:p>
              </w:tc>
            </w:tr>
            <w:tr w14:paraId="6CCE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1051F465">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364" w:type="dxa"/>
                  <w:noWrap w:val="0"/>
                  <w:vAlign w:val="top"/>
                </w:tcPr>
                <w:p w14:paraId="223E932F">
                  <w:pPr>
                    <w:pStyle w:val="37"/>
                    <w:spacing w:line="280" w:lineRule="exact"/>
                    <w:rPr>
                      <w:rFonts w:hint="eastAsia" w:ascii="Times New Roman" w:hAnsi="Times New Roman"/>
                      <w:color w:val="auto"/>
                      <w:szCs w:val="21"/>
                    </w:rPr>
                  </w:pPr>
                  <w:r>
                    <w:rPr>
                      <w:rFonts w:hint="eastAsia" w:ascii="Times New Roman" w:hAnsi="Times New Roman"/>
                      <w:color w:val="auto"/>
                      <w:szCs w:val="21"/>
                    </w:rPr>
                    <w:t>应扣减承包人不修复缺陷、发包人组织修复的金额</w:t>
                  </w:r>
                </w:p>
              </w:tc>
              <w:tc>
                <w:tcPr>
                  <w:tcW w:w="1605" w:type="dxa"/>
                  <w:noWrap w:val="0"/>
                  <w:vAlign w:val="top"/>
                </w:tcPr>
                <w:p w14:paraId="3EC8C649">
                  <w:pPr>
                    <w:pStyle w:val="37"/>
                    <w:spacing w:line="280" w:lineRule="exact"/>
                    <w:rPr>
                      <w:rFonts w:hint="eastAsia" w:ascii="Times New Roman" w:hAnsi="Times New Roman"/>
                      <w:color w:val="auto"/>
                      <w:szCs w:val="21"/>
                    </w:rPr>
                  </w:pPr>
                </w:p>
              </w:tc>
              <w:tc>
                <w:tcPr>
                  <w:tcW w:w="1605" w:type="dxa"/>
                  <w:noWrap w:val="0"/>
                  <w:vAlign w:val="top"/>
                </w:tcPr>
                <w:p w14:paraId="71E09568">
                  <w:pPr>
                    <w:pStyle w:val="37"/>
                    <w:spacing w:line="280" w:lineRule="exact"/>
                    <w:rPr>
                      <w:rFonts w:hint="eastAsia" w:ascii="Times New Roman" w:hAnsi="Times New Roman"/>
                      <w:color w:val="auto"/>
                      <w:szCs w:val="21"/>
                    </w:rPr>
                  </w:pPr>
                </w:p>
              </w:tc>
              <w:tc>
                <w:tcPr>
                  <w:tcW w:w="1627" w:type="dxa"/>
                  <w:noWrap w:val="0"/>
                  <w:vAlign w:val="top"/>
                </w:tcPr>
                <w:p w14:paraId="51D4C86D">
                  <w:pPr>
                    <w:pStyle w:val="37"/>
                    <w:spacing w:line="280" w:lineRule="exact"/>
                    <w:rPr>
                      <w:rFonts w:hint="eastAsia" w:ascii="Times New Roman" w:hAnsi="Times New Roman"/>
                      <w:color w:val="auto"/>
                      <w:szCs w:val="21"/>
                    </w:rPr>
                  </w:pPr>
                </w:p>
              </w:tc>
            </w:tr>
            <w:tr w14:paraId="1406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336F408">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364" w:type="dxa"/>
                  <w:noWrap w:val="0"/>
                  <w:vAlign w:val="top"/>
                </w:tcPr>
                <w:p w14:paraId="460B7E20">
                  <w:pPr>
                    <w:pStyle w:val="37"/>
                    <w:spacing w:line="280" w:lineRule="exact"/>
                    <w:rPr>
                      <w:rFonts w:hint="eastAsia" w:ascii="Times New Roman" w:hAnsi="Times New Roman"/>
                      <w:color w:val="auto"/>
                      <w:szCs w:val="21"/>
                    </w:rPr>
                  </w:pPr>
                  <w:r>
                    <w:rPr>
                      <w:rFonts w:hint="eastAsia" w:ascii="Times New Roman" w:hAnsi="Times New Roman"/>
                      <w:color w:val="auto"/>
                      <w:szCs w:val="21"/>
                    </w:rPr>
                    <w:t>最终应支付的合同价款</w:t>
                  </w:r>
                </w:p>
              </w:tc>
              <w:tc>
                <w:tcPr>
                  <w:tcW w:w="1605" w:type="dxa"/>
                  <w:noWrap w:val="0"/>
                  <w:vAlign w:val="top"/>
                </w:tcPr>
                <w:p w14:paraId="72C96777">
                  <w:pPr>
                    <w:pStyle w:val="37"/>
                    <w:spacing w:line="280" w:lineRule="exact"/>
                    <w:rPr>
                      <w:rFonts w:hint="eastAsia" w:ascii="Times New Roman" w:hAnsi="Times New Roman"/>
                      <w:color w:val="auto"/>
                      <w:szCs w:val="21"/>
                    </w:rPr>
                  </w:pPr>
                </w:p>
              </w:tc>
              <w:tc>
                <w:tcPr>
                  <w:tcW w:w="1605" w:type="dxa"/>
                  <w:noWrap w:val="0"/>
                  <w:vAlign w:val="top"/>
                </w:tcPr>
                <w:p w14:paraId="53E556E1">
                  <w:pPr>
                    <w:pStyle w:val="37"/>
                    <w:spacing w:line="280" w:lineRule="exact"/>
                    <w:rPr>
                      <w:rFonts w:hint="eastAsia" w:ascii="Times New Roman" w:hAnsi="Times New Roman"/>
                      <w:color w:val="auto"/>
                      <w:szCs w:val="21"/>
                    </w:rPr>
                  </w:pPr>
                </w:p>
              </w:tc>
              <w:tc>
                <w:tcPr>
                  <w:tcW w:w="1627" w:type="dxa"/>
                  <w:noWrap w:val="0"/>
                  <w:vAlign w:val="top"/>
                </w:tcPr>
                <w:p w14:paraId="6FEA5553">
                  <w:pPr>
                    <w:pStyle w:val="37"/>
                    <w:spacing w:line="280" w:lineRule="exact"/>
                    <w:rPr>
                      <w:rFonts w:hint="eastAsia" w:ascii="Times New Roman" w:hAnsi="Times New Roman"/>
                      <w:color w:val="auto"/>
                      <w:szCs w:val="21"/>
                    </w:rPr>
                  </w:pPr>
                </w:p>
              </w:tc>
            </w:tr>
            <w:tr w14:paraId="1900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3280F389">
                  <w:pPr>
                    <w:pStyle w:val="37"/>
                    <w:spacing w:line="280" w:lineRule="exact"/>
                    <w:jc w:val="center"/>
                    <w:rPr>
                      <w:rFonts w:hint="eastAsia" w:ascii="Times New Roman" w:hAnsi="Times New Roman"/>
                      <w:color w:val="auto"/>
                      <w:szCs w:val="21"/>
                    </w:rPr>
                  </w:pPr>
                </w:p>
              </w:tc>
              <w:tc>
                <w:tcPr>
                  <w:tcW w:w="3364" w:type="dxa"/>
                  <w:noWrap w:val="0"/>
                  <w:vAlign w:val="top"/>
                </w:tcPr>
                <w:p w14:paraId="69FAB146">
                  <w:pPr>
                    <w:pStyle w:val="37"/>
                    <w:spacing w:line="280" w:lineRule="exact"/>
                    <w:rPr>
                      <w:rFonts w:hint="eastAsia" w:ascii="Times New Roman" w:hAnsi="Times New Roman"/>
                      <w:color w:val="auto"/>
                      <w:szCs w:val="21"/>
                    </w:rPr>
                  </w:pPr>
                </w:p>
              </w:tc>
              <w:tc>
                <w:tcPr>
                  <w:tcW w:w="1605" w:type="dxa"/>
                  <w:noWrap w:val="0"/>
                  <w:vAlign w:val="top"/>
                </w:tcPr>
                <w:p w14:paraId="0D62EEB7">
                  <w:pPr>
                    <w:pStyle w:val="37"/>
                    <w:spacing w:line="280" w:lineRule="exact"/>
                    <w:rPr>
                      <w:rFonts w:hint="eastAsia" w:ascii="Times New Roman" w:hAnsi="Times New Roman"/>
                      <w:color w:val="auto"/>
                      <w:szCs w:val="21"/>
                    </w:rPr>
                  </w:pPr>
                </w:p>
              </w:tc>
              <w:tc>
                <w:tcPr>
                  <w:tcW w:w="1605" w:type="dxa"/>
                  <w:noWrap w:val="0"/>
                  <w:vAlign w:val="top"/>
                </w:tcPr>
                <w:p w14:paraId="3FE0A396">
                  <w:pPr>
                    <w:pStyle w:val="37"/>
                    <w:spacing w:line="280" w:lineRule="exact"/>
                    <w:rPr>
                      <w:rFonts w:hint="eastAsia" w:ascii="Times New Roman" w:hAnsi="Times New Roman"/>
                      <w:color w:val="auto"/>
                      <w:szCs w:val="21"/>
                    </w:rPr>
                  </w:pPr>
                </w:p>
              </w:tc>
              <w:tc>
                <w:tcPr>
                  <w:tcW w:w="1627" w:type="dxa"/>
                  <w:noWrap w:val="0"/>
                  <w:vAlign w:val="top"/>
                </w:tcPr>
                <w:p w14:paraId="14C4D828">
                  <w:pPr>
                    <w:pStyle w:val="37"/>
                    <w:spacing w:line="280" w:lineRule="exact"/>
                    <w:rPr>
                      <w:rFonts w:hint="eastAsia" w:ascii="Times New Roman" w:hAnsi="Times New Roman"/>
                      <w:color w:val="auto"/>
                      <w:szCs w:val="21"/>
                    </w:rPr>
                  </w:pPr>
                </w:p>
              </w:tc>
            </w:tr>
            <w:tr w14:paraId="04E6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C9802A3">
                  <w:pPr>
                    <w:pStyle w:val="37"/>
                    <w:spacing w:line="280" w:lineRule="exact"/>
                    <w:jc w:val="center"/>
                    <w:rPr>
                      <w:rFonts w:hint="eastAsia" w:ascii="Times New Roman" w:hAnsi="Times New Roman"/>
                      <w:color w:val="auto"/>
                      <w:szCs w:val="21"/>
                    </w:rPr>
                  </w:pPr>
                </w:p>
              </w:tc>
              <w:tc>
                <w:tcPr>
                  <w:tcW w:w="3364" w:type="dxa"/>
                  <w:noWrap w:val="0"/>
                  <w:vAlign w:val="top"/>
                </w:tcPr>
                <w:p w14:paraId="5F5FCA1A">
                  <w:pPr>
                    <w:pStyle w:val="37"/>
                    <w:spacing w:line="280" w:lineRule="exact"/>
                    <w:rPr>
                      <w:rFonts w:hint="eastAsia" w:ascii="Times New Roman" w:hAnsi="Times New Roman"/>
                      <w:color w:val="auto"/>
                      <w:szCs w:val="21"/>
                    </w:rPr>
                  </w:pPr>
                </w:p>
              </w:tc>
              <w:tc>
                <w:tcPr>
                  <w:tcW w:w="1605" w:type="dxa"/>
                  <w:noWrap w:val="0"/>
                  <w:vAlign w:val="top"/>
                </w:tcPr>
                <w:p w14:paraId="3EB0E422">
                  <w:pPr>
                    <w:pStyle w:val="37"/>
                    <w:spacing w:line="280" w:lineRule="exact"/>
                    <w:rPr>
                      <w:rFonts w:hint="eastAsia" w:ascii="Times New Roman" w:hAnsi="Times New Roman"/>
                      <w:color w:val="auto"/>
                      <w:szCs w:val="21"/>
                    </w:rPr>
                  </w:pPr>
                </w:p>
              </w:tc>
              <w:tc>
                <w:tcPr>
                  <w:tcW w:w="1605" w:type="dxa"/>
                  <w:noWrap w:val="0"/>
                  <w:vAlign w:val="top"/>
                </w:tcPr>
                <w:p w14:paraId="575E6345">
                  <w:pPr>
                    <w:pStyle w:val="37"/>
                    <w:spacing w:line="280" w:lineRule="exact"/>
                    <w:rPr>
                      <w:rFonts w:hint="eastAsia" w:ascii="Times New Roman" w:hAnsi="Times New Roman"/>
                      <w:color w:val="auto"/>
                      <w:szCs w:val="21"/>
                    </w:rPr>
                  </w:pPr>
                </w:p>
              </w:tc>
              <w:tc>
                <w:tcPr>
                  <w:tcW w:w="1627" w:type="dxa"/>
                  <w:noWrap w:val="0"/>
                  <w:vAlign w:val="top"/>
                </w:tcPr>
                <w:p w14:paraId="45E4CC0F">
                  <w:pPr>
                    <w:pStyle w:val="37"/>
                    <w:spacing w:line="280" w:lineRule="exact"/>
                    <w:rPr>
                      <w:rFonts w:hint="eastAsia" w:ascii="Times New Roman" w:hAnsi="Times New Roman"/>
                      <w:color w:val="auto"/>
                      <w:szCs w:val="21"/>
                    </w:rPr>
                  </w:pPr>
                </w:p>
              </w:tc>
            </w:tr>
            <w:tr w14:paraId="7623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5BEA6E0E">
                  <w:pPr>
                    <w:pStyle w:val="37"/>
                    <w:spacing w:line="280" w:lineRule="exact"/>
                    <w:jc w:val="center"/>
                    <w:rPr>
                      <w:rFonts w:hint="eastAsia" w:ascii="Times New Roman" w:hAnsi="Times New Roman"/>
                      <w:color w:val="auto"/>
                      <w:szCs w:val="21"/>
                    </w:rPr>
                  </w:pPr>
                </w:p>
              </w:tc>
              <w:tc>
                <w:tcPr>
                  <w:tcW w:w="3364" w:type="dxa"/>
                  <w:noWrap w:val="0"/>
                  <w:vAlign w:val="top"/>
                </w:tcPr>
                <w:p w14:paraId="5FA4E72D">
                  <w:pPr>
                    <w:pStyle w:val="37"/>
                    <w:spacing w:line="280" w:lineRule="exact"/>
                    <w:rPr>
                      <w:rFonts w:hint="eastAsia" w:ascii="Times New Roman" w:hAnsi="Times New Roman"/>
                      <w:color w:val="auto"/>
                      <w:szCs w:val="21"/>
                    </w:rPr>
                  </w:pPr>
                </w:p>
              </w:tc>
              <w:tc>
                <w:tcPr>
                  <w:tcW w:w="1605" w:type="dxa"/>
                  <w:noWrap w:val="0"/>
                  <w:vAlign w:val="top"/>
                </w:tcPr>
                <w:p w14:paraId="26F5BD84">
                  <w:pPr>
                    <w:pStyle w:val="37"/>
                    <w:spacing w:line="280" w:lineRule="exact"/>
                    <w:rPr>
                      <w:rFonts w:hint="eastAsia" w:ascii="Times New Roman" w:hAnsi="Times New Roman"/>
                      <w:color w:val="auto"/>
                      <w:szCs w:val="21"/>
                    </w:rPr>
                  </w:pPr>
                </w:p>
              </w:tc>
              <w:tc>
                <w:tcPr>
                  <w:tcW w:w="1605" w:type="dxa"/>
                  <w:noWrap w:val="0"/>
                  <w:vAlign w:val="top"/>
                </w:tcPr>
                <w:p w14:paraId="322B1AF5">
                  <w:pPr>
                    <w:pStyle w:val="37"/>
                    <w:spacing w:line="280" w:lineRule="exact"/>
                    <w:rPr>
                      <w:rFonts w:hint="eastAsia" w:ascii="Times New Roman" w:hAnsi="Times New Roman"/>
                      <w:color w:val="auto"/>
                      <w:szCs w:val="21"/>
                    </w:rPr>
                  </w:pPr>
                </w:p>
              </w:tc>
              <w:tc>
                <w:tcPr>
                  <w:tcW w:w="1627" w:type="dxa"/>
                  <w:noWrap w:val="0"/>
                  <w:vAlign w:val="top"/>
                </w:tcPr>
                <w:p w14:paraId="24016D09">
                  <w:pPr>
                    <w:pStyle w:val="37"/>
                    <w:spacing w:line="280" w:lineRule="exact"/>
                    <w:rPr>
                      <w:rFonts w:hint="eastAsia" w:ascii="Times New Roman" w:hAnsi="Times New Roman"/>
                      <w:color w:val="auto"/>
                      <w:szCs w:val="21"/>
                    </w:rPr>
                  </w:pPr>
                </w:p>
              </w:tc>
            </w:tr>
            <w:tr w14:paraId="6127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49FFD399">
                  <w:pPr>
                    <w:pStyle w:val="37"/>
                    <w:spacing w:line="280" w:lineRule="exact"/>
                    <w:jc w:val="center"/>
                    <w:rPr>
                      <w:rFonts w:hint="eastAsia" w:ascii="Times New Roman" w:hAnsi="Times New Roman"/>
                      <w:color w:val="auto"/>
                      <w:szCs w:val="21"/>
                    </w:rPr>
                  </w:pPr>
                </w:p>
              </w:tc>
              <w:tc>
                <w:tcPr>
                  <w:tcW w:w="3364" w:type="dxa"/>
                  <w:noWrap w:val="0"/>
                  <w:vAlign w:val="top"/>
                </w:tcPr>
                <w:p w14:paraId="2D8D1873">
                  <w:pPr>
                    <w:pStyle w:val="37"/>
                    <w:spacing w:line="280" w:lineRule="exact"/>
                    <w:rPr>
                      <w:rFonts w:hint="eastAsia" w:ascii="Times New Roman" w:hAnsi="Times New Roman"/>
                      <w:color w:val="auto"/>
                      <w:szCs w:val="21"/>
                    </w:rPr>
                  </w:pPr>
                </w:p>
              </w:tc>
              <w:tc>
                <w:tcPr>
                  <w:tcW w:w="1605" w:type="dxa"/>
                  <w:noWrap w:val="0"/>
                  <w:vAlign w:val="top"/>
                </w:tcPr>
                <w:p w14:paraId="6886B4F4">
                  <w:pPr>
                    <w:pStyle w:val="37"/>
                    <w:spacing w:line="280" w:lineRule="exact"/>
                    <w:rPr>
                      <w:rFonts w:hint="eastAsia" w:ascii="Times New Roman" w:hAnsi="Times New Roman"/>
                      <w:color w:val="auto"/>
                      <w:szCs w:val="21"/>
                    </w:rPr>
                  </w:pPr>
                </w:p>
              </w:tc>
              <w:tc>
                <w:tcPr>
                  <w:tcW w:w="1605" w:type="dxa"/>
                  <w:noWrap w:val="0"/>
                  <w:vAlign w:val="top"/>
                </w:tcPr>
                <w:p w14:paraId="4B331365">
                  <w:pPr>
                    <w:pStyle w:val="37"/>
                    <w:spacing w:line="280" w:lineRule="exact"/>
                    <w:rPr>
                      <w:rFonts w:hint="eastAsia" w:ascii="Times New Roman" w:hAnsi="Times New Roman"/>
                      <w:color w:val="auto"/>
                      <w:szCs w:val="21"/>
                    </w:rPr>
                  </w:pPr>
                </w:p>
              </w:tc>
              <w:tc>
                <w:tcPr>
                  <w:tcW w:w="1627" w:type="dxa"/>
                  <w:noWrap w:val="0"/>
                  <w:vAlign w:val="top"/>
                </w:tcPr>
                <w:p w14:paraId="61E9782C">
                  <w:pPr>
                    <w:pStyle w:val="37"/>
                    <w:spacing w:line="280" w:lineRule="exact"/>
                    <w:rPr>
                      <w:rFonts w:hint="eastAsia" w:ascii="Times New Roman" w:hAnsi="Times New Roman"/>
                      <w:color w:val="auto"/>
                      <w:szCs w:val="21"/>
                    </w:rPr>
                  </w:pPr>
                </w:p>
              </w:tc>
            </w:tr>
          </w:tbl>
          <w:p w14:paraId="4501C122">
            <w:pPr>
              <w:pStyle w:val="37"/>
              <w:spacing w:line="400" w:lineRule="exact"/>
              <w:ind w:right="420" w:firstLine="420" w:firstLineChars="200"/>
              <w:jc w:val="center"/>
              <w:rPr>
                <w:rFonts w:hint="eastAsia" w:ascii="Times New Roman" w:hAnsi="Times New Roman"/>
                <w:color w:val="auto"/>
                <w:szCs w:val="21"/>
              </w:rPr>
            </w:pPr>
            <w:r>
              <w:rPr>
                <w:rFonts w:hint="eastAsia" w:ascii="Times New Roman" w:hAnsi="Times New Roman"/>
                <w:color w:val="auto"/>
                <w:szCs w:val="21"/>
              </w:rPr>
              <w:t xml:space="preserve">                                            承包人（章）             </w:t>
            </w:r>
          </w:p>
          <w:p w14:paraId="0988E254">
            <w:pPr>
              <w:pStyle w:val="37"/>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2DA0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72" w:type="dxa"/>
            <w:noWrap w:val="0"/>
            <w:vAlign w:val="top"/>
          </w:tcPr>
          <w:p w14:paraId="12FBF636">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66A1CD20">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□与实际施工情况不相符，修改意见见附件。</w:t>
            </w:r>
          </w:p>
          <w:p w14:paraId="39756EFF">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□与实际施工情况相符，具体金额由造价工程师复核。</w:t>
            </w:r>
          </w:p>
          <w:p w14:paraId="187FD7A4">
            <w:pPr>
              <w:pStyle w:val="37"/>
              <w:spacing w:line="360" w:lineRule="exact"/>
              <w:ind w:firstLine="435"/>
              <w:jc w:val="right"/>
              <w:rPr>
                <w:rFonts w:hint="eastAsia" w:ascii="Times New Roman" w:hAnsi="Times New Roman"/>
                <w:color w:val="auto"/>
                <w:szCs w:val="21"/>
              </w:rPr>
            </w:pPr>
          </w:p>
          <w:p w14:paraId="2DBB8174">
            <w:pPr>
              <w:pStyle w:val="37"/>
              <w:spacing w:line="360" w:lineRule="exact"/>
              <w:ind w:firstLine="435"/>
              <w:jc w:val="right"/>
              <w:rPr>
                <w:rFonts w:hint="eastAsia" w:ascii="Times New Roman" w:hAnsi="Times New Roman"/>
                <w:color w:val="auto"/>
                <w:szCs w:val="21"/>
              </w:rPr>
            </w:pPr>
          </w:p>
          <w:p w14:paraId="12BBCC4E">
            <w:pPr>
              <w:pStyle w:val="37"/>
              <w:spacing w:line="360" w:lineRule="exact"/>
              <w:ind w:firstLine="420" w:firstLineChars="200"/>
              <w:jc w:val="center"/>
              <w:rPr>
                <w:rFonts w:hint="eastAsia"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 xml:space="preserve">     </w:t>
            </w:r>
          </w:p>
          <w:p w14:paraId="53C1D8A4">
            <w:pPr>
              <w:pStyle w:val="37"/>
              <w:spacing w:line="360" w:lineRule="exact"/>
              <w:ind w:firstLine="420" w:firstLineChars="200"/>
              <w:jc w:val="center"/>
              <w:rPr>
                <w:rFonts w:hint="eastAsia" w:ascii="Times New Roman" w:hAnsi="Times New Roman"/>
                <w:color w:val="auto"/>
                <w:szCs w:val="21"/>
                <w:u w:val="single"/>
              </w:rPr>
            </w:pP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78C7ED3D">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tc>
      </w:tr>
      <w:tr w14:paraId="26EF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4FC6D5E7">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753E1CA9">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6A50C276">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7266693E">
            <w:pPr>
              <w:pStyle w:val="37"/>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23940C53">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08522D39">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0188FD6F">
      <w:pPr>
        <w:pStyle w:val="37"/>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注：1.在选择栏中的“□”内作标识“√”。 如监理人已退场，监理工程师栏可空缺。</w:t>
      </w:r>
    </w:p>
    <w:p w14:paraId="59D07D2C">
      <w:pPr>
        <w:pStyle w:val="37"/>
        <w:spacing w:before="156" w:beforeLines="50"/>
        <w:ind w:firstLine="720" w:firstLineChars="400"/>
        <w:rPr>
          <w:rFonts w:hint="eastAsia" w:ascii="Times New Roman" w:hAnsi="Times New Roman"/>
          <w:color w:val="auto"/>
          <w:sz w:val="30"/>
          <w:szCs w:val="30"/>
        </w:rPr>
      </w:pPr>
      <w:r>
        <w:rPr>
          <w:rFonts w:hint="eastAsia" w:ascii="Times New Roman" w:hAnsi="Times New Roman"/>
          <w:color w:val="auto"/>
          <w:sz w:val="18"/>
          <w:szCs w:val="18"/>
        </w:rPr>
        <w:t>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70AC64C0">
      <w:pPr>
        <w:pStyle w:val="37"/>
        <w:spacing w:line="360" w:lineRule="auto"/>
        <w:jc w:val="left"/>
        <w:rPr>
          <w:rFonts w:hint="eastAsia" w:ascii="Times New Roman" w:hAnsi="Times New Roman"/>
          <w:color w:val="auto"/>
          <w:sz w:val="30"/>
          <w:szCs w:val="30"/>
        </w:rPr>
      </w:pPr>
    </w:p>
    <w:p w14:paraId="3B6EB157">
      <w:pPr>
        <w:pStyle w:val="37"/>
        <w:spacing w:line="360" w:lineRule="auto"/>
        <w:ind w:firstLine="600" w:firstLineChars="200"/>
        <w:jc w:val="left"/>
        <w:rPr>
          <w:rFonts w:hint="eastAsia" w:ascii="Times New Roman" w:hAnsi="宋体" w:cs="宋体"/>
          <w:color w:val="auto"/>
          <w:sz w:val="30"/>
          <w:szCs w:val="30"/>
        </w:rPr>
      </w:pPr>
      <w:r>
        <w:rPr>
          <w:rFonts w:hint="eastAsia" w:ascii="Times New Roman" w:hAnsi="Times New Roman"/>
          <w:color w:val="auto"/>
          <w:sz w:val="30"/>
          <w:szCs w:val="30"/>
        </w:rPr>
        <w:t>附件14：</w:t>
      </w:r>
    </w:p>
    <w:p w14:paraId="30F9E5EB">
      <w:pPr>
        <w:pStyle w:val="37"/>
        <w:spacing w:line="360" w:lineRule="auto"/>
        <w:ind w:firstLine="720" w:firstLineChars="200"/>
        <w:jc w:val="center"/>
        <w:rPr>
          <w:rFonts w:hint="eastAsia" w:ascii="宋体" w:hAnsi="宋体" w:cs="宋体"/>
          <w:color w:val="auto"/>
          <w:kern w:val="0"/>
          <w:sz w:val="36"/>
          <w:szCs w:val="36"/>
        </w:rPr>
      </w:pPr>
      <w:r>
        <w:rPr>
          <w:rFonts w:hint="eastAsia" w:ascii="宋体" w:hAnsi="宋体" w:cs="宋体"/>
          <w:color w:val="auto"/>
          <w:kern w:val="0"/>
          <w:sz w:val="36"/>
          <w:szCs w:val="36"/>
        </w:rPr>
        <w:t>总价合同进度款支付分解表</w:t>
      </w:r>
    </w:p>
    <w:p w14:paraId="13527BAB">
      <w:pPr>
        <w:pStyle w:val="37"/>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工程名称：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1276"/>
      </w:tblGrid>
      <w:tr w14:paraId="18F6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736B87B">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进度款期次</w:t>
            </w:r>
          </w:p>
        </w:tc>
        <w:tc>
          <w:tcPr>
            <w:tcW w:w="3794" w:type="dxa"/>
            <w:gridSpan w:val="2"/>
            <w:noWrap w:val="0"/>
            <w:vAlign w:val="top"/>
          </w:tcPr>
          <w:p w14:paraId="241439C9">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形象进度</w:t>
            </w:r>
          </w:p>
        </w:tc>
        <w:tc>
          <w:tcPr>
            <w:tcW w:w="2268" w:type="dxa"/>
            <w:noWrap w:val="0"/>
            <w:vAlign w:val="top"/>
          </w:tcPr>
          <w:p w14:paraId="09B0C16F">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进度款付款金额（元）</w:t>
            </w:r>
          </w:p>
        </w:tc>
        <w:tc>
          <w:tcPr>
            <w:tcW w:w="1276" w:type="dxa"/>
            <w:noWrap w:val="0"/>
            <w:vAlign w:val="top"/>
          </w:tcPr>
          <w:p w14:paraId="649EB41C">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备注</w:t>
            </w:r>
          </w:p>
        </w:tc>
      </w:tr>
      <w:tr w14:paraId="6F05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E79BEA7">
            <w:pPr>
              <w:pStyle w:val="37"/>
              <w:spacing w:line="360" w:lineRule="auto"/>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预付款</w:t>
            </w:r>
          </w:p>
        </w:tc>
        <w:tc>
          <w:tcPr>
            <w:tcW w:w="3794" w:type="dxa"/>
            <w:gridSpan w:val="2"/>
            <w:noWrap w:val="0"/>
            <w:vAlign w:val="top"/>
          </w:tcPr>
          <w:p w14:paraId="2D7610A2">
            <w:pPr>
              <w:pStyle w:val="37"/>
              <w:spacing w:line="360" w:lineRule="auto"/>
              <w:jc w:val="center"/>
              <w:rPr>
                <w:rFonts w:hint="eastAsia" w:ascii="宋体" w:hAnsi="宋体" w:cs="宋体"/>
                <w:color w:val="auto"/>
                <w:kern w:val="0"/>
                <w:szCs w:val="21"/>
              </w:rPr>
            </w:pPr>
          </w:p>
        </w:tc>
        <w:tc>
          <w:tcPr>
            <w:tcW w:w="2268" w:type="dxa"/>
            <w:noWrap w:val="0"/>
            <w:vAlign w:val="top"/>
          </w:tcPr>
          <w:p w14:paraId="694BC421">
            <w:pPr>
              <w:pStyle w:val="37"/>
              <w:spacing w:line="360" w:lineRule="auto"/>
              <w:jc w:val="center"/>
              <w:rPr>
                <w:rFonts w:hint="eastAsia" w:ascii="宋体" w:hAnsi="宋体" w:cs="宋体"/>
                <w:color w:val="auto"/>
                <w:kern w:val="0"/>
                <w:szCs w:val="21"/>
              </w:rPr>
            </w:pPr>
          </w:p>
        </w:tc>
        <w:tc>
          <w:tcPr>
            <w:tcW w:w="1276" w:type="dxa"/>
            <w:noWrap w:val="0"/>
            <w:vAlign w:val="top"/>
          </w:tcPr>
          <w:p w14:paraId="7EEBA275">
            <w:pPr>
              <w:pStyle w:val="37"/>
              <w:spacing w:line="360" w:lineRule="auto"/>
              <w:jc w:val="center"/>
              <w:rPr>
                <w:rFonts w:hint="eastAsia" w:ascii="宋体" w:hAnsi="宋体" w:cs="宋体"/>
                <w:color w:val="auto"/>
                <w:kern w:val="0"/>
                <w:szCs w:val="21"/>
              </w:rPr>
            </w:pPr>
          </w:p>
        </w:tc>
      </w:tr>
      <w:tr w14:paraId="5595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DF5D1F0">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第一期</w:t>
            </w:r>
          </w:p>
        </w:tc>
        <w:tc>
          <w:tcPr>
            <w:tcW w:w="3794" w:type="dxa"/>
            <w:gridSpan w:val="2"/>
            <w:noWrap w:val="0"/>
            <w:vAlign w:val="top"/>
          </w:tcPr>
          <w:p w14:paraId="3411F4E8">
            <w:pPr>
              <w:pStyle w:val="37"/>
              <w:spacing w:line="360" w:lineRule="auto"/>
              <w:jc w:val="center"/>
              <w:rPr>
                <w:rFonts w:hint="eastAsia" w:ascii="宋体" w:hAnsi="宋体" w:cs="宋体"/>
                <w:color w:val="auto"/>
                <w:kern w:val="0"/>
                <w:szCs w:val="21"/>
              </w:rPr>
            </w:pPr>
          </w:p>
        </w:tc>
        <w:tc>
          <w:tcPr>
            <w:tcW w:w="2268" w:type="dxa"/>
            <w:noWrap w:val="0"/>
            <w:vAlign w:val="top"/>
          </w:tcPr>
          <w:p w14:paraId="52196B12">
            <w:pPr>
              <w:pStyle w:val="37"/>
              <w:spacing w:line="360" w:lineRule="auto"/>
              <w:jc w:val="center"/>
              <w:rPr>
                <w:rFonts w:hint="eastAsia" w:ascii="宋体" w:hAnsi="宋体" w:cs="宋体"/>
                <w:color w:val="auto"/>
                <w:kern w:val="0"/>
                <w:szCs w:val="21"/>
              </w:rPr>
            </w:pPr>
          </w:p>
        </w:tc>
        <w:tc>
          <w:tcPr>
            <w:tcW w:w="1276" w:type="dxa"/>
            <w:noWrap w:val="0"/>
            <w:vAlign w:val="top"/>
          </w:tcPr>
          <w:p w14:paraId="6B9C0DE1">
            <w:pPr>
              <w:pStyle w:val="37"/>
              <w:spacing w:line="360" w:lineRule="auto"/>
              <w:jc w:val="center"/>
              <w:rPr>
                <w:rFonts w:hint="eastAsia" w:ascii="宋体" w:hAnsi="宋体" w:cs="宋体"/>
                <w:color w:val="auto"/>
                <w:kern w:val="0"/>
                <w:szCs w:val="21"/>
              </w:rPr>
            </w:pPr>
          </w:p>
        </w:tc>
      </w:tr>
      <w:tr w14:paraId="5FB0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F57D086">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第二期</w:t>
            </w:r>
          </w:p>
        </w:tc>
        <w:tc>
          <w:tcPr>
            <w:tcW w:w="3794" w:type="dxa"/>
            <w:gridSpan w:val="2"/>
            <w:noWrap w:val="0"/>
            <w:vAlign w:val="top"/>
          </w:tcPr>
          <w:p w14:paraId="75499947">
            <w:pPr>
              <w:pStyle w:val="37"/>
              <w:spacing w:line="360" w:lineRule="auto"/>
              <w:jc w:val="center"/>
              <w:rPr>
                <w:rFonts w:hint="eastAsia" w:ascii="宋体" w:hAnsi="宋体" w:cs="宋体"/>
                <w:color w:val="auto"/>
                <w:kern w:val="0"/>
                <w:szCs w:val="21"/>
              </w:rPr>
            </w:pPr>
          </w:p>
        </w:tc>
        <w:tc>
          <w:tcPr>
            <w:tcW w:w="2268" w:type="dxa"/>
            <w:noWrap w:val="0"/>
            <w:vAlign w:val="top"/>
          </w:tcPr>
          <w:p w14:paraId="24A9E2D8">
            <w:pPr>
              <w:pStyle w:val="37"/>
              <w:spacing w:line="360" w:lineRule="auto"/>
              <w:jc w:val="center"/>
              <w:rPr>
                <w:rFonts w:hint="eastAsia" w:ascii="宋体" w:hAnsi="宋体" w:cs="宋体"/>
                <w:color w:val="auto"/>
                <w:kern w:val="0"/>
                <w:szCs w:val="21"/>
              </w:rPr>
            </w:pPr>
          </w:p>
        </w:tc>
        <w:tc>
          <w:tcPr>
            <w:tcW w:w="1276" w:type="dxa"/>
            <w:noWrap w:val="0"/>
            <w:vAlign w:val="top"/>
          </w:tcPr>
          <w:p w14:paraId="0AF87D2A">
            <w:pPr>
              <w:pStyle w:val="37"/>
              <w:spacing w:line="360" w:lineRule="auto"/>
              <w:jc w:val="center"/>
              <w:rPr>
                <w:rFonts w:hint="eastAsia" w:ascii="宋体" w:hAnsi="宋体" w:cs="宋体"/>
                <w:color w:val="auto"/>
                <w:kern w:val="0"/>
                <w:szCs w:val="21"/>
              </w:rPr>
            </w:pPr>
          </w:p>
        </w:tc>
      </w:tr>
      <w:tr w14:paraId="32A8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9C03119">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第三期</w:t>
            </w:r>
          </w:p>
        </w:tc>
        <w:tc>
          <w:tcPr>
            <w:tcW w:w="3794" w:type="dxa"/>
            <w:gridSpan w:val="2"/>
            <w:noWrap w:val="0"/>
            <w:vAlign w:val="top"/>
          </w:tcPr>
          <w:p w14:paraId="6A0D8EC8">
            <w:pPr>
              <w:pStyle w:val="37"/>
              <w:spacing w:line="360" w:lineRule="auto"/>
              <w:jc w:val="center"/>
              <w:rPr>
                <w:rFonts w:hint="eastAsia" w:ascii="宋体" w:hAnsi="宋体" w:cs="宋体"/>
                <w:color w:val="auto"/>
                <w:kern w:val="0"/>
                <w:szCs w:val="21"/>
              </w:rPr>
            </w:pPr>
          </w:p>
        </w:tc>
        <w:tc>
          <w:tcPr>
            <w:tcW w:w="2268" w:type="dxa"/>
            <w:noWrap w:val="0"/>
            <w:vAlign w:val="top"/>
          </w:tcPr>
          <w:p w14:paraId="2CA4FB72">
            <w:pPr>
              <w:pStyle w:val="37"/>
              <w:spacing w:line="360" w:lineRule="auto"/>
              <w:jc w:val="center"/>
              <w:rPr>
                <w:rFonts w:hint="eastAsia" w:ascii="宋体" w:hAnsi="宋体" w:cs="宋体"/>
                <w:color w:val="auto"/>
                <w:kern w:val="0"/>
                <w:szCs w:val="21"/>
              </w:rPr>
            </w:pPr>
          </w:p>
        </w:tc>
        <w:tc>
          <w:tcPr>
            <w:tcW w:w="1276" w:type="dxa"/>
            <w:noWrap w:val="0"/>
            <w:vAlign w:val="top"/>
          </w:tcPr>
          <w:p w14:paraId="3D2D1F51">
            <w:pPr>
              <w:pStyle w:val="37"/>
              <w:spacing w:line="360" w:lineRule="auto"/>
              <w:jc w:val="center"/>
              <w:rPr>
                <w:rFonts w:hint="eastAsia" w:ascii="宋体" w:hAnsi="宋体" w:cs="宋体"/>
                <w:color w:val="auto"/>
                <w:kern w:val="0"/>
                <w:szCs w:val="21"/>
              </w:rPr>
            </w:pPr>
          </w:p>
        </w:tc>
      </w:tr>
      <w:tr w14:paraId="5BDC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544A4947">
            <w:pPr>
              <w:pStyle w:val="37"/>
              <w:spacing w:line="360" w:lineRule="auto"/>
              <w:jc w:val="center"/>
              <w:rPr>
                <w:rFonts w:hint="eastAsia" w:ascii="宋体" w:hAnsi="宋体" w:cs="宋体"/>
                <w:color w:val="auto"/>
                <w:kern w:val="0"/>
                <w:szCs w:val="21"/>
              </w:rPr>
            </w:pPr>
            <w:r>
              <w:rPr>
                <w:rFonts w:ascii="宋体" w:hAnsi="宋体" w:cs="宋体"/>
                <w:color w:val="auto"/>
                <w:kern w:val="0"/>
                <w:szCs w:val="21"/>
              </w:rPr>
              <w:t>……</w:t>
            </w:r>
          </w:p>
        </w:tc>
        <w:tc>
          <w:tcPr>
            <w:tcW w:w="3794" w:type="dxa"/>
            <w:gridSpan w:val="2"/>
            <w:noWrap w:val="0"/>
            <w:vAlign w:val="top"/>
          </w:tcPr>
          <w:p w14:paraId="2F2CF9B2">
            <w:pPr>
              <w:pStyle w:val="37"/>
              <w:spacing w:line="360" w:lineRule="auto"/>
              <w:jc w:val="center"/>
              <w:rPr>
                <w:rFonts w:hint="eastAsia" w:ascii="宋体" w:hAnsi="宋体" w:cs="宋体"/>
                <w:color w:val="auto"/>
                <w:kern w:val="0"/>
                <w:szCs w:val="21"/>
              </w:rPr>
            </w:pPr>
          </w:p>
        </w:tc>
        <w:tc>
          <w:tcPr>
            <w:tcW w:w="2268" w:type="dxa"/>
            <w:noWrap w:val="0"/>
            <w:vAlign w:val="top"/>
          </w:tcPr>
          <w:p w14:paraId="595E9F13">
            <w:pPr>
              <w:pStyle w:val="37"/>
              <w:spacing w:line="360" w:lineRule="auto"/>
              <w:jc w:val="center"/>
              <w:rPr>
                <w:rFonts w:hint="eastAsia" w:ascii="宋体" w:hAnsi="宋体" w:cs="宋体"/>
                <w:color w:val="auto"/>
                <w:kern w:val="0"/>
                <w:szCs w:val="21"/>
              </w:rPr>
            </w:pPr>
          </w:p>
        </w:tc>
        <w:tc>
          <w:tcPr>
            <w:tcW w:w="1276" w:type="dxa"/>
            <w:noWrap w:val="0"/>
            <w:vAlign w:val="top"/>
          </w:tcPr>
          <w:p w14:paraId="38F20931">
            <w:pPr>
              <w:pStyle w:val="37"/>
              <w:spacing w:line="360" w:lineRule="auto"/>
              <w:jc w:val="center"/>
              <w:rPr>
                <w:rFonts w:hint="eastAsia" w:ascii="宋体" w:hAnsi="宋体" w:cs="宋体"/>
                <w:color w:val="auto"/>
                <w:kern w:val="0"/>
                <w:szCs w:val="21"/>
              </w:rPr>
            </w:pPr>
          </w:p>
        </w:tc>
      </w:tr>
      <w:tr w14:paraId="6E60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noWrap w:val="0"/>
            <w:vAlign w:val="top"/>
          </w:tcPr>
          <w:p w14:paraId="7092F26A">
            <w:pPr>
              <w:pStyle w:val="37"/>
              <w:spacing w:line="360" w:lineRule="exact"/>
              <w:ind w:firstLine="435"/>
              <w:jc w:val="right"/>
              <w:rPr>
                <w:rFonts w:hint="eastAsia" w:ascii="Times New Roman" w:hAnsi="Times New Roman"/>
                <w:color w:val="auto"/>
                <w:szCs w:val="21"/>
              </w:rPr>
            </w:pPr>
          </w:p>
          <w:p w14:paraId="492E159D">
            <w:pPr>
              <w:pStyle w:val="37"/>
              <w:spacing w:line="360" w:lineRule="exact"/>
              <w:ind w:firstLine="435"/>
              <w:jc w:val="center"/>
              <w:rPr>
                <w:rFonts w:hint="eastAsia" w:ascii="Times New Roman" w:hAnsi="Times New Roman"/>
                <w:color w:val="auto"/>
                <w:szCs w:val="21"/>
              </w:rPr>
            </w:pPr>
          </w:p>
          <w:p w14:paraId="6ED6A18C">
            <w:pPr>
              <w:pStyle w:val="37"/>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发包人代表签字：</w:t>
            </w:r>
          </w:p>
          <w:p w14:paraId="48FC56D0">
            <w:pPr>
              <w:pStyle w:val="37"/>
              <w:spacing w:line="360" w:lineRule="exact"/>
              <w:ind w:firstLine="435"/>
              <w:jc w:val="center"/>
              <w:rPr>
                <w:rFonts w:hint="eastAsia" w:ascii="Times New Roman" w:hAnsi="Times New Roman"/>
                <w:color w:val="auto"/>
                <w:szCs w:val="21"/>
              </w:rPr>
            </w:pPr>
          </w:p>
          <w:p w14:paraId="0D57083E">
            <w:pPr>
              <w:pStyle w:val="37"/>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发包人（盖公章）</w:t>
            </w:r>
          </w:p>
          <w:p w14:paraId="154A6BF0">
            <w:pPr>
              <w:pStyle w:val="37"/>
              <w:spacing w:line="360" w:lineRule="exact"/>
              <w:ind w:firstLine="435"/>
              <w:jc w:val="center"/>
              <w:rPr>
                <w:rFonts w:hint="eastAsia" w:ascii="Times New Roman" w:hAnsi="Times New Roman"/>
                <w:color w:val="auto"/>
                <w:szCs w:val="21"/>
              </w:rPr>
            </w:pPr>
          </w:p>
          <w:p w14:paraId="7179D6B3">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 </w:t>
            </w:r>
            <w:r>
              <w:rPr>
                <w:rFonts w:hint="eastAsia" w:ascii="Times New Roman" w:hAnsi="Times New Roman"/>
                <w:color w:val="auto"/>
                <w:szCs w:val="21"/>
                <w:u w:val="single"/>
              </w:rPr>
              <w:t xml:space="preserve">          </w:t>
            </w:r>
          </w:p>
        </w:tc>
        <w:tc>
          <w:tcPr>
            <w:tcW w:w="4219" w:type="dxa"/>
            <w:gridSpan w:val="3"/>
            <w:noWrap w:val="0"/>
            <w:vAlign w:val="top"/>
          </w:tcPr>
          <w:p w14:paraId="6031D63E">
            <w:pPr>
              <w:pStyle w:val="37"/>
              <w:spacing w:line="360" w:lineRule="exact"/>
              <w:ind w:firstLine="435"/>
              <w:jc w:val="center"/>
              <w:rPr>
                <w:rFonts w:hint="eastAsia" w:ascii="Times New Roman" w:hAnsi="Times New Roman"/>
                <w:color w:val="auto"/>
                <w:szCs w:val="21"/>
              </w:rPr>
            </w:pPr>
          </w:p>
          <w:p w14:paraId="7AA26CDF">
            <w:pPr>
              <w:pStyle w:val="37"/>
              <w:spacing w:line="360" w:lineRule="exact"/>
              <w:ind w:firstLine="435"/>
              <w:jc w:val="center"/>
              <w:rPr>
                <w:rFonts w:hint="eastAsia" w:ascii="Times New Roman" w:hAnsi="Times New Roman"/>
                <w:color w:val="auto"/>
                <w:szCs w:val="21"/>
                <w:u w:val="single"/>
              </w:rPr>
            </w:pPr>
          </w:p>
          <w:p w14:paraId="04F99356">
            <w:pPr>
              <w:pStyle w:val="37"/>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承包人代表签字：</w:t>
            </w:r>
          </w:p>
          <w:p w14:paraId="6E8A5E49">
            <w:pPr>
              <w:pStyle w:val="37"/>
              <w:spacing w:line="360" w:lineRule="exact"/>
              <w:ind w:firstLine="435"/>
              <w:jc w:val="center"/>
              <w:rPr>
                <w:rFonts w:hint="eastAsia" w:ascii="Times New Roman" w:hAnsi="Times New Roman"/>
                <w:color w:val="auto"/>
                <w:szCs w:val="21"/>
              </w:rPr>
            </w:pPr>
          </w:p>
          <w:p w14:paraId="03E3CD59">
            <w:pPr>
              <w:pStyle w:val="37"/>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承包人（盖公章）</w:t>
            </w:r>
          </w:p>
          <w:p w14:paraId="1F0B2A5E">
            <w:pPr>
              <w:pStyle w:val="37"/>
              <w:spacing w:line="360" w:lineRule="exact"/>
              <w:ind w:firstLine="435"/>
              <w:jc w:val="center"/>
              <w:rPr>
                <w:rFonts w:hint="eastAsia" w:ascii="Times New Roman" w:hAnsi="Times New Roman"/>
                <w:color w:val="auto"/>
                <w:szCs w:val="21"/>
              </w:rPr>
            </w:pPr>
          </w:p>
          <w:p w14:paraId="7F6D27D4">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tc>
      </w:tr>
    </w:tbl>
    <w:p w14:paraId="7FDB5E0C">
      <w:pPr>
        <w:pStyle w:val="14"/>
        <w:rPr>
          <w:color w:val="auto"/>
        </w:rPr>
      </w:pPr>
    </w:p>
    <w:p w14:paraId="59875670">
      <w:pPr>
        <w:pStyle w:val="14"/>
        <w:rPr>
          <w:color w:val="auto"/>
        </w:rPr>
      </w:pPr>
    </w:p>
    <w:p w14:paraId="663A8997">
      <w:pPr>
        <w:pStyle w:val="14"/>
        <w:rPr>
          <w:color w:val="auto"/>
        </w:rPr>
      </w:pPr>
    </w:p>
    <w:p w14:paraId="56A0C701">
      <w:pPr>
        <w:pStyle w:val="14"/>
        <w:rPr>
          <w:color w:val="auto"/>
        </w:rPr>
      </w:pPr>
    </w:p>
    <w:p w14:paraId="00C289F7">
      <w:pPr>
        <w:pStyle w:val="14"/>
        <w:rPr>
          <w:color w:val="auto"/>
        </w:rPr>
      </w:pPr>
    </w:p>
    <w:p w14:paraId="670A91A4">
      <w:pPr>
        <w:pStyle w:val="14"/>
        <w:rPr>
          <w:color w:val="auto"/>
        </w:rPr>
      </w:pPr>
    </w:p>
    <w:p w14:paraId="5A226B80">
      <w:pPr>
        <w:pStyle w:val="14"/>
        <w:rPr>
          <w:color w:val="auto"/>
        </w:rPr>
      </w:pPr>
    </w:p>
    <w:p w14:paraId="17746B0E">
      <w:pPr>
        <w:pStyle w:val="14"/>
        <w:rPr>
          <w:color w:val="auto"/>
        </w:rPr>
      </w:pPr>
    </w:p>
    <w:p w14:paraId="6DAB8792">
      <w:pPr>
        <w:pStyle w:val="14"/>
        <w:rPr>
          <w:color w:val="auto"/>
        </w:rPr>
      </w:pPr>
    </w:p>
    <w:p w14:paraId="28BED418">
      <w:pPr>
        <w:pStyle w:val="14"/>
        <w:rPr>
          <w:color w:val="auto"/>
        </w:rPr>
      </w:pPr>
    </w:p>
    <w:p w14:paraId="0A5FB661">
      <w:pPr>
        <w:pStyle w:val="14"/>
        <w:rPr>
          <w:color w:val="auto"/>
        </w:rPr>
      </w:pPr>
    </w:p>
    <w:p w14:paraId="13BA1616">
      <w:pPr>
        <w:pStyle w:val="14"/>
        <w:rPr>
          <w:color w:val="auto"/>
        </w:rPr>
      </w:pPr>
    </w:p>
    <w:p w14:paraId="7E5A5D38">
      <w:pPr>
        <w:pStyle w:val="14"/>
        <w:rPr>
          <w:color w:val="auto"/>
        </w:rPr>
      </w:pPr>
    </w:p>
    <w:p w14:paraId="59C9FB8D">
      <w:pPr>
        <w:pStyle w:val="14"/>
        <w:rPr>
          <w:color w:val="auto"/>
        </w:rPr>
      </w:pPr>
    </w:p>
    <w:p w14:paraId="350C6A76">
      <w:pPr>
        <w:pStyle w:val="14"/>
        <w:rPr>
          <w:color w:val="auto"/>
        </w:rPr>
      </w:pPr>
    </w:p>
    <w:p w14:paraId="3C60D140">
      <w:pPr>
        <w:pStyle w:val="14"/>
        <w:rPr>
          <w:color w:val="auto"/>
        </w:rPr>
      </w:pPr>
    </w:p>
    <w:p w14:paraId="242AC04E">
      <w:pPr>
        <w:pStyle w:val="14"/>
        <w:rPr>
          <w:color w:val="auto"/>
        </w:rPr>
      </w:pPr>
    </w:p>
    <w:p w14:paraId="63977795">
      <w:pPr>
        <w:pStyle w:val="14"/>
        <w:rPr>
          <w:color w:val="auto"/>
        </w:rPr>
      </w:pPr>
    </w:p>
    <w:p w14:paraId="43726E9F">
      <w:pPr>
        <w:pStyle w:val="14"/>
        <w:rPr>
          <w:color w:val="auto"/>
        </w:rPr>
      </w:pPr>
    </w:p>
    <w:p w14:paraId="15F9A20F">
      <w:pPr>
        <w:pStyle w:val="14"/>
        <w:rPr>
          <w:color w:val="auto"/>
        </w:rPr>
      </w:pPr>
    </w:p>
    <w:p w14:paraId="729573CC">
      <w:pPr>
        <w:pStyle w:val="14"/>
        <w:rPr>
          <w:color w:val="auto"/>
        </w:rPr>
      </w:pPr>
    </w:p>
    <w:p w14:paraId="356C2922">
      <w:pPr>
        <w:pStyle w:val="14"/>
        <w:rPr>
          <w:color w:val="auto"/>
        </w:rPr>
      </w:pPr>
    </w:p>
    <w:p w14:paraId="470D04B8">
      <w:pPr>
        <w:pStyle w:val="14"/>
        <w:rPr>
          <w:color w:val="auto"/>
        </w:rPr>
      </w:pPr>
    </w:p>
    <w:p w14:paraId="59F295AE">
      <w:pPr>
        <w:pStyle w:val="14"/>
        <w:rPr>
          <w:color w:val="auto"/>
        </w:rPr>
      </w:pPr>
    </w:p>
    <w:p w14:paraId="42EA8D4F">
      <w:pPr>
        <w:pStyle w:val="14"/>
        <w:rPr>
          <w:color w:val="auto"/>
        </w:rPr>
      </w:pPr>
    </w:p>
    <w:p w14:paraId="59B78118">
      <w:pPr>
        <w:pStyle w:val="14"/>
        <w:rPr>
          <w:color w:val="auto"/>
        </w:rPr>
      </w:pPr>
    </w:p>
    <w:p w14:paraId="162C51F6">
      <w:pPr>
        <w:pStyle w:val="14"/>
        <w:rPr>
          <w:color w:val="auto"/>
        </w:rPr>
      </w:pPr>
    </w:p>
    <w:p w14:paraId="23D9D5C2">
      <w:pPr>
        <w:pStyle w:val="14"/>
        <w:rPr>
          <w:color w:val="auto"/>
        </w:rPr>
      </w:pPr>
    </w:p>
    <w:p w14:paraId="2A161B0F">
      <w:pPr>
        <w:pStyle w:val="14"/>
        <w:rPr>
          <w:color w:val="auto"/>
        </w:rPr>
      </w:pPr>
    </w:p>
    <w:p w14:paraId="7F1F22D8">
      <w:pPr>
        <w:pStyle w:val="14"/>
        <w:rPr>
          <w:color w:val="auto"/>
        </w:rPr>
      </w:pPr>
    </w:p>
    <w:p w14:paraId="2B4CB7EA">
      <w:pPr>
        <w:pStyle w:val="14"/>
        <w:rPr>
          <w:color w:val="auto"/>
        </w:rPr>
      </w:pPr>
    </w:p>
    <w:p w14:paraId="7C41375E">
      <w:pPr>
        <w:pStyle w:val="14"/>
        <w:rPr>
          <w:color w:val="auto"/>
        </w:rPr>
      </w:pPr>
    </w:p>
    <w:p w14:paraId="50F9B31A">
      <w:pPr>
        <w:pStyle w:val="37"/>
        <w:spacing w:line="360" w:lineRule="auto"/>
        <w:ind w:firstLine="600" w:firstLineChars="200"/>
        <w:jc w:val="left"/>
        <w:rPr>
          <w:rFonts w:hint="eastAsia" w:ascii="Times New Roman" w:hAnsi="Times New Roman"/>
          <w:color w:val="auto"/>
          <w:sz w:val="30"/>
          <w:szCs w:val="30"/>
        </w:rPr>
      </w:pPr>
      <w:r>
        <w:rPr>
          <w:rFonts w:hint="eastAsia" w:ascii="Times New Roman" w:hAnsi="Times New Roman"/>
          <w:color w:val="auto"/>
          <w:sz w:val="30"/>
          <w:szCs w:val="30"/>
        </w:rPr>
        <w:t>附件1</w:t>
      </w:r>
      <w:r>
        <w:rPr>
          <w:rFonts w:hint="eastAsia" w:ascii="Times New Roman" w:hAnsi="Times New Roman"/>
          <w:color w:val="auto"/>
          <w:sz w:val="30"/>
          <w:szCs w:val="30"/>
          <w:lang w:val="en-US" w:eastAsia="zh-CN"/>
        </w:rPr>
        <w:t>5</w:t>
      </w:r>
      <w:r>
        <w:rPr>
          <w:rFonts w:hint="eastAsia" w:ascii="Times New Roman" w:hAnsi="Times New Roman"/>
          <w:color w:val="auto"/>
          <w:sz w:val="30"/>
          <w:szCs w:val="30"/>
        </w:rPr>
        <w:t>：</w:t>
      </w:r>
    </w:p>
    <w:p w14:paraId="420153AA">
      <w:pPr>
        <w:ind w:firstLine="880" w:firstLineChars="200"/>
        <w:jc w:val="center"/>
        <w:rPr>
          <w:rFonts w:hint="eastAsia" w:ascii="宋体" w:hAnsi="宋体" w:eastAsia="宋体" w:cs="宋体"/>
          <w:color w:val="auto"/>
          <w:sz w:val="44"/>
          <w:szCs w:val="44"/>
          <w:u w:val="none"/>
          <w:lang w:val="en-US" w:eastAsia="zh-CN"/>
        </w:rPr>
      </w:pPr>
      <w:r>
        <w:rPr>
          <w:rFonts w:hint="eastAsia" w:ascii="宋体" w:hAnsi="宋体" w:cs="宋体"/>
          <w:color w:val="auto"/>
          <w:sz w:val="44"/>
          <w:szCs w:val="44"/>
          <w:u w:val="none"/>
          <w:lang w:val="en-US" w:eastAsia="zh-CN"/>
        </w:rPr>
        <w:t>欠薪</w:t>
      </w:r>
      <w:r>
        <w:rPr>
          <w:rFonts w:hint="eastAsia" w:ascii="宋体" w:hAnsi="宋体" w:eastAsia="宋体" w:cs="宋体"/>
          <w:color w:val="auto"/>
          <w:sz w:val="44"/>
          <w:szCs w:val="44"/>
          <w:u w:val="none"/>
          <w:lang w:val="en-US" w:eastAsia="zh-CN"/>
        </w:rPr>
        <w:t>催函</w:t>
      </w:r>
    </w:p>
    <w:p w14:paraId="11285422">
      <w:pPr>
        <w:rPr>
          <w:rFonts w:hint="eastAsia" w:ascii="宋体" w:hAnsi="宋体" w:eastAsia="宋体" w:cs="宋体"/>
          <w:color w:val="auto"/>
          <w:sz w:val="44"/>
          <w:szCs w:val="44"/>
          <w:u w:val="none"/>
          <w:lang w:val="en-US" w:eastAsia="zh-CN"/>
        </w:rPr>
      </w:pPr>
    </w:p>
    <w:p w14:paraId="0AE289DE">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公司：</w:t>
      </w:r>
    </w:p>
    <w:p w14:paraId="307530EB">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由贵公司承包的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项目，经发现：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人名），工种：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，做工时间：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，工资：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元，未按时支付。现要求贵公司收到此函之日起限于15日内足额支付该人工工资。否则，我方将根据与贵方签订的合同“第16.2.2承包人违约的责任第（1）条第⑨款：承包方要按时足额支付人工工资。因承包方原因拖欠人工工资的，一经发现，发包人有权将承包人纳入黑名单，十年内不得参与包括但不限于港口区教育系统的基建项目工程承包活动，并由发包人将其违约行为告知防城港市港口区住房和城乡建设局，作为承包方不良记录纳入建筑市场信用信息管理系统”之约定执行。</w:t>
      </w:r>
    </w:p>
    <w:p w14:paraId="7D1EB073">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特此函告。</w:t>
      </w:r>
    </w:p>
    <w:p w14:paraId="568EFD65">
      <w:pPr>
        <w:ind w:firstLine="640" w:firstLineChars="200"/>
        <w:rPr>
          <w:rFonts w:hint="eastAsia" w:ascii="仿宋_GB2312" w:hAnsi="仿宋_GB2312" w:eastAsia="仿宋_GB2312" w:cs="仿宋_GB2312"/>
          <w:color w:val="auto"/>
          <w:sz w:val="32"/>
          <w:szCs w:val="32"/>
          <w:u w:val="none"/>
          <w:lang w:val="en-US" w:eastAsia="zh-CN"/>
        </w:rPr>
      </w:pPr>
    </w:p>
    <w:p w14:paraId="25E03EAC">
      <w:pPr>
        <w:ind w:firstLine="640" w:firstLineChars="200"/>
        <w:rPr>
          <w:rFonts w:hint="eastAsia" w:ascii="仿宋_GB2312" w:hAnsi="仿宋_GB2312" w:eastAsia="仿宋_GB2312" w:cs="仿宋_GB2312"/>
          <w:color w:val="auto"/>
          <w:sz w:val="32"/>
          <w:szCs w:val="32"/>
          <w:u w:val="none"/>
          <w:lang w:val="en-US" w:eastAsia="zh-CN"/>
        </w:rPr>
      </w:pPr>
    </w:p>
    <w:p w14:paraId="7D5728FF">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防城港市港口区住房和城乡建设局</w:t>
      </w:r>
    </w:p>
    <w:p w14:paraId="08354DF4">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年   月   日</w:t>
      </w:r>
    </w:p>
    <w:p w14:paraId="119FF304">
      <w:pPr>
        <w:ind w:firstLine="640" w:firstLineChars="200"/>
        <w:rPr>
          <w:rFonts w:hint="eastAsia" w:ascii="仿宋_GB2312" w:hAnsi="仿宋_GB2312" w:eastAsia="仿宋_GB2312" w:cs="仿宋_GB2312"/>
          <w:color w:val="auto"/>
          <w:sz w:val="32"/>
          <w:szCs w:val="32"/>
          <w:u w:val="none"/>
          <w:lang w:val="en-US" w:eastAsia="zh-CN"/>
        </w:rPr>
      </w:pPr>
    </w:p>
    <w:p w14:paraId="6AEC295E">
      <w:p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（联系人及电话：***，0770-2810070）</w:t>
      </w:r>
    </w:p>
    <w:p w14:paraId="7175E315">
      <w:pPr>
        <w:pStyle w:val="37"/>
        <w:spacing w:line="360" w:lineRule="auto"/>
        <w:jc w:val="left"/>
        <w:rPr>
          <w:rFonts w:hint="eastAsia" w:ascii="Times New Roman" w:hAnsi="Times New Roman"/>
          <w:color w:val="auto"/>
          <w:sz w:val="30"/>
          <w:szCs w:val="30"/>
        </w:rPr>
      </w:pPr>
    </w:p>
    <w:p w14:paraId="6CA04416">
      <w:pPr>
        <w:pStyle w:val="14"/>
        <w:rPr>
          <w:color w:val="auto"/>
        </w:rPr>
      </w:pPr>
    </w:p>
    <w:p w14:paraId="775A0529">
      <w:pPr>
        <w:ind w:firstLine="420" w:firstLineChars="200"/>
        <w:rPr>
          <w:rFonts w:hint="eastAsia"/>
          <w:color w:val="auto"/>
          <w:lang w:val="en-US" w:eastAsia="zh-CN"/>
        </w:rPr>
      </w:pPr>
      <w:r>
        <w:rPr>
          <w:rFonts w:hint="eastAsia"/>
          <w:color w:val="auto"/>
          <w:lang w:val="en-US" w:eastAsia="zh-CN"/>
        </w:rPr>
        <w:t>附件16：</w:t>
      </w:r>
    </w:p>
    <w:p w14:paraId="6836A3BC">
      <w:pPr>
        <w:ind w:firstLine="420" w:firstLineChars="200"/>
        <w:rPr>
          <w:rFonts w:hint="eastAsia"/>
          <w:color w:val="auto"/>
          <w:sz w:val="44"/>
          <w:szCs w:val="44"/>
          <w:lang w:val="en-US" w:eastAsia="zh-CN"/>
        </w:rPr>
      </w:pPr>
      <w:r>
        <w:rPr>
          <w:rFonts w:hint="eastAsia"/>
          <w:color w:val="auto"/>
          <w:lang w:val="en-US" w:eastAsia="zh-CN"/>
        </w:rPr>
        <w:t xml:space="preserve">      </w:t>
      </w:r>
      <w:r>
        <w:rPr>
          <w:rFonts w:hint="eastAsia"/>
          <w:color w:val="auto"/>
          <w:sz w:val="44"/>
          <w:szCs w:val="44"/>
          <w:u w:val="single"/>
          <w:lang w:val="en-US" w:eastAsia="zh-CN"/>
        </w:rPr>
        <w:t xml:space="preserve">       </w:t>
      </w:r>
      <w:r>
        <w:rPr>
          <w:rFonts w:hint="eastAsia"/>
          <w:color w:val="auto"/>
          <w:sz w:val="44"/>
          <w:szCs w:val="44"/>
          <w:u w:val="none"/>
          <w:lang w:val="en-US" w:eastAsia="zh-CN"/>
        </w:rPr>
        <w:t>项目</w:t>
      </w:r>
      <w:r>
        <w:rPr>
          <w:rFonts w:hint="eastAsia"/>
          <w:color w:val="auto"/>
          <w:sz w:val="44"/>
          <w:szCs w:val="44"/>
          <w:lang w:val="en-US" w:eastAsia="zh-CN"/>
        </w:rPr>
        <w:t>安全文明施工费使用明细表</w:t>
      </w:r>
    </w:p>
    <w:p w14:paraId="5635D91B">
      <w:pPr>
        <w:ind w:firstLine="640" w:firstLineChars="200"/>
        <w:rPr>
          <w:rFonts w:hint="default"/>
          <w:color w:val="auto"/>
          <w:sz w:val="32"/>
          <w:szCs w:val="32"/>
          <w:lang w:val="en-US" w:eastAsia="zh-CN"/>
        </w:rPr>
      </w:pPr>
      <w:r>
        <w:rPr>
          <w:rFonts w:hint="eastAsia"/>
          <w:color w:val="auto"/>
          <w:sz w:val="32"/>
          <w:szCs w:val="32"/>
          <w:lang w:val="en-US" w:eastAsia="zh-CN"/>
        </w:rPr>
        <w:t>施工单位（盖章）：     填表人：             日期：</w:t>
      </w:r>
    </w:p>
    <w:tbl>
      <w:tblPr>
        <w:tblStyle w:val="23"/>
        <w:tblpPr w:leftFromText="180" w:rightFromText="180" w:vertAnchor="page" w:horzAnchor="page" w:tblpX="1018" w:tblpY="2793"/>
        <w:tblOverlap w:val="never"/>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46"/>
        <w:gridCol w:w="1470"/>
        <w:gridCol w:w="1305"/>
        <w:gridCol w:w="1425"/>
        <w:gridCol w:w="1155"/>
        <w:gridCol w:w="1338"/>
      </w:tblGrid>
      <w:tr w14:paraId="3F5F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38" w:type="dxa"/>
            <w:vAlign w:val="center"/>
          </w:tcPr>
          <w:p w14:paraId="3DFAA83F">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序号</w:t>
            </w:r>
          </w:p>
        </w:tc>
        <w:tc>
          <w:tcPr>
            <w:tcW w:w="2746" w:type="dxa"/>
            <w:vAlign w:val="center"/>
          </w:tcPr>
          <w:p w14:paraId="44E5C862">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内容</w:t>
            </w:r>
          </w:p>
        </w:tc>
        <w:tc>
          <w:tcPr>
            <w:tcW w:w="1470" w:type="dxa"/>
            <w:vAlign w:val="center"/>
          </w:tcPr>
          <w:p w14:paraId="77019DD4">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规格</w:t>
            </w:r>
          </w:p>
        </w:tc>
        <w:tc>
          <w:tcPr>
            <w:tcW w:w="1305" w:type="dxa"/>
            <w:vAlign w:val="center"/>
          </w:tcPr>
          <w:p w14:paraId="35FF38AF">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材质</w:t>
            </w:r>
          </w:p>
        </w:tc>
        <w:tc>
          <w:tcPr>
            <w:tcW w:w="1425" w:type="dxa"/>
            <w:vAlign w:val="center"/>
          </w:tcPr>
          <w:p w14:paraId="55A0518E">
            <w:pPr>
              <w:jc w:val="center"/>
              <w:rPr>
                <w:rFonts w:hint="default"/>
                <w:color w:val="auto"/>
                <w:sz w:val="32"/>
                <w:szCs w:val="32"/>
                <w:vertAlign w:val="baseline"/>
                <w:lang w:val="en-US" w:eastAsia="zh-CN"/>
              </w:rPr>
            </w:pPr>
            <w:r>
              <w:rPr>
                <w:rFonts w:hint="eastAsia"/>
                <w:color w:val="auto"/>
                <w:sz w:val="32"/>
                <w:szCs w:val="32"/>
                <w:vertAlign w:val="baseline"/>
                <w:lang w:val="en-US" w:eastAsia="zh-CN"/>
              </w:rPr>
              <w:t>数量</w:t>
            </w:r>
          </w:p>
        </w:tc>
        <w:tc>
          <w:tcPr>
            <w:tcW w:w="1155" w:type="dxa"/>
            <w:vAlign w:val="center"/>
          </w:tcPr>
          <w:p w14:paraId="75FF5197">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费用（元）</w:t>
            </w:r>
          </w:p>
        </w:tc>
        <w:tc>
          <w:tcPr>
            <w:tcW w:w="1338" w:type="dxa"/>
            <w:vAlign w:val="center"/>
          </w:tcPr>
          <w:p w14:paraId="07C964AB">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备注</w:t>
            </w:r>
          </w:p>
        </w:tc>
      </w:tr>
      <w:tr w14:paraId="4C75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38" w:type="dxa"/>
            <w:vAlign w:val="center"/>
          </w:tcPr>
          <w:p w14:paraId="5FA1499E">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2746" w:type="dxa"/>
            <w:vAlign w:val="center"/>
          </w:tcPr>
          <w:p w14:paraId="37799167">
            <w:pPr>
              <w:jc w:val="center"/>
              <w:rPr>
                <w:color w:val="auto"/>
                <w:vertAlign w:val="baseline"/>
              </w:rPr>
            </w:pPr>
          </w:p>
        </w:tc>
        <w:tc>
          <w:tcPr>
            <w:tcW w:w="1470" w:type="dxa"/>
            <w:vAlign w:val="center"/>
          </w:tcPr>
          <w:p w14:paraId="0BBEC77C">
            <w:pPr>
              <w:jc w:val="center"/>
              <w:rPr>
                <w:color w:val="auto"/>
                <w:vertAlign w:val="baseline"/>
              </w:rPr>
            </w:pPr>
          </w:p>
        </w:tc>
        <w:tc>
          <w:tcPr>
            <w:tcW w:w="1305" w:type="dxa"/>
            <w:vAlign w:val="center"/>
          </w:tcPr>
          <w:p w14:paraId="01A277EF">
            <w:pPr>
              <w:jc w:val="center"/>
              <w:rPr>
                <w:color w:val="auto"/>
                <w:vertAlign w:val="baseline"/>
              </w:rPr>
            </w:pPr>
          </w:p>
        </w:tc>
        <w:tc>
          <w:tcPr>
            <w:tcW w:w="1425" w:type="dxa"/>
            <w:vAlign w:val="center"/>
          </w:tcPr>
          <w:p w14:paraId="4D827F18">
            <w:pPr>
              <w:jc w:val="center"/>
              <w:rPr>
                <w:color w:val="auto"/>
                <w:vertAlign w:val="baseline"/>
              </w:rPr>
            </w:pPr>
          </w:p>
        </w:tc>
        <w:tc>
          <w:tcPr>
            <w:tcW w:w="1155" w:type="dxa"/>
            <w:vAlign w:val="center"/>
          </w:tcPr>
          <w:p w14:paraId="318B41B6">
            <w:pPr>
              <w:jc w:val="center"/>
              <w:rPr>
                <w:color w:val="auto"/>
                <w:vertAlign w:val="baseline"/>
              </w:rPr>
            </w:pPr>
          </w:p>
        </w:tc>
        <w:tc>
          <w:tcPr>
            <w:tcW w:w="1338" w:type="dxa"/>
            <w:vAlign w:val="center"/>
          </w:tcPr>
          <w:p w14:paraId="102092D1">
            <w:pPr>
              <w:jc w:val="center"/>
              <w:rPr>
                <w:color w:val="auto"/>
                <w:vertAlign w:val="baseline"/>
              </w:rPr>
            </w:pPr>
          </w:p>
        </w:tc>
      </w:tr>
      <w:tr w14:paraId="7979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8" w:type="dxa"/>
            <w:vAlign w:val="center"/>
          </w:tcPr>
          <w:p w14:paraId="2964A3F1">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2746" w:type="dxa"/>
            <w:vAlign w:val="center"/>
          </w:tcPr>
          <w:p w14:paraId="07C46CD6">
            <w:pPr>
              <w:jc w:val="center"/>
              <w:rPr>
                <w:color w:val="auto"/>
                <w:vertAlign w:val="baseline"/>
              </w:rPr>
            </w:pPr>
          </w:p>
        </w:tc>
        <w:tc>
          <w:tcPr>
            <w:tcW w:w="1470" w:type="dxa"/>
            <w:vAlign w:val="center"/>
          </w:tcPr>
          <w:p w14:paraId="7FEB2F0E">
            <w:pPr>
              <w:jc w:val="center"/>
              <w:rPr>
                <w:color w:val="auto"/>
                <w:vertAlign w:val="baseline"/>
              </w:rPr>
            </w:pPr>
          </w:p>
        </w:tc>
        <w:tc>
          <w:tcPr>
            <w:tcW w:w="1305" w:type="dxa"/>
            <w:vAlign w:val="center"/>
          </w:tcPr>
          <w:p w14:paraId="5E382481">
            <w:pPr>
              <w:jc w:val="center"/>
              <w:rPr>
                <w:color w:val="auto"/>
                <w:vertAlign w:val="baseline"/>
              </w:rPr>
            </w:pPr>
          </w:p>
        </w:tc>
        <w:tc>
          <w:tcPr>
            <w:tcW w:w="1425" w:type="dxa"/>
            <w:vAlign w:val="center"/>
          </w:tcPr>
          <w:p w14:paraId="59F69ACB">
            <w:pPr>
              <w:jc w:val="center"/>
              <w:rPr>
                <w:color w:val="auto"/>
                <w:vertAlign w:val="baseline"/>
              </w:rPr>
            </w:pPr>
          </w:p>
        </w:tc>
        <w:tc>
          <w:tcPr>
            <w:tcW w:w="1155" w:type="dxa"/>
            <w:vAlign w:val="center"/>
          </w:tcPr>
          <w:p w14:paraId="77809523">
            <w:pPr>
              <w:jc w:val="center"/>
              <w:rPr>
                <w:color w:val="auto"/>
                <w:vertAlign w:val="baseline"/>
              </w:rPr>
            </w:pPr>
          </w:p>
        </w:tc>
        <w:tc>
          <w:tcPr>
            <w:tcW w:w="1338" w:type="dxa"/>
            <w:vAlign w:val="center"/>
          </w:tcPr>
          <w:p w14:paraId="4BB2F758">
            <w:pPr>
              <w:jc w:val="center"/>
              <w:rPr>
                <w:color w:val="auto"/>
                <w:vertAlign w:val="baseline"/>
              </w:rPr>
            </w:pPr>
          </w:p>
        </w:tc>
      </w:tr>
      <w:tr w14:paraId="643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8" w:type="dxa"/>
            <w:vAlign w:val="center"/>
          </w:tcPr>
          <w:p w14:paraId="70DC5DCD">
            <w:pPr>
              <w:jc w:val="center"/>
              <w:rPr>
                <w:rFonts w:hint="eastAsia" w:eastAsiaTheme="minorEastAsia"/>
                <w:color w:val="auto"/>
                <w:vertAlign w:val="baseline"/>
                <w:lang w:val="en-US" w:eastAsia="zh-CN"/>
              </w:rPr>
            </w:pPr>
            <w:r>
              <w:rPr>
                <w:rFonts w:hint="eastAsia"/>
                <w:color w:val="auto"/>
                <w:vertAlign w:val="baseline"/>
                <w:lang w:val="en-US" w:eastAsia="zh-CN"/>
              </w:rPr>
              <w:t>3</w:t>
            </w:r>
          </w:p>
        </w:tc>
        <w:tc>
          <w:tcPr>
            <w:tcW w:w="2746" w:type="dxa"/>
            <w:vAlign w:val="center"/>
          </w:tcPr>
          <w:p w14:paraId="57FCD937">
            <w:pPr>
              <w:jc w:val="center"/>
              <w:rPr>
                <w:color w:val="auto"/>
                <w:vertAlign w:val="baseline"/>
              </w:rPr>
            </w:pPr>
          </w:p>
        </w:tc>
        <w:tc>
          <w:tcPr>
            <w:tcW w:w="1470" w:type="dxa"/>
            <w:vAlign w:val="center"/>
          </w:tcPr>
          <w:p w14:paraId="5A88598B">
            <w:pPr>
              <w:jc w:val="center"/>
              <w:rPr>
                <w:color w:val="auto"/>
                <w:vertAlign w:val="baseline"/>
              </w:rPr>
            </w:pPr>
          </w:p>
        </w:tc>
        <w:tc>
          <w:tcPr>
            <w:tcW w:w="1305" w:type="dxa"/>
            <w:vAlign w:val="center"/>
          </w:tcPr>
          <w:p w14:paraId="27EB3856">
            <w:pPr>
              <w:jc w:val="center"/>
              <w:rPr>
                <w:color w:val="auto"/>
                <w:vertAlign w:val="baseline"/>
              </w:rPr>
            </w:pPr>
          </w:p>
        </w:tc>
        <w:tc>
          <w:tcPr>
            <w:tcW w:w="1425" w:type="dxa"/>
            <w:vAlign w:val="center"/>
          </w:tcPr>
          <w:p w14:paraId="7124ACB6">
            <w:pPr>
              <w:jc w:val="center"/>
              <w:rPr>
                <w:color w:val="auto"/>
                <w:vertAlign w:val="baseline"/>
              </w:rPr>
            </w:pPr>
          </w:p>
        </w:tc>
        <w:tc>
          <w:tcPr>
            <w:tcW w:w="1155" w:type="dxa"/>
            <w:vAlign w:val="center"/>
          </w:tcPr>
          <w:p w14:paraId="26CAA004">
            <w:pPr>
              <w:jc w:val="center"/>
              <w:rPr>
                <w:color w:val="auto"/>
                <w:vertAlign w:val="baseline"/>
              </w:rPr>
            </w:pPr>
          </w:p>
        </w:tc>
        <w:tc>
          <w:tcPr>
            <w:tcW w:w="1338" w:type="dxa"/>
            <w:vAlign w:val="center"/>
          </w:tcPr>
          <w:p w14:paraId="7AB7E9E5">
            <w:pPr>
              <w:jc w:val="center"/>
              <w:rPr>
                <w:color w:val="auto"/>
                <w:vertAlign w:val="baseline"/>
              </w:rPr>
            </w:pPr>
          </w:p>
        </w:tc>
      </w:tr>
      <w:tr w14:paraId="0173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8" w:type="dxa"/>
            <w:vAlign w:val="center"/>
          </w:tcPr>
          <w:p w14:paraId="2B83ACEE">
            <w:pPr>
              <w:jc w:val="center"/>
              <w:rPr>
                <w:rFonts w:hint="eastAsia" w:eastAsiaTheme="minorEastAsia"/>
                <w:color w:val="auto"/>
                <w:vertAlign w:val="baseline"/>
                <w:lang w:val="en-US" w:eastAsia="zh-CN"/>
              </w:rPr>
            </w:pPr>
            <w:r>
              <w:rPr>
                <w:rFonts w:hint="eastAsia"/>
                <w:color w:val="auto"/>
                <w:vertAlign w:val="baseline"/>
                <w:lang w:val="en-US" w:eastAsia="zh-CN"/>
              </w:rPr>
              <w:t>4</w:t>
            </w:r>
          </w:p>
        </w:tc>
        <w:tc>
          <w:tcPr>
            <w:tcW w:w="2746" w:type="dxa"/>
            <w:vAlign w:val="center"/>
          </w:tcPr>
          <w:p w14:paraId="376EAF5C">
            <w:pPr>
              <w:jc w:val="center"/>
              <w:rPr>
                <w:color w:val="auto"/>
                <w:vertAlign w:val="baseline"/>
              </w:rPr>
            </w:pPr>
          </w:p>
        </w:tc>
        <w:tc>
          <w:tcPr>
            <w:tcW w:w="1470" w:type="dxa"/>
            <w:vAlign w:val="center"/>
          </w:tcPr>
          <w:p w14:paraId="3B16685B">
            <w:pPr>
              <w:jc w:val="center"/>
              <w:rPr>
                <w:color w:val="auto"/>
                <w:vertAlign w:val="baseline"/>
              </w:rPr>
            </w:pPr>
          </w:p>
        </w:tc>
        <w:tc>
          <w:tcPr>
            <w:tcW w:w="1305" w:type="dxa"/>
            <w:vAlign w:val="center"/>
          </w:tcPr>
          <w:p w14:paraId="5684DEC3">
            <w:pPr>
              <w:jc w:val="center"/>
              <w:rPr>
                <w:color w:val="auto"/>
                <w:vertAlign w:val="baseline"/>
              </w:rPr>
            </w:pPr>
          </w:p>
        </w:tc>
        <w:tc>
          <w:tcPr>
            <w:tcW w:w="1425" w:type="dxa"/>
            <w:vAlign w:val="center"/>
          </w:tcPr>
          <w:p w14:paraId="54D03430">
            <w:pPr>
              <w:jc w:val="center"/>
              <w:rPr>
                <w:color w:val="auto"/>
                <w:vertAlign w:val="baseline"/>
              </w:rPr>
            </w:pPr>
          </w:p>
        </w:tc>
        <w:tc>
          <w:tcPr>
            <w:tcW w:w="1155" w:type="dxa"/>
            <w:vAlign w:val="center"/>
          </w:tcPr>
          <w:p w14:paraId="109B09BA">
            <w:pPr>
              <w:jc w:val="center"/>
              <w:rPr>
                <w:color w:val="auto"/>
                <w:vertAlign w:val="baseline"/>
              </w:rPr>
            </w:pPr>
          </w:p>
        </w:tc>
        <w:tc>
          <w:tcPr>
            <w:tcW w:w="1338" w:type="dxa"/>
            <w:vAlign w:val="center"/>
          </w:tcPr>
          <w:p w14:paraId="4CB06664">
            <w:pPr>
              <w:jc w:val="center"/>
              <w:rPr>
                <w:color w:val="auto"/>
                <w:vertAlign w:val="baseline"/>
              </w:rPr>
            </w:pPr>
          </w:p>
        </w:tc>
      </w:tr>
      <w:tr w14:paraId="51C3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8" w:type="dxa"/>
            <w:vAlign w:val="center"/>
          </w:tcPr>
          <w:p w14:paraId="0FD8503E">
            <w:pPr>
              <w:jc w:val="center"/>
              <w:rPr>
                <w:rFonts w:hint="eastAsia" w:eastAsiaTheme="minorEastAsia"/>
                <w:color w:val="auto"/>
                <w:vertAlign w:val="baseline"/>
                <w:lang w:val="en-US" w:eastAsia="zh-CN"/>
              </w:rPr>
            </w:pPr>
            <w:r>
              <w:rPr>
                <w:rFonts w:hint="eastAsia"/>
                <w:color w:val="auto"/>
                <w:vertAlign w:val="baseline"/>
                <w:lang w:val="en-US" w:eastAsia="zh-CN"/>
              </w:rPr>
              <w:t>5</w:t>
            </w:r>
          </w:p>
        </w:tc>
        <w:tc>
          <w:tcPr>
            <w:tcW w:w="2746" w:type="dxa"/>
            <w:vAlign w:val="center"/>
          </w:tcPr>
          <w:p w14:paraId="1D45F658">
            <w:pPr>
              <w:jc w:val="center"/>
              <w:rPr>
                <w:color w:val="auto"/>
                <w:vertAlign w:val="baseline"/>
              </w:rPr>
            </w:pPr>
          </w:p>
        </w:tc>
        <w:tc>
          <w:tcPr>
            <w:tcW w:w="1470" w:type="dxa"/>
            <w:vAlign w:val="center"/>
          </w:tcPr>
          <w:p w14:paraId="168FFBAB">
            <w:pPr>
              <w:jc w:val="center"/>
              <w:rPr>
                <w:color w:val="auto"/>
                <w:vertAlign w:val="baseline"/>
              </w:rPr>
            </w:pPr>
          </w:p>
        </w:tc>
        <w:tc>
          <w:tcPr>
            <w:tcW w:w="1305" w:type="dxa"/>
            <w:vAlign w:val="center"/>
          </w:tcPr>
          <w:p w14:paraId="74C2C433">
            <w:pPr>
              <w:jc w:val="center"/>
              <w:rPr>
                <w:color w:val="auto"/>
                <w:vertAlign w:val="baseline"/>
              </w:rPr>
            </w:pPr>
          </w:p>
        </w:tc>
        <w:tc>
          <w:tcPr>
            <w:tcW w:w="1425" w:type="dxa"/>
            <w:vAlign w:val="center"/>
          </w:tcPr>
          <w:p w14:paraId="58F6CAA1">
            <w:pPr>
              <w:jc w:val="center"/>
              <w:rPr>
                <w:color w:val="auto"/>
                <w:vertAlign w:val="baseline"/>
              </w:rPr>
            </w:pPr>
          </w:p>
        </w:tc>
        <w:tc>
          <w:tcPr>
            <w:tcW w:w="1155" w:type="dxa"/>
            <w:vAlign w:val="center"/>
          </w:tcPr>
          <w:p w14:paraId="18697706">
            <w:pPr>
              <w:jc w:val="center"/>
              <w:rPr>
                <w:color w:val="auto"/>
                <w:vertAlign w:val="baseline"/>
              </w:rPr>
            </w:pPr>
          </w:p>
        </w:tc>
        <w:tc>
          <w:tcPr>
            <w:tcW w:w="1338" w:type="dxa"/>
            <w:vAlign w:val="center"/>
          </w:tcPr>
          <w:p w14:paraId="58961130">
            <w:pPr>
              <w:jc w:val="center"/>
              <w:rPr>
                <w:color w:val="auto"/>
                <w:vertAlign w:val="baseline"/>
              </w:rPr>
            </w:pPr>
          </w:p>
        </w:tc>
      </w:tr>
    </w:tbl>
    <w:p w14:paraId="7BBCB3F1">
      <w:pPr>
        <w:rPr>
          <w:rFonts w:hint="eastAsia"/>
          <w:color w:val="auto"/>
          <w:lang w:val="en-US" w:eastAsia="zh-CN"/>
        </w:rPr>
      </w:pPr>
    </w:p>
    <w:p w14:paraId="0994AE3D">
      <w:pPr>
        <w:ind w:firstLine="420" w:firstLineChars="200"/>
        <w:rPr>
          <w:rFonts w:hint="default"/>
          <w:color w:val="auto"/>
          <w:lang w:val="en-US" w:eastAsia="zh-CN"/>
        </w:rPr>
      </w:pPr>
      <w:r>
        <w:rPr>
          <w:rFonts w:hint="eastAsia"/>
          <w:color w:val="auto"/>
          <w:lang w:val="en-US" w:eastAsia="zh-CN"/>
        </w:rPr>
        <w:t>注：1.此表作为施工方结算安全文明施工费的依据，不提供的该费用不予结算。2.在申请工程款时一并提交，并附上现场图片。3.监理单位负有审核责任，因监理不到位按合同相关条款约定追究责任。4.</w:t>
      </w:r>
      <w:r>
        <w:rPr>
          <w:rFonts w:hint="eastAsia" w:ascii="宋体" w:hAnsi="宋体" w:eastAsia="宋体" w:cs="宋体"/>
          <w:i w:val="0"/>
          <w:iCs w:val="0"/>
          <w:color w:val="auto"/>
          <w:kern w:val="0"/>
          <w:sz w:val="22"/>
          <w:szCs w:val="22"/>
          <w:u w:val="none"/>
          <w:lang w:val="en-US" w:eastAsia="zh-CN" w:bidi="ar"/>
        </w:rPr>
        <w:t>施工单位对该表的真实性负责，因弄虚作假后果自负。</w:t>
      </w:r>
    </w:p>
    <w:p w14:paraId="72E5373D">
      <w:pPr>
        <w:rPr>
          <w:color w:val="auto"/>
        </w:rPr>
      </w:pPr>
    </w:p>
    <w:p w14:paraId="49C0B7FC">
      <w:pPr>
        <w:rPr>
          <w:color w:val="auto"/>
        </w:rPr>
      </w:pPr>
    </w:p>
    <w:p w14:paraId="6E837D16">
      <w:pPr>
        <w:rPr>
          <w:color w:val="auto"/>
        </w:rPr>
      </w:pPr>
    </w:p>
    <w:p w14:paraId="2EECA971">
      <w:pPr>
        <w:rPr>
          <w:color w:val="auto"/>
        </w:rPr>
      </w:pPr>
    </w:p>
    <w:p w14:paraId="6345CF5D">
      <w:pPr>
        <w:rPr>
          <w:color w:val="auto"/>
        </w:rPr>
      </w:pPr>
    </w:p>
    <w:p w14:paraId="5BEC50B1">
      <w:pPr>
        <w:rPr>
          <w:color w:val="auto"/>
        </w:rPr>
      </w:pPr>
    </w:p>
    <w:p w14:paraId="593F34E0">
      <w:pPr>
        <w:rPr>
          <w:color w:val="auto"/>
        </w:rPr>
      </w:pPr>
    </w:p>
    <w:p w14:paraId="0489DFDE">
      <w:pPr>
        <w:rPr>
          <w:color w:val="auto"/>
        </w:rPr>
      </w:pPr>
    </w:p>
    <w:p w14:paraId="1D897796">
      <w:pPr>
        <w:rPr>
          <w:color w:val="auto"/>
        </w:rPr>
      </w:pPr>
    </w:p>
    <w:p w14:paraId="2DB6AF54">
      <w:pPr>
        <w:rPr>
          <w:color w:val="auto"/>
        </w:rPr>
      </w:pPr>
    </w:p>
    <w:p w14:paraId="5AEF6EF1">
      <w:pPr>
        <w:rPr>
          <w:color w:val="auto"/>
        </w:rPr>
      </w:pPr>
    </w:p>
    <w:p w14:paraId="63862F84">
      <w:pPr>
        <w:ind w:firstLine="420" w:firstLineChars="200"/>
        <w:rPr>
          <w:rFonts w:hint="eastAsia"/>
          <w:color w:val="auto"/>
          <w:lang w:val="en-US" w:eastAsia="zh-CN"/>
        </w:rPr>
      </w:pPr>
      <w:r>
        <w:rPr>
          <w:rFonts w:hint="eastAsia"/>
          <w:color w:val="auto"/>
          <w:lang w:val="en-US" w:eastAsia="zh-CN"/>
        </w:rPr>
        <w:br w:type="page"/>
      </w:r>
    </w:p>
    <w:p w14:paraId="02EB6723">
      <w:pPr>
        <w:ind w:firstLine="420" w:firstLineChars="200"/>
        <w:rPr>
          <w:rFonts w:hint="default" w:eastAsia="宋体"/>
          <w:color w:val="auto"/>
          <w:lang w:val="en-US" w:eastAsia="zh-CN"/>
        </w:rPr>
      </w:pPr>
      <w:r>
        <w:rPr>
          <w:rFonts w:hint="eastAsia"/>
          <w:color w:val="auto"/>
          <w:lang w:val="en-US" w:eastAsia="zh-CN"/>
        </w:rPr>
        <w:t>附件17：</w:t>
      </w:r>
    </w:p>
    <w:tbl>
      <w:tblPr>
        <w:tblStyle w:val="22"/>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705"/>
        <w:gridCol w:w="705"/>
        <w:gridCol w:w="705"/>
        <w:gridCol w:w="705"/>
        <w:gridCol w:w="705"/>
        <w:gridCol w:w="705"/>
        <w:gridCol w:w="705"/>
        <w:gridCol w:w="705"/>
        <w:gridCol w:w="705"/>
        <w:gridCol w:w="705"/>
        <w:gridCol w:w="705"/>
      </w:tblGrid>
      <w:tr w14:paraId="4A1A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460" w:type="dxa"/>
            <w:gridSpan w:val="12"/>
            <w:tcBorders>
              <w:top w:val="nil"/>
              <w:left w:val="nil"/>
              <w:bottom w:val="nil"/>
              <w:right w:val="nil"/>
            </w:tcBorders>
            <w:shd w:val="clear" w:color="auto" w:fill="auto"/>
            <w:vAlign w:val="center"/>
          </w:tcPr>
          <w:p w14:paraId="23A42429">
            <w:pPr>
              <w:keepNext w:val="0"/>
              <w:keepLines w:val="0"/>
              <w:widowControl/>
              <w:suppressLineNumbers w:val="0"/>
              <w:jc w:val="center"/>
              <w:textAlignment w:val="center"/>
              <w:rPr>
                <w:rFonts w:hint="eastAsia" w:ascii="宋体" w:hAnsi="宋体" w:eastAsia="宋体" w:cs="宋体"/>
                <w:i w:val="0"/>
                <w:iCs w:val="0"/>
                <w:color w:val="auto"/>
                <w:sz w:val="36"/>
                <w:szCs w:val="36"/>
                <w:u w:val="single"/>
              </w:rPr>
            </w:pPr>
            <w:r>
              <w:rPr>
                <w:rFonts w:hint="eastAsia" w:ascii="宋体" w:hAnsi="宋体" w:eastAsia="宋体" w:cs="宋体"/>
                <w:i w:val="0"/>
                <w:iCs w:val="0"/>
                <w:color w:val="auto"/>
                <w:kern w:val="0"/>
                <w:sz w:val="36"/>
                <w:szCs w:val="36"/>
                <w:u w:val="single"/>
                <w:lang w:val="en-US" w:eastAsia="zh-CN" w:bidi="ar"/>
              </w:rPr>
              <w:t xml:space="preserve">                   </w:t>
            </w:r>
            <w:r>
              <w:rPr>
                <w:rFonts w:hint="eastAsia" w:ascii="宋体" w:hAnsi="宋体" w:eastAsia="宋体" w:cs="宋体"/>
                <w:i w:val="0"/>
                <w:iCs w:val="0"/>
                <w:color w:val="auto"/>
                <w:kern w:val="0"/>
                <w:sz w:val="36"/>
                <w:szCs w:val="36"/>
                <w:u w:val="none"/>
                <w:lang w:val="en-US" w:eastAsia="zh-CN" w:bidi="ar"/>
              </w:rPr>
              <w:t>项目原材料进场登记表</w:t>
            </w:r>
          </w:p>
        </w:tc>
      </w:tr>
      <w:tr w14:paraId="44AD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15" w:type="dxa"/>
            <w:gridSpan w:val="3"/>
            <w:tcBorders>
              <w:top w:val="nil"/>
              <w:left w:val="nil"/>
              <w:bottom w:val="nil"/>
              <w:right w:val="nil"/>
            </w:tcBorders>
            <w:shd w:val="clear" w:color="auto" w:fill="auto"/>
            <w:vAlign w:val="center"/>
          </w:tcPr>
          <w:p w14:paraId="3ACC4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施工单位（盖章）：</w:t>
            </w:r>
          </w:p>
        </w:tc>
        <w:tc>
          <w:tcPr>
            <w:tcW w:w="705" w:type="dxa"/>
            <w:tcBorders>
              <w:top w:val="nil"/>
              <w:left w:val="nil"/>
              <w:bottom w:val="nil"/>
              <w:right w:val="nil"/>
            </w:tcBorders>
            <w:shd w:val="clear" w:color="auto" w:fill="auto"/>
            <w:vAlign w:val="center"/>
          </w:tcPr>
          <w:p w14:paraId="04D5DFEE">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6144C8AC">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5D6CE65B">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682843B0">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16E316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登记人：</w:t>
            </w:r>
          </w:p>
        </w:tc>
        <w:tc>
          <w:tcPr>
            <w:tcW w:w="705" w:type="dxa"/>
            <w:tcBorders>
              <w:top w:val="nil"/>
              <w:left w:val="nil"/>
              <w:bottom w:val="nil"/>
              <w:right w:val="nil"/>
            </w:tcBorders>
            <w:shd w:val="clear" w:color="auto" w:fill="auto"/>
            <w:vAlign w:val="center"/>
          </w:tcPr>
          <w:p w14:paraId="45408AFD">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25C5C9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日期：</w:t>
            </w:r>
          </w:p>
        </w:tc>
        <w:tc>
          <w:tcPr>
            <w:tcW w:w="705" w:type="dxa"/>
            <w:tcBorders>
              <w:top w:val="nil"/>
              <w:left w:val="nil"/>
              <w:bottom w:val="nil"/>
              <w:right w:val="nil"/>
            </w:tcBorders>
            <w:shd w:val="clear" w:color="auto" w:fill="auto"/>
            <w:vAlign w:val="center"/>
          </w:tcPr>
          <w:p w14:paraId="51B78034">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71B641F5">
            <w:pPr>
              <w:jc w:val="center"/>
              <w:rPr>
                <w:rFonts w:hint="eastAsia" w:ascii="宋体" w:hAnsi="宋体" w:eastAsia="宋体" w:cs="宋体"/>
                <w:i w:val="0"/>
                <w:iCs w:val="0"/>
                <w:color w:val="auto"/>
                <w:sz w:val="22"/>
                <w:szCs w:val="22"/>
                <w:u w:val="none"/>
              </w:rPr>
            </w:pPr>
          </w:p>
        </w:tc>
      </w:tr>
      <w:tr w14:paraId="4C53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6D7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63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时间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D7E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844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49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A7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等级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BB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DA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96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材质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E23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施工人员签字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BC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监理人员签字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D8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2710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A97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9DD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736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49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24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652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7A5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A10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135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D9F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0E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418D">
            <w:pPr>
              <w:jc w:val="center"/>
              <w:rPr>
                <w:rFonts w:hint="eastAsia" w:ascii="宋体" w:hAnsi="宋体" w:eastAsia="宋体" w:cs="宋体"/>
                <w:i w:val="0"/>
                <w:iCs w:val="0"/>
                <w:color w:val="auto"/>
                <w:sz w:val="22"/>
                <w:szCs w:val="22"/>
                <w:u w:val="none"/>
              </w:rPr>
            </w:pPr>
          </w:p>
        </w:tc>
      </w:tr>
      <w:tr w14:paraId="0E98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17F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1CD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692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6A9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0D0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2F4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4F8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803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4A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01D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592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F9FC">
            <w:pPr>
              <w:jc w:val="center"/>
              <w:rPr>
                <w:rFonts w:hint="eastAsia" w:ascii="宋体" w:hAnsi="宋体" w:eastAsia="宋体" w:cs="宋体"/>
                <w:i w:val="0"/>
                <w:iCs w:val="0"/>
                <w:color w:val="auto"/>
                <w:sz w:val="22"/>
                <w:szCs w:val="22"/>
                <w:u w:val="none"/>
              </w:rPr>
            </w:pPr>
          </w:p>
        </w:tc>
      </w:tr>
      <w:tr w14:paraId="11C2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5DB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893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69F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44A2">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F9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534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3FC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3F5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684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458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925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A0A5">
            <w:pPr>
              <w:jc w:val="center"/>
              <w:rPr>
                <w:rFonts w:hint="eastAsia" w:ascii="宋体" w:hAnsi="宋体" w:eastAsia="宋体" w:cs="宋体"/>
                <w:i w:val="0"/>
                <w:iCs w:val="0"/>
                <w:color w:val="auto"/>
                <w:sz w:val="22"/>
                <w:szCs w:val="22"/>
                <w:u w:val="none"/>
              </w:rPr>
            </w:pPr>
          </w:p>
        </w:tc>
      </w:tr>
      <w:tr w14:paraId="1691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E65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7B3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27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BFA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105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888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6D1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1BA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B29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02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00E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75E0">
            <w:pPr>
              <w:jc w:val="center"/>
              <w:rPr>
                <w:rFonts w:hint="eastAsia" w:ascii="宋体" w:hAnsi="宋体" w:eastAsia="宋体" w:cs="宋体"/>
                <w:i w:val="0"/>
                <w:iCs w:val="0"/>
                <w:color w:val="auto"/>
                <w:sz w:val="22"/>
                <w:szCs w:val="22"/>
                <w:u w:val="none"/>
              </w:rPr>
            </w:pPr>
          </w:p>
        </w:tc>
      </w:tr>
      <w:tr w14:paraId="0E81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248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E89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792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CB2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8C8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F4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C44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8AF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18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287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350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C60">
            <w:pPr>
              <w:jc w:val="center"/>
              <w:rPr>
                <w:rFonts w:hint="eastAsia" w:ascii="宋体" w:hAnsi="宋体" w:eastAsia="宋体" w:cs="宋体"/>
                <w:i w:val="0"/>
                <w:iCs w:val="0"/>
                <w:color w:val="auto"/>
                <w:sz w:val="22"/>
                <w:szCs w:val="22"/>
                <w:u w:val="none"/>
              </w:rPr>
            </w:pPr>
          </w:p>
        </w:tc>
      </w:tr>
      <w:tr w14:paraId="0245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5B7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06A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49C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0B0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37C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FFD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7EC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FD0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4B2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89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21D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7255">
            <w:pPr>
              <w:jc w:val="center"/>
              <w:rPr>
                <w:rFonts w:hint="eastAsia" w:ascii="宋体" w:hAnsi="宋体" w:eastAsia="宋体" w:cs="宋体"/>
                <w:i w:val="0"/>
                <w:iCs w:val="0"/>
                <w:color w:val="auto"/>
                <w:sz w:val="22"/>
                <w:szCs w:val="22"/>
                <w:u w:val="none"/>
              </w:rPr>
            </w:pPr>
          </w:p>
        </w:tc>
      </w:tr>
      <w:tr w14:paraId="23FA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F24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DFA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06B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8652">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421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3CB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5F2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980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86D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AC9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642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4F39">
            <w:pPr>
              <w:jc w:val="center"/>
              <w:rPr>
                <w:rFonts w:hint="eastAsia" w:ascii="宋体" w:hAnsi="宋体" w:eastAsia="宋体" w:cs="宋体"/>
                <w:i w:val="0"/>
                <w:iCs w:val="0"/>
                <w:color w:val="auto"/>
                <w:sz w:val="22"/>
                <w:szCs w:val="22"/>
                <w:u w:val="none"/>
              </w:rPr>
            </w:pPr>
          </w:p>
        </w:tc>
      </w:tr>
      <w:tr w14:paraId="2812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7E5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F09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455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6218">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F9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16C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08B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296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0CE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6F2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B23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AD4B">
            <w:pPr>
              <w:jc w:val="center"/>
              <w:rPr>
                <w:rFonts w:hint="eastAsia" w:ascii="宋体" w:hAnsi="宋体" w:eastAsia="宋体" w:cs="宋体"/>
                <w:i w:val="0"/>
                <w:iCs w:val="0"/>
                <w:color w:val="auto"/>
                <w:sz w:val="22"/>
                <w:szCs w:val="22"/>
                <w:u w:val="none"/>
              </w:rPr>
            </w:pPr>
          </w:p>
        </w:tc>
      </w:tr>
      <w:tr w14:paraId="7EDD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1AB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5C7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3DA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3B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8E38">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4B5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193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251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EEF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A36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D44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0F0B">
            <w:pPr>
              <w:jc w:val="center"/>
              <w:rPr>
                <w:rFonts w:hint="eastAsia" w:ascii="宋体" w:hAnsi="宋体" w:eastAsia="宋体" w:cs="宋体"/>
                <w:i w:val="0"/>
                <w:iCs w:val="0"/>
                <w:color w:val="auto"/>
                <w:sz w:val="22"/>
                <w:szCs w:val="22"/>
                <w:u w:val="none"/>
              </w:rPr>
            </w:pPr>
          </w:p>
        </w:tc>
      </w:tr>
      <w:tr w14:paraId="7829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460" w:type="dxa"/>
            <w:gridSpan w:val="12"/>
            <w:tcBorders>
              <w:top w:val="nil"/>
              <w:left w:val="nil"/>
              <w:bottom w:val="nil"/>
              <w:right w:val="nil"/>
            </w:tcBorders>
            <w:shd w:val="clear" w:color="auto" w:fill="auto"/>
            <w:vAlign w:val="center"/>
          </w:tcPr>
          <w:p w14:paraId="2F47F164">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注：该表作为工程款申请附件，与请款函一并提交1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施工方原材料进场要提前通知监理方、现场监督管理员。2.施工方要提供原材料相关合格证、采购单、出货单等，将以上资料发给业主审核存档。3.</w:t>
            </w:r>
            <w:r>
              <w:rPr>
                <w:rFonts w:hint="eastAsia"/>
                <w:color w:val="auto"/>
                <w:lang w:val="en-US" w:eastAsia="zh-CN"/>
              </w:rPr>
              <w:t>监理单位负有审核责任，因监理不到位按合同相关条款约定追究责任。</w:t>
            </w:r>
            <w:r>
              <w:rPr>
                <w:rFonts w:hint="eastAsia" w:ascii="宋体" w:hAnsi="宋体" w:eastAsia="宋体" w:cs="宋体"/>
                <w:i w:val="0"/>
                <w:iCs w:val="0"/>
                <w:color w:val="auto"/>
                <w:kern w:val="0"/>
                <w:sz w:val="22"/>
                <w:szCs w:val="22"/>
                <w:u w:val="none"/>
                <w:lang w:val="en-US" w:eastAsia="zh-CN" w:bidi="ar"/>
              </w:rPr>
              <w:t>4.施工单位对该表的真实性负责，因弄虚作假后果自负。</w:t>
            </w:r>
          </w:p>
        </w:tc>
      </w:tr>
    </w:tbl>
    <w:p w14:paraId="09979747">
      <w:pPr>
        <w:rPr>
          <w:color w:val="auto"/>
        </w:rPr>
      </w:pPr>
    </w:p>
    <w:p w14:paraId="4C3C8FDB">
      <w:pPr>
        <w:rPr>
          <w:color w:val="auto"/>
        </w:rPr>
      </w:pPr>
    </w:p>
    <w:p w14:paraId="3FF51C55">
      <w:pPr>
        <w:rPr>
          <w:color w:val="auto"/>
        </w:rPr>
      </w:pPr>
    </w:p>
    <w:p w14:paraId="56237627">
      <w:pPr>
        <w:rPr>
          <w:color w:val="auto"/>
        </w:rPr>
      </w:pPr>
    </w:p>
    <w:p w14:paraId="371D5365">
      <w:pPr>
        <w:rPr>
          <w:color w:val="auto"/>
        </w:rPr>
      </w:pPr>
    </w:p>
    <w:p w14:paraId="70112FBC">
      <w:pPr>
        <w:rPr>
          <w:color w:val="auto"/>
        </w:rPr>
      </w:pPr>
    </w:p>
    <w:p w14:paraId="4DD769A0">
      <w:pPr>
        <w:rPr>
          <w:color w:val="auto"/>
        </w:rPr>
      </w:pPr>
    </w:p>
    <w:p w14:paraId="26098247">
      <w:pPr>
        <w:rPr>
          <w:color w:val="auto"/>
        </w:rPr>
      </w:pPr>
    </w:p>
    <w:p w14:paraId="6F6C71CD">
      <w:pPr>
        <w:ind w:firstLine="420" w:firstLineChars="200"/>
        <w:rPr>
          <w:rFonts w:hint="default" w:eastAsia="宋体"/>
          <w:color w:val="auto"/>
          <w:sz w:val="30"/>
          <w:szCs w:val="30"/>
          <w:lang w:val="en-US" w:eastAsia="zh-CN"/>
        </w:rPr>
      </w:pPr>
      <w:r>
        <w:rPr>
          <w:rFonts w:hint="eastAsia"/>
          <w:color w:val="auto"/>
          <w:lang w:val="en-US" w:eastAsia="zh-CN"/>
        </w:rPr>
        <w:t>附件18：</w:t>
      </w:r>
    </w:p>
    <w:tbl>
      <w:tblPr>
        <w:tblStyle w:val="22"/>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380"/>
        <w:gridCol w:w="1080"/>
        <w:gridCol w:w="1080"/>
        <w:gridCol w:w="1080"/>
        <w:gridCol w:w="1080"/>
        <w:gridCol w:w="1080"/>
        <w:gridCol w:w="1245"/>
        <w:gridCol w:w="630"/>
      </w:tblGrid>
      <w:tr w14:paraId="5FF4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5" w:type="dxa"/>
            <w:gridSpan w:val="9"/>
            <w:tcBorders>
              <w:top w:val="nil"/>
              <w:left w:val="nil"/>
              <w:bottom w:val="nil"/>
              <w:right w:val="nil"/>
            </w:tcBorders>
            <w:shd w:val="clear" w:color="auto" w:fill="auto"/>
            <w:noWrap/>
            <w:vAlign w:val="center"/>
          </w:tcPr>
          <w:p w14:paraId="2C9E2397">
            <w:pPr>
              <w:keepNext w:val="0"/>
              <w:keepLines w:val="0"/>
              <w:widowControl/>
              <w:suppressLineNumbers w:val="0"/>
              <w:jc w:val="center"/>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single"/>
                <w:lang w:val="en-US" w:eastAsia="zh-CN" w:bidi="ar"/>
              </w:rPr>
              <w:t xml:space="preserve">                    </w:t>
            </w:r>
            <w:r>
              <w:rPr>
                <w:rFonts w:hint="eastAsia" w:ascii="宋体" w:hAnsi="宋体" w:eastAsia="宋体" w:cs="宋体"/>
                <w:i w:val="0"/>
                <w:iCs w:val="0"/>
                <w:color w:val="auto"/>
                <w:kern w:val="0"/>
                <w:sz w:val="30"/>
                <w:szCs w:val="30"/>
                <w:u w:val="none"/>
                <w:lang w:val="en-US" w:eastAsia="zh-CN" w:bidi="ar"/>
              </w:rPr>
              <w:t xml:space="preserve"> 项目农民工工资发放登记表</w:t>
            </w:r>
          </w:p>
        </w:tc>
      </w:tr>
      <w:tr w14:paraId="0B2B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gridSpan w:val="9"/>
            <w:tcBorders>
              <w:top w:val="nil"/>
              <w:left w:val="nil"/>
              <w:bottom w:val="nil"/>
              <w:right w:val="nil"/>
            </w:tcBorders>
            <w:shd w:val="clear" w:color="auto" w:fill="auto"/>
            <w:noWrap/>
            <w:vAlign w:val="center"/>
          </w:tcPr>
          <w:p w14:paraId="0A594D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施工单位（盖章）</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 xml:space="preserve">                 填表人：               日期：</w:t>
            </w:r>
          </w:p>
        </w:tc>
      </w:tr>
      <w:tr w14:paraId="577F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02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4C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农民工姓名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35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电话号码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D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2E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做工时间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EB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应付工钱（元）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9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已付工钱（元）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B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农民工签字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EC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2ABB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C3FA">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47E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C788">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1AA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ABD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C67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E966">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9786">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D738">
            <w:pPr>
              <w:jc w:val="center"/>
              <w:rPr>
                <w:rFonts w:hint="eastAsia" w:ascii="宋体" w:hAnsi="宋体" w:eastAsia="宋体" w:cs="宋体"/>
                <w:i w:val="0"/>
                <w:iCs w:val="0"/>
                <w:color w:val="auto"/>
                <w:sz w:val="22"/>
                <w:szCs w:val="22"/>
                <w:u w:val="none"/>
              </w:rPr>
            </w:pPr>
          </w:p>
        </w:tc>
      </w:tr>
      <w:tr w14:paraId="0A8A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4E6F">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C69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CA3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A4B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718E">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BD6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15CC">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D1D2">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D4C2">
            <w:pPr>
              <w:jc w:val="center"/>
              <w:rPr>
                <w:rFonts w:hint="eastAsia" w:ascii="宋体" w:hAnsi="宋体" w:eastAsia="宋体" w:cs="宋体"/>
                <w:i w:val="0"/>
                <w:iCs w:val="0"/>
                <w:color w:val="auto"/>
                <w:sz w:val="22"/>
                <w:szCs w:val="22"/>
                <w:u w:val="none"/>
              </w:rPr>
            </w:pPr>
          </w:p>
        </w:tc>
      </w:tr>
      <w:tr w14:paraId="04F6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38DE">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735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4F98">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6C4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8DE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E9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E96D">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21E3">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BE05">
            <w:pPr>
              <w:jc w:val="center"/>
              <w:rPr>
                <w:rFonts w:hint="eastAsia" w:ascii="宋体" w:hAnsi="宋体" w:eastAsia="宋体" w:cs="宋体"/>
                <w:i w:val="0"/>
                <w:iCs w:val="0"/>
                <w:color w:val="auto"/>
                <w:sz w:val="22"/>
                <w:szCs w:val="22"/>
                <w:u w:val="none"/>
              </w:rPr>
            </w:pPr>
          </w:p>
        </w:tc>
      </w:tr>
      <w:tr w14:paraId="3D1E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2DBF">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A4D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A4B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677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307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AF9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3690">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E847">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EFD4">
            <w:pPr>
              <w:jc w:val="center"/>
              <w:rPr>
                <w:rFonts w:hint="eastAsia" w:ascii="宋体" w:hAnsi="宋体" w:eastAsia="宋体" w:cs="宋体"/>
                <w:i w:val="0"/>
                <w:iCs w:val="0"/>
                <w:color w:val="auto"/>
                <w:sz w:val="22"/>
                <w:szCs w:val="22"/>
                <w:u w:val="none"/>
              </w:rPr>
            </w:pPr>
          </w:p>
        </w:tc>
      </w:tr>
      <w:tr w14:paraId="3EA2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8860">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112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A48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65E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69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F5A2">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2D07">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9A5B">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AB65">
            <w:pPr>
              <w:jc w:val="center"/>
              <w:rPr>
                <w:rFonts w:hint="eastAsia" w:ascii="宋体" w:hAnsi="宋体" w:eastAsia="宋体" w:cs="宋体"/>
                <w:i w:val="0"/>
                <w:iCs w:val="0"/>
                <w:color w:val="auto"/>
                <w:sz w:val="22"/>
                <w:szCs w:val="22"/>
                <w:u w:val="none"/>
              </w:rPr>
            </w:pPr>
          </w:p>
        </w:tc>
      </w:tr>
      <w:tr w14:paraId="3DE1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538F">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C62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2A5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30D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514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EC12">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15C1">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3117">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B3B2">
            <w:pPr>
              <w:jc w:val="center"/>
              <w:rPr>
                <w:rFonts w:hint="eastAsia" w:ascii="宋体" w:hAnsi="宋体" w:eastAsia="宋体" w:cs="宋体"/>
                <w:i w:val="0"/>
                <w:iCs w:val="0"/>
                <w:color w:val="auto"/>
                <w:sz w:val="22"/>
                <w:szCs w:val="22"/>
                <w:u w:val="none"/>
              </w:rPr>
            </w:pPr>
          </w:p>
        </w:tc>
      </w:tr>
      <w:tr w14:paraId="262D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E458">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AD2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966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221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4CC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B84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942A">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4F95">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5659">
            <w:pPr>
              <w:jc w:val="center"/>
              <w:rPr>
                <w:rFonts w:hint="eastAsia" w:ascii="宋体" w:hAnsi="宋体" w:eastAsia="宋体" w:cs="宋体"/>
                <w:i w:val="0"/>
                <w:iCs w:val="0"/>
                <w:color w:val="auto"/>
                <w:sz w:val="22"/>
                <w:szCs w:val="22"/>
                <w:u w:val="none"/>
              </w:rPr>
            </w:pPr>
          </w:p>
        </w:tc>
      </w:tr>
      <w:tr w14:paraId="357D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285" w:type="dxa"/>
            <w:gridSpan w:val="9"/>
            <w:tcBorders>
              <w:top w:val="nil"/>
              <w:left w:val="nil"/>
              <w:bottom w:val="nil"/>
              <w:right w:val="nil"/>
            </w:tcBorders>
            <w:shd w:val="clear" w:color="auto" w:fill="auto"/>
            <w:vAlign w:val="center"/>
          </w:tcPr>
          <w:p w14:paraId="0B12BA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注：1.该表与请款函一并提交。2.请款函要分列材料费和人工费，所列人工费要足额按时发放。3.工资发放凭证一并提交。4.</w:t>
            </w:r>
            <w:r>
              <w:rPr>
                <w:rFonts w:hint="eastAsia"/>
                <w:color w:val="auto"/>
                <w:lang w:val="en-US" w:eastAsia="zh-CN"/>
              </w:rPr>
              <w:t>监理单位负有审核责任，因监理不到位按合同相关条款约定追究责任。5.</w:t>
            </w:r>
            <w:r>
              <w:rPr>
                <w:rFonts w:hint="eastAsia" w:ascii="宋体" w:hAnsi="宋体" w:eastAsia="宋体" w:cs="宋体"/>
                <w:i w:val="0"/>
                <w:iCs w:val="0"/>
                <w:color w:val="auto"/>
                <w:kern w:val="0"/>
                <w:sz w:val="22"/>
                <w:szCs w:val="22"/>
                <w:u w:val="none"/>
                <w:lang w:val="en-US" w:eastAsia="zh-CN" w:bidi="ar"/>
              </w:rPr>
              <w:t>施工单位对该表的真实性负责，因弄虚作假后果自负。</w:t>
            </w:r>
          </w:p>
        </w:tc>
      </w:tr>
    </w:tbl>
    <w:p w14:paraId="6C6BC2B4">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14:paraId="263B2B5B">
      <w:p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1201" w:name="_Toc13291"/>
      <w:r>
        <w:rPr>
          <w:rFonts w:hint="eastAsia" w:ascii="宋体" w:hAnsi="宋体" w:eastAsia="宋体" w:cs="宋体"/>
          <w:b/>
          <w:bCs/>
          <w:color w:val="auto"/>
          <w:sz w:val="36"/>
          <w:szCs w:val="36"/>
          <w:highlight w:val="none"/>
        </w:rPr>
        <w:t>第五章 响应文件格式</w:t>
      </w:r>
      <w:bookmarkEnd w:id="1201"/>
    </w:p>
    <w:p w14:paraId="642C4350">
      <w:pPr>
        <w:spacing w:line="480" w:lineRule="auto"/>
        <w:ind w:left="361" w:leftChars="172" w:firstLine="960" w:firstLineChars="200"/>
        <w:jc w:val="center"/>
        <w:rPr>
          <w:rFonts w:hint="eastAsia" w:ascii="宋体" w:hAnsi="宋体" w:eastAsia="宋体" w:cs="宋体"/>
          <w:color w:val="auto"/>
          <w:sz w:val="48"/>
          <w:szCs w:val="48"/>
          <w:highlight w:val="none"/>
        </w:rPr>
      </w:pPr>
    </w:p>
    <w:p w14:paraId="70F33330">
      <w:pPr>
        <w:spacing w:line="480" w:lineRule="auto"/>
        <w:ind w:left="361" w:leftChars="172" w:firstLine="960" w:firstLineChars="200"/>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响应文件</w:t>
      </w:r>
    </w:p>
    <w:p w14:paraId="494D5F3C">
      <w:pPr>
        <w:snapToGrid w:val="0"/>
        <w:spacing w:before="156" w:beforeLines="50" w:after="50"/>
        <w:ind w:firstLine="420" w:firstLineChars="200"/>
        <w:jc w:val="center"/>
        <w:rPr>
          <w:rFonts w:hint="eastAsia" w:ascii="宋体" w:hAnsi="宋体"/>
          <w:bCs/>
          <w:color w:val="auto"/>
          <w:highlight w:val="none"/>
        </w:rPr>
      </w:pPr>
    </w:p>
    <w:p w14:paraId="0D8038E1">
      <w:pPr>
        <w:snapToGrid w:val="0"/>
        <w:spacing w:before="156" w:beforeLines="50" w:after="50"/>
        <w:ind w:firstLine="420" w:firstLineChars="200"/>
        <w:jc w:val="center"/>
        <w:rPr>
          <w:rFonts w:hint="eastAsia" w:ascii="宋体" w:hAnsi="宋体"/>
          <w:color w:val="auto"/>
          <w:sz w:val="24"/>
          <w:szCs w:val="20"/>
          <w:highlight w:val="none"/>
        </w:rPr>
      </w:pPr>
      <w:r>
        <w:rPr>
          <w:rFonts w:hint="eastAsia" w:ascii="宋体" w:hAnsi="宋体"/>
          <w:bCs/>
          <w:color w:val="auto"/>
          <w:highlight w:val="none"/>
        </w:rPr>
        <w:t>全流程电子文件</w:t>
      </w:r>
    </w:p>
    <w:p w14:paraId="772560DC">
      <w:pPr>
        <w:pStyle w:val="12"/>
        <w:spacing w:line="480" w:lineRule="auto"/>
        <w:ind w:firstLine="600" w:firstLineChars="200"/>
        <w:rPr>
          <w:rFonts w:hint="eastAsia" w:ascii="宋体" w:hAnsi="宋体" w:eastAsia="宋体" w:cs="宋体"/>
          <w:color w:val="auto"/>
          <w:sz w:val="30"/>
          <w:szCs w:val="30"/>
          <w:highlight w:val="none"/>
        </w:rPr>
      </w:pPr>
    </w:p>
    <w:p w14:paraId="3F9C062F">
      <w:pPr>
        <w:pStyle w:val="12"/>
        <w:spacing w:line="480" w:lineRule="auto"/>
        <w:ind w:firstLine="600" w:firstLineChars="200"/>
        <w:rPr>
          <w:rFonts w:hint="eastAsia" w:ascii="宋体" w:hAnsi="宋体" w:eastAsia="宋体" w:cs="宋体"/>
          <w:color w:val="auto"/>
          <w:sz w:val="30"/>
          <w:szCs w:val="30"/>
          <w:highlight w:val="none"/>
        </w:rPr>
      </w:pPr>
    </w:p>
    <w:p w14:paraId="60D28A3D">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52EC012">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434668A7">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36763F73">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      年   月   日</w:t>
      </w:r>
    </w:p>
    <w:p w14:paraId="118800AC">
      <w:pPr>
        <w:pStyle w:val="31"/>
        <w:ind w:firstLine="680" w:firstLineChars="200"/>
        <w:jc w:val="center"/>
        <w:rPr>
          <w:rFonts w:hint="eastAsia" w:ascii="宋体" w:hAnsi="宋体" w:cs="仿宋_GB2312"/>
          <w:bCs/>
          <w:color w:val="auto"/>
          <w:sz w:val="32"/>
          <w:szCs w:val="32"/>
          <w:highlight w:val="none"/>
        </w:rPr>
      </w:pPr>
    </w:p>
    <w:p w14:paraId="28D95665">
      <w:pPr>
        <w:pStyle w:val="31"/>
        <w:ind w:firstLine="680" w:firstLineChars="200"/>
        <w:jc w:val="center"/>
        <w:rPr>
          <w:rFonts w:hint="eastAsia" w:ascii="宋体" w:hAnsi="宋体" w:cs="仿宋_GB2312"/>
          <w:bCs/>
          <w:color w:val="auto"/>
          <w:sz w:val="32"/>
          <w:szCs w:val="32"/>
          <w:highlight w:val="none"/>
        </w:rPr>
      </w:pPr>
    </w:p>
    <w:p w14:paraId="47E4FE9C">
      <w:pPr>
        <w:pStyle w:val="31"/>
        <w:ind w:firstLine="680" w:firstLineChars="200"/>
        <w:jc w:val="center"/>
        <w:rPr>
          <w:rFonts w:hint="eastAsia" w:ascii="宋体" w:hAnsi="宋体" w:eastAsia="宋体" w:cs="宋体"/>
          <w:color w:val="auto"/>
          <w:szCs w:val="21"/>
          <w:highlight w:val="none"/>
          <w:lang w:val="en-US" w:eastAsia="zh-CN"/>
        </w:rPr>
      </w:pPr>
      <w:r>
        <w:rPr>
          <w:rFonts w:hint="eastAsia" w:ascii="宋体" w:hAnsi="宋体" w:cs="仿宋_GB2312"/>
          <w:bCs/>
          <w:color w:val="auto"/>
          <w:sz w:val="32"/>
          <w:szCs w:val="32"/>
          <w:highlight w:val="none"/>
        </w:rPr>
        <w:t>首次响应文件提交截止时间前不得解密</w:t>
      </w:r>
    </w:p>
    <w:p w14:paraId="026B0C90">
      <w:pPr>
        <w:spacing w:line="480" w:lineRule="auto"/>
        <w:ind w:left="361" w:leftChars="172" w:firstLine="960" w:firstLineChars="200"/>
        <w:jc w:val="center"/>
        <w:rPr>
          <w:rFonts w:hint="eastAsia" w:ascii="宋体" w:hAnsi="宋体" w:eastAsia="宋体" w:cs="宋体"/>
          <w:color w:val="auto"/>
          <w:sz w:val="48"/>
          <w:szCs w:val="48"/>
          <w:highlight w:val="none"/>
        </w:rPr>
      </w:pPr>
    </w:p>
    <w:p w14:paraId="57DE6529">
      <w:pPr>
        <w:spacing w:line="480" w:lineRule="auto"/>
        <w:ind w:left="361" w:leftChars="172" w:firstLine="960" w:firstLineChars="200"/>
        <w:jc w:val="center"/>
        <w:rPr>
          <w:rFonts w:hint="eastAsia" w:ascii="宋体" w:hAnsi="宋体" w:eastAsia="宋体" w:cs="宋体"/>
          <w:color w:val="auto"/>
          <w:sz w:val="48"/>
          <w:szCs w:val="48"/>
          <w:highlight w:val="none"/>
        </w:rPr>
      </w:pPr>
    </w:p>
    <w:p w14:paraId="420176EA">
      <w:pPr>
        <w:spacing w:line="480" w:lineRule="auto"/>
        <w:ind w:left="361" w:leftChars="172" w:firstLine="960" w:firstLineChars="200"/>
        <w:jc w:val="center"/>
        <w:rPr>
          <w:rFonts w:hint="eastAsia" w:ascii="宋体" w:hAnsi="宋体" w:eastAsia="宋体" w:cs="宋体"/>
          <w:color w:val="auto"/>
          <w:sz w:val="48"/>
          <w:szCs w:val="48"/>
          <w:highlight w:val="none"/>
        </w:rPr>
      </w:pPr>
    </w:p>
    <w:p w14:paraId="21F0AC22">
      <w:pPr>
        <w:spacing w:line="480" w:lineRule="auto"/>
        <w:ind w:left="361" w:leftChars="172" w:firstLine="960" w:firstLineChars="200"/>
        <w:jc w:val="center"/>
        <w:rPr>
          <w:rFonts w:hint="eastAsia" w:ascii="宋体" w:hAnsi="宋体" w:eastAsia="宋体" w:cs="宋体"/>
          <w:color w:val="auto"/>
          <w:sz w:val="48"/>
          <w:szCs w:val="48"/>
          <w:highlight w:val="none"/>
        </w:rPr>
      </w:pPr>
    </w:p>
    <w:p w14:paraId="4B973C01">
      <w:pPr>
        <w:spacing w:line="480" w:lineRule="auto"/>
        <w:ind w:left="361" w:leftChars="172" w:firstLine="960" w:firstLineChars="200"/>
        <w:jc w:val="center"/>
        <w:rPr>
          <w:rFonts w:hint="eastAsia" w:ascii="宋体" w:hAnsi="宋体" w:eastAsia="宋体" w:cs="宋体"/>
          <w:color w:val="auto"/>
          <w:sz w:val="48"/>
          <w:szCs w:val="48"/>
          <w:highlight w:val="none"/>
        </w:rPr>
      </w:pPr>
    </w:p>
    <w:p w14:paraId="5E9D9BB6">
      <w:pPr>
        <w:spacing w:line="480" w:lineRule="auto"/>
        <w:ind w:left="361" w:leftChars="172" w:firstLine="960" w:firstLineChars="200"/>
        <w:jc w:val="center"/>
        <w:rPr>
          <w:rFonts w:hint="eastAsia" w:ascii="宋体" w:hAnsi="宋体" w:eastAsia="宋体" w:cs="宋体"/>
          <w:color w:val="auto"/>
          <w:sz w:val="48"/>
          <w:szCs w:val="48"/>
          <w:highlight w:val="none"/>
        </w:rPr>
      </w:pPr>
    </w:p>
    <w:p w14:paraId="1D3B19D9">
      <w:pPr>
        <w:spacing w:line="480" w:lineRule="auto"/>
        <w:jc w:val="both"/>
        <w:rPr>
          <w:rFonts w:hint="eastAsia" w:ascii="宋体" w:hAnsi="宋体" w:eastAsia="宋体" w:cs="宋体"/>
          <w:color w:val="auto"/>
          <w:sz w:val="48"/>
          <w:szCs w:val="48"/>
          <w:highlight w:val="none"/>
        </w:rPr>
      </w:pPr>
    </w:p>
    <w:p w14:paraId="16D6B2C3">
      <w:pPr>
        <w:spacing w:line="480" w:lineRule="auto"/>
        <w:ind w:left="361" w:leftChars="172" w:firstLine="960" w:firstLineChars="200"/>
        <w:jc w:val="center"/>
        <w:rPr>
          <w:rFonts w:hint="eastAsia" w:ascii="宋体" w:hAnsi="宋体" w:eastAsia="宋体" w:cs="宋体"/>
          <w:color w:val="auto"/>
          <w:sz w:val="48"/>
          <w:szCs w:val="48"/>
          <w:highlight w:val="none"/>
        </w:rPr>
      </w:pPr>
    </w:p>
    <w:p w14:paraId="26634355">
      <w:pPr>
        <w:spacing w:line="480" w:lineRule="auto"/>
        <w:ind w:left="361" w:leftChars="172" w:firstLine="960" w:firstLineChars="200"/>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响应文件</w:t>
      </w:r>
    </w:p>
    <w:p w14:paraId="68E8AA17">
      <w:pPr>
        <w:spacing w:line="480" w:lineRule="auto"/>
        <w:ind w:left="361" w:leftChars="172" w:firstLine="720" w:firstLineChars="200"/>
        <w:jc w:val="center"/>
        <w:rPr>
          <w:rFonts w:hint="eastAsia" w:ascii="宋体" w:hAnsi="宋体" w:eastAsia="宋体" w:cs="宋体"/>
          <w:color w:val="auto"/>
          <w:sz w:val="36"/>
          <w:szCs w:val="36"/>
          <w:highlight w:val="none"/>
          <w:lang w:val="en-US" w:eastAsia="zh-CN"/>
        </w:rPr>
      </w:pPr>
    </w:p>
    <w:p w14:paraId="0647E751">
      <w:pPr>
        <w:spacing w:line="480" w:lineRule="auto"/>
        <w:ind w:left="361" w:leftChars="172" w:firstLine="720" w:firstLineChars="200"/>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val="en-US" w:eastAsia="zh-CN"/>
        </w:rPr>
        <w:t>资格审查</w:t>
      </w:r>
      <w:r>
        <w:rPr>
          <w:rFonts w:hint="eastAsia" w:ascii="宋体" w:hAnsi="宋体" w:cs="宋体"/>
          <w:color w:val="auto"/>
          <w:sz w:val="36"/>
          <w:szCs w:val="36"/>
          <w:highlight w:val="none"/>
          <w:lang w:val="en-US" w:eastAsia="zh-CN"/>
        </w:rPr>
        <w:t>文件</w:t>
      </w:r>
    </w:p>
    <w:p w14:paraId="67BE2E6C">
      <w:pPr>
        <w:pStyle w:val="12"/>
        <w:spacing w:line="480" w:lineRule="auto"/>
        <w:ind w:firstLine="600" w:firstLineChars="200"/>
        <w:rPr>
          <w:rFonts w:hint="eastAsia" w:ascii="宋体" w:hAnsi="宋体" w:eastAsia="宋体" w:cs="宋体"/>
          <w:color w:val="auto"/>
          <w:sz w:val="30"/>
          <w:szCs w:val="30"/>
          <w:highlight w:val="none"/>
        </w:rPr>
      </w:pPr>
    </w:p>
    <w:p w14:paraId="70169D45">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EEAB806">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46CF674">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21001632">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      年   月   日</w:t>
      </w:r>
    </w:p>
    <w:p w14:paraId="4DD9E94A">
      <w:pPr>
        <w:pStyle w:val="31"/>
        <w:ind w:firstLine="680" w:firstLineChars="200"/>
        <w:jc w:val="center"/>
        <w:rPr>
          <w:rFonts w:hint="eastAsia" w:ascii="宋体" w:hAnsi="宋体" w:cs="仿宋_GB2312"/>
          <w:bCs/>
          <w:color w:val="auto"/>
          <w:sz w:val="32"/>
          <w:szCs w:val="32"/>
          <w:highlight w:val="none"/>
        </w:rPr>
      </w:pPr>
    </w:p>
    <w:p w14:paraId="40B2D7CE">
      <w:pPr>
        <w:pStyle w:val="31"/>
        <w:ind w:firstLine="680" w:firstLineChars="200"/>
        <w:jc w:val="center"/>
        <w:rPr>
          <w:rFonts w:hint="eastAsia" w:ascii="宋体" w:hAnsi="宋体" w:eastAsia="宋体" w:cs="宋体"/>
          <w:b/>
          <w:color w:val="auto"/>
          <w:sz w:val="24"/>
          <w:szCs w:val="24"/>
          <w:highlight w:val="none"/>
        </w:rPr>
      </w:pPr>
      <w:r>
        <w:rPr>
          <w:rFonts w:hint="eastAsia" w:ascii="宋体" w:hAnsi="宋体" w:cs="仿宋_GB2312"/>
          <w:bCs/>
          <w:color w:val="auto"/>
          <w:sz w:val="32"/>
          <w:szCs w:val="32"/>
          <w:highlight w:val="none"/>
        </w:rPr>
        <w:t>首次响应文件提交截止时间前不得解密</w:t>
      </w:r>
    </w:p>
    <w:p w14:paraId="1AC1649C">
      <w:pPr>
        <w:spacing w:line="360" w:lineRule="auto"/>
        <w:ind w:firstLine="643" w:firstLineChars="200"/>
        <w:jc w:val="center"/>
        <w:rPr>
          <w:rFonts w:hint="eastAsia" w:ascii="宋体" w:hAnsi="宋体"/>
          <w:b/>
          <w:bCs w:val="0"/>
          <w:color w:val="auto"/>
          <w:sz w:val="32"/>
          <w:szCs w:val="32"/>
          <w:highlight w:val="none"/>
          <w:lang w:val="en-US" w:eastAsia="zh-CN"/>
        </w:rPr>
      </w:pPr>
    </w:p>
    <w:p w14:paraId="221E678D">
      <w:pPr>
        <w:spacing w:line="360" w:lineRule="auto"/>
        <w:ind w:firstLine="643" w:firstLineChars="200"/>
        <w:jc w:val="center"/>
        <w:rPr>
          <w:rFonts w:hint="eastAsia" w:ascii="宋体" w:hAnsi="宋体"/>
          <w:b/>
          <w:bCs w:val="0"/>
          <w:color w:val="auto"/>
          <w:sz w:val="32"/>
          <w:szCs w:val="32"/>
          <w:highlight w:val="none"/>
          <w:lang w:val="en-US" w:eastAsia="zh-CN"/>
        </w:rPr>
      </w:pPr>
    </w:p>
    <w:p w14:paraId="7E059D6F">
      <w:pPr>
        <w:spacing w:line="360" w:lineRule="auto"/>
        <w:ind w:firstLine="643" w:firstLineChars="200"/>
        <w:jc w:val="center"/>
        <w:rPr>
          <w:rFonts w:hint="eastAsia" w:ascii="宋体" w:hAnsi="宋体"/>
          <w:b/>
          <w:bCs w:val="0"/>
          <w:color w:val="auto"/>
          <w:sz w:val="32"/>
          <w:szCs w:val="32"/>
          <w:highlight w:val="none"/>
          <w:lang w:val="en-US" w:eastAsia="zh-CN"/>
        </w:rPr>
      </w:pPr>
    </w:p>
    <w:p w14:paraId="28A5524B">
      <w:pPr>
        <w:spacing w:line="360" w:lineRule="auto"/>
        <w:ind w:firstLine="643" w:firstLineChars="200"/>
        <w:jc w:val="center"/>
        <w:rPr>
          <w:rFonts w:hint="eastAsia" w:ascii="宋体" w:hAnsi="宋体"/>
          <w:b/>
          <w:bCs w:val="0"/>
          <w:color w:val="auto"/>
          <w:sz w:val="32"/>
          <w:szCs w:val="32"/>
          <w:highlight w:val="none"/>
          <w:lang w:val="en-US" w:eastAsia="zh-CN"/>
        </w:rPr>
      </w:pPr>
    </w:p>
    <w:p w14:paraId="38CA0482">
      <w:pPr>
        <w:spacing w:line="360" w:lineRule="auto"/>
        <w:jc w:val="both"/>
        <w:rPr>
          <w:rFonts w:hint="eastAsia" w:ascii="宋体" w:hAnsi="宋体"/>
          <w:b/>
          <w:bCs w:val="0"/>
          <w:color w:val="auto"/>
          <w:sz w:val="32"/>
          <w:szCs w:val="32"/>
          <w:highlight w:val="none"/>
          <w:lang w:val="en-US" w:eastAsia="zh-CN"/>
        </w:rPr>
      </w:pPr>
    </w:p>
    <w:p w14:paraId="5CF9D874">
      <w:pPr>
        <w:spacing w:line="360" w:lineRule="auto"/>
        <w:ind w:firstLine="643" w:firstLineChars="200"/>
        <w:jc w:val="both"/>
        <w:rPr>
          <w:rFonts w:hint="eastAsia" w:ascii="宋体" w:hAnsi="宋体"/>
          <w:b/>
          <w:bCs w:val="0"/>
          <w:color w:val="auto"/>
          <w:sz w:val="32"/>
          <w:szCs w:val="32"/>
          <w:highlight w:val="none"/>
        </w:rPr>
      </w:pPr>
      <w:r>
        <w:rPr>
          <w:rFonts w:hint="eastAsia" w:ascii="宋体" w:hAnsi="宋体"/>
          <w:b/>
          <w:bCs w:val="0"/>
          <w:color w:val="auto"/>
          <w:sz w:val="32"/>
          <w:szCs w:val="32"/>
          <w:highlight w:val="none"/>
          <w:lang w:val="en-US" w:eastAsia="zh-CN"/>
        </w:rPr>
        <w:t>资格审查文件</w:t>
      </w:r>
      <w:r>
        <w:rPr>
          <w:rFonts w:hint="eastAsia" w:ascii="宋体" w:hAnsi="宋体"/>
          <w:b/>
          <w:bCs w:val="0"/>
          <w:color w:val="auto"/>
          <w:sz w:val="32"/>
          <w:szCs w:val="32"/>
          <w:highlight w:val="none"/>
        </w:rPr>
        <w:t>目录自拟</w:t>
      </w:r>
    </w:p>
    <w:p w14:paraId="43D13A55">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rPr>
      </w:pPr>
    </w:p>
    <w:p w14:paraId="137580D2">
      <w:pPr>
        <w:shd w:val="clear" w:color="auto" w:fill="FFFFFF"/>
        <w:spacing w:before="160" w:beforeLines="5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D1DDF67">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1.法定代表人身份证明书（格式）</w:t>
      </w:r>
    </w:p>
    <w:p w14:paraId="1FDD0BD6">
      <w:pPr>
        <w:shd w:val="clear" w:color="auto" w:fill="FFFFFF"/>
        <w:spacing w:line="360" w:lineRule="exact"/>
        <w:ind w:firstLine="420" w:firstLineChars="200"/>
        <w:rPr>
          <w:rFonts w:hint="eastAsia" w:ascii="宋体" w:hAnsi="宋体" w:eastAsia="宋体" w:cs="宋体"/>
          <w:color w:val="auto"/>
          <w:szCs w:val="21"/>
          <w:highlight w:val="none"/>
        </w:rPr>
      </w:pPr>
    </w:p>
    <w:p w14:paraId="29D51D45">
      <w:pPr>
        <w:shd w:val="clear" w:color="auto" w:fill="FFFFFF"/>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p>
    <w:p w14:paraId="51F0342D">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407E762B">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36658FEE">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5878385">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11A6BA80">
      <w:pPr>
        <w:shd w:val="clear" w:color="auto" w:fill="FFFFFF"/>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14:paraId="065F02F0">
      <w:pPr>
        <w:shd w:val="clear" w:color="auto" w:fill="FFFFFF"/>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5E11A47E">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7DC0B16B">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14:paraId="27C3CB10">
      <w:pPr>
        <w:pStyle w:val="12"/>
        <w:shd w:val="clear" w:color="auto" w:fill="FFFFFF"/>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5BF147E0">
      <w:pPr>
        <w:pStyle w:val="12"/>
        <w:shd w:val="clear" w:color="auto" w:fill="FFFFFF"/>
        <w:spacing w:line="360" w:lineRule="exact"/>
        <w:ind w:firstLine="420" w:firstLineChars="200"/>
        <w:jc w:val="right"/>
        <w:rPr>
          <w:rFonts w:hint="eastAsia" w:ascii="宋体" w:hAnsi="宋体" w:eastAsia="宋体" w:cs="宋体"/>
          <w:color w:val="auto"/>
          <w:highlight w:val="none"/>
        </w:rPr>
      </w:pPr>
    </w:p>
    <w:p w14:paraId="44C987D2">
      <w:pPr>
        <w:pStyle w:val="12"/>
        <w:shd w:val="clear" w:color="auto" w:fill="FFFFFF"/>
        <w:spacing w:line="360" w:lineRule="exact"/>
        <w:ind w:firstLine="420" w:firstLineChars="200"/>
        <w:jc w:val="right"/>
        <w:rPr>
          <w:rFonts w:hint="eastAsia" w:ascii="宋体" w:hAnsi="宋体" w:eastAsia="宋体" w:cs="宋体"/>
          <w:color w:val="auto"/>
          <w:highlight w:val="none"/>
        </w:rPr>
      </w:pPr>
    </w:p>
    <w:p w14:paraId="26C88F13">
      <w:pPr>
        <w:pStyle w:val="12"/>
        <w:shd w:val="clear" w:color="auto" w:fill="FFFFFF"/>
        <w:spacing w:line="360" w:lineRule="exact"/>
        <w:ind w:firstLine="420" w:firstLineChars="200"/>
        <w:jc w:val="right"/>
        <w:rPr>
          <w:rFonts w:hint="eastAsia" w:ascii="宋体" w:hAnsi="宋体" w:eastAsia="宋体" w:cs="宋体"/>
          <w:color w:val="auto"/>
          <w:highlight w:val="none"/>
        </w:rPr>
      </w:pPr>
    </w:p>
    <w:p w14:paraId="65626EEE">
      <w:pPr>
        <w:pStyle w:val="12"/>
        <w:shd w:val="clear" w:color="auto" w:fill="FFFFFF"/>
        <w:spacing w:line="36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（电子</w:t>
      </w:r>
      <w:r>
        <w:rPr>
          <w:rFonts w:hint="eastAsia" w:hAnsi="宋体" w:cs="宋体"/>
          <w:color w:val="auto"/>
          <w:highlight w:val="none"/>
          <w:lang w:val="en-US" w:eastAsia="zh-CN"/>
        </w:rPr>
        <w:t>印</w:t>
      </w:r>
      <w:r>
        <w:rPr>
          <w:rFonts w:hint="eastAsia" w:ascii="宋体" w:hAnsi="宋体" w:eastAsia="宋体" w:cs="宋体"/>
          <w:color w:val="auto"/>
          <w:highlight w:val="none"/>
        </w:rPr>
        <w:t>章）</w:t>
      </w:r>
    </w:p>
    <w:p w14:paraId="330366C3">
      <w:pPr>
        <w:pStyle w:val="12"/>
        <w:shd w:val="clear" w:color="auto" w:fill="FFFFFF"/>
        <w:spacing w:line="36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0C6CB682">
      <w:pPr>
        <w:pStyle w:val="12"/>
        <w:shd w:val="clear" w:color="auto" w:fill="FFFFFF"/>
        <w:spacing w:line="360" w:lineRule="exact"/>
        <w:ind w:firstLine="602" w:firstLineChars="200"/>
        <w:jc w:val="center"/>
        <w:rPr>
          <w:rFonts w:hint="eastAsia" w:ascii="宋体" w:hAnsi="宋体" w:eastAsia="宋体" w:cs="宋体"/>
          <w:b/>
          <w:color w:val="auto"/>
          <w:sz w:val="30"/>
          <w:szCs w:val="30"/>
          <w:highlight w:val="none"/>
        </w:rPr>
      </w:pPr>
    </w:p>
    <w:p w14:paraId="51549407">
      <w:pPr>
        <w:pStyle w:val="12"/>
        <w:shd w:val="clear" w:color="auto" w:fill="FFFFFF"/>
        <w:spacing w:line="360" w:lineRule="exact"/>
        <w:ind w:firstLine="602" w:firstLineChars="200"/>
        <w:jc w:val="center"/>
        <w:rPr>
          <w:rFonts w:hint="eastAsia" w:ascii="宋体" w:hAnsi="宋体" w:eastAsia="宋体" w:cs="宋体"/>
          <w:b/>
          <w:color w:val="auto"/>
          <w:sz w:val="30"/>
          <w:szCs w:val="30"/>
          <w:highlight w:val="none"/>
        </w:rPr>
      </w:pPr>
    </w:p>
    <w:p w14:paraId="0DA2A73C">
      <w:pPr>
        <w:pStyle w:val="12"/>
        <w:shd w:val="clear" w:color="auto" w:fill="FFFFFF"/>
        <w:spacing w:line="360" w:lineRule="exact"/>
        <w:ind w:firstLine="602" w:firstLineChars="200"/>
        <w:jc w:val="center"/>
        <w:rPr>
          <w:rFonts w:hint="eastAsia" w:ascii="宋体" w:hAnsi="宋体" w:eastAsia="宋体" w:cs="宋体"/>
          <w:b/>
          <w:color w:val="auto"/>
          <w:sz w:val="30"/>
          <w:szCs w:val="30"/>
          <w:highlight w:val="none"/>
        </w:rPr>
      </w:pPr>
    </w:p>
    <w:p w14:paraId="22FBBC60">
      <w:pPr>
        <w:pStyle w:val="12"/>
        <w:shd w:val="clear" w:color="auto" w:fill="FFFFFF"/>
        <w:spacing w:line="360" w:lineRule="exact"/>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法定代表人有效身份证正反面复印件</w:t>
      </w:r>
    </w:p>
    <w:p w14:paraId="3E6A2FBB">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5A9A6B70">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34F4EDE4">
      <w:pPr>
        <w:pStyle w:val="12"/>
        <w:shd w:val="clear" w:color="auto" w:fill="FFFFFF"/>
        <w:spacing w:line="360" w:lineRule="exact"/>
        <w:rPr>
          <w:rFonts w:hint="eastAsia" w:ascii="宋体" w:hAnsi="宋体" w:eastAsia="宋体" w:cs="宋体"/>
          <w:b/>
          <w:color w:val="auto"/>
          <w:sz w:val="24"/>
          <w:szCs w:val="24"/>
          <w:highlight w:val="none"/>
        </w:rPr>
      </w:pPr>
    </w:p>
    <w:p w14:paraId="0982C084">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73E3F2E4">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352CD5D6">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4F1896AE">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78DEC079">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6683DA17">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3ED9B726">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224DBE22">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4749B9FD">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3AD44BCB">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547F2579">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1FB23246">
      <w:pPr>
        <w:pStyle w:val="12"/>
        <w:shd w:val="clear" w:color="auto" w:fill="FFFFFF"/>
        <w:spacing w:line="360" w:lineRule="exact"/>
        <w:rPr>
          <w:rFonts w:hint="eastAsia" w:ascii="宋体" w:hAnsi="宋体" w:eastAsia="宋体" w:cs="宋体"/>
          <w:b/>
          <w:color w:val="auto"/>
          <w:sz w:val="24"/>
          <w:szCs w:val="24"/>
          <w:highlight w:val="none"/>
        </w:rPr>
      </w:pPr>
    </w:p>
    <w:p w14:paraId="34DB59B7">
      <w:pPr>
        <w:shd w:val="clear" w:color="auto" w:fill="FFFFFF"/>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65F83C6">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2.授权委托书（格式）</w:t>
      </w:r>
    </w:p>
    <w:p w14:paraId="2B6A4733">
      <w:pPr>
        <w:pStyle w:val="12"/>
        <w:shd w:val="clear" w:color="auto" w:fill="FFFFFF"/>
        <w:spacing w:line="360" w:lineRule="exact"/>
        <w:ind w:firstLine="420" w:firstLineChars="200"/>
        <w:rPr>
          <w:rFonts w:hint="eastAsia" w:ascii="宋体" w:hAnsi="宋体" w:eastAsia="宋体" w:cs="宋体"/>
          <w:color w:val="auto"/>
          <w:highlight w:val="none"/>
        </w:rPr>
      </w:pPr>
    </w:p>
    <w:p w14:paraId="1E9672C8">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本授权委托书声明：我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(供应商名称)的法定代表人，现授权委托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(姓名)为我单位代理人，以本单位的名义参加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代理的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hAnsi="宋体" w:cs="宋体"/>
          <w:color w:val="auto"/>
          <w:highlight w:val="none"/>
          <w:lang w:eastAsia="zh-CN"/>
        </w:rPr>
        <w:t>磋商</w:t>
      </w:r>
      <w:r>
        <w:rPr>
          <w:rFonts w:hint="eastAsia" w:ascii="宋体" w:hAnsi="宋体" w:eastAsia="宋体" w:cs="宋体"/>
          <w:color w:val="auto"/>
          <w:highlight w:val="none"/>
        </w:rPr>
        <w:t>活动，代理人在</w:t>
      </w:r>
      <w:r>
        <w:rPr>
          <w:rFonts w:hint="eastAsia" w:hAnsi="宋体" w:cs="宋体"/>
          <w:color w:val="auto"/>
          <w:highlight w:val="none"/>
          <w:lang w:eastAsia="zh-CN"/>
        </w:rPr>
        <w:t>磋商</w:t>
      </w:r>
      <w:r>
        <w:rPr>
          <w:rFonts w:hint="eastAsia" w:ascii="宋体" w:hAnsi="宋体" w:eastAsia="宋体" w:cs="宋体"/>
          <w:color w:val="auto"/>
          <w:highlight w:val="none"/>
        </w:rPr>
        <w:t>过程中所签署的一切文件和处理与之有关的一切事务，我均予以承认。</w:t>
      </w:r>
    </w:p>
    <w:p w14:paraId="765FD479">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代理人无转委权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特此委托。</w:t>
      </w:r>
    </w:p>
    <w:p w14:paraId="0FA73358">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附：代理人有效身份证正反面复印件</w:t>
      </w:r>
    </w:p>
    <w:p w14:paraId="5D01E792">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rPr>
        <w:t>代理人：</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(签字)</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性别：</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年龄：</w:t>
      </w:r>
      <w:r>
        <w:rPr>
          <w:rFonts w:hint="eastAsia" w:hAnsi="宋体" w:cs="宋体"/>
          <w:color w:val="auto"/>
          <w:highlight w:val="none"/>
          <w:u w:val="none"/>
          <w:lang w:val="en-US" w:eastAsia="zh-CN"/>
        </w:rPr>
        <w:t xml:space="preserve">       </w:t>
      </w:r>
    </w:p>
    <w:p w14:paraId="3D8E9811">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部门：</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职务：</w:t>
      </w:r>
      <w:r>
        <w:rPr>
          <w:rFonts w:hint="eastAsia" w:hAnsi="宋体" w:cs="宋体"/>
          <w:color w:val="auto"/>
          <w:highlight w:val="none"/>
          <w:u w:val="single"/>
          <w:lang w:val="en-US" w:eastAsia="zh-CN"/>
        </w:rPr>
        <w:t xml:space="preserve">       </w:t>
      </w:r>
    </w:p>
    <w:p w14:paraId="44583EF6">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rPr>
        <w:t>身份证号码：</w:t>
      </w:r>
      <w:r>
        <w:rPr>
          <w:rFonts w:hint="eastAsia" w:hAnsi="宋体" w:cs="宋体"/>
          <w:color w:val="auto"/>
          <w:highlight w:val="none"/>
          <w:u w:val="none"/>
          <w:lang w:val="en-US" w:eastAsia="zh-CN"/>
        </w:rPr>
        <w:t xml:space="preserve">       </w:t>
      </w:r>
    </w:p>
    <w:p w14:paraId="5C54306B">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供应商：(电子</w:t>
      </w:r>
      <w:r>
        <w:rPr>
          <w:rFonts w:hint="eastAsia" w:hAnsi="宋体" w:cs="宋体"/>
          <w:color w:val="auto"/>
          <w:highlight w:val="none"/>
          <w:lang w:val="en-US" w:eastAsia="zh-CN"/>
        </w:rPr>
        <w:t>印</w:t>
      </w:r>
      <w:r>
        <w:rPr>
          <w:rFonts w:hint="eastAsia" w:ascii="宋体" w:hAnsi="宋体" w:eastAsia="宋体" w:cs="宋体"/>
          <w:color w:val="auto"/>
          <w:highlight w:val="none"/>
        </w:rPr>
        <w:t>章)</w:t>
      </w:r>
      <w:r>
        <w:rPr>
          <w:rFonts w:hint="eastAsia" w:hAnsi="宋体" w:cs="宋体"/>
          <w:color w:val="auto"/>
          <w:highlight w:val="none"/>
          <w:u w:val="single"/>
          <w:lang w:val="en-US" w:eastAsia="zh-CN"/>
        </w:rPr>
        <w:t xml:space="preserve">       </w:t>
      </w:r>
    </w:p>
    <w:p w14:paraId="12661007">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(签字)</w:t>
      </w:r>
      <w:r>
        <w:rPr>
          <w:rFonts w:hint="eastAsia" w:hAnsi="宋体" w:cs="宋体"/>
          <w:color w:val="auto"/>
          <w:highlight w:val="none"/>
          <w:u w:val="single"/>
          <w:lang w:val="en-US" w:eastAsia="zh-CN"/>
        </w:rPr>
        <w:t xml:space="preserve">       </w:t>
      </w:r>
    </w:p>
    <w:p w14:paraId="506BC768">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 xml:space="preserve">     年  月  日</w:t>
      </w:r>
      <w:r>
        <w:rPr>
          <w:rFonts w:hint="eastAsia" w:ascii="宋体" w:hAnsi="宋体" w:eastAsia="宋体" w:cs="宋体"/>
          <w:color w:val="auto"/>
          <w:highlight w:val="none"/>
        </w:rPr>
        <w:t xml:space="preserve"> 至</w:t>
      </w:r>
      <w:r>
        <w:rPr>
          <w:rFonts w:hint="eastAsia" w:ascii="宋体" w:hAnsi="宋体" w:eastAsia="宋体" w:cs="宋体"/>
          <w:color w:val="auto"/>
          <w:highlight w:val="none"/>
          <w:u w:val="single"/>
        </w:rPr>
        <w:t xml:space="preserve">     年  月  日</w:t>
      </w:r>
    </w:p>
    <w:p w14:paraId="4D1EFB9C">
      <w:pPr>
        <w:pStyle w:val="12"/>
        <w:shd w:val="clear" w:color="auto" w:fill="FFFFFF"/>
        <w:spacing w:line="360" w:lineRule="exact"/>
        <w:ind w:firstLine="5250" w:firstLineChars="2500"/>
        <w:jc w:val="left"/>
        <w:rPr>
          <w:rFonts w:hint="eastAsia" w:ascii="宋体" w:hAnsi="宋体" w:eastAsia="宋体" w:cs="宋体"/>
          <w:color w:val="auto"/>
          <w:highlight w:val="none"/>
        </w:rPr>
      </w:pPr>
    </w:p>
    <w:p w14:paraId="0782DC75">
      <w:pPr>
        <w:pStyle w:val="12"/>
        <w:shd w:val="clear" w:color="auto" w:fill="FFFFFF"/>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48CD851C">
      <w:pPr>
        <w:pStyle w:val="12"/>
        <w:shd w:val="clear" w:color="auto" w:fill="FFFFFF"/>
        <w:spacing w:line="360" w:lineRule="exact"/>
        <w:ind w:firstLine="643" w:firstLineChars="200"/>
        <w:jc w:val="center"/>
        <w:rPr>
          <w:rFonts w:hint="eastAsia" w:ascii="宋体" w:hAnsi="宋体" w:eastAsia="宋体" w:cs="宋体"/>
          <w:b/>
          <w:bCs/>
          <w:color w:val="auto"/>
          <w:sz w:val="32"/>
          <w:szCs w:val="32"/>
          <w:highlight w:val="none"/>
        </w:rPr>
      </w:pPr>
    </w:p>
    <w:p w14:paraId="65F33DAA">
      <w:pPr>
        <w:pStyle w:val="12"/>
        <w:shd w:val="clear" w:color="auto" w:fill="FFFFFF"/>
        <w:spacing w:line="360" w:lineRule="exact"/>
        <w:ind w:firstLine="643" w:firstLineChars="200"/>
        <w:jc w:val="center"/>
        <w:rPr>
          <w:rFonts w:hint="eastAsia" w:ascii="宋体" w:hAnsi="宋体" w:eastAsia="宋体" w:cs="宋体"/>
          <w:b/>
          <w:bCs/>
          <w:color w:val="auto"/>
          <w:sz w:val="32"/>
          <w:szCs w:val="32"/>
          <w:highlight w:val="none"/>
        </w:rPr>
      </w:pPr>
    </w:p>
    <w:p w14:paraId="18F96264">
      <w:pPr>
        <w:pStyle w:val="12"/>
        <w:shd w:val="clear" w:color="auto" w:fill="FFFFFF"/>
        <w:spacing w:line="36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授权委托代理人有效身份证正反面复印件</w:t>
      </w:r>
    </w:p>
    <w:p w14:paraId="5BBE9A23">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5ED05AFF">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11F9652E">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7358C2AC">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420FFFB1">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.有效营业执照、资质证书、企业安全生产许可证复印件</w:t>
      </w:r>
    </w:p>
    <w:p w14:paraId="03672D08">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2C06F3AD">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4F3AAFEA">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项目经理资格：拟投入</w:t>
      </w:r>
      <w:bookmarkStart w:id="1202" w:name="OLE_LINK37"/>
      <w:r>
        <w:rPr>
          <w:rFonts w:hint="eastAsia" w:ascii="宋体" w:hAnsi="宋体" w:eastAsia="宋体" w:cs="宋体"/>
          <w:b/>
          <w:color w:val="auto"/>
          <w:sz w:val="24"/>
          <w:szCs w:val="24"/>
          <w:highlight w:val="none"/>
          <w:lang w:val="en-US" w:eastAsia="zh-CN"/>
        </w:rPr>
        <w:t>本项目的项目经理的有效第二代</w:t>
      </w:r>
      <w:bookmarkEnd w:id="1202"/>
      <w:r>
        <w:rPr>
          <w:rFonts w:hint="eastAsia" w:ascii="宋体" w:hAnsi="宋体" w:eastAsia="宋体" w:cs="宋体"/>
          <w:b/>
          <w:color w:val="auto"/>
          <w:sz w:val="24"/>
          <w:szCs w:val="24"/>
          <w:highlight w:val="none"/>
          <w:lang w:val="en-US" w:eastAsia="zh-CN"/>
        </w:rPr>
        <w:t>身份证正反面复印件、注册建造师证书复印件及安全生产考核合格证（B证）证件复印件</w:t>
      </w:r>
    </w:p>
    <w:p w14:paraId="731D67D3">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1DEDD2A5">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1565F234">
      <w:pPr>
        <w:pStyle w:val="12"/>
        <w:shd w:val="clear" w:color="auto" w:fill="FFFFFF"/>
        <w:spacing w:before="160" w:beforeLines="50" w:line="360" w:lineRule="exact"/>
        <w:rPr>
          <w:rFonts w:hint="eastAsia" w:hAnsi="宋体" w:cs="宋体"/>
          <w:b/>
          <w:color w:val="auto"/>
          <w:sz w:val="24"/>
          <w:szCs w:val="24"/>
          <w:highlight w:val="none"/>
          <w:lang w:val="en-US" w:eastAsia="zh-CN"/>
        </w:rPr>
      </w:pPr>
    </w:p>
    <w:p w14:paraId="5FE034FF">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.项目经理无在建承诺书</w:t>
      </w:r>
    </w:p>
    <w:p w14:paraId="63F529F9">
      <w:pPr>
        <w:shd w:val="clear" w:color="auto" w:fill="FFFFFF"/>
        <w:spacing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名称）：</w:t>
      </w:r>
    </w:p>
    <w:p w14:paraId="0B4DC314">
      <w:pPr>
        <w:shd w:val="clear" w:color="auto" w:fill="FFFFFF"/>
        <w:spacing w:line="360" w:lineRule="auto"/>
        <w:ind w:left="-10" w:firstLine="420" w:firstLineChars="200"/>
        <w:jc w:val="left"/>
        <w:rPr>
          <w:rFonts w:hint="eastAsia" w:ascii="宋体" w:hAnsi="宋体" w:eastAsia="宋体" w:cs="宋体"/>
          <w:color w:val="auto"/>
          <w:highlight w:val="none"/>
        </w:rPr>
      </w:pPr>
      <w:r>
        <w:rPr>
          <w:rFonts w:hint="eastAsia" w:ascii="宋体" w:hAnsi="宋体" w:cs="宋体"/>
          <w:color w:val="auto"/>
          <w:szCs w:val="21"/>
          <w:highlight w:val="none"/>
        </w:rPr>
        <w:t>现承诺我单位投入本工程的项目经理是本单位的在岗人员，且不在任何在建工程（时间从中标公示之日起至完工验收鉴定书或竣工验收鉴定书标明的验收日期）中担任任何管理职务。如我单位有不符合上述要求的，采购人有权取消我单位成交资格，我单位自愿接受，对</w:t>
      </w:r>
      <w:r>
        <w:rPr>
          <w:rFonts w:hint="eastAsia" w:ascii="宋体" w:hAnsi="宋体" w:cs="宋体"/>
          <w:color w:val="auto"/>
          <w:szCs w:val="21"/>
          <w:highlight w:val="none"/>
          <w:lang w:val="en-US" w:eastAsia="zh-CN"/>
        </w:rPr>
        <w:t>建筑</w:t>
      </w:r>
      <w:r>
        <w:rPr>
          <w:rFonts w:hint="eastAsia" w:ascii="宋体" w:hAnsi="宋体" w:cs="宋体"/>
          <w:color w:val="auto"/>
          <w:szCs w:val="21"/>
          <w:highlight w:val="none"/>
        </w:rPr>
        <w:t>工程建设主管部门对我单位本次</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人员重挂的不良行为的处理不持异议</w:t>
      </w:r>
    </w:p>
    <w:p w14:paraId="6AF681EF">
      <w:pPr>
        <w:shd w:val="clear" w:color="auto" w:fill="FFFFFF"/>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（电子</w:t>
      </w:r>
      <w:r>
        <w:rPr>
          <w:rFonts w:hint="eastAsia" w:ascii="宋体" w:hAnsi="宋体" w:eastAsia="宋体" w:cs="宋体"/>
          <w:color w:val="auto"/>
          <w:highlight w:val="none"/>
          <w:u w:val="single"/>
          <w:lang w:val="en-US" w:eastAsia="zh-CN"/>
        </w:rPr>
        <w:t>印</w:t>
      </w:r>
      <w:r>
        <w:rPr>
          <w:rFonts w:hint="eastAsia" w:ascii="宋体" w:hAnsi="宋体" w:eastAsia="宋体" w:cs="宋体"/>
          <w:color w:val="auto"/>
          <w:highlight w:val="none"/>
          <w:u w:val="single"/>
        </w:rPr>
        <w:t>章）</w:t>
      </w:r>
    </w:p>
    <w:p w14:paraId="18D07F76">
      <w:pPr>
        <w:shd w:val="clear" w:color="auto" w:fill="FFFFFF"/>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w:t>
      </w:r>
      <w:r>
        <w:rPr>
          <w:rFonts w:hint="eastAsia" w:ascii="宋体" w:hAnsi="宋体" w:eastAsia="宋体" w:cs="宋体"/>
          <w:color w:val="auto"/>
          <w:highlight w:val="none"/>
          <w:u w:val="single"/>
        </w:rPr>
        <w:t xml:space="preserve">              （签字）</w:t>
      </w:r>
    </w:p>
    <w:p w14:paraId="43086421">
      <w:pPr>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536C0B9">
      <w:pPr>
        <w:pStyle w:val="7"/>
        <w:shd w:val="clear" w:color="auto" w:fill="FFFFFF"/>
        <w:overflowPunct w:val="0"/>
        <w:spacing w:line="360" w:lineRule="exact"/>
        <w:ind w:left="0" w:leftChars="0" w:firstLine="482" w:firstLineChars="200"/>
        <w:rPr>
          <w:rFonts w:hint="eastAsia" w:ascii="宋体" w:hAnsi="宋体" w:cs="宋体"/>
          <w:b/>
          <w:color w:val="auto"/>
          <w:sz w:val="24"/>
          <w:szCs w:val="24"/>
          <w:highlight w:val="none"/>
          <w:lang w:val="en-US" w:eastAsia="zh-CN"/>
        </w:rPr>
      </w:pPr>
    </w:p>
    <w:p w14:paraId="3F99E57B">
      <w:pPr>
        <w:pStyle w:val="7"/>
        <w:shd w:val="clear" w:color="auto" w:fill="FFFFFF"/>
        <w:overflowPunct w:val="0"/>
        <w:spacing w:line="360" w:lineRule="exact"/>
        <w:ind w:left="0" w:leftChars="0" w:firstLine="482" w:firstLineChars="200"/>
        <w:rPr>
          <w:rFonts w:hint="eastAsia" w:ascii="宋体" w:hAnsi="宋体" w:cs="宋体"/>
          <w:b/>
          <w:color w:val="auto"/>
          <w:sz w:val="24"/>
          <w:szCs w:val="24"/>
          <w:highlight w:val="none"/>
          <w:lang w:val="en-US" w:eastAsia="zh-CN"/>
        </w:rPr>
      </w:pPr>
    </w:p>
    <w:p w14:paraId="0BBF6C97">
      <w:pPr>
        <w:pStyle w:val="7"/>
        <w:shd w:val="clear" w:color="auto" w:fill="FFFFFF"/>
        <w:overflowPunct w:val="0"/>
        <w:spacing w:line="360" w:lineRule="exact"/>
        <w:ind w:left="0" w:leftChars="0" w:firstLine="482" w:firstLineChars="200"/>
        <w:rPr>
          <w:rFonts w:hint="eastAsia" w:ascii="宋体" w:hAnsi="宋体" w:cs="宋体"/>
          <w:b/>
          <w:color w:val="auto"/>
          <w:sz w:val="24"/>
          <w:szCs w:val="24"/>
          <w:highlight w:val="none"/>
          <w:lang w:val="en-US" w:eastAsia="zh-CN"/>
        </w:rPr>
      </w:pPr>
    </w:p>
    <w:p w14:paraId="370CEF49">
      <w:pPr>
        <w:spacing w:line="240" w:lineRule="auto"/>
        <w:ind w:firstLine="482" w:firstLineChars="200"/>
        <w:rPr>
          <w:rFonts w:ascii="宋体" w:eastAsia="宋体" w:cs="宋体"/>
          <w:b/>
          <w:color w:val="auto"/>
          <w:kern w:val="0"/>
          <w:sz w:val="28"/>
          <w:szCs w:val="28"/>
          <w:highlight w:val="none"/>
        </w:rPr>
      </w:pPr>
      <w:r>
        <w:rPr>
          <w:rFonts w:hint="eastAsia" w:ascii="宋体" w:hAnsi="宋体" w:cs="宋体"/>
          <w:b/>
          <w:color w:val="auto"/>
          <w:sz w:val="24"/>
          <w:szCs w:val="24"/>
          <w:highlight w:val="none"/>
          <w:lang w:val="en-US" w:eastAsia="zh-CN"/>
        </w:rPr>
        <w:br w:type="page"/>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eastAsia="宋体" w:cs="宋体"/>
          <w:b/>
          <w:color w:val="auto"/>
          <w:kern w:val="0"/>
          <w:sz w:val="28"/>
          <w:szCs w:val="28"/>
          <w:highlight w:val="none"/>
        </w:rPr>
        <w:t>防城港市政府采购供应商信用承诺函（格式）</w:t>
      </w:r>
    </w:p>
    <w:p w14:paraId="553C5B0A">
      <w:pPr>
        <w:spacing w:line="520" w:lineRule="exact"/>
        <w:jc w:val="center"/>
        <w:rPr>
          <w:rFonts w:ascii="宋体" w:eastAsia="宋体" w:cs="宋体"/>
          <w:b/>
          <w:color w:val="auto"/>
          <w:kern w:val="0"/>
          <w:sz w:val="28"/>
          <w:szCs w:val="28"/>
          <w:highlight w:val="none"/>
        </w:rPr>
      </w:pPr>
    </w:p>
    <w:p w14:paraId="1BB034F6">
      <w:pPr>
        <w:spacing w:line="520" w:lineRule="exact"/>
        <w:jc w:val="center"/>
        <w:rPr>
          <w:rFonts w:ascii="方正小标宋简体" w:eastAsia="方正小标宋简体"/>
          <w:color w:val="auto"/>
          <w:sz w:val="36"/>
          <w:szCs w:val="36"/>
          <w:highlight w:val="none"/>
        </w:rPr>
      </w:pPr>
    </w:p>
    <w:p w14:paraId="1192439E">
      <w:pPr>
        <w:spacing w:line="520" w:lineRule="exact"/>
        <w:ind w:firstLine="720" w:firstLineChars="200"/>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7B3AB620">
      <w:pPr>
        <w:spacing w:line="520" w:lineRule="exact"/>
        <w:ind w:firstLine="640" w:firstLineChars="200"/>
        <w:rPr>
          <w:rFonts w:ascii="仿宋_GB2312" w:eastAsia="仿宋_GB2312"/>
          <w:color w:val="auto"/>
          <w:sz w:val="32"/>
          <w:szCs w:val="32"/>
          <w:highlight w:val="none"/>
        </w:rPr>
      </w:pPr>
    </w:p>
    <w:p w14:paraId="0E6602B5">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1020B117">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751F9DE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35492282">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382D4F3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76350B82">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6361F05C">
      <w:pPr>
        <w:spacing w:line="520" w:lineRule="exact"/>
        <w:ind w:firstLine="3220" w:firstLineChars="1150"/>
        <w:rPr>
          <w:rFonts w:ascii="仿宋_GB2312" w:eastAsia="仿宋_GB2312"/>
          <w:color w:val="auto"/>
          <w:sz w:val="28"/>
          <w:szCs w:val="28"/>
          <w:highlight w:val="none"/>
        </w:rPr>
      </w:pPr>
    </w:p>
    <w:p w14:paraId="3822025D">
      <w:pPr>
        <w:spacing w:line="520" w:lineRule="exact"/>
        <w:ind w:firstLine="3220" w:firstLineChars="1150"/>
        <w:rPr>
          <w:rFonts w:ascii="仿宋_GB2312" w:eastAsia="仿宋_GB2312"/>
          <w:color w:val="auto"/>
          <w:sz w:val="28"/>
          <w:szCs w:val="28"/>
          <w:highlight w:val="none"/>
        </w:rPr>
      </w:pPr>
    </w:p>
    <w:p w14:paraId="681C0BA2">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3F42B984">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128FE1C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hint="eastAsia" w:ascii="仿宋_GB2312" w:eastAsia="仿宋_GB2312"/>
          <w:color w:val="auto"/>
          <w:sz w:val="28"/>
          <w:szCs w:val="28"/>
          <w:highlight w:val="none"/>
          <w:lang w:eastAsia="zh-CN"/>
        </w:rPr>
        <w:t>（</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hint="eastAsia" w:ascii="仿宋_GB2312" w:eastAsia="仿宋_GB2312"/>
          <w:color w:val="auto"/>
          <w:sz w:val="28"/>
          <w:szCs w:val="28"/>
          <w:highlight w:val="none"/>
          <w:lang w:eastAsia="zh-CN"/>
        </w:rPr>
        <w:t>）</w:t>
      </w:r>
      <w:r>
        <w:rPr>
          <w:rFonts w:ascii="仿宋_GB2312" w:eastAsia="仿宋_GB2312"/>
          <w:color w:val="auto"/>
          <w:sz w:val="28"/>
          <w:szCs w:val="28"/>
          <w:highlight w:val="none"/>
        </w:rPr>
        <w:t>：</w:t>
      </w:r>
    </w:p>
    <w:p w14:paraId="74518638">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60CA2EFC">
      <w:pPr>
        <w:spacing w:line="600" w:lineRule="exact"/>
        <w:ind w:firstLine="560" w:firstLineChars="200"/>
        <w:rPr>
          <w:rFonts w:ascii="仿宋_GB2312" w:eastAsia="仿宋_GB2312"/>
          <w:color w:val="auto"/>
          <w:sz w:val="28"/>
          <w:szCs w:val="28"/>
          <w:highlight w:val="none"/>
        </w:rPr>
      </w:pPr>
    </w:p>
    <w:p w14:paraId="309D0BE7">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1.供应商须在投标</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文件中按此模板提供承诺函，未提供</w:t>
      </w:r>
      <w:r>
        <w:rPr>
          <w:rFonts w:hint="eastAsia" w:ascii="仿宋_GB2312" w:eastAsia="仿宋_GB2312"/>
          <w:color w:val="auto"/>
          <w:sz w:val="28"/>
          <w:szCs w:val="28"/>
          <w:highlight w:val="none"/>
        </w:rPr>
        <w:t>视为未实质性响应招标（采购）文件要求，按无效投标（响应）处理。</w:t>
      </w:r>
    </w:p>
    <w:p w14:paraId="3BE6D268">
      <w:pPr>
        <w:spacing w:line="600" w:lineRule="exact"/>
        <w:ind w:firstLine="560" w:firstLineChars="200"/>
        <w:rPr>
          <w:color w:val="auto"/>
          <w:highlight w:val="none"/>
        </w:rPr>
      </w:pPr>
      <w:r>
        <w:rPr>
          <w:rFonts w:ascii="仿宋_GB2312" w:eastAsia="仿宋_GB2312"/>
          <w:color w:val="auto"/>
          <w:sz w:val="28"/>
          <w:szCs w:val="28"/>
          <w:highlight w:val="none"/>
        </w:rPr>
        <w:t>2.供应商的法定代表人（其他组织的为负责人）或者授</w:t>
      </w:r>
      <w:r>
        <w:rPr>
          <w:rFonts w:hint="eastAsia" w:ascii="仿宋_GB2312" w:eastAsia="仿宋_GB2312"/>
          <w:color w:val="auto"/>
          <w:sz w:val="28"/>
          <w:szCs w:val="28"/>
          <w:highlight w:val="none"/>
        </w:rPr>
        <w:t>权代表的签名或盖章应真实、有效，如由授权代表签名或盖章的，应提供“法定代表人授权书”。</w:t>
      </w:r>
    </w:p>
    <w:p w14:paraId="414E1912">
      <w:pPr>
        <w:numPr>
          <w:ilvl w:val="0"/>
          <w:numId w:val="0"/>
        </w:numPr>
        <w:shd w:val="clear" w:color="auto" w:fill="FFFFFF"/>
        <w:spacing w:before="160" w:beforeLines="50" w:line="360" w:lineRule="auto"/>
        <w:rPr>
          <w:rFonts w:hint="eastAsia" w:ascii="宋体" w:hAnsi="宋体" w:eastAsia="宋体" w:cs="宋体"/>
          <w:b/>
          <w:bCs w:val="0"/>
          <w:color w:val="auto"/>
          <w:spacing w:val="0"/>
          <w:kern w:val="2"/>
          <w:sz w:val="24"/>
          <w:szCs w:val="24"/>
          <w:highlight w:val="none"/>
          <w:lang w:val="en-US" w:eastAsia="zh-CN" w:bidi="ar-SA"/>
        </w:rPr>
      </w:pPr>
    </w:p>
    <w:p w14:paraId="007AD279">
      <w:pPr>
        <w:numPr>
          <w:ilvl w:val="0"/>
          <w:numId w:val="0"/>
        </w:numPr>
        <w:shd w:val="clear" w:color="auto" w:fill="FFFFFF"/>
        <w:spacing w:before="160" w:beforeLines="50" w:line="360" w:lineRule="auto"/>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bCs w:val="0"/>
          <w:color w:val="auto"/>
          <w:spacing w:val="0"/>
          <w:kern w:val="2"/>
          <w:sz w:val="24"/>
          <w:szCs w:val="24"/>
          <w:highlight w:val="none"/>
          <w:lang w:val="en-US" w:eastAsia="zh-CN" w:bidi="ar-SA"/>
        </w:rPr>
        <w:t>7</w:t>
      </w:r>
      <w:r>
        <w:rPr>
          <w:rFonts w:hint="eastAsia" w:ascii="宋体" w:hAnsi="宋体" w:eastAsia="宋体" w:cs="宋体"/>
          <w:b/>
          <w:bCs w:val="0"/>
          <w:color w:val="auto"/>
          <w:spacing w:val="0"/>
          <w:kern w:val="2"/>
          <w:sz w:val="24"/>
          <w:szCs w:val="24"/>
          <w:highlight w:val="none"/>
          <w:lang w:val="en-US" w:eastAsia="zh-CN" w:bidi="ar-SA"/>
        </w:rPr>
        <w:t>.中小企业声明函或者残疾人福利性单位声明函或者</w:t>
      </w:r>
      <w:r>
        <w:rPr>
          <w:rFonts w:hint="eastAsia" w:ascii="宋体" w:hAnsi="宋体" w:cs="宋体"/>
          <w:b/>
          <w:bCs w:val="0"/>
          <w:color w:val="auto"/>
          <w:spacing w:val="0"/>
          <w:kern w:val="2"/>
          <w:sz w:val="24"/>
          <w:szCs w:val="24"/>
          <w:highlight w:val="none"/>
          <w:lang w:val="en-US" w:eastAsia="zh-CN" w:bidi="ar-SA"/>
        </w:rPr>
        <w:t>供应商</w:t>
      </w:r>
      <w:r>
        <w:rPr>
          <w:rFonts w:hint="eastAsia" w:ascii="宋体" w:hAnsi="宋体" w:eastAsia="宋体" w:cs="宋体"/>
          <w:b/>
          <w:bCs w:val="0"/>
          <w:color w:val="auto"/>
          <w:spacing w:val="0"/>
          <w:kern w:val="2"/>
          <w:sz w:val="24"/>
          <w:szCs w:val="24"/>
          <w:highlight w:val="none"/>
          <w:lang w:val="en-US" w:eastAsia="zh-CN" w:bidi="ar-SA"/>
        </w:rPr>
        <w:t>属于监狱企业的证明材料原件复印件（格式）</w:t>
      </w:r>
    </w:p>
    <w:p w14:paraId="3FE24497">
      <w:pPr>
        <w:pStyle w:val="19"/>
        <w:widowControl w:val="0"/>
        <w:shd w:val="clear" w:color="auto" w:fill="FFFFFF"/>
        <w:adjustRightInd w:val="0"/>
        <w:snapToGrid w:val="0"/>
        <w:spacing w:before="160" w:beforeLines="50" w:beforeAutospacing="0" w:after="0" w:afterAutospacing="0" w:line="360" w:lineRule="exact"/>
        <w:ind w:firstLine="675" w:firstLineChars="20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pacing w:val="8"/>
          <w:kern w:val="2"/>
          <w:sz w:val="32"/>
          <w:highlight w:val="none"/>
        </w:rPr>
        <w:t>中小企业声明函</w:t>
      </w:r>
    </w:p>
    <w:p w14:paraId="1791D18D">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pacing w:val="8"/>
          <w:sz w:val="24"/>
          <w:szCs w:val="24"/>
          <w:highlight w:val="none"/>
        </w:rPr>
        <w:t>郑重声明，根据《政府采购促进中小企业发展管理办法》（财库﹝2020﹞46号）的规定，本公司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pacing w:val="8"/>
          <w:sz w:val="24"/>
          <w:szCs w:val="24"/>
          <w:highlight w:val="none"/>
          <w:u w:val="single"/>
        </w:rPr>
        <w:t>（单位名称）</w:t>
      </w:r>
      <w:r>
        <w:rPr>
          <w:rFonts w:hint="eastAsia" w:ascii="宋体" w:hAnsi="宋体" w:eastAsia="宋体" w:cs="宋体"/>
          <w:color w:val="auto"/>
          <w:spacing w:val="8"/>
          <w:sz w:val="24"/>
          <w:szCs w:val="24"/>
          <w:highlight w:val="none"/>
        </w:rPr>
        <w:t>的</w:t>
      </w:r>
      <w:r>
        <w:rPr>
          <w:rFonts w:hint="eastAsia" w:ascii="宋体" w:hAnsi="宋体" w:eastAsia="宋体" w:cs="宋体"/>
          <w:color w:val="auto"/>
          <w:spacing w:val="8"/>
          <w:sz w:val="24"/>
          <w:szCs w:val="24"/>
          <w:highlight w:val="none"/>
          <w:u w:val="single"/>
        </w:rPr>
        <w:t>（项目名称）</w:t>
      </w:r>
      <w:r>
        <w:rPr>
          <w:rFonts w:hint="eastAsia" w:ascii="宋体" w:hAnsi="宋体" w:cs="宋体"/>
          <w:color w:val="auto"/>
          <w:spacing w:val="8"/>
          <w:sz w:val="24"/>
          <w:szCs w:val="24"/>
          <w:highlight w:val="none"/>
          <w:lang w:val="en-US" w:eastAsia="zh-CN"/>
        </w:rPr>
        <w:t>采购</w:t>
      </w:r>
      <w:r>
        <w:rPr>
          <w:rFonts w:hint="eastAsia" w:ascii="宋体" w:hAnsi="宋体" w:eastAsia="宋体" w:cs="宋体"/>
          <w:color w:val="auto"/>
          <w:spacing w:val="8"/>
          <w:sz w:val="24"/>
          <w:szCs w:val="24"/>
          <w:highlight w:val="none"/>
        </w:rPr>
        <w:t>活动，工程的施工单位全部为符合政策要求的中小企业（或者：服务全部由符合政策要求的中小企业承接）。相关企业（含联合体中的中小企业、签订分包意向协议的中小企业）的具体情况如下：</w:t>
      </w:r>
    </w:p>
    <w:p w14:paraId="7F448CAF">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u w:val="single"/>
          <w:lang w:val="en-US" w:eastAsia="zh-CN"/>
        </w:rPr>
        <w:t>项目</w:t>
      </w:r>
      <w:r>
        <w:rPr>
          <w:rFonts w:hint="eastAsia" w:ascii="宋体" w:hAnsi="宋体" w:eastAsia="宋体" w:cs="宋体"/>
          <w:color w:val="auto"/>
          <w:spacing w:val="8"/>
          <w:sz w:val="24"/>
          <w:szCs w:val="24"/>
          <w:highlight w:val="none"/>
          <w:u w:val="single"/>
        </w:rPr>
        <w:t>名称）</w:t>
      </w:r>
      <w:r>
        <w:rPr>
          <w:rFonts w:hint="eastAsia" w:ascii="宋体" w:hAnsi="宋体" w:eastAsia="宋体" w:cs="宋体"/>
          <w:color w:val="auto"/>
          <w:spacing w:val="8"/>
          <w:sz w:val="24"/>
          <w:szCs w:val="24"/>
          <w:highlight w:val="none"/>
        </w:rPr>
        <w:t>，属于</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u w:val="single"/>
          <w:lang w:val="en-US" w:eastAsia="zh-CN"/>
        </w:rPr>
        <w:t>采购</w:t>
      </w:r>
      <w:r>
        <w:rPr>
          <w:rFonts w:hint="eastAsia" w:ascii="宋体" w:hAnsi="宋体" w:eastAsia="宋体" w:cs="宋体"/>
          <w:color w:val="auto"/>
          <w:spacing w:val="8"/>
          <w:sz w:val="24"/>
          <w:szCs w:val="24"/>
          <w:highlight w:val="none"/>
          <w:u w:val="single"/>
        </w:rPr>
        <w:t>文件中明确的所属行业）</w:t>
      </w:r>
      <w:r>
        <w:rPr>
          <w:rFonts w:hint="eastAsia" w:ascii="宋体" w:hAnsi="宋体" w:eastAsia="宋体" w:cs="宋体"/>
          <w:color w:val="auto"/>
          <w:spacing w:val="8"/>
          <w:sz w:val="24"/>
          <w:szCs w:val="24"/>
          <w:highlight w:val="none"/>
        </w:rPr>
        <w:t>；承建（承接）企业为</w:t>
      </w:r>
      <w:r>
        <w:rPr>
          <w:rFonts w:hint="eastAsia" w:ascii="宋体" w:hAnsi="宋体" w:eastAsia="宋体" w:cs="宋体"/>
          <w:color w:val="auto"/>
          <w:spacing w:val="8"/>
          <w:sz w:val="24"/>
          <w:szCs w:val="24"/>
          <w:highlight w:val="none"/>
          <w:u w:val="single"/>
        </w:rPr>
        <w:t>（企业名称），</w:t>
      </w:r>
      <w:r>
        <w:rPr>
          <w:rFonts w:hint="eastAsia" w:ascii="宋体" w:hAnsi="宋体" w:eastAsia="宋体" w:cs="宋体"/>
          <w:color w:val="auto"/>
          <w:spacing w:val="8"/>
          <w:sz w:val="24"/>
          <w:szCs w:val="24"/>
          <w:highlight w:val="none"/>
        </w:rPr>
        <w:t>从业人员</w:t>
      </w:r>
      <w:r>
        <w:rPr>
          <w:rFonts w:hint="eastAsia" w:ascii="宋体" w:hAnsi="宋体" w:eastAsia="宋体" w:cs="宋体"/>
          <w:color w:val="auto"/>
          <w:spacing w:val="8"/>
          <w:sz w:val="24"/>
          <w:szCs w:val="24"/>
          <w:highlight w:val="none"/>
          <w:u w:val="single"/>
        </w:rPr>
        <w:tab/>
      </w:r>
      <w:r>
        <w:rPr>
          <w:rFonts w:hint="eastAsia" w:ascii="宋体" w:hAnsi="宋体" w:eastAsia="宋体" w:cs="宋体"/>
          <w:color w:val="auto"/>
          <w:spacing w:val="8"/>
          <w:sz w:val="24"/>
          <w:szCs w:val="24"/>
          <w:highlight w:val="none"/>
        </w:rPr>
        <w:t>人，营业收入为</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万元，资产总额为</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万元，属于</w:t>
      </w:r>
      <w:r>
        <w:rPr>
          <w:rFonts w:hint="eastAsia" w:ascii="宋体" w:hAnsi="宋体" w:eastAsia="宋体" w:cs="宋体"/>
          <w:color w:val="auto"/>
          <w:spacing w:val="8"/>
          <w:sz w:val="24"/>
          <w:szCs w:val="24"/>
          <w:highlight w:val="none"/>
          <w:u w:val="single"/>
        </w:rPr>
        <w:t>（中型企业、小型企业、微型企业）</w:t>
      </w:r>
      <w:r>
        <w:rPr>
          <w:rFonts w:hint="eastAsia" w:ascii="宋体" w:hAnsi="宋体" w:eastAsia="宋体" w:cs="宋体"/>
          <w:color w:val="auto"/>
          <w:spacing w:val="8"/>
          <w:sz w:val="24"/>
          <w:szCs w:val="24"/>
          <w:highlight w:val="none"/>
        </w:rPr>
        <w:t>；</w:t>
      </w:r>
    </w:p>
    <w:p w14:paraId="66B48AAD">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w:t>
      </w:r>
    </w:p>
    <w:p w14:paraId="67862C66">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以上企业，不属于大企业的分支机构，不存在控股股东为大企业的情形，也不存在与大企业的负责人为同一人的情形。</w:t>
      </w:r>
    </w:p>
    <w:p w14:paraId="0FD28D9B">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本企业对上述声明内容的真实性负责。如有虚假，将依法承担相应责任。</w:t>
      </w:r>
    </w:p>
    <w:p w14:paraId="1F40CF46">
      <w:pPr>
        <w:spacing w:before="46" w:line="276" w:lineRule="auto"/>
        <w:ind w:right="2499" w:firstLine="512" w:firstLineChars="200"/>
        <w:jc w:val="righ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企业名称（电子</w:t>
      </w:r>
      <w:r>
        <w:rPr>
          <w:rFonts w:hint="eastAsia" w:ascii="宋体" w:hAnsi="宋体" w:eastAsia="宋体" w:cs="宋体"/>
          <w:color w:val="auto"/>
          <w:spacing w:val="8"/>
          <w:sz w:val="24"/>
          <w:szCs w:val="24"/>
          <w:highlight w:val="none"/>
          <w:lang w:val="en-US" w:eastAsia="zh-CN"/>
        </w:rPr>
        <w:t>印</w:t>
      </w:r>
      <w:r>
        <w:rPr>
          <w:rFonts w:hint="eastAsia" w:ascii="宋体" w:hAnsi="宋体" w:eastAsia="宋体" w:cs="宋体"/>
          <w:color w:val="auto"/>
          <w:spacing w:val="8"/>
          <w:sz w:val="24"/>
          <w:szCs w:val="24"/>
          <w:highlight w:val="none"/>
        </w:rPr>
        <w:t>章）：</w:t>
      </w:r>
    </w:p>
    <w:p w14:paraId="5C300768">
      <w:pPr>
        <w:spacing w:before="46" w:line="276" w:lineRule="auto"/>
        <w:ind w:right="2499" w:firstLine="512" w:firstLineChars="200"/>
        <w:jc w:val="righ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日期:</w:t>
      </w:r>
    </w:p>
    <w:p w14:paraId="0E1BD4B3">
      <w:pPr>
        <w:numPr>
          <w:ilvl w:val="0"/>
          <w:numId w:val="0"/>
        </w:numPr>
        <w:shd w:val="clear" w:color="auto" w:fill="FFFFFF"/>
        <w:spacing w:before="160" w:beforeLines="50" w:line="360" w:lineRule="auto"/>
        <w:ind w:firstLine="512" w:firstLineChars="200"/>
        <w:rPr>
          <w:rFonts w:hint="default" w:ascii="宋体" w:hAnsi="宋体" w:cs="宋体"/>
          <w:b/>
          <w:bCs w:val="0"/>
          <w:color w:val="auto"/>
          <w:spacing w:val="0"/>
          <w:kern w:val="2"/>
          <w:sz w:val="24"/>
          <w:szCs w:val="24"/>
          <w:highlight w:val="none"/>
          <w:lang w:val="en-US" w:eastAsia="zh-CN" w:bidi="ar-SA"/>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8"/>
          <w:sz w:val="24"/>
          <w:szCs w:val="24"/>
          <w:highlight w:val="none"/>
          <w:lang w:val="en-US" w:eastAsia="zh-CN"/>
        </w:rPr>
        <w:t>（1）</w:t>
      </w: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14:paraId="593366F2">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本项目</w:t>
      </w:r>
      <w:r>
        <w:rPr>
          <w:rFonts w:hint="eastAsia" w:ascii="宋体" w:hAnsi="宋体" w:eastAsia="宋体" w:cs="宋体"/>
          <w:b/>
          <w:bCs/>
          <w:color w:val="auto"/>
          <w:kern w:val="0"/>
          <w:sz w:val="24"/>
          <w:szCs w:val="24"/>
          <w:highlight w:val="none"/>
          <w:lang w:eastAsia="zh-CN"/>
        </w:rPr>
        <w:t>对应的中小企业划分标准所属行业</w:t>
      </w:r>
      <w:r>
        <w:rPr>
          <w:rFonts w:hint="eastAsia" w:ascii="宋体" w:hAnsi="宋体" w:eastAsia="宋体" w:cs="宋体"/>
          <w:b/>
          <w:bCs/>
          <w:color w:val="auto"/>
          <w:kern w:val="0"/>
          <w:sz w:val="24"/>
          <w:szCs w:val="24"/>
          <w:highlight w:val="none"/>
        </w:rPr>
        <w:t>为</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u w:val="single"/>
          <w:lang w:val="en-US" w:eastAsia="zh-CN"/>
        </w:rPr>
        <w:t>建筑业</w:t>
      </w:r>
      <w:r>
        <w:rPr>
          <w:rFonts w:hint="eastAsia" w:ascii="宋体" w:hAnsi="宋体" w:eastAsia="宋体" w:cs="宋体"/>
          <w:b/>
          <w:bCs/>
          <w:color w:val="auto"/>
          <w:kern w:val="0"/>
          <w:sz w:val="24"/>
          <w:szCs w:val="24"/>
          <w:highlight w:val="none"/>
        </w:rPr>
        <w:t>。</w:t>
      </w:r>
    </w:p>
    <w:p w14:paraId="55578E32">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3D059E89">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6A4FD9DB">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0F243B8B">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20651278">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59C4C347">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1E0282B3">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725C6F6">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35668CB">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235F0040">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49E09840">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F8E126B">
      <w:pPr>
        <w:snapToGrid w:val="0"/>
        <w:spacing w:before="120" w:beforeLines="50" w:after="50"/>
        <w:ind w:left="142"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残疾人福利性单位声明函格式</w:t>
      </w:r>
    </w:p>
    <w:p w14:paraId="74F38921">
      <w:pPr>
        <w:spacing w:line="588" w:lineRule="exact"/>
        <w:ind w:firstLine="667" w:firstLineChars="200"/>
        <w:jc w:val="center"/>
        <w:rPr>
          <w:rFonts w:hint="eastAsia" w:ascii="宋体" w:hAnsi="宋体" w:eastAsia="宋体" w:cs="宋体"/>
          <w:b/>
          <w:color w:val="auto"/>
          <w:spacing w:val="6"/>
          <w:sz w:val="32"/>
          <w:szCs w:val="32"/>
          <w:highlight w:val="none"/>
        </w:rPr>
      </w:pPr>
      <w:bookmarkStart w:id="1203" w:name="OLE_LINK14"/>
      <w:bookmarkStart w:id="1204" w:name="OLE_LINK13"/>
      <w:r>
        <w:rPr>
          <w:rFonts w:hint="eastAsia" w:ascii="宋体" w:hAnsi="宋体" w:eastAsia="宋体" w:cs="宋体"/>
          <w:b/>
          <w:color w:val="auto"/>
          <w:spacing w:val="6"/>
          <w:sz w:val="32"/>
          <w:szCs w:val="32"/>
          <w:highlight w:val="none"/>
        </w:rPr>
        <w:t>残疾人福利性单位声明函</w:t>
      </w:r>
    </w:p>
    <w:bookmarkEnd w:id="1203"/>
    <w:bookmarkEnd w:id="1204"/>
    <w:p w14:paraId="6B56FC84">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w:t>
      </w:r>
      <w:r>
        <w:rPr>
          <w:rFonts w:hint="eastAsia" w:ascii="宋体" w:hAnsi="宋体" w:cs="宋体"/>
          <w:color w:val="auto"/>
          <w:spacing w:val="6"/>
          <w:sz w:val="24"/>
          <w:highlight w:val="none"/>
          <w:lang w:val="en-US" w:eastAsia="zh-CN"/>
        </w:rPr>
        <w:t>采购</w:t>
      </w:r>
      <w:r>
        <w:rPr>
          <w:rFonts w:hint="eastAsia" w:ascii="宋体" w:hAnsi="宋体" w:eastAsia="宋体" w:cs="宋体"/>
          <w:color w:val="auto"/>
          <w:spacing w:val="6"/>
          <w:sz w:val="24"/>
          <w:highlight w:val="none"/>
        </w:rPr>
        <w:t>活动由本单位承担工程</w:t>
      </w:r>
      <w:r>
        <w:rPr>
          <w:rFonts w:hint="eastAsia" w:ascii="宋体" w:hAnsi="宋体" w:eastAsia="宋体" w:cs="宋体"/>
          <w:color w:val="auto"/>
          <w:spacing w:val="-6"/>
          <w:sz w:val="24"/>
          <w:highlight w:val="none"/>
        </w:rPr>
        <w:t>。</w:t>
      </w:r>
    </w:p>
    <w:p w14:paraId="2F7D6FB0">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522C193D">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单位名称（电子</w:t>
      </w:r>
      <w:r>
        <w:rPr>
          <w:rFonts w:hint="eastAsia" w:ascii="宋体" w:hAnsi="宋体" w:eastAsia="宋体" w:cs="宋体"/>
          <w:color w:val="auto"/>
          <w:spacing w:val="6"/>
          <w:sz w:val="24"/>
          <w:highlight w:val="none"/>
          <w:lang w:val="en-US" w:eastAsia="zh-CN"/>
        </w:rPr>
        <w:t>印</w:t>
      </w:r>
      <w:r>
        <w:rPr>
          <w:rFonts w:hint="eastAsia" w:ascii="宋体" w:hAnsi="宋体" w:eastAsia="宋体" w:cs="宋体"/>
          <w:color w:val="auto"/>
          <w:spacing w:val="6"/>
          <w:sz w:val="24"/>
          <w:highlight w:val="none"/>
        </w:rPr>
        <w:t>章）：</w:t>
      </w:r>
    </w:p>
    <w:p w14:paraId="75587CDC">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1295F2C5">
      <w:pPr>
        <w:ind w:firstLine="480" w:firstLineChars="200"/>
        <w:rPr>
          <w:rFonts w:hint="eastAsia" w:ascii="宋体" w:hAnsi="宋体" w:eastAsia="宋体" w:cs="宋体"/>
          <w:color w:val="auto"/>
          <w:sz w:val="24"/>
          <w:highlight w:val="none"/>
        </w:rPr>
      </w:pPr>
    </w:p>
    <w:p w14:paraId="5694CA8C">
      <w:pPr>
        <w:ind w:firstLine="480" w:firstLineChars="200"/>
        <w:rPr>
          <w:rFonts w:hint="eastAsia" w:ascii="宋体" w:hAnsi="宋体" w:cs="宋体"/>
          <w:b/>
          <w:bCs w:val="0"/>
          <w:color w:val="auto"/>
          <w:spacing w:val="0"/>
          <w:kern w:val="2"/>
          <w:sz w:val="24"/>
          <w:szCs w:val="24"/>
          <w:highlight w:val="none"/>
          <w:lang w:val="en-US" w:eastAsia="zh-CN" w:bidi="ar-SA"/>
        </w:rPr>
      </w:pPr>
      <w:r>
        <w:rPr>
          <w:rFonts w:hint="eastAsia" w:ascii="宋体" w:hAnsi="宋体" w:eastAsia="宋体" w:cs="宋体"/>
          <w:color w:val="auto"/>
          <w:sz w:val="24"/>
          <w:highlight w:val="none"/>
        </w:rPr>
        <w:t>注：请根据自己的真实情况出具《残疾人福利性单位声明函》。依法享受中小企业</w:t>
      </w:r>
      <w:r>
        <w:rPr>
          <w:rFonts w:hint="eastAsia" w:ascii="宋体" w:hAnsi="宋体" w:cs="宋体"/>
          <w:color w:val="auto"/>
          <w:sz w:val="24"/>
          <w:highlight w:val="none"/>
          <w:lang w:val="en-US" w:eastAsia="zh-CN"/>
        </w:rPr>
        <w:t>扶持</w:t>
      </w:r>
      <w:r>
        <w:rPr>
          <w:rFonts w:hint="eastAsia" w:ascii="宋体" w:hAnsi="宋体" w:eastAsia="宋体" w:cs="宋体"/>
          <w:color w:val="auto"/>
          <w:sz w:val="24"/>
          <w:highlight w:val="none"/>
        </w:rPr>
        <w:t>政策的，</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代理机构在公告</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结果时，同时公告其《残疾人福利性单位声明函》，接受社会监督。</w:t>
      </w:r>
    </w:p>
    <w:p w14:paraId="737487FD">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p>
    <w:p w14:paraId="66A83E1A">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p>
    <w:p w14:paraId="558426AD">
      <w:pPr>
        <w:numPr>
          <w:ilvl w:val="0"/>
          <w:numId w:val="0"/>
        </w:numPr>
        <w:shd w:val="clear" w:color="auto" w:fill="FFFFFF"/>
        <w:spacing w:before="160" w:beforeLines="50" w:line="360" w:lineRule="auto"/>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bCs w:val="0"/>
          <w:color w:val="auto"/>
          <w:spacing w:val="0"/>
          <w:kern w:val="2"/>
          <w:sz w:val="24"/>
          <w:szCs w:val="24"/>
          <w:highlight w:val="none"/>
          <w:lang w:val="en-US" w:eastAsia="zh-CN" w:bidi="ar-SA"/>
        </w:rPr>
        <w:t>8.</w:t>
      </w:r>
      <w:r>
        <w:rPr>
          <w:rFonts w:hint="eastAsia" w:ascii="宋体" w:hAnsi="宋体" w:eastAsia="宋体" w:cs="宋体"/>
          <w:b/>
          <w:bCs w:val="0"/>
          <w:color w:val="auto"/>
          <w:spacing w:val="0"/>
          <w:kern w:val="2"/>
          <w:sz w:val="24"/>
          <w:szCs w:val="24"/>
          <w:highlight w:val="none"/>
          <w:lang w:val="en-US" w:eastAsia="zh-CN" w:bidi="ar-SA"/>
        </w:rPr>
        <w:t>除磋商文件规定必须提供以外，供应商认为需要提供的其他证明材料</w:t>
      </w:r>
    </w:p>
    <w:p w14:paraId="65207F4A">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2237A63">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6BB37741">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F6E8181">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53E2A06">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C131B3C">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69337D3B">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533ED6BD">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40564D2">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106D1E2F">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1043A6D">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560D9E53">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7A13DBC1">
      <w:pPr>
        <w:spacing w:line="480" w:lineRule="auto"/>
        <w:ind w:left="361" w:leftChars="172" w:firstLine="964" w:firstLineChars="20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响应文件</w:t>
      </w:r>
    </w:p>
    <w:p w14:paraId="495A9E30">
      <w:pPr>
        <w:spacing w:line="480" w:lineRule="auto"/>
        <w:ind w:left="361" w:leftChars="172" w:firstLine="723" w:firstLineChars="200"/>
        <w:jc w:val="center"/>
        <w:rPr>
          <w:rFonts w:hint="eastAsia" w:ascii="宋体" w:hAnsi="宋体" w:eastAsia="宋体" w:cs="宋体"/>
          <w:b/>
          <w:bCs/>
          <w:color w:val="auto"/>
          <w:sz w:val="36"/>
          <w:szCs w:val="36"/>
          <w:highlight w:val="none"/>
          <w:lang w:val="en-US" w:eastAsia="zh-CN"/>
        </w:rPr>
      </w:pPr>
    </w:p>
    <w:p w14:paraId="1000B6D6">
      <w:pPr>
        <w:spacing w:line="480" w:lineRule="auto"/>
        <w:ind w:left="361" w:leftChars="172" w:firstLine="723" w:firstLineChars="200"/>
        <w:jc w:val="center"/>
        <w:rPr>
          <w:rFonts w:hint="eastAsia" w:ascii="宋体" w:hAnsi="宋体" w:eastAsia="宋体" w:cs="宋体"/>
          <w:b/>
          <w:bCs/>
          <w:color w:val="auto"/>
          <w:sz w:val="36"/>
          <w:szCs w:val="36"/>
          <w:highlight w:val="none"/>
          <w:lang w:val="en-US" w:eastAsia="zh-CN"/>
        </w:rPr>
      </w:pPr>
    </w:p>
    <w:p w14:paraId="42537015">
      <w:pPr>
        <w:spacing w:line="480" w:lineRule="auto"/>
        <w:ind w:left="361" w:leftChars="172" w:firstLine="723" w:firstLineChars="200"/>
        <w:jc w:val="center"/>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报价文件</w:t>
      </w:r>
    </w:p>
    <w:p w14:paraId="26C7A48D">
      <w:pPr>
        <w:pStyle w:val="12"/>
        <w:spacing w:line="480" w:lineRule="auto"/>
        <w:ind w:firstLine="600" w:firstLineChars="200"/>
        <w:rPr>
          <w:rFonts w:hint="eastAsia" w:ascii="宋体" w:hAnsi="宋体" w:eastAsia="宋体" w:cs="宋体"/>
          <w:b w:val="0"/>
          <w:bCs w:val="0"/>
          <w:color w:val="auto"/>
          <w:sz w:val="30"/>
          <w:szCs w:val="30"/>
          <w:highlight w:val="none"/>
        </w:rPr>
      </w:pPr>
    </w:p>
    <w:p w14:paraId="1B85ECEA">
      <w:pPr>
        <w:pStyle w:val="12"/>
        <w:spacing w:line="480" w:lineRule="auto"/>
        <w:ind w:firstLine="600" w:firstLineChars="200"/>
        <w:rPr>
          <w:rFonts w:hint="eastAsia" w:ascii="宋体" w:hAnsi="宋体" w:eastAsia="宋体" w:cs="宋体"/>
          <w:b w:val="0"/>
          <w:bCs w:val="0"/>
          <w:color w:val="auto"/>
          <w:sz w:val="30"/>
          <w:szCs w:val="30"/>
          <w:highlight w:val="none"/>
        </w:rPr>
      </w:pPr>
    </w:p>
    <w:p w14:paraId="73F72362">
      <w:pPr>
        <w:pStyle w:val="12"/>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项目名称：</w:t>
      </w:r>
    </w:p>
    <w:p w14:paraId="3F531DE1">
      <w:pPr>
        <w:pStyle w:val="12"/>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项目编号：</w:t>
      </w:r>
    </w:p>
    <w:p w14:paraId="3C5D892B">
      <w:pPr>
        <w:pStyle w:val="12"/>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供应商名称：</w:t>
      </w:r>
    </w:p>
    <w:p w14:paraId="0D44B7C1">
      <w:pPr>
        <w:pStyle w:val="12"/>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日     期：      年   月   日</w:t>
      </w:r>
    </w:p>
    <w:p w14:paraId="2FF8F2FB">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bookmarkStart w:id="1205" w:name="_Toc424307488"/>
      <w:bookmarkStart w:id="1206" w:name="_Toc424307759"/>
    </w:p>
    <w:p w14:paraId="5AA74437">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31A62579">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4E1C61C9">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74BE61B6">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64C08D05">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1E5F83B7">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6B24A263">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181E7EB2">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49590043">
      <w:pPr>
        <w:shd w:val="clear" w:color="auto" w:fill="FFFFFF"/>
        <w:jc w:val="both"/>
        <w:rPr>
          <w:rFonts w:hint="eastAsia" w:ascii="宋体" w:hAnsi="宋体" w:eastAsia="宋体"/>
          <w:b/>
          <w:bCs w:val="0"/>
          <w:color w:val="auto"/>
          <w:sz w:val="32"/>
          <w:szCs w:val="32"/>
          <w:highlight w:val="none"/>
          <w:lang w:val="en-US" w:eastAsia="zh-CN"/>
        </w:rPr>
      </w:pPr>
    </w:p>
    <w:p w14:paraId="7CB879AE">
      <w:pPr>
        <w:shd w:val="clear" w:color="auto" w:fill="FFFFFF"/>
        <w:ind w:firstLine="643" w:firstLineChars="200"/>
        <w:jc w:val="both"/>
        <w:rPr>
          <w:rFonts w:hint="eastAsia" w:ascii="宋体" w:hAnsi="宋体" w:eastAsia="宋体" w:cs="宋体"/>
          <w:color w:val="auto"/>
          <w:spacing w:val="8"/>
          <w:sz w:val="32"/>
          <w:highlight w:val="none"/>
        </w:rPr>
      </w:pPr>
      <w:r>
        <w:rPr>
          <w:rFonts w:hint="eastAsia" w:ascii="宋体" w:hAnsi="宋体" w:eastAsia="宋体"/>
          <w:b/>
          <w:bCs w:val="0"/>
          <w:color w:val="auto"/>
          <w:sz w:val="32"/>
          <w:szCs w:val="32"/>
          <w:highlight w:val="none"/>
          <w:lang w:val="en-US" w:eastAsia="zh-CN"/>
        </w:rPr>
        <w:t>报价文件</w:t>
      </w:r>
      <w:r>
        <w:rPr>
          <w:rFonts w:hint="eastAsia" w:ascii="宋体" w:hAnsi="宋体" w:eastAsia="宋体"/>
          <w:b/>
          <w:bCs w:val="0"/>
          <w:color w:val="auto"/>
          <w:sz w:val="32"/>
          <w:szCs w:val="32"/>
          <w:highlight w:val="none"/>
        </w:rPr>
        <w:t>目录自</w:t>
      </w:r>
      <w:r>
        <w:rPr>
          <w:rFonts w:hint="eastAsia" w:ascii="宋体" w:hAnsi="宋体"/>
          <w:b/>
          <w:bCs w:val="0"/>
          <w:color w:val="auto"/>
          <w:sz w:val="32"/>
          <w:szCs w:val="32"/>
          <w:highlight w:val="none"/>
        </w:rPr>
        <w:t>拟</w:t>
      </w:r>
    </w:p>
    <w:p w14:paraId="2F2E425F">
      <w:pPr>
        <w:numPr>
          <w:ilvl w:val="0"/>
          <w:numId w:val="0"/>
        </w:numPr>
        <w:shd w:val="clear" w:color="auto" w:fill="FFFFFF"/>
        <w:spacing w:before="160" w:beforeLines="50" w:line="360" w:lineRule="auto"/>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color w:val="auto"/>
          <w:spacing w:val="0"/>
          <w:sz w:val="24"/>
          <w:highlight w:val="none"/>
          <w:lang w:val="en-US" w:eastAsia="zh-CN"/>
        </w:rPr>
        <w:t>1.</w:t>
      </w:r>
      <w:r>
        <w:rPr>
          <w:rFonts w:hint="eastAsia" w:ascii="宋体" w:hAnsi="宋体" w:eastAsia="宋体" w:cs="宋体"/>
          <w:b/>
          <w:bCs w:val="0"/>
          <w:color w:val="auto"/>
          <w:spacing w:val="0"/>
          <w:kern w:val="2"/>
          <w:sz w:val="24"/>
          <w:szCs w:val="24"/>
          <w:highlight w:val="none"/>
          <w:lang w:val="en-US" w:eastAsia="zh-CN" w:bidi="ar-SA"/>
        </w:rPr>
        <w:t>磋商</w:t>
      </w:r>
      <w:bookmarkEnd w:id="1205"/>
      <w:bookmarkEnd w:id="1206"/>
      <w:r>
        <w:rPr>
          <w:rFonts w:hint="eastAsia" w:ascii="宋体" w:hAnsi="宋体" w:eastAsia="宋体" w:cs="宋体"/>
          <w:b/>
          <w:bCs w:val="0"/>
          <w:color w:val="auto"/>
          <w:spacing w:val="0"/>
          <w:kern w:val="2"/>
          <w:sz w:val="24"/>
          <w:szCs w:val="24"/>
          <w:highlight w:val="none"/>
          <w:lang w:val="en-US" w:eastAsia="zh-CN" w:bidi="ar-SA"/>
        </w:rPr>
        <w:t>函</w:t>
      </w:r>
    </w:p>
    <w:p w14:paraId="19779930">
      <w:pPr>
        <w:spacing w:line="400" w:lineRule="exact"/>
        <w:ind w:firstLine="420" w:firstLineChars="200"/>
        <w:rPr>
          <w:rFonts w:hint="eastAsia" w:ascii="宋体" w:hAnsi="宋体" w:eastAsia="宋体" w:cs="宋体"/>
          <w:color w:val="auto"/>
          <w:highlight w:val="none"/>
          <w:u w:val="single"/>
          <w:lang w:eastAsia="zh-CN"/>
        </w:rPr>
      </w:pPr>
      <w:bookmarkStart w:id="1207" w:name="_Toc424307760"/>
      <w:bookmarkStart w:id="1208" w:name="_Toc424307489"/>
      <w:r>
        <w:rPr>
          <w:rFonts w:hint="eastAsia" w:ascii="宋体" w:hAnsi="宋体" w:cs="宋体"/>
          <w:color w:val="auto"/>
          <w:highlight w:val="none"/>
        </w:rPr>
        <w:t>致：</w:t>
      </w:r>
      <w:r>
        <w:rPr>
          <w:rFonts w:hint="eastAsia" w:ascii="宋体" w:hAnsi="宋体" w:cs="宋体"/>
          <w:color w:val="auto"/>
          <w:highlight w:val="none"/>
          <w:u w:val="single"/>
          <w:lang w:eastAsia="zh-CN"/>
        </w:rPr>
        <w:t>广西协弘项目管理有限公司</w:t>
      </w:r>
    </w:p>
    <w:p w14:paraId="4EB413EA">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根据已收到的</w:t>
      </w:r>
      <w:r>
        <w:rPr>
          <w:rFonts w:hint="eastAsia" w:ascii="宋体" w:hAnsi="宋体" w:eastAsia="宋体" w:cs="宋体"/>
          <w:color w:val="auto"/>
          <w:szCs w:val="21"/>
          <w:highlight w:val="none"/>
          <w:u w:val="single"/>
        </w:rPr>
        <w:t xml:space="preserve">        （工程名称）                      </w:t>
      </w:r>
      <w:r>
        <w:rPr>
          <w:rFonts w:hint="eastAsia" w:ascii="宋体" w:hAnsi="宋体" w:eastAsia="宋体" w:cs="宋体"/>
          <w:color w:val="auto"/>
          <w:szCs w:val="21"/>
          <w:highlight w:val="none"/>
        </w:rPr>
        <w:t>工程的竞争性</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文件，我方经考察现场和研究贵方的竞争性</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文件后</w:t>
      </w:r>
      <w:r>
        <w:rPr>
          <w:rFonts w:hint="eastAsia" w:ascii="宋体" w:hAnsi="宋体" w:eastAsia="宋体" w:cs="宋体"/>
          <w:color w:val="auto"/>
          <w:highlight w:val="none"/>
        </w:rPr>
        <w:t>，</w:t>
      </w:r>
      <w:r>
        <w:rPr>
          <w:rFonts w:hint="eastAsia" w:ascii="宋体" w:hAnsi="宋体" w:eastAsia="宋体" w:cs="宋体"/>
          <w:color w:val="auto"/>
          <w:szCs w:val="21"/>
          <w:highlight w:val="none"/>
        </w:rPr>
        <w:t>我方愿以</w:t>
      </w:r>
      <w:r>
        <w:rPr>
          <w:rFonts w:hint="eastAsia" w:ascii="宋体" w:hAnsi="宋体" w:eastAsia="宋体" w:cs="宋体"/>
          <w:color w:val="auto"/>
          <w:highlight w:val="none"/>
        </w:rPr>
        <w:t>：</w:t>
      </w:r>
      <w:r>
        <w:rPr>
          <w:rFonts w:hint="eastAsia" w:ascii="宋体" w:hAnsi="宋体" w:cs="宋体"/>
          <w:b/>
          <w:color w:val="auto"/>
          <w:highlight w:val="none"/>
          <w:lang w:eastAsia="zh-CN"/>
        </w:rPr>
        <w:t>磋商</w:t>
      </w:r>
      <w:r>
        <w:rPr>
          <w:rFonts w:hint="eastAsia" w:ascii="宋体" w:hAnsi="宋体" w:eastAsia="宋体" w:cs="宋体"/>
          <w:b/>
          <w:color w:val="auto"/>
          <w:highlight w:val="none"/>
        </w:rPr>
        <w:t>总报价为：</w:t>
      </w:r>
      <w:r>
        <w:rPr>
          <w:rFonts w:hint="eastAsia" w:ascii="宋体" w:hAnsi="宋体" w:eastAsia="宋体" w:cs="宋体"/>
          <w:color w:val="auto"/>
          <w:highlight w:val="none"/>
          <w:u w:val="single"/>
        </w:rPr>
        <w:t>人民币(大写)</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RMB</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报价并按上述合同条款、工程建设标准的条件要求承包上述工程的施工、竣工，并承担任何质量缺陷保修责任。我方保证工程质量达到国家质量标准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等级。</w:t>
      </w:r>
    </w:p>
    <w:p w14:paraId="62E8B9C3">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我方已详细审核全部</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文件，包括修改文件（如有时）及有关附件。</w:t>
      </w:r>
    </w:p>
    <w:p w14:paraId="12558E2E">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一旦我方成交，我方保证按合同协议书中规定的工期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日历天内完成并移交全部工程。</w:t>
      </w:r>
    </w:p>
    <w:p w14:paraId="24AAF3FD">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我方同意所提交的响应文件在</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须知规定的</w:t>
      </w:r>
      <w:r>
        <w:rPr>
          <w:rFonts w:hint="eastAsia" w:ascii="宋体" w:hAnsi="宋体" w:cs="宋体"/>
          <w:color w:val="auto"/>
          <w:szCs w:val="21"/>
          <w:highlight w:val="none"/>
          <w:lang w:eastAsia="zh-CN"/>
        </w:rPr>
        <w:t>竞标有效期</w:t>
      </w:r>
      <w:r>
        <w:rPr>
          <w:rFonts w:hint="eastAsia" w:ascii="宋体" w:hAnsi="宋体" w:eastAsia="宋体" w:cs="宋体"/>
          <w:color w:val="auto"/>
          <w:szCs w:val="21"/>
          <w:highlight w:val="none"/>
        </w:rPr>
        <w:t>内有效，在此期间内如果成交，我方将受此约束。</w:t>
      </w:r>
    </w:p>
    <w:p w14:paraId="248112DA">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除非另外达成协议并生效，你方的成交通知书和本响应文件将成为约束双方的合同文件的组成部分。</w:t>
      </w:r>
    </w:p>
    <w:p w14:paraId="7AAF1D55">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我方将与本</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函一起，提交人民币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元作为</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 xml:space="preserve">担保。     </w:t>
      </w:r>
    </w:p>
    <w:p w14:paraId="4DB7DA06">
      <w:pPr>
        <w:numPr>
          <w:ilvl w:val="0"/>
          <w:numId w:val="0"/>
        </w:numPr>
        <w:spacing w:line="4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据此函，</w:t>
      </w:r>
      <w:r>
        <w:rPr>
          <w:rFonts w:hint="eastAsia" w:ascii="宋体" w:hAnsi="宋体" w:cs="宋体"/>
          <w:color w:val="auto"/>
          <w:szCs w:val="21"/>
          <w:highlight w:val="none"/>
          <w:lang w:val="en-US" w:eastAsia="zh-CN"/>
        </w:rPr>
        <w:t>我方</w:t>
      </w:r>
      <w:r>
        <w:rPr>
          <w:rFonts w:hint="eastAsia" w:ascii="宋体" w:hAnsi="宋体" w:eastAsia="宋体" w:cs="宋体"/>
          <w:color w:val="auto"/>
          <w:szCs w:val="21"/>
          <w:highlight w:val="none"/>
        </w:rPr>
        <w:t>宣布同意如下</w:t>
      </w:r>
      <w:r>
        <w:rPr>
          <w:rFonts w:hint="eastAsia" w:ascii="宋体" w:hAnsi="宋体" w:eastAsia="宋体" w:cs="宋体"/>
          <w:color w:val="auto"/>
          <w:szCs w:val="21"/>
          <w:highlight w:val="none"/>
          <w:lang w:eastAsia="zh-CN"/>
        </w:rPr>
        <w:t>：</w:t>
      </w:r>
    </w:p>
    <w:p w14:paraId="3A1FCC29">
      <w:pPr>
        <w:numPr>
          <w:ilvl w:val="0"/>
          <w:numId w:val="0"/>
        </w:num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我方在此声明，所递交的</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文件及有关资料内容完整、真实和准确。</w:t>
      </w:r>
    </w:p>
    <w:p w14:paraId="01E5C01F">
      <w:pPr>
        <w:pStyle w:val="12"/>
        <w:numPr>
          <w:ilvl w:val="0"/>
          <w:numId w:val="0"/>
        </w:num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我方承诺已经具备《中华人民共和国政府采购法》中规定的参加政府采购活动的供应商应当具备的条件：</w:t>
      </w:r>
    </w:p>
    <w:p w14:paraId="43987626">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具有独立承担民事责任的能力；</w:t>
      </w:r>
    </w:p>
    <w:p w14:paraId="63071CD3">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具有良好的商业信誉和健全的财务会计制度；</w:t>
      </w:r>
    </w:p>
    <w:p w14:paraId="71C7691A">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具有履行合同所必需的设备和专业技术能力；</w:t>
      </w:r>
    </w:p>
    <w:p w14:paraId="3016F109">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有依法缴纳税收和社会保障资金的良好记录；</w:t>
      </w:r>
    </w:p>
    <w:p w14:paraId="41313E94">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参加政府采购活动前三年内，在经营活动中没有重大违法记录；</w:t>
      </w:r>
    </w:p>
    <w:p w14:paraId="0BEADCE8">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法律、行政法规规定的其他条件。</w:t>
      </w:r>
    </w:p>
    <w:p w14:paraId="5FFA1242">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szCs w:val="21"/>
          <w:highlight w:val="none"/>
        </w:rPr>
        <w:t>如本项目采购内容涉及须符合国家强制规定的，我方承诺我方本次</w:t>
      </w:r>
      <w:r>
        <w:rPr>
          <w:rFonts w:hint="eastAsia" w:hAnsi="宋体" w:cs="宋体"/>
          <w:color w:val="auto"/>
          <w:szCs w:val="21"/>
          <w:highlight w:val="none"/>
          <w:lang w:eastAsia="zh-CN"/>
        </w:rPr>
        <w:t>磋商</w:t>
      </w:r>
      <w:r>
        <w:rPr>
          <w:rFonts w:hint="eastAsia" w:ascii="宋体" w:hAnsi="宋体" w:eastAsia="宋体" w:cs="宋体"/>
          <w:color w:val="auto"/>
          <w:szCs w:val="21"/>
          <w:highlight w:val="none"/>
        </w:rPr>
        <w:t>（包括资格条件和所</w:t>
      </w:r>
      <w:r>
        <w:rPr>
          <w:rFonts w:hint="eastAsia" w:hAnsi="宋体" w:cs="宋体"/>
          <w:color w:val="auto"/>
          <w:szCs w:val="21"/>
          <w:highlight w:val="none"/>
          <w:lang w:eastAsia="zh-CN"/>
        </w:rPr>
        <w:t>磋商</w:t>
      </w:r>
      <w:r>
        <w:rPr>
          <w:rFonts w:hint="eastAsia" w:ascii="宋体" w:hAnsi="宋体" w:eastAsia="宋体" w:cs="宋体"/>
          <w:color w:val="auto"/>
          <w:szCs w:val="21"/>
          <w:highlight w:val="none"/>
        </w:rPr>
        <w:t>产品）均符合国家有关强制规定。</w:t>
      </w:r>
    </w:p>
    <w:p w14:paraId="2D531169">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如我方</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，我方承诺在收到</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通知书后，在</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通知书规定的期限内，根据</w:t>
      </w:r>
      <w:r>
        <w:rPr>
          <w:rFonts w:hint="eastAsia" w:ascii="宋体" w:hAnsi="宋体" w:eastAsia="宋体" w:cs="宋体"/>
          <w:color w:val="auto"/>
          <w:highlight w:val="none"/>
          <w:lang w:eastAsia="zh-CN"/>
        </w:rPr>
        <w:t>竞争性</w:t>
      </w:r>
      <w:r>
        <w:rPr>
          <w:rFonts w:hint="eastAsia" w:hAnsi="宋体" w:cs="宋体"/>
          <w:color w:val="auto"/>
          <w:highlight w:val="none"/>
          <w:lang w:eastAsia="zh-CN"/>
        </w:rPr>
        <w:t>磋商</w:t>
      </w:r>
      <w:r>
        <w:rPr>
          <w:rFonts w:hint="eastAsia" w:ascii="宋体" w:hAnsi="宋体" w:eastAsia="宋体" w:cs="宋体"/>
          <w:color w:val="auto"/>
          <w:highlight w:val="none"/>
        </w:rPr>
        <w:t>文件、我方的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章“合同条款及格式”与采购人订立书面合同，并按照合同约定承担完成合同的责任和义务。</w:t>
      </w:r>
    </w:p>
    <w:p w14:paraId="4B6706DC">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我方已详细审核</w:t>
      </w:r>
      <w:r>
        <w:rPr>
          <w:rFonts w:hint="eastAsia" w:ascii="宋体" w:hAnsi="宋体" w:eastAsia="宋体" w:cs="宋体"/>
          <w:color w:val="auto"/>
          <w:highlight w:val="none"/>
          <w:lang w:eastAsia="zh-CN"/>
        </w:rPr>
        <w:t>竞争性</w:t>
      </w:r>
      <w:r>
        <w:rPr>
          <w:rFonts w:hint="eastAsia" w:hAnsi="宋体" w:cs="宋体"/>
          <w:color w:val="auto"/>
          <w:highlight w:val="none"/>
          <w:lang w:eastAsia="zh-CN"/>
        </w:rPr>
        <w:t>磋商</w:t>
      </w:r>
      <w:r>
        <w:rPr>
          <w:rFonts w:hint="eastAsia" w:ascii="宋体" w:hAnsi="宋体" w:eastAsia="宋体" w:cs="宋体"/>
          <w:color w:val="auto"/>
          <w:highlight w:val="none"/>
        </w:rPr>
        <w:t>文件，我方知道必须放弃提出含糊不清或误解问题的权利。</w:t>
      </w:r>
    </w:p>
    <w:p w14:paraId="6C27C094">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我方同意应贵方要求提供与本</w:t>
      </w:r>
      <w:r>
        <w:rPr>
          <w:rFonts w:hint="eastAsia" w:hAnsi="宋体" w:cs="宋体"/>
          <w:color w:val="auto"/>
          <w:highlight w:val="none"/>
          <w:lang w:eastAsia="zh-CN"/>
        </w:rPr>
        <w:t>磋商</w:t>
      </w:r>
      <w:r>
        <w:rPr>
          <w:rFonts w:hint="eastAsia" w:ascii="宋体" w:hAnsi="宋体" w:eastAsia="宋体" w:cs="宋体"/>
          <w:color w:val="auto"/>
          <w:highlight w:val="none"/>
        </w:rPr>
        <w:t>有关的任何数据或资料。若贵方需要，我方愿意提供我方作出的一切承诺的证明材料。</w:t>
      </w:r>
    </w:p>
    <w:p w14:paraId="2861A43B">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E22495">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提供虚假材料谋取中标、成交的；</w:t>
      </w:r>
    </w:p>
    <w:p w14:paraId="03400046">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采取不正当手段诋毁、排挤其他供应商的；</w:t>
      </w:r>
    </w:p>
    <w:p w14:paraId="0C97798B">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与采购人、其他供应商或者采购代理机构恶意串通的；</w:t>
      </w:r>
    </w:p>
    <w:p w14:paraId="61032108">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向采购人、采购代理机构行贿或者提供其他不正当利益的；</w:t>
      </w:r>
    </w:p>
    <w:p w14:paraId="24283121">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在招标采购过程中与采购人进行协商</w:t>
      </w:r>
      <w:r>
        <w:rPr>
          <w:rFonts w:hint="eastAsia" w:hAnsi="宋体" w:cs="宋体"/>
          <w:color w:val="auto"/>
          <w:highlight w:val="none"/>
          <w:lang w:eastAsia="zh-CN"/>
        </w:rPr>
        <w:t>磋商</w:t>
      </w:r>
      <w:r>
        <w:rPr>
          <w:rFonts w:hint="eastAsia" w:ascii="宋体" w:hAnsi="宋体" w:eastAsia="宋体" w:cs="宋体"/>
          <w:color w:val="auto"/>
          <w:highlight w:val="none"/>
        </w:rPr>
        <w:t>的；</w:t>
      </w:r>
    </w:p>
    <w:p w14:paraId="1D0AD6AE">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6）拒绝有关部门监督检查或提供虚假情况的。</w:t>
      </w:r>
    </w:p>
    <w:p w14:paraId="5B094907">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以上事项如有虚假或隐瞒，我方愿意承担一切后果，并不再寻求任何旨在减轻或免除法律责任的辩解。</w:t>
      </w:r>
    </w:p>
    <w:p w14:paraId="731F304A">
      <w:pPr>
        <w:snapToGrid w:val="0"/>
        <w:spacing w:line="37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（9）</w:t>
      </w:r>
      <w:r>
        <w:rPr>
          <w:rFonts w:hint="eastAsia" w:ascii="宋体" w:hAnsi="宋体" w:eastAsia="宋体" w:cs="宋体"/>
          <w:color w:val="auto"/>
          <w:highlight w:val="none"/>
        </w:rPr>
        <w:t>我方</w:t>
      </w:r>
      <w:r>
        <w:rPr>
          <w:rFonts w:hint="eastAsia" w:ascii="宋体" w:hAnsi="宋体" w:eastAsia="宋体" w:cs="宋体"/>
          <w:b w:val="0"/>
          <w:bCs/>
          <w:color w:val="auto"/>
          <w:szCs w:val="21"/>
          <w:highlight w:val="none"/>
        </w:rPr>
        <w:t>同意本</w:t>
      </w:r>
      <w:r>
        <w:rPr>
          <w:rFonts w:hint="eastAsia" w:ascii="宋体" w:hAnsi="宋体" w:eastAsia="宋体" w:cs="宋体"/>
          <w:b w:val="0"/>
          <w:bCs/>
          <w:color w:val="auto"/>
          <w:szCs w:val="21"/>
          <w:highlight w:val="none"/>
          <w:lang w:eastAsia="zh-CN"/>
        </w:rPr>
        <w:t>响应</w:t>
      </w:r>
      <w:r>
        <w:rPr>
          <w:rFonts w:hint="eastAsia" w:ascii="宋体" w:hAnsi="宋体" w:eastAsia="宋体" w:cs="宋体"/>
          <w:b w:val="0"/>
          <w:bCs/>
          <w:color w:val="auto"/>
          <w:szCs w:val="21"/>
          <w:highlight w:val="none"/>
        </w:rPr>
        <w:t>文件中</w:t>
      </w:r>
      <w:r>
        <w:rPr>
          <w:rFonts w:hint="eastAsia" w:ascii="宋体" w:hAnsi="宋体" w:eastAsia="宋体" w:cs="宋体"/>
          <w:b w:val="0"/>
          <w:bCs/>
          <w:color w:val="auto"/>
          <w:szCs w:val="21"/>
          <w:highlight w:val="none"/>
          <w:lang w:eastAsia="zh-CN"/>
        </w:rPr>
        <w:t>报价文件</w:t>
      </w:r>
      <w:r>
        <w:rPr>
          <w:rFonts w:hint="eastAsia" w:ascii="宋体" w:hAnsi="宋体" w:eastAsia="宋体" w:cs="宋体"/>
          <w:b w:val="0"/>
          <w:bCs/>
          <w:color w:val="auto"/>
          <w:szCs w:val="21"/>
          <w:highlight w:val="none"/>
        </w:rPr>
        <w:t>和</w:t>
      </w:r>
      <w:r>
        <w:rPr>
          <w:rFonts w:hint="eastAsia" w:ascii="宋体" w:hAnsi="宋体" w:eastAsia="宋体" w:cs="宋体"/>
          <w:b w:val="0"/>
          <w:bCs/>
          <w:color w:val="auto"/>
          <w:szCs w:val="21"/>
          <w:highlight w:val="none"/>
          <w:lang w:eastAsia="zh-CN"/>
        </w:rPr>
        <w:t>成交</w:t>
      </w:r>
      <w:r>
        <w:rPr>
          <w:rFonts w:hint="eastAsia" w:ascii="宋体" w:hAnsi="宋体" w:eastAsia="宋体" w:cs="宋体"/>
          <w:b w:val="0"/>
          <w:bCs/>
          <w:color w:val="auto"/>
          <w:szCs w:val="21"/>
          <w:highlight w:val="none"/>
        </w:rPr>
        <w:t>后签订的采购合同可用于公示，其中所有内容不涉及</w:t>
      </w:r>
      <w:r>
        <w:rPr>
          <w:rFonts w:hint="eastAsia" w:ascii="宋体" w:hAnsi="宋体" w:eastAsia="宋体" w:cs="宋体"/>
          <w:b w:val="0"/>
          <w:bCs/>
          <w:color w:val="auto"/>
          <w:szCs w:val="21"/>
          <w:highlight w:val="none"/>
          <w:lang w:eastAsia="zh-CN"/>
        </w:rPr>
        <w:t>供应商</w:t>
      </w:r>
      <w:r>
        <w:rPr>
          <w:rFonts w:hint="eastAsia" w:ascii="宋体" w:hAnsi="宋体" w:eastAsia="宋体" w:cs="宋体"/>
          <w:b w:val="0"/>
          <w:bCs/>
          <w:color w:val="auto"/>
          <w:szCs w:val="21"/>
          <w:highlight w:val="none"/>
        </w:rPr>
        <w:t>商业秘密，并承诺可向</w:t>
      </w:r>
      <w:r>
        <w:rPr>
          <w:rFonts w:hint="eastAsia" w:ascii="宋体" w:hAnsi="宋体" w:eastAsia="宋体" w:cs="宋体"/>
          <w:b w:val="0"/>
          <w:bCs/>
          <w:color w:val="auto"/>
          <w:szCs w:val="21"/>
          <w:highlight w:val="none"/>
          <w:lang w:eastAsia="zh-CN"/>
        </w:rPr>
        <w:t>采购代理机构</w:t>
      </w:r>
      <w:r>
        <w:rPr>
          <w:rFonts w:hint="eastAsia" w:ascii="宋体" w:hAnsi="宋体" w:eastAsia="宋体" w:cs="宋体"/>
          <w:b w:val="0"/>
          <w:bCs/>
          <w:color w:val="auto"/>
          <w:szCs w:val="21"/>
          <w:highlight w:val="none"/>
        </w:rPr>
        <w:t>提供相关电子文档。</w:t>
      </w:r>
    </w:p>
    <w:p w14:paraId="5C00E70C">
      <w:pPr>
        <w:numPr>
          <w:ilvl w:val="0"/>
          <w:numId w:val="0"/>
        </w:numPr>
        <w:spacing w:line="460" w:lineRule="exact"/>
        <w:ind w:left="420"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lang w:val="en-US" w:eastAsia="zh-CN"/>
        </w:rPr>
        <w:t>（10）</w:t>
      </w:r>
      <w:r>
        <w:rPr>
          <w:rFonts w:hint="eastAsia" w:ascii="宋体" w:hAnsi="宋体" w:eastAsia="宋体" w:cs="宋体"/>
          <w:color w:val="auto"/>
          <w:szCs w:val="21"/>
          <w:highlight w:val="none"/>
        </w:rPr>
        <w:t>与本</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有关的一切正式往来信函请寄：</w:t>
      </w:r>
      <w:r>
        <w:rPr>
          <w:rFonts w:hint="eastAsia" w:ascii="宋体" w:hAnsi="宋体" w:eastAsia="宋体" w:cs="宋体"/>
          <w:color w:val="auto"/>
          <w:szCs w:val="21"/>
          <w:highlight w:val="none"/>
          <w:u w:val="single"/>
        </w:rPr>
        <w:t xml:space="preserve">                                 </w:t>
      </w:r>
    </w:p>
    <w:p w14:paraId="1BF3C209">
      <w:pPr>
        <w:snapToGrid w:val="0"/>
        <w:spacing w:line="37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14:paraId="2276BEF2">
      <w:pPr>
        <w:spacing w:line="400" w:lineRule="exact"/>
        <w:ind w:lef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电子邮箱：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2EE2D8A9">
      <w:pPr>
        <w:spacing w:line="400" w:lineRule="exact"/>
        <w:ind w:left="0"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eastAsia="zh-CN"/>
        </w:rPr>
        <w:t>供应商</w:t>
      </w:r>
      <w:r>
        <w:rPr>
          <w:rFonts w:hint="eastAsia" w:ascii="宋体" w:hAnsi="宋体" w:eastAsia="宋体" w:cs="宋体"/>
          <w:color w:val="auto"/>
          <w:szCs w:val="21"/>
          <w:highlight w:val="none"/>
        </w:rPr>
        <w:t>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43BDFE89">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（全称）                             （电子</w:t>
      </w:r>
      <w:r>
        <w:rPr>
          <w:rFonts w:hint="eastAsia" w:ascii="宋体" w:hAnsi="宋体" w:cs="宋体"/>
          <w:color w:val="auto"/>
          <w:highlight w:val="none"/>
          <w:u w:val="single"/>
          <w:lang w:val="en-US" w:eastAsia="zh-CN"/>
        </w:rPr>
        <w:t>印</w:t>
      </w:r>
      <w:r>
        <w:rPr>
          <w:rFonts w:hint="eastAsia" w:ascii="宋体" w:hAnsi="宋体" w:eastAsia="宋体" w:cs="宋体"/>
          <w:color w:val="auto"/>
          <w:highlight w:val="none"/>
          <w:u w:val="single"/>
        </w:rPr>
        <w:t>章）</w:t>
      </w:r>
    </w:p>
    <w:p w14:paraId="2E346B6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统一社会信用代码：</w:t>
      </w:r>
      <w:r>
        <w:rPr>
          <w:rFonts w:hint="eastAsia" w:ascii="宋体" w:hAnsi="宋体" w:eastAsia="宋体" w:cs="宋体"/>
          <w:color w:val="auto"/>
          <w:szCs w:val="21"/>
          <w:highlight w:val="none"/>
          <w:u w:val="single"/>
        </w:rPr>
        <w:t xml:space="preserve">                                    </w:t>
      </w:r>
    </w:p>
    <w:p w14:paraId="028B047A">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单位地址：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6E795DE">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开票信息：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（填“专票”或“普票”）</w:t>
      </w:r>
      <w:r>
        <w:rPr>
          <w:rFonts w:hint="eastAsia" w:ascii="宋体" w:hAnsi="宋体" w:eastAsia="宋体" w:cs="宋体"/>
          <w:color w:val="auto"/>
          <w:szCs w:val="21"/>
          <w:highlight w:val="none"/>
          <w:u w:val="single"/>
        </w:rPr>
        <w:t xml:space="preserve">                                </w:t>
      </w:r>
    </w:p>
    <w:p w14:paraId="07E98780">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w:t>
      </w:r>
      <w:r>
        <w:rPr>
          <w:rFonts w:hint="eastAsia" w:ascii="宋体" w:hAnsi="宋体" w:eastAsia="宋体" w:cs="宋体"/>
          <w:color w:val="auto"/>
          <w:szCs w:val="21"/>
          <w:highlight w:val="none"/>
          <w:u w:val="single"/>
        </w:rPr>
        <w:t xml:space="preserve">                               </w:t>
      </w:r>
    </w:p>
    <w:p w14:paraId="08C2BCAF">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开户银行名称：</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85CF6CF">
      <w:pPr>
        <w:spacing w:line="400" w:lineRule="exact"/>
        <w:ind w:left="0"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开户银行账号：</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p>
    <w:p w14:paraId="589A130E">
      <w:pPr>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开户银行地址：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58CC87D2">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开户银行电话：</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005EEDB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14:paraId="0BE68F5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法定代表人身份证号码：</w:t>
      </w:r>
      <w:r>
        <w:rPr>
          <w:rFonts w:hint="eastAsia" w:ascii="宋体" w:hAnsi="宋体" w:eastAsia="宋体" w:cs="宋体"/>
          <w:color w:val="auto"/>
          <w:szCs w:val="21"/>
          <w:highlight w:val="none"/>
          <w:u w:val="single"/>
        </w:rPr>
        <w:t xml:space="preserve">               　　　　        </w:t>
      </w:r>
    </w:p>
    <w:p w14:paraId="5405B72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r>
        <w:rPr>
          <w:rFonts w:hint="eastAsia" w:ascii="宋体" w:hAnsi="宋体" w:eastAsia="宋体" w:cs="宋体"/>
          <w:color w:val="auto"/>
          <w:szCs w:val="21"/>
          <w:highlight w:val="none"/>
          <w:u w:val="single"/>
        </w:rPr>
        <w:t xml:space="preserve">        　　　　　　　　　　     </w:t>
      </w:r>
    </w:p>
    <w:p w14:paraId="41314147">
      <w:pPr>
        <w:snapToGrid w:val="0"/>
        <w:spacing w:line="42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rPr>
        <w:t>授权委托代理人身份证号码：</w:t>
      </w:r>
      <w:r>
        <w:rPr>
          <w:rFonts w:hint="eastAsia" w:ascii="宋体" w:hAnsi="宋体" w:eastAsia="宋体" w:cs="宋体"/>
          <w:color w:val="auto"/>
          <w:szCs w:val="21"/>
          <w:highlight w:val="none"/>
          <w:u w:val="single"/>
        </w:rPr>
        <w:t xml:space="preserve">             　            </w:t>
      </w:r>
    </w:p>
    <w:p w14:paraId="1A9BB614">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（签字）</w:t>
      </w:r>
    </w:p>
    <w:p w14:paraId="2C33FF7D">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4FCE247">
      <w:pPr>
        <w:spacing w:line="400" w:lineRule="exact"/>
        <w:rPr>
          <w:rFonts w:hint="eastAsia" w:ascii="宋体" w:hAnsi="宋体" w:eastAsia="宋体" w:cs="宋体"/>
          <w:b/>
          <w:bCs w:val="0"/>
          <w:color w:val="auto"/>
          <w:spacing w:val="0"/>
          <w:kern w:val="2"/>
          <w:sz w:val="24"/>
          <w:szCs w:val="24"/>
          <w:highlight w:val="none"/>
          <w:lang w:val="en-US" w:eastAsia="zh-CN" w:bidi="ar-SA"/>
        </w:rPr>
      </w:pPr>
    </w:p>
    <w:p w14:paraId="4580799C">
      <w:pPr>
        <w:spacing w:line="400" w:lineRule="exact"/>
        <w:rPr>
          <w:rFonts w:hint="eastAsia" w:ascii="宋体" w:hAnsi="宋体" w:eastAsia="宋体" w:cs="宋体"/>
          <w:b/>
          <w:bCs w:val="0"/>
          <w:color w:val="auto"/>
          <w:spacing w:val="0"/>
          <w:kern w:val="2"/>
          <w:sz w:val="24"/>
          <w:szCs w:val="24"/>
          <w:highlight w:val="none"/>
          <w:lang w:val="en-US" w:eastAsia="zh-CN" w:bidi="ar-SA"/>
        </w:rPr>
      </w:pPr>
    </w:p>
    <w:p w14:paraId="278AAC88">
      <w:pPr>
        <w:spacing w:line="400" w:lineRule="exact"/>
        <w:rPr>
          <w:rFonts w:hint="eastAsia" w:ascii="宋体" w:hAnsi="宋体" w:eastAsia="宋体" w:cs="宋体"/>
          <w:b/>
          <w:bCs w:val="0"/>
          <w:color w:val="auto"/>
          <w:spacing w:val="0"/>
          <w:kern w:val="2"/>
          <w:sz w:val="24"/>
          <w:szCs w:val="24"/>
          <w:highlight w:val="none"/>
          <w:lang w:val="en-US" w:eastAsia="zh-CN" w:bidi="ar-SA"/>
        </w:rPr>
      </w:pPr>
    </w:p>
    <w:bookmarkEnd w:id="1207"/>
    <w:bookmarkEnd w:id="1208"/>
    <w:p w14:paraId="3D91FBD3">
      <w:pPr>
        <w:shd w:val="clear" w:color="auto" w:fill="FFFFFF"/>
        <w:spacing w:after="96" w:afterLines="30"/>
        <w:ind w:firstLine="482" w:firstLineChars="200"/>
        <w:rPr>
          <w:rFonts w:hint="eastAsia" w:ascii="宋体" w:hAnsi="宋体" w:eastAsia="宋体" w:cs="宋体"/>
          <w:b/>
          <w:bCs/>
          <w:color w:val="auto"/>
          <w:sz w:val="24"/>
          <w:szCs w:val="24"/>
          <w:highlight w:val="none"/>
        </w:rPr>
      </w:pPr>
      <w:bookmarkStart w:id="1209" w:name="_Toc349215560"/>
      <w:bookmarkStart w:id="1210" w:name="_Toc349557654"/>
      <w:bookmarkStart w:id="1211" w:name="_Toc349640339"/>
      <w:bookmarkStart w:id="1212" w:name="_Toc389065358"/>
      <w:bookmarkStart w:id="1213" w:name="_Toc349558044"/>
      <w:bookmarkStart w:id="1214" w:name="_Toc349555832"/>
      <w:bookmarkStart w:id="1215" w:name="_Toc349639687"/>
      <w:bookmarkStart w:id="1216" w:name="_Toc424307761"/>
      <w:bookmarkStart w:id="1217" w:name="_Toc424307490"/>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.已标价工程量清单报价</w:t>
      </w:r>
    </w:p>
    <w:p w14:paraId="6BD04BD2">
      <w:pPr>
        <w:pStyle w:val="2"/>
        <w:pageBreakBefore w:val="0"/>
        <w:widowControl w:val="0"/>
        <w:kinsoku/>
        <w:wordWrap/>
        <w:overflowPunct/>
        <w:topLinePunct w:val="0"/>
        <w:autoSpaceDE/>
        <w:autoSpaceDN/>
        <w:bidi w:val="0"/>
        <w:adjustRightInd/>
        <w:snapToGrid/>
        <w:spacing w:before="0" w:after="0" w:line="240" w:lineRule="auto"/>
        <w:ind w:firstLine="596"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w w:val="99"/>
          <w:kern w:val="0"/>
          <w:sz w:val="30"/>
          <w:szCs w:val="32"/>
        </w:rPr>
        <w:t>已标价的工程量清单（含报价编制说明、分项报价表等）（必须提供）</w:t>
      </w:r>
    </w:p>
    <w:p w14:paraId="0575C078">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bCs/>
          <w:color w:val="auto"/>
          <w:kern w:val="2"/>
          <w:sz w:val="24"/>
          <w:szCs w:val="24"/>
          <w:highlight w:val="none"/>
          <w:lang w:val="en-US" w:eastAsia="zh-CN" w:bidi="ar-SA"/>
        </w:rPr>
      </w:pPr>
    </w:p>
    <w:p w14:paraId="3A92CA82">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bCs/>
          <w:color w:val="auto"/>
          <w:kern w:val="2"/>
          <w:sz w:val="24"/>
          <w:szCs w:val="24"/>
          <w:highlight w:val="none"/>
          <w:lang w:val="en-US" w:eastAsia="zh-CN" w:bidi="ar-SA"/>
        </w:rPr>
      </w:pPr>
    </w:p>
    <w:p w14:paraId="5A9454AB">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bCs/>
          <w:color w:val="auto"/>
          <w:kern w:val="2"/>
          <w:sz w:val="24"/>
          <w:szCs w:val="24"/>
          <w:highlight w:val="none"/>
          <w:lang w:val="en-US" w:eastAsia="zh-CN" w:bidi="ar-SA"/>
        </w:rPr>
      </w:pPr>
    </w:p>
    <w:p w14:paraId="42EF7406">
      <w:pPr>
        <w:shd w:val="clear" w:color="auto" w:fill="FFFFFF"/>
        <w:spacing w:after="96" w:afterLines="30"/>
        <w:rPr>
          <w:rFonts w:hint="eastAsia" w:ascii="宋体" w:hAnsi="宋体" w:eastAsia="宋体" w:cs="宋体"/>
          <w:b/>
          <w:bCs/>
          <w:color w:val="auto"/>
          <w:szCs w:val="21"/>
          <w:highlight w:val="none"/>
          <w:lang w:val="en-US" w:eastAsia="zh-CN"/>
        </w:rPr>
      </w:pPr>
    </w:p>
    <w:bookmarkEnd w:id="1209"/>
    <w:bookmarkEnd w:id="1210"/>
    <w:bookmarkEnd w:id="1211"/>
    <w:bookmarkEnd w:id="1212"/>
    <w:bookmarkEnd w:id="1213"/>
    <w:bookmarkEnd w:id="1214"/>
    <w:bookmarkEnd w:id="1215"/>
    <w:p w14:paraId="7B245286">
      <w:pPr>
        <w:pStyle w:val="14"/>
        <w:rPr>
          <w:rFonts w:hint="eastAsia"/>
          <w:color w:val="auto"/>
          <w:lang w:val="en-US" w:eastAsia="zh-CN"/>
        </w:rPr>
      </w:pPr>
    </w:p>
    <w:p w14:paraId="2E3DDF3D">
      <w:pPr>
        <w:shd w:val="clear" w:color="auto" w:fill="FFFFFF"/>
        <w:spacing w:after="96" w:afterLines="30"/>
        <w:ind w:firstLine="422" w:firstLineChars="200"/>
        <w:rPr>
          <w:rFonts w:hint="eastAsia" w:ascii="宋体" w:hAnsi="宋体" w:cs="宋体"/>
          <w:b/>
          <w:bCs/>
          <w:color w:val="auto"/>
          <w:szCs w:val="21"/>
          <w:highlight w:val="none"/>
          <w:lang w:val="en-US" w:eastAsia="zh-CN"/>
        </w:rPr>
      </w:pPr>
    </w:p>
    <w:p w14:paraId="06AE6E63">
      <w:pPr>
        <w:shd w:val="clear" w:color="auto" w:fill="FFFFFF"/>
        <w:spacing w:after="96" w:afterLines="30"/>
        <w:ind w:firstLine="422" w:firstLineChars="200"/>
        <w:rPr>
          <w:rFonts w:hint="eastAsia" w:ascii="宋体" w:hAnsi="宋体" w:cs="宋体"/>
          <w:b/>
          <w:bCs/>
          <w:color w:val="auto"/>
          <w:szCs w:val="21"/>
          <w:highlight w:val="none"/>
          <w:lang w:val="en-US" w:eastAsia="zh-CN"/>
        </w:rPr>
      </w:pPr>
    </w:p>
    <w:p w14:paraId="030234A6">
      <w:pPr>
        <w:shd w:val="clear" w:color="auto" w:fill="FFFFFF"/>
        <w:spacing w:after="96" w:afterLines="30"/>
        <w:ind w:firstLine="422" w:firstLineChars="200"/>
        <w:rPr>
          <w:rFonts w:hint="eastAsia" w:ascii="宋体" w:hAnsi="宋体" w:cs="宋体"/>
          <w:b/>
          <w:bCs/>
          <w:color w:val="auto"/>
          <w:szCs w:val="21"/>
          <w:highlight w:val="none"/>
          <w:lang w:val="en-US" w:eastAsia="zh-CN"/>
        </w:rPr>
      </w:pPr>
    </w:p>
    <w:p w14:paraId="732C1F96">
      <w:pPr>
        <w:shd w:val="clear" w:color="auto" w:fill="FFFFFF"/>
        <w:spacing w:after="96" w:afterLines="30"/>
        <w:ind w:firstLine="0" w:firstLineChars="0"/>
        <w:rPr>
          <w:rFonts w:hint="eastAsia" w:ascii="宋体" w:hAnsi="宋体" w:cs="宋体"/>
          <w:b/>
          <w:bCs/>
          <w:color w:val="auto"/>
          <w:szCs w:val="21"/>
          <w:highlight w:val="none"/>
          <w:lang w:val="en-US" w:eastAsia="zh-CN"/>
        </w:rPr>
      </w:pPr>
    </w:p>
    <w:bookmarkEnd w:id="1216"/>
    <w:bookmarkEnd w:id="1217"/>
    <w:p w14:paraId="2F03E390">
      <w:pPr>
        <w:shd w:val="clear" w:color="auto" w:fill="FFFFFF"/>
        <w:spacing w:after="96" w:afterLines="30"/>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除</w:t>
      </w:r>
      <w:r>
        <w:rPr>
          <w:rFonts w:hint="eastAsia" w:ascii="宋体" w:hAnsi="宋体" w:cs="宋体"/>
          <w:b/>
          <w:bCs/>
          <w:color w:val="auto"/>
          <w:sz w:val="24"/>
          <w:szCs w:val="24"/>
          <w:highlight w:val="none"/>
          <w:lang w:val="en-US" w:eastAsia="zh-CN"/>
        </w:rPr>
        <w:t>竞争性</w:t>
      </w:r>
      <w:r>
        <w:rPr>
          <w:rFonts w:hint="eastAsia" w:ascii="宋体" w:hAnsi="宋体" w:eastAsia="宋体" w:cs="宋体"/>
          <w:b/>
          <w:bCs/>
          <w:color w:val="auto"/>
          <w:sz w:val="24"/>
          <w:szCs w:val="24"/>
          <w:highlight w:val="none"/>
        </w:rPr>
        <w:t>磋商文件规定必须提供以外，供应商认为需要提供的</w:t>
      </w:r>
      <w:r>
        <w:rPr>
          <w:rFonts w:hint="eastAsia" w:ascii="宋体" w:hAnsi="宋体" w:eastAsia="宋体" w:cs="宋体"/>
          <w:b/>
          <w:bCs/>
          <w:color w:val="auto"/>
          <w:sz w:val="24"/>
          <w:szCs w:val="24"/>
          <w:highlight w:val="none"/>
          <w:lang w:eastAsia="zh-CN"/>
        </w:rPr>
        <w:t>其他</w:t>
      </w: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eastAsia="zh-CN"/>
        </w:rPr>
        <w:t>。</w:t>
      </w:r>
    </w:p>
    <w:p w14:paraId="38058F35">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347C671">
      <w:pPr>
        <w:spacing w:line="480" w:lineRule="auto"/>
        <w:jc w:val="both"/>
        <w:rPr>
          <w:rFonts w:hint="eastAsia" w:ascii="宋体" w:hAnsi="宋体" w:eastAsia="宋体" w:cs="宋体"/>
          <w:b/>
          <w:bCs/>
          <w:color w:val="auto"/>
          <w:sz w:val="48"/>
          <w:szCs w:val="48"/>
          <w:highlight w:val="none"/>
        </w:rPr>
      </w:pPr>
    </w:p>
    <w:p w14:paraId="3324AB27">
      <w:pPr>
        <w:spacing w:line="480" w:lineRule="auto"/>
        <w:jc w:val="both"/>
        <w:rPr>
          <w:rFonts w:hint="eastAsia" w:ascii="宋体" w:hAnsi="宋体" w:eastAsia="宋体" w:cs="宋体"/>
          <w:b/>
          <w:bCs/>
          <w:color w:val="auto"/>
          <w:sz w:val="48"/>
          <w:szCs w:val="48"/>
          <w:highlight w:val="none"/>
        </w:rPr>
      </w:pPr>
    </w:p>
    <w:p w14:paraId="744897CB">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F963F88">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65A7CB68">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46EE4742">
      <w:pPr>
        <w:spacing w:line="240" w:lineRule="auto"/>
        <w:ind w:left="0" w:leftChars="0" w:firstLine="964" w:firstLineChars="200"/>
        <w:jc w:val="left"/>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4AEB1004">
      <w:pPr>
        <w:spacing w:line="480" w:lineRule="auto"/>
        <w:ind w:left="361" w:leftChars="172" w:firstLine="964" w:firstLineChars="20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响应文件</w:t>
      </w:r>
    </w:p>
    <w:p w14:paraId="5F60C11D">
      <w:pPr>
        <w:spacing w:line="480" w:lineRule="auto"/>
        <w:ind w:left="361" w:leftChars="172" w:firstLine="723" w:firstLineChars="200"/>
        <w:jc w:val="center"/>
        <w:rPr>
          <w:rFonts w:hint="eastAsia" w:ascii="宋体" w:hAnsi="宋体" w:eastAsia="宋体" w:cs="宋体"/>
          <w:b/>
          <w:bCs/>
          <w:color w:val="auto"/>
          <w:sz w:val="36"/>
          <w:szCs w:val="36"/>
          <w:highlight w:val="none"/>
        </w:rPr>
      </w:pPr>
    </w:p>
    <w:p w14:paraId="117A3DFF">
      <w:pPr>
        <w:spacing w:line="480" w:lineRule="auto"/>
        <w:ind w:left="361" w:leftChars="172" w:firstLine="723" w:firstLineChars="200"/>
        <w:jc w:val="center"/>
        <w:rPr>
          <w:rFonts w:hint="eastAsia" w:ascii="宋体" w:hAnsi="宋体" w:eastAsia="宋体" w:cs="宋体"/>
          <w:b/>
          <w:bCs/>
          <w:color w:val="auto"/>
          <w:sz w:val="36"/>
          <w:szCs w:val="36"/>
          <w:highlight w:val="none"/>
        </w:rPr>
      </w:pPr>
    </w:p>
    <w:p w14:paraId="13C33D6B">
      <w:pPr>
        <w:spacing w:line="480" w:lineRule="auto"/>
        <w:ind w:left="361" w:leftChars="172" w:firstLine="723" w:firstLineChars="200"/>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商务</w:t>
      </w:r>
      <w:r>
        <w:rPr>
          <w:rFonts w:hint="eastAsia" w:ascii="宋体" w:hAnsi="宋体" w:eastAsia="宋体" w:cs="宋体"/>
          <w:b/>
          <w:bCs/>
          <w:color w:val="auto"/>
          <w:sz w:val="36"/>
          <w:szCs w:val="36"/>
          <w:highlight w:val="none"/>
        </w:rPr>
        <w:t>技术</w:t>
      </w:r>
      <w:r>
        <w:rPr>
          <w:rFonts w:hint="eastAsia" w:ascii="宋体" w:hAnsi="宋体" w:cs="宋体"/>
          <w:b/>
          <w:bCs/>
          <w:color w:val="auto"/>
          <w:sz w:val="36"/>
          <w:szCs w:val="36"/>
          <w:highlight w:val="none"/>
          <w:lang w:val="en-US" w:eastAsia="zh-CN"/>
        </w:rPr>
        <w:t>标文件</w:t>
      </w:r>
    </w:p>
    <w:p w14:paraId="6748749D">
      <w:pPr>
        <w:pStyle w:val="12"/>
        <w:spacing w:line="480" w:lineRule="auto"/>
        <w:ind w:firstLine="600" w:firstLineChars="200"/>
        <w:rPr>
          <w:rFonts w:hint="eastAsia" w:ascii="宋体" w:hAnsi="宋体" w:eastAsia="宋体" w:cs="宋体"/>
          <w:color w:val="auto"/>
          <w:sz w:val="30"/>
          <w:szCs w:val="30"/>
          <w:highlight w:val="none"/>
        </w:rPr>
      </w:pPr>
    </w:p>
    <w:p w14:paraId="51A513E4">
      <w:pPr>
        <w:pStyle w:val="12"/>
        <w:spacing w:line="480" w:lineRule="auto"/>
        <w:ind w:firstLine="600" w:firstLineChars="200"/>
        <w:rPr>
          <w:rFonts w:hint="eastAsia" w:ascii="宋体" w:hAnsi="宋体" w:eastAsia="宋体" w:cs="宋体"/>
          <w:color w:val="auto"/>
          <w:sz w:val="30"/>
          <w:szCs w:val="30"/>
          <w:highlight w:val="none"/>
        </w:rPr>
      </w:pPr>
    </w:p>
    <w:p w14:paraId="2CDDB2F4">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21101919">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2828F6F3">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38446951">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      年   月   日</w:t>
      </w:r>
    </w:p>
    <w:p w14:paraId="1765D6DF">
      <w:pPr>
        <w:shd w:val="clear" w:color="auto" w:fill="FFFFFF"/>
        <w:spacing w:line="440" w:lineRule="exact"/>
        <w:jc w:val="both"/>
        <w:rPr>
          <w:rFonts w:hint="eastAsia" w:ascii="宋体" w:hAnsi="宋体" w:eastAsia="宋体" w:cs="宋体"/>
          <w:b/>
          <w:bCs/>
          <w:color w:val="auto"/>
          <w:sz w:val="24"/>
          <w:szCs w:val="24"/>
          <w:highlight w:val="none"/>
        </w:rPr>
        <w:sectPr>
          <w:headerReference r:id="rId5" w:type="default"/>
          <w:footerReference r:id="rId6" w:type="default"/>
          <w:pgSz w:w="11906" w:h="16838"/>
          <w:pgMar w:top="1020" w:right="1191" w:bottom="1021" w:left="1304" w:header="1247" w:footer="850" w:gutter="0"/>
          <w:pgNumType w:fmt="decimal"/>
          <w:cols w:space="720" w:num="1"/>
          <w:docGrid w:type="lines" w:linePitch="320" w:charSpace="0"/>
        </w:sectPr>
      </w:pPr>
      <w:bookmarkStart w:id="1218" w:name="_Toc424307764"/>
      <w:bookmarkStart w:id="1219" w:name="_Toc424307492"/>
    </w:p>
    <w:bookmarkEnd w:id="1218"/>
    <w:bookmarkEnd w:id="1219"/>
    <w:p w14:paraId="364EE797">
      <w:pPr>
        <w:numPr>
          <w:ilvl w:val="-1"/>
          <w:numId w:val="0"/>
        </w:numPr>
        <w:shd w:val="clear" w:color="auto" w:fill="FFFFFF"/>
        <w:spacing w:after="96" w:afterLines="30"/>
        <w:ind w:firstLine="482" w:firstLineChars="200"/>
        <w:rPr>
          <w:rFonts w:hint="eastAsia" w:ascii="宋体" w:hAnsi="宋体" w:eastAsia="宋体" w:cs="宋体"/>
          <w:b/>
          <w:bCs/>
          <w:color w:val="auto"/>
          <w:sz w:val="24"/>
          <w:szCs w:val="24"/>
          <w:highlight w:val="none"/>
          <w:lang w:val="en-US" w:eastAsia="zh-CN"/>
        </w:rPr>
      </w:pPr>
      <w:bookmarkStart w:id="1220" w:name="_Toc424307769"/>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农民工工资保障承诺书（格式自拟）</w:t>
      </w:r>
    </w:p>
    <w:p w14:paraId="47BEC843">
      <w:pPr>
        <w:spacing w:line="400" w:lineRule="exact"/>
        <w:rPr>
          <w:rFonts w:hint="eastAsia" w:ascii="宋体" w:hAnsi="宋体" w:cs="宋体"/>
          <w:b/>
          <w:bCs/>
          <w:color w:val="auto"/>
          <w:sz w:val="24"/>
          <w:szCs w:val="24"/>
          <w:highlight w:val="none"/>
          <w:lang w:val="en-US" w:eastAsia="zh-CN"/>
        </w:rPr>
      </w:pPr>
    </w:p>
    <w:p w14:paraId="1FD54015">
      <w:pPr>
        <w:spacing w:line="400" w:lineRule="exact"/>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bCs/>
          <w:color w:val="auto"/>
          <w:sz w:val="24"/>
          <w:szCs w:val="24"/>
          <w:highlight w:val="none"/>
          <w:lang w:val="en-US" w:eastAsia="zh-CN"/>
        </w:rPr>
        <w:t>2.</w:t>
      </w:r>
      <w:r>
        <w:rPr>
          <w:rFonts w:hint="eastAsia" w:ascii="宋体" w:hAnsi="宋体" w:eastAsia="宋体" w:cs="宋体"/>
          <w:b/>
          <w:bCs w:val="0"/>
          <w:color w:val="auto"/>
          <w:spacing w:val="0"/>
          <w:kern w:val="2"/>
          <w:sz w:val="24"/>
          <w:szCs w:val="24"/>
          <w:highlight w:val="none"/>
          <w:lang w:val="en-US" w:eastAsia="zh-CN" w:bidi="ar-SA"/>
        </w:rPr>
        <w:t>磋商函附录</w:t>
      </w:r>
    </w:p>
    <w:p w14:paraId="6F61821A">
      <w:pPr>
        <w:shd w:val="clear" w:color="auto" w:fill="FFFFFF"/>
        <w:spacing w:after="96" w:afterLines="30"/>
        <w:ind w:firstLine="420" w:firstLineChars="200"/>
        <w:rPr>
          <w:rFonts w:hint="eastAsia" w:ascii="宋体" w:hAnsi="宋体" w:eastAsia="宋体" w:cs="宋体"/>
          <w:color w:val="auto"/>
          <w:szCs w:val="21"/>
          <w:highlight w:val="none"/>
        </w:rPr>
      </w:pPr>
    </w:p>
    <w:p w14:paraId="4B9D3B88">
      <w:pPr>
        <w:shd w:val="clear" w:color="auto" w:fill="FFFFFF"/>
        <w:spacing w:after="96" w:afterLines="30"/>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工程名称：</w:t>
      </w:r>
      <w:r>
        <w:rPr>
          <w:rFonts w:hint="eastAsia" w:ascii="宋体" w:hAnsi="宋体" w:eastAsia="宋体" w:cs="宋体"/>
          <w:color w:val="auto"/>
          <w:szCs w:val="21"/>
          <w:highlight w:val="none"/>
          <w:u w:val="single"/>
        </w:rPr>
        <w:t xml:space="preserve">                                            </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143"/>
        <w:gridCol w:w="2295"/>
        <w:gridCol w:w="2142"/>
        <w:gridCol w:w="1989"/>
      </w:tblGrid>
      <w:tr w14:paraId="1CF0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061104B">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2143" w:type="dxa"/>
            <w:noWrap w:val="0"/>
            <w:vAlign w:val="center"/>
          </w:tcPr>
          <w:p w14:paraId="179127A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2295" w:type="dxa"/>
            <w:noWrap w:val="0"/>
            <w:vAlign w:val="center"/>
          </w:tcPr>
          <w:p w14:paraId="4AAF7CEE">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合同条款号</w:t>
            </w:r>
          </w:p>
        </w:tc>
        <w:tc>
          <w:tcPr>
            <w:tcW w:w="2142" w:type="dxa"/>
            <w:noWrap w:val="0"/>
            <w:vAlign w:val="center"/>
          </w:tcPr>
          <w:p w14:paraId="0758291D">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1989" w:type="dxa"/>
            <w:noWrap w:val="0"/>
            <w:vAlign w:val="center"/>
          </w:tcPr>
          <w:p w14:paraId="556ACCED">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EBF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5B25C03F">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3" w:type="dxa"/>
            <w:noWrap w:val="0"/>
            <w:vAlign w:val="center"/>
          </w:tcPr>
          <w:p w14:paraId="2785233E">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2295" w:type="dxa"/>
            <w:noWrap w:val="0"/>
            <w:tcMar>
              <w:left w:w="170" w:type="dxa"/>
            </w:tcMar>
            <w:vAlign w:val="center"/>
          </w:tcPr>
          <w:p w14:paraId="03D68D1E">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专用条款</w:t>
            </w:r>
          </w:p>
        </w:tc>
        <w:tc>
          <w:tcPr>
            <w:tcW w:w="2142" w:type="dxa"/>
            <w:noWrap w:val="0"/>
            <w:vAlign w:val="center"/>
          </w:tcPr>
          <w:p w14:paraId="627D8939">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p>
        </w:tc>
        <w:tc>
          <w:tcPr>
            <w:tcW w:w="1989" w:type="dxa"/>
            <w:noWrap w:val="0"/>
            <w:vAlign w:val="center"/>
          </w:tcPr>
          <w:p w14:paraId="0CAD5F8C">
            <w:pPr>
              <w:shd w:val="clear" w:color="auto" w:fill="FFFFFF"/>
              <w:jc w:val="center"/>
              <w:rPr>
                <w:rFonts w:hint="eastAsia" w:ascii="宋体" w:hAnsi="宋体" w:eastAsia="宋体" w:cs="宋体"/>
                <w:color w:val="auto"/>
                <w:szCs w:val="21"/>
                <w:highlight w:val="none"/>
              </w:rPr>
            </w:pPr>
          </w:p>
        </w:tc>
      </w:tr>
      <w:tr w14:paraId="3421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0293C56">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43" w:type="dxa"/>
            <w:noWrap w:val="0"/>
            <w:vAlign w:val="center"/>
          </w:tcPr>
          <w:p w14:paraId="3345B260">
            <w:pPr>
              <w:shd w:val="clear" w:color="auto" w:fill="FFFFFF"/>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竞标有效期</w:t>
            </w:r>
          </w:p>
        </w:tc>
        <w:tc>
          <w:tcPr>
            <w:tcW w:w="2295" w:type="dxa"/>
            <w:noWrap w:val="0"/>
            <w:tcMar>
              <w:left w:w="170" w:type="dxa"/>
            </w:tcMar>
            <w:vAlign w:val="center"/>
          </w:tcPr>
          <w:p w14:paraId="105B9298">
            <w:pPr>
              <w:shd w:val="clear" w:color="auto" w:fill="FFFFFF"/>
              <w:rPr>
                <w:rFonts w:hint="eastAsia" w:ascii="宋体" w:hAnsi="宋体" w:eastAsia="宋体" w:cs="宋体"/>
                <w:color w:val="auto"/>
                <w:szCs w:val="21"/>
                <w:highlight w:val="none"/>
              </w:rPr>
            </w:pPr>
          </w:p>
        </w:tc>
        <w:tc>
          <w:tcPr>
            <w:tcW w:w="2142" w:type="dxa"/>
            <w:noWrap w:val="0"/>
            <w:vAlign w:val="center"/>
          </w:tcPr>
          <w:p w14:paraId="5BD22C95">
            <w:pPr>
              <w:shd w:val="clear" w:color="auto" w:fill="FFFFFF"/>
              <w:jc w:val="center"/>
              <w:rPr>
                <w:rFonts w:hint="eastAsia" w:ascii="宋体" w:hAnsi="宋体" w:eastAsia="宋体" w:cs="宋体"/>
                <w:color w:val="auto"/>
                <w:szCs w:val="21"/>
                <w:highlight w:val="none"/>
                <w:u w:val="single"/>
                <w:lang w:eastAsia="zh-CN"/>
              </w:rPr>
            </w:pPr>
          </w:p>
        </w:tc>
        <w:tc>
          <w:tcPr>
            <w:tcW w:w="1989" w:type="dxa"/>
            <w:noWrap w:val="0"/>
            <w:vAlign w:val="center"/>
          </w:tcPr>
          <w:p w14:paraId="2042EED4">
            <w:pPr>
              <w:shd w:val="clear" w:color="auto" w:fill="FFFFFF"/>
              <w:jc w:val="center"/>
              <w:rPr>
                <w:rFonts w:hint="eastAsia" w:ascii="宋体" w:hAnsi="宋体" w:eastAsia="宋体" w:cs="宋体"/>
                <w:color w:val="auto"/>
                <w:szCs w:val="21"/>
                <w:highlight w:val="none"/>
              </w:rPr>
            </w:pPr>
          </w:p>
        </w:tc>
      </w:tr>
      <w:tr w14:paraId="6686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05AF255C">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43" w:type="dxa"/>
            <w:noWrap w:val="0"/>
            <w:vAlign w:val="center"/>
          </w:tcPr>
          <w:p w14:paraId="256B6631">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2295" w:type="dxa"/>
            <w:noWrap w:val="0"/>
            <w:tcMar>
              <w:left w:w="170" w:type="dxa"/>
            </w:tcMar>
            <w:vAlign w:val="center"/>
          </w:tcPr>
          <w:p w14:paraId="1E79F8DF">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4C3915F2">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日历天</w:t>
            </w:r>
          </w:p>
        </w:tc>
        <w:tc>
          <w:tcPr>
            <w:tcW w:w="1989" w:type="dxa"/>
            <w:noWrap w:val="0"/>
            <w:vAlign w:val="center"/>
          </w:tcPr>
          <w:p w14:paraId="4328F7CB">
            <w:pPr>
              <w:shd w:val="clear" w:color="auto" w:fill="FFFFFF"/>
              <w:jc w:val="center"/>
              <w:rPr>
                <w:rFonts w:hint="eastAsia" w:ascii="宋体" w:hAnsi="宋体" w:eastAsia="宋体" w:cs="宋体"/>
                <w:color w:val="auto"/>
                <w:szCs w:val="21"/>
                <w:highlight w:val="none"/>
              </w:rPr>
            </w:pPr>
          </w:p>
        </w:tc>
      </w:tr>
      <w:tr w14:paraId="15C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F92AF3A">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43" w:type="dxa"/>
            <w:noWrap w:val="0"/>
            <w:vAlign w:val="center"/>
          </w:tcPr>
          <w:p w14:paraId="2944DAEF">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2295" w:type="dxa"/>
            <w:noWrap w:val="0"/>
            <w:tcMar>
              <w:left w:w="170" w:type="dxa"/>
            </w:tcMar>
            <w:vAlign w:val="center"/>
          </w:tcPr>
          <w:p w14:paraId="0CAA2365">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25643467">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3FDDA8CF">
            <w:pPr>
              <w:shd w:val="clear" w:color="auto" w:fill="FFFFFF"/>
              <w:jc w:val="center"/>
              <w:rPr>
                <w:rFonts w:hint="eastAsia" w:ascii="宋体" w:hAnsi="宋体" w:eastAsia="宋体" w:cs="宋体"/>
                <w:color w:val="auto"/>
                <w:szCs w:val="21"/>
                <w:highlight w:val="none"/>
              </w:rPr>
            </w:pPr>
          </w:p>
        </w:tc>
      </w:tr>
      <w:tr w14:paraId="7338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EFD75DB">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2143" w:type="dxa"/>
            <w:noWrap w:val="0"/>
            <w:vAlign w:val="center"/>
          </w:tcPr>
          <w:p w14:paraId="3A3CEC57">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2295" w:type="dxa"/>
            <w:noWrap w:val="0"/>
            <w:tcMar>
              <w:left w:w="170" w:type="dxa"/>
            </w:tcMar>
            <w:vAlign w:val="center"/>
          </w:tcPr>
          <w:p w14:paraId="3CE2AA48">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3EB037EF">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3BB3E517">
            <w:pPr>
              <w:shd w:val="clear" w:color="auto" w:fill="FFFFFF"/>
              <w:jc w:val="center"/>
              <w:rPr>
                <w:rFonts w:hint="eastAsia" w:ascii="宋体" w:hAnsi="宋体" w:eastAsia="宋体" w:cs="宋体"/>
                <w:color w:val="auto"/>
                <w:szCs w:val="21"/>
                <w:highlight w:val="none"/>
              </w:rPr>
            </w:pPr>
          </w:p>
        </w:tc>
      </w:tr>
      <w:tr w14:paraId="519B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1D833158">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2143" w:type="dxa"/>
            <w:noWrap w:val="0"/>
            <w:vAlign w:val="center"/>
          </w:tcPr>
          <w:p w14:paraId="7E78A48F">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w:t>
            </w:r>
          </w:p>
        </w:tc>
        <w:tc>
          <w:tcPr>
            <w:tcW w:w="2295" w:type="dxa"/>
            <w:noWrap w:val="0"/>
            <w:tcMar>
              <w:left w:w="170" w:type="dxa"/>
            </w:tcMar>
            <w:vAlign w:val="center"/>
          </w:tcPr>
          <w:p w14:paraId="5F2D8169">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1F560037">
            <w:pPr>
              <w:shd w:val="clear" w:color="auto" w:fill="FFFFFF"/>
              <w:rPr>
                <w:rFonts w:hint="eastAsia" w:ascii="宋体" w:hAnsi="宋体" w:eastAsia="宋体" w:cs="宋体"/>
                <w:color w:val="auto"/>
                <w:szCs w:val="21"/>
                <w:highlight w:val="none"/>
                <w:lang w:val="en-US" w:eastAsia="zh-CN"/>
              </w:rPr>
            </w:pPr>
          </w:p>
        </w:tc>
        <w:tc>
          <w:tcPr>
            <w:tcW w:w="1989" w:type="dxa"/>
            <w:noWrap w:val="0"/>
            <w:vAlign w:val="center"/>
          </w:tcPr>
          <w:p w14:paraId="23E00380">
            <w:pPr>
              <w:shd w:val="clear" w:color="auto" w:fill="FFFFFF"/>
              <w:jc w:val="center"/>
              <w:rPr>
                <w:rFonts w:hint="eastAsia" w:ascii="宋体" w:hAnsi="宋体" w:eastAsia="宋体" w:cs="宋体"/>
                <w:color w:val="auto"/>
                <w:szCs w:val="21"/>
                <w:highlight w:val="none"/>
              </w:rPr>
            </w:pPr>
          </w:p>
        </w:tc>
      </w:tr>
      <w:tr w14:paraId="3024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3964A66">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2143" w:type="dxa"/>
            <w:noWrap w:val="0"/>
            <w:vAlign w:val="center"/>
          </w:tcPr>
          <w:p w14:paraId="32559F8B">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逾期竣工违约金最高限额</w:t>
            </w:r>
          </w:p>
        </w:tc>
        <w:tc>
          <w:tcPr>
            <w:tcW w:w="2295" w:type="dxa"/>
            <w:noWrap w:val="0"/>
            <w:tcMar>
              <w:left w:w="170" w:type="dxa"/>
            </w:tcMar>
            <w:vAlign w:val="center"/>
          </w:tcPr>
          <w:p w14:paraId="313A5D60">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120EED26">
            <w:pPr>
              <w:shd w:val="clear" w:color="auto" w:fill="FFFFFF"/>
              <w:rPr>
                <w:rFonts w:hint="eastAsia" w:ascii="宋体" w:hAnsi="宋体" w:eastAsia="宋体" w:cs="宋体"/>
                <w:color w:val="auto"/>
                <w:szCs w:val="21"/>
                <w:highlight w:val="none"/>
              </w:rPr>
            </w:pPr>
          </w:p>
        </w:tc>
        <w:tc>
          <w:tcPr>
            <w:tcW w:w="1989" w:type="dxa"/>
            <w:noWrap w:val="0"/>
            <w:vAlign w:val="center"/>
          </w:tcPr>
          <w:p w14:paraId="51CAFE30">
            <w:pPr>
              <w:shd w:val="clear" w:color="auto" w:fill="FFFFFF"/>
              <w:jc w:val="center"/>
              <w:rPr>
                <w:rFonts w:hint="eastAsia" w:ascii="宋体" w:hAnsi="宋体" w:eastAsia="宋体" w:cs="宋体"/>
                <w:color w:val="auto"/>
                <w:szCs w:val="21"/>
                <w:highlight w:val="none"/>
              </w:rPr>
            </w:pPr>
          </w:p>
        </w:tc>
      </w:tr>
      <w:tr w14:paraId="7757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C5C813E">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2143" w:type="dxa"/>
            <w:noWrap w:val="0"/>
            <w:vAlign w:val="center"/>
          </w:tcPr>
          <w:p w14:paraId="1EAA9E12">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2295" w:type="dxa"/>
            <w:noWrap w:val="0"/>
            <w:tcMar>
              <w:left w:w="170" w:type="dxa"/>
            </w:tcMar>
            <w:vAlign w:val="center"/>
          </w:tcPr>
          <w:p w14:paraId="697757FD">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084FC6D6">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0642E416">
            <w:pPr>
              <w:shd w:val="clear" w:color="auto" w:fill="FFFFFF"/>
              <w:jc w:val="center"/>
              <w:rPr>
                <w:rFonts w:hint="eastAsia" w:ascii="宋体" w:hAnsi="宋体" w:eastAsia="宋体" w:cs="宋体"/>
                <w:color w:val="auto"/>
                <w:szCs w:val="21"/>
                <w:highlight w:val="none"/>
              </w:rPr>
            </w:pPr>
          </w:p>
        </w:tc>
      </w:tr>
      <w:tr w14:paraId="1B11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8DC0683">
            <w:pPr>
              <w:shd w:val="clear" w:color="auto" w:fill="FFFFFF"/>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143" w:type="dxa"/>
            <w:noWrap w:val="0"/>
            <w:vAlign w:val="center"/>
          </w:tcPr>
          <w:p w14:paraId="5512CFD5">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预付款额度</w:t>
            </w:r>
          </w:p>
        </w:tc>
        <w:tc>
          <w:tcPr>
            <w:tcW w:w="2295" w:type="dxa"/>
            <w:noWrap w:val="0"/>
            <w:tcMar>
              <w:left w:w="170" w:type="dxa"/>
            </w:tcMar>
            <w:vAlign w:val="center"/>
          </w:tcPr>
          <w:p w14:paraId="180C9530">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52C9ABAB">
            <w:pPr>
              <w:shd w:val="clear" w:color="auto" w:fill="FFFFFF"/>
              <w:jc w:val="center"/>
              <w:rPr>
                <w:rFonts w:hint="default" w:ascii="宋体" w:hAnsi="宋体" w:eastAsia="宋体" w:cs="宋体"/>
                <w:color w:val="auto"/>
                <w:szCs w:val="21"/>
                <w:highlight w:val="none"/>
                <w:lang w:val="en-US" w:eastAsia="zh-CN"/>
              </w:rPr>
            </w:pPr>
          </w:p>
        </w:tc>
        <w:tc>
          <w:tcPr>
            <w:tcW w:w="1989" w:type="dxa"/>
            <w:noWrap w:val="0"/>
            <w:vAlign w:val="center"/>
          </w:tcPr>
          <w:p w14:paraId="6BB3FAA4">
            <w:pPr>
              <w:shd w:val="clear" w:color="auto" w:fill="FFFFFF"/>
              <w:jc w:val="center"/>
              <w:rPr>
                <w:rFonts w:hint="eastAsia" w:ascii="宋体" w:hAnsi="宋体" w:eastAsia="宋体" w:cs="宋体"/>
                <w:color w:val="auto"/>
                <w:szCs w:val="21"/>
                <w:highlight w:val="none"/>
              </w:rPr>
            </w:pPr>
          </w:p>
        </w:tc>
      </w:tr>
      <w:tr w14:paraId="4A8F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08FA76E">
            <w:pPr>
              <w:shd w:val="clear" w:color="auto" w:fill="FFFFFF"/>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p>
        </w:tc>
        <w:tc>
          <w:tcPr>
            <w:tcW w:w="2143" w:type="dxa"/>
            <w:noWrap w:val="0"/>
            <w:vAlign w:val="center"/>
          </w:tcPr>
          <w:p w14:paraId="45EFE043">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预付款保函金额</w:t>
            </w:r>
          </w:p>
        </w:tc>
        <w:tc>
          <w:tcPr>
            <w:tcW w:w="2295" w:type="dxa"/>
            <w:noWrap w:val="0"/>
            <w:tcMar>
              <w:left w:w="170" w:type="dxa"/>
            </w:tcMar>
            <w:vAlign w:val="center"/>
          </w:tcPr>
          <w:p w14:paraId="2D23563F">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456268B1">
            <w:pPr>
              <w:shd w:val="clear" w:color="auto" w:fill="FFFFFF"/>
              <w:jc w:val="center"/>
              <w:rPr>
                <w:rFonts w:hint="eastAsia" w:ascii="宋体" w:hAnsi="宋体" w:eastAsia="宋体" w:cs="宋体"/>
                <w:color w:val="auto"/>
                <w:szCs w:val="21"/>
                <w:highlight w:val="none"/>
                <w:lang w:val="en-US" w:eastAsia="zh-CN"/>
              </w:rPr>
            </w:pPr>
          </w:p>
        </w:tc>
        <w:tc>
          <w:tcPr>
            <w:tcW w:w="1989" w:type="dxa"/>
            <w:noWrap w:val="0"/>
            <w:vAlign w:val="center"/>
          </w:tcPr>
          <w:p w14:paraId="0F7E398B">
            <w:pPr>
              <w:shd w:val="clear" w:color="auto" w:fill="FFFFFF"/>
              <w:jc w:val="center"/>
              <w:rPr>
                <w:rFonts w:hint="eastAsia" w:ascii="宋体" w:hAnsi="宋体" w:eastAsia="宋体" w:cs="宋体"/>
                <w:color w:val="auto"/>
                <w:szCs w:val="21"/>
                <w:highlight w:val="none"/>
              </w:rPr>
            </w:pPr>
          </w:p>
        </w:tc>
      </w:tr>
      <w:tr w14:paraId="322F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156B12CC">
            <w:pPr>
              <w:shd w:val="clear" w:color="auto" w:fill="FFFFFF"/>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2143" w:type="dxa"/>
            <w:noWrap w:val="0"/>
            <w:vAlign w:val="center"/>
          </w:tcPr>
          <w:p w14:paraId="01737320">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质量保证金额度</w:t>
            </w:r>
          </w:p>
        </w:tc>
        <w:tc>
          <w:tcPr>
            <w:tcW w:w="2295" w:type="dxa"/>
            <w:noWrap w:val="0"/>
            <w:tcMar>
              <w:left w:w="170" w:type="dxa"/>
            </w:tcMar>
            <w:vAlign w:val="center"/>
          </w:tcPr>
          <w:p w14:paraId="732BF6C2">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53AC9E5A">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052680C8">
            <w:pPr>
              <w:shd w:val="clear" w:color="auto" w:fill="FFFFFF"/>
              <w:jc w:val="center"/>
              <w:rPr>
                <w:rFonts w:hint="eastAsia" w:ascii="宋体" w:hAnsi="宋体" w:eastAsia="宋体" w:cs="宋体"/>
                <w:color w:val="auto"/>
                <w:szCs w:val="21"/>
                <w:highlight w:val="none"/>
              </w:rPr>
            </w:pPr>
          </w:p>
        </w:tc>
      </w:tr>
      <w:tr w14:paraId="161B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0CCFB95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43" w:type="dxa"/>
            <w:noWrap w:val="0"/>
            <w:vAlign w:val="center"/>
          </w:tcPr>
          <w:p w14:paraId="3BC1A61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95" w:type="dxa"/>
            <w:noWrap w:val="0"/>
            <w:tcMar>
              <w:left w:w="170" w:type="dxa"/>
            </w:tcMar>
            <w:vAlign w:val="center"/>
          </w:tcPr>
          <w:p w14:paraId="3BD22408">
            <w:pPr>
              <w:shd w:val="clear" w:color="auto" w:fill="FFFFFF"/>
              <w:rPr>
                <w:rFonts w:hint="eastAsia" w:ascii="宋体" w:hAnsi="宋体" w:eastAsia="宋体" w:cs="宋体"/>
                <w:color w:val="auto"/>
                <w:szCs w:val="21"/>
                <w:highlight w:val="none"/>
              </w:rPr>
            </w:pPr>
          </w:p>
        </w:tc>
        <w:tc>
          <w:tcPr>
            <w:tcW w:w="2142" w:type="dxa"/>
            <w:noWrap w:val="0"/>
            <w:vAlign w:val="center"/>
          </w:tcPr>
          <w:p w14:paraId="3C465B5E">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19318503">
            <w:pPr>
              <w:shd w:val="clear" w:color="auto" w:fill="FFFFFF"/>
              <w:jc w:val="center"/>
              <w:rPr>
                <w:rFonts w:hint="eastAsia" w:ascii="宋体" w:hAnsi="宋体" w:eastAsia="宋体" w:cs="宋体"/>
                <w:color w:val="auto"/>
                <w:szCs w:val="21"/>
                <w:highlight w:val="none"/>
              </w:rPr>
            </w:pPr>
          </w:p>
        </w:tc>
      </w:tr>
      <w:tr w14:paraId="56E3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639" w:type="dxa"/>
            <w:gridSpan w:val="5"/>
            <w:noWrap w:val="0"/>
            <w:vAlign w:val="center"/>
          </w:tcPr>
          <w:p w14:paraId="08D3A0CB">
            <w:pPr>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备注：供应商在响应</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文件中规定的实质性要求和条件的基础上，可做出其他有利于采购人的承诺。此类承诺可在本表中予以补充填写。</w:t>
            </w:r>
          </w:p>
        </w:tc>
      </w:tr>
    </w:tbl>
    <w:p w14:paraId="132786FA">
      <w:pPr>
        <w:pStyle w:val="31"/>
        <w:ind w:firstLine="460" w:firstLineChars="200"/>
        <w:jc w:val="left"/>
        <w:rPr>
          <w:rFonts w:hint="eastAsia" w:ascii="宋体" w:hAnsi="宋体" w:cs="宋体"/>
          <w:color w:val="auto"/>
          <w:sz w:val="21"/>
          <w:szCs w:val="21"/>
          <w:highlight w:val="none"/>
        </w:rPr>
      </w:pPr>
    </w:p>
    <w:p w14:paraId="6BF48BCA">
      <w:pPr>
        <w:pStyle w:val="31"/>
        <w:ind w:firstLine="460" w:firstLineChars="200"/>
        <w:jc w:val="left"/>
        <w:rPr>
          <w:rFonts w:hint="eastAsia" w:ascii="宋体" w:hAnsi="宋体" w:eastAsia="宋体" w:cs="宋体"/>
          <w:color w:val="auto"/>
          <w:szCs w:val="21"/>
          <w:highlight w:val="none"/>
          <w:u w:val="single"/>
        </w:rPr>
      </w:pPr>
      <w:r>
        <w:rPr>
          <w:rFonts w:hint="eastAsia" w:ascii="宋体" w:hAnsi="宋体" w:cs="宋体"/>
          <w:color w:val="auto"/>
          <w:sz w:val="21"/>
          <w:szCs w:val="21"/>
          <w:highlight w:val="none"/>
        </w:rPr>
        <w:t>注：供应商可提出优于竞争性</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文件要求的承诺</w:t>
      </w:r>
    </w:p>
    <w:p w14:paraId="04E723AA">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pacing w:val="8"/>
          <w:highlight w:val="none"/>
        </w:rPr>
        <w:t>电子</w:t>
      </w:r>
      <w:r>
        <w:rPr>
          <w:rFonts w:hint="eastAsia" w:ascii="宋体" w:hAnsi="宋体" w:cs="宋体"/>
          <w:color w:val="auto"/>
          <w:spacing w:val="8"/>
          <w:highlight w:val="none"/>
          <w:lang w:val="en-US" w:eastAsia="zh-CN"/>
        </w:rPr>
        <w:t>印</w:t>
      </w:r>
      <w:r>
        <w:rPr>
          <w:rFonts w:hint="eastAsia" w:ascii="宋体" w:hAnsi="宋体" w:eastAsia="宋体" w:cs="宋体"/>
          <w:color w:val="auto"/>
          <w:spacing w:val="8"/>
          <w:highlight w:val="none"/>
        </w:rPr>
        <w:t>章</w:t>
      </w:r>
      <w:r>
        <w:rPr>
          <w:rFonts w:hint="eastAsia" w:ascii="宋体" w:hAnsi="宋体" w:eastAsia="宋体" w:cs="宋体"/>
          <w:color w:val="auto"/>
          <w:szCs w:val="21"/>
          <w:highlight w:val="none"/>
        </w:rPr>
        <w:t>）：</w:t>
      </w:r>
    </w:p>
    <w:p w14:paraId="410B7045">
      <w:pPr>
        <w:shd w:val="clear" w:color="auto" w:fill="FFFFFF"/>
        <w:spacing w:line="4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1803406">
      <w:pPr>
        <w:numPr>
          <w:ilvl w:val="-1"/>
          <w:numId w:val="0"/>
        </w:numPr>
        <w:shd w:val="clear" w:color="auto" w:fill="FFFFFF"/>
        <w:spacing w:after="96" w:afterLines="30"/>
        <w:ind w:firstLine="0" w:firstLineChars="0"/>
        <w:rPr>
          <w:rFonts w:hint="default" w:ascii="宋体" w:hAnsi="宋体" w:eastAsia="宋体" w:cs="宋体"/>
          <w:b/>
          <w:bCs/>
          <w:color w:val="auto"/>
          <w:szCs w:val="21"/>
          <w:highlight w:val="none"/>
          <w:lang w:val="en-US" w:eastAsia="zh-CN"/>
        </w:rPr>
      </w:pPr>
    </w:p>
    <w:p w14:paraId="3AC4914E">
      <w:pPr>
        <w:shd w:val="clear" w:color="auto" w:fill="FFFFFF"/>
        <w:spacing w:after="96" w:afterLines="30"/>
        <w:ind w:firstLine="422" w:firstLineChars="200"/>
        <w:rPr>
          <w:rFonts w:hint="eastAsia" w:ascii="宋体" w:hAnsi="宋体" w:eastAsia="宋体" w:cs="宋体"/>
          <w:b/>
          <w:bCs/>
          <w:color w:val="auto"/>
          <w:szCs w:val="21"/>
          <w:highlight w:val="none"/>
        </w:rPr>
      </w:pPr>
    </w:p>
    <w:p w14:paraId="616F90FB">
      <w:pPr>
        <w:shd w:val="clear" w:color="auto" w:fill="FFFFFF"/>
        <w:spacing w:after="96" w:afterLines="30"/>
        <w:ind w:firstLine="0" w:firstLineChars="0"/>
        <w:rPr>
          <w:rFonts w:hint="eastAsia" w:ascii="宋体" w:hAnsi="宋体" w:eastAsia="宋体" w:cs="宋体"/>
          <w:b/>
          <w:bCs/>
          <w:color w:val="auto"/>
          <w:szCs w:val="21"/>
          <w:highlight w:val="none"/>
        </w:rPr>
      </w:pPr>
    </w:p>
    <w:p w14:paraId="735E7B59">
      <w:pPr>
        <w:shd w:val="clear" w:color="auto" w:fill="FFFFFF"/>
        <w:spacing w:after="96" w:afterLines="30"/>
        <w:ind w:firstLine="0" w:firstLineChars="0"/>
        <w:rPr>
          <w:rFonts w:hint="eastAsia" w:ascii="宋体" w:hAnsi="宋体" w:eastAsia="宋体" w:cs="宋体"/>
          <w:b/>
          <w:bCs/>
          <w:color w:val="auto"/>
          <w:szCs w:val="21"/>
          <w:highlight w:val="none"/>
        </w:rPr>
      </w:pPr>
    </w:p>
    <w:p w14:paraId="2EC66C42">
      <w:pPr>
        <w:shd w:val="clear" w:color="auto" w:fill="FFFFFF"/>
        <w:spacing w:after="96" w:afterLines="30"/>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施工组织设计</w:t>
      </w:r>
    </w:p>
    <w:p w14:paraId="03F0045F">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供应商应编制施工组织设计。编制具体要求是：编制时应采用文字并结合图表形式说明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14:paraId="1B00D08A">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施工组织设计除采用文字表述外可附下列图表，图表及格式要求附后，表格可扩展。</w:t>
      </w:r>
    </w:p>
    <w:p w14:paraId="695F4E48">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附表一  拟投入的主要施工设备表</w:t>
      </w:r>
    </w:p>
    <w:p w14:paraId="0377C95D">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附表二  劳动力计划表</w:t>
      </w:r>
    </w:p>
    <w:p w14:paraId="3D5A8A09">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附表三  计划开、竣工日期和施工进度横道图</w:t>
      </w:r>
    </w:p>
    <w:p w14:paraId="42C6C2BA">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附表四  施工总平面图</w:t>
      </w:r>
    </w:p>
    <w:p w14:paraId="7EED8446">
      <w:pPr>
        <w:spacing w:after="50" w:afterLines="0" w:line="440" w:lineRule="exact"/>
        <w:ind w:firstLine="420" w:firstLineChars="200"/>
        <w:rPr>
          <w:rFonts w:hint="eastAsia" w:ascii="宋体" w:hAnsi="宋体" w:cs="宋体"/>
          <w:color w:val="auto"/>
          <w:sz w:val="24"/>
          <w:highlight w:val="none"/>
        </w:rPr>
      </w:pPr>
      <w:r>
        <w:rPr>
          <w:rFonts w:hint="eastAsia" w:ascii="宋体" w:hAnsi="宋体" w:cs="宋体"/>
          <w:color w:val="auto"/>
          <w:highlight w:val="none"/>
        </w:rPr>
        <w:t>附表五  临时用地表</w:t>
      </w:r>
    </w:p>
    <w:p w14:paraId="24946505">
      <w:pPr>
        <w:spacing w:after="50" w:afterLines="0" w:line="400" w:lineRule="exact"/>
        <w:ind w:firstLine="482" w:firstLineChars="200"/>
        <w:rPr>
          <w:rFonts w:hint="eastAsia" w:ascii="宋体" w:hAnsi="宋体" w:cs="宋体"/>
          <w:b/>
          <w:bCs/>
          <w:color w:val="auto"/>
          <w:sz w:val="24"/>
          <w:highlight w:val="none"/>
        </w:rPr>
      </w:pPr>
    </w:p>
    <w:p w14:paraId="7F05B431">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附表一  ⑴拟投入的主要施工机械设备表</w:t>
      </w:r>
    </w:p>
    <w:p w14:paraId="4F1FEE80">
      <w:pPr>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拟投入的主要施工机械设备表（格式）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84"/>
        <w:gridCol w:w="1154"/>
        <w:gridCol w:w="735"/>
        <w:gridCol w:w="1154"/>
        <w:gridCol w:w="735"/>
        <w:gridCol w:w="1102"/>
        <w:gridCol w:w="1104"/>
        <w:gridCol w:w="840"/>
      </w:tblGrid>
      <w:tr w14:paraId="6625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center"/>
          </w:tcPr>
          <w:p w14:paraId="3E36FA2F">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784" w:type="dxa"/>
            <w:noWrap w:val="0"/>
            <w:vAlign w:val="center"/>
          </w:tcPr>
          <w:p w14:paraId="107076B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机械或设备名称</w:t>
            </w:r>
          </w:p>
        </w:tc>
        <w:tc>
          <w:tcPr>
            <w:tcW w:w="1154" w:type="dxa"/>
            <w:noWrap w:val="0"/>
            <w:vAlign w:val="center"/>
          </w:tcPr>
          <w:p w14:paraId="36296B4F">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型号规格</w:t>
            </w:r>
          </w:p>
        </w:tc>
        <w:tc>
          <w:tcPr>
            <w:tcW w:w="735" w:type="dxa"/>
            <w:noWrap w:val="0"/>
            <w:vAlign w:val="center"/>
          </w:tcPr>
          <w:p w14:paraId="3A41FABB">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数量</w:t>
            </w:r>
          </w:p>
        </w:tc>
        <w:tc>
          <w:tcPr>
            <w:tcW w:w="1154" w:type="dxa"/>
            <w:noWrap w:val="0"/>
            <w:vAlign w:val="center"/>
          </w:tcPr>
          <w:p w14:paraId="39AE88F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国别产地</w:t>
            </w:r>
          </w:p>
        </w:tc>
        <w:tc>
          <w:tcPr>
            <w:tcW w:w="735" w:type="dxa"/>
            <w:noWrap w:val="0"/>
            <w:vAlign w:val="center"/>
          </w:tcPr>
          <w:p w14:paraId="0AB6D6D4">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制造年份</w:t>
            </w:r>
          </w:p>
        </w:tc>
        <w:tc>
          <w:tcPr>
            <w:tcW w:w="1102" w:type="dxa"/>
            <w:noWrap w:val="0"/>
            <w:vAlign w:val="center"/>
          </w:tcPr>
          <w:p w14:paraId="2E27749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额定功率（KW）</w:t>
            </w:r>
          </w:p>
        </w:tc>
        <w:tc>
          <w:tcPr>
            <w:tcW w:w="1104" w:type="dxa"/>
            <w:noWrap w:val="0"/>
            <w:vAlign w:val="center"/>
          </w:tcPr>
          <w:p w14:paraId="583AB637">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生产能力</w:t>
            </w:r>
          </w:p>
        </w:tc>
        <w:tc>
          <w:tcPr>
            <w:tcW w:w="840" w:type="dxa"/>
            <w:tcBorders>
              <w:left w:val="single" w:color="auto" w:sz="4" w:space="0"/>
            </w:tcBorders>
            <w:noWrap w:val="0"/>
            <w:vAlign w:val="center"/>
          </w:tcPr>
          <w:p w14:paraId="30F836A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备注</w:t>
            </w:r>
          </w:p>
        </w:tc>
      </w:tr>
      <w:tr w14:paraId="689E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732E8440">
            <w:pPr>
              <w:spacing w:after="50" w:afterLines="0" w:line="400" w:lineRule="exact"/>
              <w:rPr>
                <w:rFonts w:hint="eastAsia" w:ascii="宋体" w:hAnsi="宋体" w:cs="宋体"/>
                <w:color w:val="auto"/>
                <w:highlight w:val="none"/>
              </w:rPr>
            </w:pPr>
          </w:p>
        </w:tc>
        <w:tc>
          <w:tcPr>
            <w:tcW w:w="1784" w:type="dxa"/>
            <w:noWrap w:val="0"/>
            <w:vAlign w:val="top"/>
          </w:tcPr>
          <w:p w14:paraId="0BF86E70">
            <w:pPr>
              <w:spacing w:after="50" w:afterLines="0" w:line="400" w:lineRule="exact"/>
              <w:rPr>
                <w:rFonts w:hint="eastAsia" w:ascii="宋体" w:hAnsi="宋体" w:cs="宋体"/>
                <w:color w:val="auto"/>
                <w:highlight w:val="none"/>
              </w:rPr>
            </w:pPr>
          </w:p>
        </w:tc>
        <w:tc>
          <w:tcPr>
            <w:tcW w:w="1154" w:type="dxa"/>
            <w:noWrap w:val="0"/>
            <w:vAlign w:val="top"/>
          </w:tcPr>
          <w:p w14:paraId="3A291FF5">
            <w:pPr>
              <w:spacing w:after="50" w:afterLines="0" w:line="400" w:lineRule="exact"/>
              <w:rPr>
                <w:rFonts w:hint="eastAsia" w:ascii="宋体" w:hAnsi="宋体" w:cs="宋体"/>
                <w:color w:val="auto"/>
                <w:highlight w:val="none"/>
              </w:rPr>
            </w:pPr>
          </w:p>
        </w:tc>
        <w:tc>
          <w:tcPr>
            <w:tcW w:w="735" w:type="dxa"/>
            <w:noWrap w:val="0"/>
            <w:vAlign w:val="top"/>
          </w:tcPr>
          <w:p w14:paraId="213B781A">
            <w:pPr>
              <w:spacing w:after="50" w:afterLines="0" w:line="400" w:lineRule="exact"/>
              <w:rPr>
                <w:rFonts w:hint="eastAsia" w:ascii="宋体" w:hAnsi="宋体" w:cs="宋体"/>
                <w:color w:val="auto"/>
                <w:highlight w:val="none"/>
              </w:rPr>
            </w:pPr>
          </w:p>
        </w:tc>
        <w:tc>
          <w:tcPr>
            <w:tcW w:w="1154" w:type="dxa"/>
            <w:noWrap w:val="0"/>
            <w:vAlign w:val="top"/>
          </w:tcPr>
          <w:p w14:paraId="0DE90C12">
            <w:pPr>
              <w:spacing w:after="50" w:afterLines="0" w:line="400" w:lineRule="exact"/>
              <w:rPr>
                <w:rFonts w:hint="eastAsia" w:ascii="宋体" w:hAnsi="宋体" w:cs="宋体"/>
                <w:color w:val="auto"/>
                <w:highlight w:val="none"/>
              </w:rPr>
            </w:pPr>
          </w:p>
        </w:tc>
        <w:tc>
          <w:tcPr>
            <w:tcW w:w="735" w:type="dxa"/>
            <w:noWrap w:val="0"/>
            <w:vAlign w:val="top"/>
          </w:tcPr>
          <w:p w14:paraId="04DF7588">
            <w:pPr>
              <w:spacing w:after="50" w:afterLines="0" w:line="400" w:lineRule="exact"/>
              <w:rPr>
                <w:rFonts w:hint="eastAsia" w:ascii="宋体" w:hAnsi="宋体" w:cs="宋体"/>
                <w:color w:val="auto"/>
                <w:highlight w:val="none"/>
              </w:rPr>
            </w:pPr>
          </w:p>
        </w:tc>
        <w:tc>
          <w:tcPr>
            <w:tcW w:w="1102" w:type="dxa"/>
            <w:noWrap w:val="0"/>
            <w:vAlign w:val="top"/>
          </w:tcPr>
          <w:p w14:paraId="1E3F82CB">
            <w:pPr>
              <w:spacing w:after="50" w:afterLines="0" w:line="400" w:lineRule="exact"/>
              <w:rPr>
                <w:rFonts w:hint="eastAsia" w:ascii="宋体" w:hAnsi="宋体" w:cs="宋体"/>
                <w:color w:val="auto"/>
                <w:highlight w:val="none"/>
              </w:rPr>
            </w:pPr>
          </w:p>
        </w:tc>
        <w:tc>
          <w:tcPr>
            <w:tcW w:w="1104" w:type="dxa"/>
            <w:noWrap w:val="0"/>
            <w:vAlign w:val="top"/>
          </w:tcPr>
          <w:p w14:paraId="37BD4BBF">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6BB05E1C">
            <w:pPr>
              <w:spacing w:after="50" w:afterLines="0" w:line="400" w:lineRule="exact"/>
              <w:rPr>
                <w:rFonts w:hint="eastAsia" w:ascii="宋体" w:hAnsi="宋体" w:cs="宋体"/>
                <w:color w:val="auto"/>
                <w:highlight w:val="none"/>
              </w:rPr>
            </w:pPr>
          </w:p>
        </w:tc>
      </w:tr>
      <w:tr w14:paraId="440A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59E586D4">
            <w:pPr>
              <w:spacing w:after="50" w:afterLines="0" w:line="400" w:lineRule="exact"/>
              <w:rPr>
                <w:rFonts w:hint="eastAsia" w:ascii="宋体" w:hAnsi="宋体" w:cs="宋体"/>
                <w:color w:val="auto"/>
                <w:highlight w:val="none"/>
              </w:rPr>
            </w:pPr>
          </w:p>
        </w:tc>
        <w:tc>
          <w:tcPr>
            <w:tcW w:w="1784" w:type="dxa"/>
            <w:noWrap w:val="0"/>
            <w:vAlign w:val="top"/>
          </w:tcPr>
          <w:p w14:paraId="5E52DF77">
            <w:pPr>
              <w:spacing w:after="50" w:afterLines="0" w:line="400" w:lineRule="exact"/>
              <w:rPr>
                <w:rFonts w:hint="eastAsia" w:ascii="宋体" w:hAnsi="宋体" w:cs="宋体"/>
                <w:color w:val="auto"/>
                <w:highlight w:val="none"/>
              </w:rPr>
            </w:pPr>
          </w:p>
        </w:tc>
        <w:tc>
          <w:tcPr>
            <w:tcW w:w="1154" w:type="dxa"/>
            <w:noWrap w:val="0"/>
            <w:vAlign w:val="top"/>
          </w:tcPr>
          <w:p w14:paraId="242CECF5">
            <w:pPr>
              <w:spacing w:after="50" w:afterLines="0" w:line="400" w:lineRule="exact"/>
              <w:rPr>
                <w:rFonts w:hint="eastAsia" w:ascii="宋体" w:hAnsi="宋体" w:cs="宋体"/>
                <w:color w:val="auto"/>
                <w:highlight w:val="none"/>
              </w:rPr>
            </w:pPr>
          </w:p>
        </w:tc>
        <w:tc>
          <w:tcPr>
            <w:tcW w:w="735" w:type="dxa"/>
            <w:noWrap w:val="0"/>
            <w:vAlign w:val="top"/>
          </w:tcPr>
          <w:p w14:paraId="4798CE6E">
            <w:pPr>
              <w:spacing w:after="50" w:afterLines="0" w:line="400" w:lineRule="exact"/>
              <w:rPr>
                <w:rFonts w:hint="eastAsia" w:ascii="宋体" w:hAnsi="宋体" w:cs="宋体"/>
                <w:color w:val="auto"/>
                <w:highlight w:val="none"/>
              </w:rPr>
            </w:pPr>
          </w:p>
        </w:tc>
        <w:tc>
          <w:tcPr>
            <w:tcW w:w="1154" w:type="dxa"/>
            <w:noWrap w:val="0"/>
            <w:vAlign w:val="top"/>
          </w:tcPr>
          <w:p w14:paraId="0FCAC40B">
            <w:pPr>
              <w:spacing w:after="50" w:afterLines="0" w:line="400" w:lineRule="exact"/>
              <w:rPr>
                <w:rFonts w:hint="eastAsia" w:ascii="宋体" w:hAnsi="宋体" w:cs="宋体"/>
                <w:color w:val="auto"/>
                <w:highlight w:val="none"/>
              </w:rPr>
            </w:pPr>
          </w:p>
        </w:tc>
        <w:tc>
          <w:tcPr>
            <w:tcW w:w="735" w:type="dxa"/>
            <w:noWrap w:val="0"/>
            <w:vAlign w:val="top"/>
          </w:tcPr>
          <w:p w14:paraId="14DD3862">
            <w:pPr>
              <w:spacing w:after="50" w:afterLines="0" w:line="400" w:lineRule="exact"/>
              <w:rPr>
                <w:rFonts w:hint="eastAsia" w:ascii="宋体" w:hAnsi="宋体" w:cs="宋体"/>
                <w:color w:val="auto"/>
                <w:highlight w:val="none"/>
              </w:rPr>
            </w:pPr>
          </w:p>
        </w:tc>
        <w:tc>
          <w:tcPr>
            <w:tcW w:w="1102" w:type="dxa"/>
            <w:noWrap w:val="0"/>
            <w:vAlign w:val="top"/>
          </w:tcPr>
          <w:p w14:paraId="16A30006">
            <w:pPr>
              <w:spacing w:after="50" w:afterLines="0" w:line="400" w:lineRule="exact"/>
              <w:rPr>
                <w:rFonts w:hint="eastAsia" w:ascii="宋体" w:hAnsi="宋体" w:cs="宋体"/>
                <w:color w:val="auto"/>
                <w:highlight w:val="none"/>
              </w:rPr>
            </w:pPr>
          </w:p>
        </w:tc>
        <w:tc>
          <w:tcPr>
            <w:tcW w:w="1104" w:type="dxa"/>
            <w:noWrap w:val="0"/>
            <w:vAlign w:val="top"/>
          </w:tcPr>
          <w:p w14:paraId="645F165E">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2A79D6D8">
            <w:pPr>
              <w:spacing w:after="50" w:afterLines="0" w:line="400" w:lineRule="exact"/>
              <w:rPr>
                <w:rFonts w:hint="eastAsia" w:ascii="宋体" w:hAnsi="宋体" w:cs="宋体"/>
                <w:color w:val="auto"/>
                <w:highlight w:val="none"/>
              </w:rPr>
            </w:pPr>
          </w:p>
        </w:tc>
      </w:tr>
      <w:tr w14:paraId="2CA5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6B12AEB8">
            <w:pPr>
              <w:spacing w:after="50" w:afterLines="0" w:line="400" w:lineRule="exact"/>
              <w:rPr>
                <w:rFonts w:hint="eastAsia" w:ascii="宋体" w:hAnsi="宋体" w:cs="宋体"/>
                <w:color w:val="auto"/>
                <w:highlight w:val="none"/>
              </w:rPr>
            </w:pPr>
          </w:p>
        </w:tc>
        <w:tc>
          <w:tcPr>
            <w:tcW w:w="1784" w:type="dxa"/>
            <w:noWrap w:val="0"/>
            <w:vAlign w:val="top"/>
          </w:tcPr>
          <w:p w14:paraId="4FB4441A">
            <w:pPr>
              <w:spacing w:after="50" w:afterLines="0" w:line="400" w:lineRule="exact"/>
              <w:rPr>
                <w:rFonts w:hint="eastAsia" w:ascii="宋体" w:hAnsi="宋体" w:cs="宋体"/>
                <w:color w:val="auto"/>
                <w:highlight w:val="none"/>
              </w:rPr>
            </w:pPr>
          </w:p>
        </w:tc>
        <w:tc>
          <w:tcPr>
            <w:tcW w:w="1154" w:type="dxa"/>
            <w:noWrap w:val="0"/>
            <w:vAlign w:val="top"/>
          </w:tcPr>
          <w:p w14:paraId="10ABAB11">
            <w:pPr>
              <w:spacing w:after="50" w:afterLines="0" w:line="400" w:lineRule="exact"/>
              <w:rPr>
                <w:rFonts w:hint="eastAsia" w:ascii="宋体" w:hAnsi="宋体" w:cs="宋体"/>
                <w:color w:val="auto"/>
                <w:highlight w:val="none"/>
              </w:rPr>
            </w:pPr>
          </w:p>
        </w:tc>
        <w:tc>
          <w:tcPr>
            <w:tcW w:w="735" w:type="dxa"/>
            <w:noWrap w:val="0"/>
            <w:vAlign w:val="top"/>
          </w:tcPr>
          <w:p w14:paraId="0040A954">
            <w:pPr>
              <w:spacing w:after="50" w:afterLines="0" w:line="400" w:lineRule="exact"/>
              <w:rPr>
                <w:rFonts w:hint="eastAsia" w:ascii="宋体" w:hAnsi="宋体" w:cs="宋体"/>
                <w:color w:val="auto"/>
                <w:highlight w:val="none"/>
              </w:rPr>
            </w:pPr>
          </w:p>
        </w:tc>
        <w:tc>
          <w:tcPr>
            <w:tcW w:w="1154" w:type="dxa"/>
            <w:noWrap w:val="0"/>
            <w:vAlign w:val="top"/>
          </w:tcPr>
          <w:p w14:paraId="754B5EF7">
            <w:pPr>
              <w:spacing w:after="50" w:afterLines="0" w:line="400" w:lineRule="exact"/>
              <w:rPr>
                <w:rFonts w:hint="eastAsia" w:ascii="宋体" w:hAnsi="宋体" w:cs="宋体"/>
                <w:color w:val="auto"/>
                <w:highlight w:val="none"/>
              </w:rPr>
            </w:pPr>
          </w:p>
        </w:tc>
        <w:tc>
          <w:tcPr>
            <w:tcW w:w="735" w:type="dxa"/>
            <w:noWrap w:val="0"/>
            <w:vAlign w:val="top"/>
          </w:tcPr>
          <w:p w14:paraId="037CDC47">
            <w:pPr>
              <w:spacing w:after="50" w:afterLines="0" w:line="400" w:lineRule="exact"/>
              <w:rPr>
                <w:rFonts w:hint="eastAsia" w:ascii="宋体" w:hAnsi="宋体" w:cs="宋体"/>
                <w:color w:val="auto"/>
                <w:highlight w:val="none"/>
              </w:rPr>
            </w:pPr>
          </w:p>
        </w:tc>
        <w:tc>
          <w:tcPr>
            <w:tcW w:w="1102" w:type="dxa"/>
            <w:noWrap w:val="0"/>
            <w:vAlign w:val="top"/>
          </w:tcPr>
          <w:p w14:paraId="5E5D6CD8">
            <w:pPr>
              <w:pStyle w:val="48"/>
              <w:spacing w:after="50" w:afterLines="0" w:line="400" w:lineRule="exact"/>
              <w:rPr>
                <w:rFonts w:hint="eastAsia" w:hAnsi="宋体" w:cs="宋体"/>
                <w:color w:val="auto"/>
                <w:szCs w:val="24"/>
                <w:highlight w:val="none"/>
              </w:rPr>
            </w:pPr>
          </w:p>
        </w:tc>
        <w:tc>
          <w:tcPr>
            <w:tcW w:w="1104" w:type="dxa"/>
            <w:noWrap w:val="0"/>
            <w:vAlign w:val="top"/>
          </w:tcPr>
          <w:p w14:paraId="0B7F4394">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402C671D">
            <w:pPr>
              <w:spacing w:after="50" w:afterLines="0" w:line="400" w:lineRule="exact"/>
              <w:rPr>
                <w:rFonts w:hint="eastAsia" w:ascii="宋体" w:hAnsi="宋体" w:cs="宋体"/>
                <w:color w:val="auto"/>
                <w:highlight w:val="none"/>
              </w:rPr>
            </w:pPr>
          </w:p>
        </w:tc>
      </w:tr>
      <w:tr w14:paraId="30F8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7DE68B27">
            <w:pPr>
              <w:spacing w:after="50" w:afterLines="0" w:line="400" w:lineRule="exact"/>
              <w:rPr>
                <w:rFonts w:hint="eastAsia" w:ascii="宋体" w:hAnsi="宋体" w:cs="宋体"/>
                <w:color w:val="auto"/>
                <w:highlight w:val="none"/>
              </w:rPr>
            </w:pPr>
          </w:p>
        </w:tc>
        <w:tc>
          <w:tcPr>
            <w:tcW w:w="1784" w:type="dxa"/>
            <w:noWrap w:val="0"/>
            <w:vAlign w:val="top"/>
          </w:tcPr>
          <w:p w14:paraId="71904894">
            <w:pPr>
              <w:spacing w:after="50" w:afterLines="0" w:line="400" w:lineRule="exact"/>
              <w:rPr>
                <w:rFonts w:hint="eastAsia" w:ascii="宋体" w:hAnsi="宋体" w:cs="宋体"/>
                <w:color w:val="auto"/>
                <w:highlight w:val="none"/>
              </w:rPr>
            </w:pPr>
          </w:p>
        </w:tc>
        <w:tc>
          <w:tcPr>
            <w:tcW w:w="1154" w:type="dxa"/>
            <w:noWrap w:val="0"/>
            <w:vAlign w:val="top"/>
          </w:tcPr>
          <w:p w14:paraId="6B9B6CA7">
            <w:pPr>
              <w:spacing w:after="50" w:afterLines="0" w:line="400" w:lineRule="exact"/>
              <w:rPr>
                <w:rFonts w:hint="eastAsia" w:ascii="宋体" w:hAnsi="宋体" w:cs="宋体"/>
                <w:color w:val="auto"/>
                <w:highlight w:val="none"/>
              </w:rPr>
            </w:pPr>
          </w:p>
        </w:tc>
        <w:tc>
          <w:tcPr>
            <w:tcW w:w="735" w:type="dxa"/>
            <w:noWrap w:val="0"/>
            <w:vAlign w:val="top"/>
          </w:tcPr>
          <w:p w14:paraId="07399BA1">
            <w:pPr>
              <w:spacing w:after="50" w:afterLines="0" w:line="400" w:lineRule="exact"/>
              <w:rPr>
                <w:rFonts w:hint="eastAsia" w:ascii="宋体" w:hAnsi="宋体" w:cs="宋体"/>
                <w:color w:val="auto"/>
                <w:highlight w:val="none"/>
              </w:rPr>
            </w:pPr>
          </w:p>
        </w:tc>
        <w:tc>
          <w:tcPr>
            <w:tcW w:w="1154" w:type="dxa"/>
            <w:noWrap w:val="0"/>
            <w:vAlign w:val="top"/>
          </w:tcPr>
          <w:p w14:paraId="0844FE7C">
            <w:pPr>
              <w:spacing w:after="50" w:afterLines="0" w:line="400" w:lineRule="exact"/>
              <w:rPr>
                <w:rFonts w:hint="eastAsia" w:ascii="宋体" w:hAnsi="宋体" w:cs="宋体"/>
                <w:color w:val="auto"/>
                <w:highlight w:val="none"/>
              </w:rPr>
            </w:pPr>
          </w:p>
        </w:tc>
        <w:tc>
          <w:tcPr>
            <w:tcW w:w="735" w:type="dxa"/>
            <w:noWrap w:val="0"/>
            <w:vAlign w:val="top"/>
          </w:tcPr>
          <w:p w14:paraId="5B641E88">
            <w:pPr>
              <w:spacing w:after="50" w:afterLines="0" w:line="400" w:lineRule="exact"/>
              <w:rPr>
                <w:rFonts w:hint="eastAsia" w:ascii="宋体" w:hAnsi="宋体" w:cs="宋体"/>
                <w:color w:val="auto"/>
                <w:highlight w:val="none"/>
              </w:rPr>
            </w:pPr>
          </w:p>
        </w:tc>
        <w:tc>
          <w:tcPr>
            <w:tcW w:w="1102" w:type="dxa"/>
            <w:noWrap w:val="0"/>
            <w:vAlign w:val="top"/>
          </w:tcPr>
          <w:p w14:paraId="3B5CFF26">
            <w:pPr>
              <w:pStyle w:val="48"/>
              <w:spacing w:after="50" w:afterLines="0" w:line="400" w:lineRule="exact"/>
              <w:rPr>
                <w:rFonts w:hint="eastAsia" w:hAnsi="宋体" w:cs="宋体"/>
                <w:color w:val="auto"/>
                <w:szCs w:val="24"/>
                <w:highlight w:val="none"/>
              </w:rPr>
            </w:pPr>
          </w:p>
        </w:tc>
        <w:tc>
          <w:tcPr>
            <w:tcW w:w="1104" w:type="dxa"/>
            <w:noWrap w:val="0"/>
            <w:vAlign w:val="top"/>
          </w:tcPr>
          <w:p w14:paraId="5531B2B1">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62423E74">
            <w:pPr>
              <w:spacing w:after="50" w:afterLines="0" w:line="400" w:lineRule="exact"/>
              <w:rPr>
                <w:rFonts w:hint="eastAsia" w:ascii="宋体" w:hAnsi="宋体" w:cs="宋体"/>
                <w:color w:val="auto"/>
                <w:highlight w:val="none"/>
              </w:rPr>
            </w:pPr>
          </w:p>
        </w:tc>
      </w:tr>
      <w:tr w14:paraId="1F44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16BFEA6B">
            <w:pPr>
              <w:spacing w:after="50" w:afterLines="0" w:line="400" w:lineRule="exact"/>
              <w:rPr>
                <w:rFonts w:hint="eastAsia" w:ascii="宋体" w:hAnsi="宋体" w:cs="宋体"/>
                <w:color w:val="auto"/>
                <w:highlight w:val="none"/>
              </w:rPr>
            </w:pPr>
          </w:p>
        </w:tc>
        <w:tc>
          <w:tcPr>
            <w:tcW w:w="1784" w:type="dxa"/>
            <w:noWrap w:val="0"/>
            <w:vAlign w:val="top"/>
          </w:tcPr>
          <w:p w14:paraId="46FD55F7">
            <w:pPr>
              <w:spacing w:after="50" w:afterLines="0" w:line="400" w:lineRule="exact"/>
              <w:rPr>
                <w:rFonts w:hint="eastAsia" w:ascii="宋体" w:hAnsi="宋体" w:cs="宋体"/>
                <w:color w:val="auto"/>
                <w:highlight w:val="none"/>
              </w:rPr>
            </w:pPr>
          </w:p>
        </w:tc>
        <w:tc>
          <w:tcPr>
            <w:tcW w:w="1154" w:type="dxa"/>
            <w:noWrap w:val="0"/>
            <w:vAlign w:val="top"/>
          </w:tcPr>
          <w:p w14:paraId="5CF99E90">
            <w:pPr>
              <w:spacing w:after="50" w:afterLines="0" w:line="400" w:lineRule="exact"/>
              <w:rPr>
                <w:rFonts w:hint="eastAsia" w:ascii="宋体" w:hAnsi="宋体" w:cs="宋体"/>
                <w:color w:val="auto"/>
                <w:highlight w:val="none"/>
              </w:rPr>
            </w:pPr>
          </w:p>
        </w:tc>
        <w:tc>
          <w:tcPr>
            <w:tcW w:w="735" w:type="dxa"/>
            <w:noWrap w:val="0"/>
            <w:vAlign w:val="top"/>
          </w:tcPr>
          <w:p w14:paraId="512D8238">
            <w:pPr>
              <w:spacing w:after="50" w:afterLines="0" w:line="400" w:lineRule="exact"/>
              <w:rPr>
                <w:rFonts w:hint="eastAsia" w:ascii="宋体" w:hAnsi="宋体" w:cs="宋体"/>
                <w:color w:val="auto"/>
                <w:highlight w:val="none"/>
              </w:rPr>
            </w:pPr>
          </w:p>
        </w:tc>
        <w:tc>
          <w:tcPr>
            <w:tcW w:w="1154" w:type="dxa"/>
            <w:noWrap w:val="0"/>
            <w:vAlign w:val="top"/>
          </w:tcPr>
          <w:p w14:paraId="76B66EAD">
            <w:pPr>
              <w:spacing w:after="50" w:afterLines="0" w:line="400" w:lineRule="exact"/>
              <w:rPr>
                <w:rFonts w:hint="eastAsia" w:ascii="宋体" w:hAnsi="宋体" w:cs="宋体"/>
                <w:color w:val="auto"/>
                <w:highlight w:val="none"/>
              </w:rPr>
            </w:pPr>
          </w:p>
        </w:tc>
        <w:tc>
          <w:tcPr>
            <w:tcW w:w="735" w:type="dxa"/>
            <w:noWrap w:val="0"/>
            <w:vAlign w:val="top"/>
          </w:tcPr>
          <w:p w14:paraId="51AC6403">
            <w:pPr>
              <w:spacing w:after="50" w:afterLines="0" w:line="400" w:lineRule="exact"/>
              <w:rPr>
                <w:rFonts w:hint="eastAsia" w:ascii="宋体" w:hAnsi="宋体" w:cs="宋体"/>
                <w:color w:val="auto"/>
                <w:highlight w:val="none"/>
              </w:rPr>
            </w:pPr>
          </w:p>
        </w:tc>
        <w:tc>
          <w:tcPr>
            <w:tcW w:w="1102" w:type="dxa"/>
            <w:noWrap w:val="0"/>
            <w:vAlign w:val="top"/>
          </w:tcPr>
          <w:p w14:paraId="21117EC6">
            <w:pPr>
              <w:pStyle w:val="48"/>
              <w:spacing w:after="50" w:afterLines="0" w:line="400" w:lineRule="exact"/>
              <w:rPr>
                <w:rFonts w:hint="eastAsia" w:hAnsi="宋体" w:cs="宋体"/>
                <w:color w:val="auto"/>
                <w:szCs w:val="24"/>
                <w:highlight w:val="none"/>
              </w:rPr>
            </w:pPr>
          </w:p>
        </w:tc>
        <w:tc>
          <w:tcPr>
            <w:tcW w:w="1104" w:type="dxa"/>
            <w:noWrap w:val="0"/>
            <w:vAlign w:val="top"/>
          </w:tcPr>
          <w:p w14:paraId="00F78B1B">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2B921C22">
            <w:pPr>
              <w:spacing w:after="50" w:afterLines="0" w:line="400" w:lineRule="exact"/>
              <w:rPr>
                <w:rFonts w:hint="eastAsia" w:ascii="宋体" w:hAnsi="宋体" w:cs="宋体"/>
                <w:color w:val="auto"/>
                <w:highlight w:val="none"/>
              </w:rPr>
            </w:pPr>
          </w:p>
        </w:tc>
      </w:tr>
    </w:tbl>
    <w:p w14:paraId="11CF13EC">
      <w:pPr>
        <w:spacing w:after="50" w:afterLines="0" w:line="400" w:lineRule="exact"/>
        <w:ind w:firstLine="482" w:firstLineChars="200"/>
        <w:rPr>
          <w:rFonts w:hint="eastAsia" w:ascii="宋体" w:hAnsi="宋体" w:cs="宋体"/>
          <w:b/>
          <w:bCs/>
          <w:color w:val="auto"/>
          <w:sz w:val="24"/>
          <w:highlight w:val="none"/>
        </w:rPr>
      </w:pPr>
    </w:p>
    <w:p w14:paraId="73EDBA29">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附表二  ⑵劳动力计划表</w:t>
      </w:r>
    </w:p>
    <w:p w14:paraId="5F2EBCD9">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劳动力计划表（格式）</w:t>
      </w:r>
    </w:p>
    <w:p w14:paraId="6594E7EA">
      <w:pPr>
        <w:spacing w:after="5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单位： 人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096"/>
        <w:gridCol w:w="1096"/>
        <w:gridCol w:w="1096"/>
        <w:gridCol w:w="1096"/>
        <w:gridCol w:w="1279"/>
        <w:gridCol w:w="1279"/>
        <w:gridCol w:w="1380"/>
      </w:tblGrid>
      <w:tr w14:paraId="4DF8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2" w:type="dxa"/>
            <w:vMerge w:val="restart"/>
            <w:noWrap w:val="0"/>
            <w:vAlign w:val="center"/>
          </w:tcPr>
          <w:p w14:paraId="0DDBEDBC">
            <w:pPr>
              <w:spacing w:after="50" w:afterLines="0" w:line="400" w:lineRule="exact"/>
              <w:rPr>
                <w:rFonts w:hint="eastAsia" w:ascii="宋体" w:hAnsi="宋体" w:cs="宋体"/>
                <w:color w:val="auto"/>
                <w:highlight w:val="none"/>
              </w:rPr>
            </w:pPr>
            <w:r>
              <w:rPr>
                <w:rFonts w:hint="eastAsia" w:ascii="宋体" w:hAnsi="宋体" w:cs="宋体"/>
                <w:color w:val="auto"/>
                <w:highlight w:val="none"/>
              </w:rPr>
              <w:t>工种</w:t>
            </w:r>
          </w:p>
        </w:tc>
        <w:tc>
          <w:tcPr>
            <w:tcW w:w="8322" w:type="dxa"/>
            <w:gridSpan w:val="7"/>
            <w:noWrap w:val="0"/>
            <w:vAlign w:val="center"/>
          </w:tcPr>
          <w:p w14:paraId="6CC97D0C">
            <w:pPr>
              <w:spacing w:after="50" w:afterLines="0" w:line="400" w:lineRule="exact"/>
              <w:rPr>
                <w:rFonts w:hint="eastAsia" w:ascii="宋体" w:hAnsi="宋体" w:cs="宋体"/>
                <w:color w:val="auto"/>
                <w:highlight w:val="none"/>
              </w:rPr>
            </w:pPr>
            <w:r>
              <w:rPr>
                <w:rFonts w:hint="eastAsia" w:ascii="宋体" w:hAnsi="宋体" w:cs="宋体"/>
                <w:color w:val="auto"/>
                <w:highlight w:val="none"/>
              </w:rPr>
              <w:t>按</w:t>
            </w:r>
            <w:r>
              <w:rPr>
                <w:rFonts w:hint="eastAsia" w:ascii="宋体" w:hAnsi="宋体" w:cs="宋体"/>
                <w:color w:val="auto"/>
                <w:szCs w:val="20"/>
                <w:highlight w:val="none"/>
              </w:rPr>
              <w:t>项目</w:t>
            </w:r>
            <w:r>
              <w:rPr>
                <w:rFonts w:hint="eastAsia" w:ascii="宋体" w:hAnsi="宋体" w:cs="宋体"/>
                <w:color w:val="auto"/>
                <w:highlight w:val="none"/>
              </w:rPr>
              <w:t>施工阶段投入劳动力情况</w:t>
            </w:r>
          </w:p>
        </w:tc>
      </w:tr>
      <w:tr w14:paraId="07C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2" w:type="dxa"/>
            <w:vMerge w:val="continue"/>
            <w:noWrap w:val="0"/>
            <w:vAlign w:val="center"/>
          </w:tcPr>
          <w:p w14:paraId="37BDB024">
            <w:pPr>
              <w:spacing w:after="50" w:afterLines="0" w:line="400" w:lineRule="exact"/>
              <w:rPr>
                <w:rFonts w:hint="eastAsia" w:ascii="宋体" w:hAnsi="宋体" w:cs="宋体"/>
                <w:color w:val="auto"/>
                <w:sz w:val="24"/>
                <w:highlight w:val="none"/>
              </w:rPr>
            </w:pPr>
          </w:p>
        </w:tc>
        <w:tc>
          <w:tcPr>
            <w:tcW w:w="1096" w:type="dxa"/>
            <w:noWrap w:val="0"/>
            <w:vAlign w:val="center"/>
          </w:tcPr>
          <w:p w14:paraId="25767970">
            <w:pPr>
              <w:spacing w:after="50" w:afterLines="0" w:line="400" w:lineRule="exact"/>
              <w:rPr>
                <w:rFonts w:hint="eastAsia" w:ascii="宋体" w:hAnsi="宋体" w:cs="宋体"/>
                <w:color w:val="auto"/>
                <w:sz w:val="24"/>
                <w:highlight w:val="none"/>
              </w:rPr>
            </w:pPr>
          </w:p>
        </w:tc>
        <w:tc>
          <w:tcPr>
            <w:tcW w:w="1096" w:type="dxa"/>
            <w:noWrap w:val="0"/>
            <w:vAlign w:val="center"/>
          </w:tcPr>
          <w:p w14:paraId="0DA38030">
            <w:pPr>
              <w:spacing w:after="50" w:afterLines="0" w:line="400" w:lineRule="exact"/>
              <w:rPr>
                <w:rFonts w:hint="eastAsia" w:ascii="宋体" w:hAnsi="宋体" w:cs="宋体"/>
                <w:color w:val="auto"/>
                <w:sz w:val="24"/>
                <w:highlight w:val="none"/>
              </w:rPr>
            </w:pPr>
          </w:p>
        </w:tc>
        <w:tc>
          <w:tcPr>
            <w:tcW w:w="1096" w:type="dxa"/>
            <w:noWrap w:val="0"/>
            <w:vAlign w:val="center"/>
          </w:tcPr>
          <w:p w14:paraId="70E503DF">
            <w:pPr>
              <w:spacing w:after="50" w:afterLines="0" w:line="400" w:lineRule="exact"/>
              <w:rPr>
                <w:rFonts w:hint="eastAsia" w:ascii="宋体" w:hAnsi="宋体" w:cs="宋体"/>
                <w:color w:val="auto"/>
                <w:sz w:val="24"/>
                <w:highlight w:val="none"/>
              </w:rPr>
            </w:pPr>
          </w:p>
        </w:tc>
        <w:tc>
          <w:tcPr>
            <w:tcW w:w="1096" w:type="dxa"/>
            <w:noWrap w:val="0"/>
            <w:vAlign w:val="center"/>
          </w:tcPr>
          <w:p w14:paraId="1A10DFFE">
            <w:pPr>
              <w:spacing w:after="50" w:afterLines="0" w:line="400" w:lineRule="exact"/>
              <w:rPr>
                <w:rFonts w:hint="eastAsia" w:ascii="宋体" w:hAnsi="宋体" w:cs="宋体"/>
                <w:color w:val="auto"/>
                <w:sz w:val="24"/>
                <w:highlight w:val="none"/>
              </w:rPr>
            </w:pPr>
          </w:p>
        </w:tc>
        <w:tc>
          <w:tcPr>
            <w:tcW w:w="1279" w:type="dxa"/>
            <w:noWrap w:val="0"/>
            <w:vAlign w:val="center"/>
          </w:tcPr>
          <w:p w14:paraId="7367EB2B">
            <w:pPr>
              <w:spacing w:after="50" w:afterLines="0" w:line="400" w:lineRule="exact"/>
              <w:rPr>
                <w:rFonts w:hint="eastAsia" w:ascii="宋体" w:hAnsi="宋体" w:cs="宋体"/>
                <w:color w:val="auto"/>
                <w:sz w:val="24"/>
                <w:highlight w:val="none"/>
              </w:rPr>
            </w:pPr>
          </w:p>
        </w:tc>
        <w:tc>
          <w:tcPr>
            <w:tcW w:w="1279" w:type="dxa"/>
            <w:noWrap w:val="0"/>
            <w:vAlign w:val="center"/>
          </w:tcPr>
          <w:p w14:paraId="6A2DDF2E">
            <w:pPr>
              <w:spacing w:after="50" w:afterLines="0" w:line="400" w:lineRule="exact"/>
              <w:rPr>
                <w:rFonts w:hint="eastAsia" w:ascii="宋体" w:hAnsi="宋体" w:cs="宋体"/>
                <w:color w:val="auto"/>
                <w:sz w:val="24"/>
                <w:highlight w:val="none"/>
              </w:rPr>
            </w:pPr>
          </w:p>
        </w:tc>
        <w:tc>
          <w:tcPr>
            <w:tcW w:w="1380" w:type="dxa"/>
            <w:noWrap w:val="0"/>
            <w:vAlign w:val="center"/>
          </w:tcPr>
          <w:p w14:paraId="0C5D86DE">
            <w:pPr>
              <w:spacing w:after="50" w:afterLines="0" w:line="400" w:lineRule="exact"/>
              <w:rPr>
                <w:rFonts w:hint="eastAsia" w:ascii="宋体" w:hAnsi="宋体" w:cs="宋体"/>
                <w:color w:val="auto"/>
                <w:sz w:val="24"/>
                <w:highlight w:val="none"/>
              </w:rPr>
            </w:pPr>
          </w:p>
        </w:tc>
      </w:tr>
      <w:tr w14:paraId="1BF3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5B66D2CB">
            <w:pPr>
              <w:spacing w:after="50" w:afterLines="0" w:line="400" w:lineRule="exact"/>
              <w:rPr>
                <w:rFonts w:hint="eastAsia" w:ascii="宋体" w:hAnsi="宋体" w:cs="宋体"/>
                <w:color w:val="auto"/>
                <w:sz w:val="24"/>
                <w:highlight w:val="none"/>
              </w:rPr>
            </w:pPr>
          </w:p>
        </w:tc>
        <w:tc>
          <w:tcPr>
            <w:tcW w:w="1096" w:type="dxa"/>
            <w:noWrap w:val="0"/>
            <w:vAlign w:val="top"/>
          </w:tcPr>
          <w:p w14:paraId="6F31BF86">
            <w:pPr>
              <w:spacing w:after="50" w:afterLines="0" w:line="400" w:lineRule="exact"/>
              <w:rPr>
                <w:rFonts w:hint="eastAsia" w:ascii="宋体" w:hAnsi="宋体" w:cs="宋体"/>
                <w:color w:val="auto"/>
                <w:sz w:val="24"/>
                <w:highlight w:val="none"/>
              </w:rPr>
            </w:pPr>
          </w:p>
        </w:tc>
        <w:tc>
          <w:tcPr>
            <w:tcW w:w="1096" w:type="dxa"/>
            <w:noWrap w:val="0"/>
            <w:vAlign w:val="top"/>
          </w:tcPr>
          <w:p w14:paraId="40C409FB">
            <w:pPr>
              <w:spacing w:after="50" w:afterLines="0" w:line="400" w:lineRule="exact"/>
              <w:rPr>
                <w:rFonts w:hint="eastAsia" w:ascii="宋体" w:hAnsi="宋体" w:cs="宋体"/>
                <w:color w:val="auto"/>
                <w:sz w:val="24"/>
                <w:highlight w:val="none"/>
              </w:rPr>
            </w:pPr>
          </w:p>
        </w:tc>
        <w:tc>
          <w:tcPr>
            <w:tcW w:w="1096" w:type="dxa"/>
            <w:noWrap w:val="0"/>
            <w:vAlign w:val="top"/>
          </w:tcPr>
          <w:p w14:paraId="081A7AFC">
            <w:pPr>
              <w:spacing w:after="50" w:afterLines="0" w:line="400" w:lineRule="exact"/>
              <w:rPr>
                <w:rFonts w:hint="eastAsia" w:ascii="宋体" w:hAnsi="宋体" w:cs="宋体"/>
                <w:color w:val="auto"/>
                <w:sz w:val="24"/>
                <w:highlight w:val="none"/>
              </w:rPr>
            </w:pPr>
          </w:p>
        </w:tc>
        <w:tc>
          <w:tcPr>
            <w:tcW w:w="1096" w:type="dxa"/>
            <w:noWrap w:val="0"/>
            <w:vAlign w:val="top"/>
          </w:tcPr>
          <w:p w14:paraId="2E69C1EE">
            <w:pPr>
              <w:spacing w:after="50" w:afterLines="0" w:line="400" w:lineRule="exact"/>
              <w:rPr>
                <w:rFonts w:hint="eastAsia" w:ascii="宋体" w:hAnsi="宋体" w:cs="宋体"/>
                <w:color w:val="auto"/>
                <w:sz w:val="24"/>
                <w:highlight w:val="none"/>
              </w:rPr>
            </w:pPr>
          </w:p>
        </w:tc>
        <w:tc>
          <w:tcPr>
            <w:tcW w:w="1279" w:type="dxa"/>
            <w:noWrap w:val="0"/>
            <w:vAlign w:val="top"/>
          </w:tcPr>
          <w:p w14:paraId="7579CA98">
            <w:pPr>
              <w:spacing w:after="50" w:afterLines="0" w:line="400" w:lineRule="exact"/>
              <w:rPr>
                <w:rFonts w:hint="eastAsia" w:ascii="宋体" w:hAnsi="宋体" w:cs="宋体"/>
                <w:color w:val="auto"/>
                <w:sz w:val="24"/>
                <w:highlight w:val="none"/>
              </w:rPr>
            </w:pPr>
          </w:p>
        </w:tc>
        <w:tc>
          <w:tcPr>
            <w:tcW w:w="1279" w:type="dxa"/>
            <w:noWrap w:val="0"/>
            <w:vAlign w:val="top"/>
          </w:tcPr>
          <w:p w14:paraId="4C98F92E">
            <w:pPr>
              <w:spacing w:after="50" w:afterLines="0" w:line="400" w:lineRule="exact"/>
              <w:rPr>
                <w:rFonts w:hint="eastAsia" w:ascii="宋体" w:hAnsi="宋体" w:cs="宋体"/>
                <w:color w:val="auto"/>
                <w:sz w:val="24"/>
                <w:highlight w:val="none"/>
              </w:rPr>
            </w:pPr>
          </w:p>
        </w:tc>
        <w:tc>
          <w:tcPr>
            <w:tcW w:w="1380" w:type="dxa"/>
            <w:noWrap w:val="0"/>
            <w:vAlign w:val="top"/>
          </w:tcPr>
          <w:p w14:paraId="1DD472D1">
            <w:pPr>
              <w:spacing w:after="50" w:afterLines="0" w:line="400" w:lineRule="exact"/>
              <w:rPr>
                <w:rFonts w:hint="eastAsia" w:ascii="宋体" w:hAnsi="宋体" w:cs="宋体"/>
                <w:color w:val="auto"/>
                <w:sz w:val="24"/>
                <w:highlight w:val="none"/>
              </w:rPr>
            </w:pPr>
          </w:p>
        </w:tc>
      </w:tr>
      <w:tr w14:paraId="062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69534087">
            <w:pPr>
              <w:spacing w:after="50" w:afterLines="0" w:line="400" w:lineRule="exact"/>
              <w:rPr>
                <w:rFonts w:hint="eastAsia" w:ascii="宋体" w:hAnsi="宋体" w:cs="宋体"/>
                <w:color w:val="auto"/>
                <w:sz w:val="24"/>
                <w:highlight w:val="none"/>
              </w:rPr>
            </w:pPr>
          </w:p>
        </w:tc>
        <w:tc>
          <w:tcPr>
            <w:tcW w:w="1096" w:type="dxa"/>
            <w:noWrap w:val="0"/>
            <w:vAlign w:val="top"/>
          </w:tcPr>
          <w:p w14:paraId="14A4EFD3">
            <w:pPr>
              <w:spacing w:after="50" w:afterLines="0" w:line="400" w:lineRule="exact"/>
              <w:rPr>
                <w:rFonts w:hint="eastAsia" w:ascii="宋体" w:hAnsi="宋体" w:cs="宋体"/>
                <w:color w:val="auto"/>
                <w:sz w:val="24"/>
                <w:highlight w:val="none"/>
              </w:rPr>
            </w:pPr>
          </w:p>
        </w:tc>
        <w:tc>
          <w:tcPr>
            <w:tcW w:w="1096" w:type="dxa"/>
            <w:noWrap w:val="0"/>
            <w:vAlign w:val="top"/>
          </w:tcPr>
          <w:p w14:paraId="1F15B2FF">
            <w:pPr>
              <w:spacing w:after="50" w:afterLines="0" w:line="400" w:lineRule="exact"/>
              <w:rPr>
                <w:rFonts w:hint="eastAsia" w:ascii="宋体" w:hAnsi="宋体" w:cs="宋体"/>
                <w:color w:val="auto"/>
                <w:sz w:val="24"/>
                <w:highlight w:val="none"/>
              </w:rPr>
            </w:pPr>
          </w:p>
        </w:tc>
        <w:tc>
          <w:tcPr>
            <w:tcW w:w="1096" w:type="dxa"/>
            <w:noWrap w:val="0"/>
            <w:vAlign w:val="top"/>
          </w:tcPr>
          <w:p w14:paraId="2E88365E">
            <w:pPr>
              <w:spacing w:after="50" w:afterLines="0" w:line="400" w:lineRule="exact"/>
              <w:rPr>
                <w:rFonts w:hint="eastAsia" w:ascii="宋体" w:hAnsi="宋体" w:cs="宋体"/>
                <w:color w:val="auto"/>
                <w:sz w:val="24"/>
                <w:highlight w:val="none"/>
              </w:rPr>
            </w:pPr>
          </w:p>
        </w:tc>
        <w:tc>
          <w:tcPr>
            <w:tcW w:w="1096" w:type="dxa"/>
            <w:noWrap w:val="0"/>
            <w:vAlign w:val="top"/>
          </w:tcPr>
          <w:p w14:paraId="169145C7">
            <w:pPr>
              <w:spacing w:after="50" w:afterLines="0" w:line="400" w:lineRule="exact"/>
              <w:rPr>
                <w:rFonts w:hint="eastAsia" w:ascii="宋体" w:hAnsi="宋体" w:cs="宋体"/>
                <w:color w:val="auto"/>
                <w:sz w:val="24"/>
                <w:highlight w:val="none"/>
              </w:rPr>
            </w:pPr>
          </w:p>
        </w:tc>
        <w:tc>
          <w:tcPr>
            <w:tcW w:w="1279" w:type="dxa"/>
            <w:noWrap w:val="0"/>
            <w:vAlign w:val="top"/>
          </w:tcPr>
          <w:p w14:paraId="4B2ED1D4">
            <w:pPr>
              <w:pStyle w:val="17"/>
              <w:tabs>
                <w:tab w:val="right" w:leader="dot" w:pos="9174"/>
              </w:tabs>
              <w:rPr>
                <w:rFonts w:hint="eastAsia" w:ascii="宋体" w:hAnsi="宋体" w:cs="宋体"/>
                <w:color w:val="auto"/>
                <w:highlight w:val="none"/>
              </w:rPr>
            </w:pPr>
          </w:p>
        </w:tc>
        <w:tc>
          <w:tcPr>
            <w:tcW w:w="1279" w:type="dxa"/>
            <w:noWrap w:val="0"/>
            <w:vAlign w:val="top"/>
          </w:tcPr>
          <w:p w14:paraId="7793B2E0">
            <w:pPr>
              <w:spacing w:after="50" w:afterLines="0" w:line="400" w:lineRule="exact"/>
              <w:rPr>
                <w:rFonts w:hint="eastAsia" w:ascii="宋体" w:hAnsi="宋体" w:cs="宋体"/>
                <w:color w:val="auto"/>
                <w:sz w:val="24"/>
                <w:highlight w:val="none"/>
              </w:rPr>
            </w:pPr>
          </w:p>
        </w:tc>
        <w:tc>
          <w:tcPr>
            <w:tcW w:w="1380" w:type="dxa"/>
            <w:noWrap w:val="0"/>
            <w:vAlign w:val="top"/>
          </w:tcPr>
          <w:p w14:paraId="61268A4E">
            <w:pPr>
              <w:spacing w:after="50" w:afterLines="0" w:line="400" w:lineRule="exact"/>
              <w:rPr>
                <w:rFonts w:hint="eastAsia" w:ascii="宋体" w:hAnsi="宋体" w:cs="宋体"/>
                <w:color w:val="auto"/>
                <w:sz w:val="24"/>
                <w:highlight w:val="none"/>
              </w:rPr>
            </w:pPr>
          </w:p>
        </w:tc>
      </w:tr>
      <w:tr w14:paraId="4EFD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04BA3F16">
            <w:pPr>
              <w:spacing w:after="50" w:afterLines="0" w:line="400" w:lineRule="exact"/>
              <w:rPr>
                <w:rFonts w:hint="eastAsia" w:ascii="宋体" w:hAnsi="宋体" w:cs="宋体"/>
                <w:color w:val="auto"/>
                <w:sz w:val="24"/>
                <w:highlight w:val="none"/>
              </w:rPr>
            </w:pPr>
          </w:p>
        </w:tc>
        <w:tc>
          <w:tcPr>
            <w:tcW w:w="1096" w:type="dxa"/>
            <w:noWrap w:val="0"/>
            <w:vAlign w:val="top"/>
          </w:tcPr>
          <w:p w14:paraId="134F315D">
            <w:pPr>
              <w:spacing w:after="50" w:afterLines="0" w:line="400" w:lineRule="exact"/>
              <w:rPr>
                <w:rFonts w:hint="eastAsia" w:ascii="宋体" w:hAnsi="宋体" w:cs="宋体"/>
                <w:color w:val="auto"/>
                <w:sz w:val="24"/>
                <w:highlight w:val="none"/>
              </w:rPr>
            </w:pPr>
          </w:p>
        </w:tc>
        <w:tc>
          <w:tcPr>
            <w:tcW w:w="1096" w:type="dxa"/>
            <w:noWrap w:val="0"/>
            <w:vAlign w:val="top"/>
          </w:tcPr>
          <w:p w14:paraId="2C37C7E5">
            <w:pPr>
              <w:spacing w:after="50" w:afterLines="0" w:line="400" w:lineRule="exact"/>
              <w:rPr>
                <w:rFonts w:hint="eastAsia" w:ascii="宋体" w:hAnsi="宋体" w:cs="宋体"/>
                <w:color w:val="auto"/>
                <w:sz w:val="24"/>
                <w:highlight w:val="none"/>
              </w:rPr>
            </w:pPr>
          </w:p>
        </w:tc>
        <w:tc>
          <w:tcPr>
            <w:tcW w:w="1096" w:type="dxa"/>
            <w:noWrap w:val="0"/>
            <w:vAlign w:val="top"/>
          </w:tcPr>
          <w:p w14:paraId="24F98CC1">
            <w:pPr>
              <w:spacing w:after="50" w:afterLines="0" w:line="400" w:lineRule="exact"/>
              <w:rPr>
                <w:rFonts w:hint="eastAsia" w:ascii="宋体" w:hAnsi="宋体" w:cs="宋体"/>
                <w:color w:val="auto"/>
                <w:sz w:val="24"/>
                <w:highlight w:val="none"/>
              </w:rPr>
            </w:pPr>
          </w:p>
        </w:tc>
        <w:tc>
          <w:tcPr>
            <w:tcW w:w="1096" w:type="dxa"/>
            <w:noWrap w:val="0"/>
            <w:vAlign w:val="top"/>
          </w:tcPr>
          <w:p w14:paraId="1BD4AD57">
            <w:pPr>
              <w:spacing w:after="50" w:afterLines="0" w:line="400" w:lineRule="exact"/>
              <w:rPr>
                <w:rFonts w:hint="eastAsia" w:ascii="宋体" w:hAnsi="宋体" w:cs="宋体"/>
                <w:color w:val="auto"/>
                <w:sz w:val="24"/>
                <w:highlight w:val="none"/>
              </w:rPr>
            </w:pPr>
          </w:p>
        </w:tc>
        <w:tc>
          <w:tcPr>
            <w:tcW w:w="1279" w:type="dxa"/>
            <w:noWrap w:val="0"/>
            <w:vAlign w:val="top"/>
          </w:tcPr>
          <w:p w14:paraId="3600DD25">
            <w:pPr>
              <w:spacing w:after="50" w:afterLines="0" w:line="400" w:lineRule="exact"/>
              <w:rPr>
                <w:rFonts w:hint="eastAsia" w:ascii="宋体" w:hAnsi="宋体" w:cs="宋体"/>
                <w:color w:val="auto"/>
                <w:sz w:val="24"/>
                <w:highlight w:val="none"/>
              </w:rPr>
            </w:pPr>
          </w:p>
        </w:tc>
        <w:tc>
          <w:tcPr>
            <w:tcW w:w="1279" w:type="dxa"/>
            <w:noWrap w:val="0"/>
            <w:vAlign w:val="top"/>
          </w:tcPr>
          <w:p w14:paraId="24429F86">
            <w:pPr>
              <w:spacing w:after="50" w:afterLines="0" w:line="400" w:lineRule="exact"/>
              <w:rPr>
                <w:rFonts w:hint="eastAsia" w:ascii="宋体" w:hAnsi="宋体" w:cs="宋体"/>
                <w:color w:val="auto"/>
                <w:sz w:val="24"/>
                <w:highlight w:val="none"/>
              </w:rPr>
            </w:pPr>
          </w:p>
        </w:tc>
        <w:tc>
          <w:tcPr>
            <w:tcW w:w="1380" w:type="dxa"/>
            <w:noWrap w:val="0"/>
            <w:vAlign w:val="top"/>
          </w:tcPr>
          <w:p w14:paraId="13F576C2">
            <w:pPr>
              <w:spacing w:after="50" w:afterLines="0" w:line="400" w:lineRule="exact"/>
              <w:rPr>
                <w:rFonts w:hint="eastAsia" w:ascii="宋体" w:hAnsi="宋体" w:cs="宋体"/>
                <w:color w:val="auto"/>
                <w:sz w:val="24"/>
                <w:highlight w:val="none"/>
              </w:rPr>
            </w:pPr>
          </w:p>
        </w:tc>
      </w:tr>
      <w:tr w14:paraId="51A4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373BCCA8">
            <w:pPr>
              <w:spacing w:after="50" w:afterLines="0" w:line="400" w:lineRule="exact"/>
              <w:rPr>
                <w:rFonts w:hint="eastAsia" w:ascii="宋体" w:hAnsi="宋体" w:cs="宋体"/>
                <w:color w:val="auto"/>
                <w:sz w:val="24"/>
                <w:highlight w:val="none"/>
              </w:rPr>
            </w:pPr>
          </w:p>
        </w:tc>
        <w:tc>
          <w:tcPr>
            <w:tcW w:w="1096" w:type="dxa"/>
            <w:noWrap w:val="0"/>
            <w:vAlign w:val="top"/>
          </w:tcPr>
          <w:p w14:paraId="00B4BE7D">
            <w:pPr>
              <w:spacing w:after="50" w:afterLines="0" w:line="400" w:lineRule="exact"/>
              <w:rPr>
                <w:rFonts w:hint="eastAsia" w:ascii="宋体" w:hAnsi="宋体" w:cs="宋体"/>
                <w:color w:val="auto"/>
                <w:sz w:val="24"/>
                <w:highlight w:val="none"/>
              </w:rPr>
            </w:pPr>
          </w:p>
        </w:tc>
        <w:tc>
          <w:tcPr>
            <w:tcW w:w="1096" w:type="dxa"/>
            <w:noWrap w:val="0"/>
            <w:vAlign w:val="top"/>
          </w:tcPr>
          <w:p w14:paraId="50A765D6">
            <w:pPr>
              <w:spacing w:after="50" w:afterLines="0" w:line="400" w:lineRule="exact"/>
              <w:rPr>
                <w:rFonts w:hint="eastAsia" w:ascii="宋体" w:hAnsi="宋体" w:cs="宋体"/>
                <w:color w:val="auto"/>
                <w:sz w:val="24"/>
                <w:highlight w:val="none"/>
              </w:rPr>
            </w:pPr>
          </w:p>
        </w:tc>
        <w:tc>
          <w:tcPr>
            <w:tcW w:w="1096" w:type="dxa"/>
            <w:noWrap w:val="0"/>
            <w:vAlign w:val="top"/>
          </w:tcPr>
          <w:p w14:paraId="73E43A32">
            <w:pPr>
              <w:spacing w:after="50" w:afterLines="0" w:line="400" w:lineRule="exact"/>
              <w:rPr>
                <w:rFonts w:hint="eastAsia" w:ascii="宋体" w:hAnsi="宋体" w:cs="宋体"/>
                <w:color w:val="auto"/>
                <w:sz w:val="24"/>
                <w:highlight w:val="none"/>
              </w:rPr>
            </w:pPr>
          </w:p>
        </w:tc>
        <w:tc>
          <w:tcPr>
            <w:tcW w:w="1096" w:type="dxa"/>
            <w:noWrap w:val="0"/>
            <w:vAlign w:val="top"/>
          </w:tcPr>
          <w:p w14:paraId="45C988A4">
            <w:pPr>
              <w:spacing w:after="50" w:afterLines="0" w:line="400" w:lineRule="exact"/>
              <w:rPr>
                <w:rFonts w:hint="eastAsia" w:ascii="宋体" w:hAnsi="宋体" w:cs="宋体"/>
                <w:color w:val="auto"/>
                <w:sz w:val="24"/>
                <w:highlight w:val="none"/>
              </w:rPr>
            </w:pPr>
          </w:p>
        </w:tc>
        <w:tc>
          <w:tcPr>
            <w:tcW w:w="1279" w:type="dxa"/>
            <w:noWrap w:val="0"/>
            <w:vAlign w:val="top"/>
          </w:tcPr>
          <w:p w14:paraId="394C8FD8">
            <w:pPr>
              <w:spacing w:after="50" w:afterLines="0" w:line="400" w:lineRule="exact"/>
              <w:rPr>
                <w:rFonts w:hint="eastAsia" w:ascii="宋体" w:hAnsi="宋体" w:cs="宋体"/>
                <w:color w:val="auto"/>
                <w:sz w:val="24"/>
                <w:highlight w:val="none"/>
              </w:rPr>
            </w:pPr>
          </w:p>
        </w:tc>
        <w:tc>
          <w:tcPr>
            <w:tcW w:w="1279" w:type="dxa"/>
            <w:noWrap w:val="0"/>
            <w:vAlign w:val="top"/>
          </w:tcPr>
          <w:p w14:paraId="25683B4A">
            <w:pPr>
              <w:spacing w:after="50" w:afterLines="0" w:line="400" w:lineRule="exact"/>
              <w:rPr>
                <w:rFonts w:hint="eastAsia" w:ascii="宋体" w:hAnsi="宋体" w:cs="宋体"/>
                <w:color w:val="auto"/>
                <w:sz w:val="24"/>
                <w:highlight w:val="none"/>
              </w:rPr>
            </w:pPr>
          </w:p>
        </w:tc>
        <w:tc>
          <w:tcPr>
            <w:tcW w:w="1380" w:type="dxa"/>
            <w:noWrap w:val="0"/>
            <w:vAlign w:val="top"/>
          </w:tcPr>
          <w:p w14:paraId="1A91687F">
            <w:pPr>
              <w:spacing w:after="50" w:afterLines="0" w:line="400" w:lineRule="exact"/>
              <w:rPr>
                <w:rFonts w:hint="eastAsia" w:ascii="宋体" w:hAnsi="宋体" w:cs="宋体"/>
                <w:color w:val="auto"/>
                <w:sz w:val="24"/>
                <w:highlight w:val="none"/>
              </w:rPr>
            </w:pPr>
          </w:p>
        </w:tc>
      </w:tr>
      <w:tr w14:paraId="0E01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60CBC781">
            <w:pPr>
              <w:spacing w:after="50" w:afterLines="0" w:line="400" w:lineRule="exact"/>
              <w:rPr>
                <w:rFonts w:hint="eastAsia" w:ascii="宋体" w:hAnsi="宋体" w:cs="宋体"/>
                <w:color w:val="auto"/>
                <w:sz w:val="24"/>
                <w:highlight w:val="none"/>
              </w:rPr>
            </w:pPr>
          </w:p>
        </w:tc>
        <w:tc>
          <w:tcPr>
            <w:tcW w:w="1096" w:type="dxa"/>
            <w:noWrap w:val="0"/>
            <w:vAlign w:val="top"/>
          </w:tcPr>
          <w:p w14:paraId="415FE30A">
            <w:pPr>
              <w:spacing w:after="50" w:afterLines="0" w:line="400" w:lineRule="exact"/>
              <w:rPr>
                <w:rFonts w:hint="eastAsia" w:ascii="宋体" w:hAnsi="宋体" w:cs="宋体"/>
                <w:color w:val="auto"/>
                <w:sz w:val="24"/>
                <w:highlight w:val="none"/>
              </w:rPr>
            </w:pPr>
          </w:p>
        </w:tc>
        <w:tc>
          <w:tcPr>
            <w:tcW w:w="1096" w:type="dxa"/>
            <w:noWrap w:val="0"/>
            <w:vAlign w:val="top"/>
          </w:tcPr>
          <w:p w14:paraId="6C2550C0">
            <w:pPr>
              <w:spacing w:after="50" w:afterLines="0" w:line="400" w:lineRule="exact"/>
              <w:rPr>
                <w:rFonts w:hint="eastAsia" w:ascii="宋体" w:hAnsi="宋体" w:cs="宋体"/>
                <w:color w:val="auto"/>
                <w:sz w:val="24"/>
                <w:highlight w:val="none"/>
              </w:rPr>
            </w:pPr>
          </w:p>
        </w:tc>
        <w:tc>
          <w:tcPr>
            <w:tcW w:w="1096" w:type="dxa"/>
            <w:noWrap w:val="0"/>
            <w:vAlign w:val="top"/>
          </w:tcPr>
          <w:p w14:paraId="589A88B3">
            <w:pPr>
              <w:spacing w:after="50" w:afterLines="0" w:line="400" w:lineRule="exact"/>
              <w:rPr>
                <w:rFonts w:hint="eastAsia" w:ascii="宋体" w:hAnsi="宋体" w:cs="宋体"/>
                <w:color w:val="auto"/>
                <w:sz w:val="24"/>
                <w:highlight w:val="none"/>
              </w:rPr>
            </w:pPr>
          </w:p>
        </w:tc>
        <w:tc>
          <w:tcPr>
            <w:tcW w:w="1096" w:type="dxa"/>
            <w:noWrap w:val="0"/>
            <w:vAlign w:val="top"/>
          </w:tcPr>
          <w:p w14:paraId="147F67F2">
            <w:pPr>
              <w:spacing w:after="50" w:afterLines="0" w:line="400" w:lineRule="exact"/>
              <w:rPr>
                <w:rFonts w:hint="eastAsia" w:ascii="宋体" w:hAnsi="宋体" w:cs="宋体"/>
                <w:color w:val="auto"/>
                <w:sz w:val="24"/>
                <w:highlight w:val="none"/>
              </w:rPr>
            </w:pPr>
          </w:p>
        </w:tc>
        <w:tc>
          <w:tcPr>
            <w:tcW w:w="1279" w:type="dxa"/>
            <w:noWrap w:val="0"/>
            <w:vAlign w:val="top"/>
          </w:tcPr>
          <w:p w14:paraId="669FF8A4">
            <w:pPr>
              <w:spacing w:after="50" w:afterLines="0" w:line="400" w:lineRule="exact"/>
              <w:rPr>
                <w:rFonts w:hint="eastAsia" w:ascii="宋体" w:hAnsi="宋体" w:cs="宋体"/>
                <w:color w:val="auto"/>
                <w:sz w:val="24"/>
                <w:highlight w:val="none"/>
              </w:rPr>
            </w:pPr>
          </w:p>
        </w:tc>
        <w:tc>
          <w:tcPr>
            <w:tcW w:w="1279" w:type="dxa"/>
            <w:noWrap w:val="0"/>
            <w:vAlign w:val="top"/>
          </w:tcPr>
          <w:p w14:paraId="318F10A4">
            <w:pPr>
              <w:spacing w:after="50" w:afterLines="0" w:line="400" w:lineRule="exact"/>
              <w:rPr>
                <w:rFonts w:hint="eastAsia" w:ascii="宋体" w:hAnsi="宋体" w:cs="宋体"/>
                <w:color w:val="auto"/>
                <w:sz w:val="24"/>
                <w:highlight w:val="none"/>
              </w:rPr>
            </w:pPr>
          </w:p>
        </w:tc>
        <w:tc>
          <w:tcPr>
            <w:tcW w:w="1380" w:type="dxa"/>
            <w:noWrap w:val="0"/>
            <w:vAlign w:val="top"/>
          </w:tcPr>
          <w:p w14:paraId="50B5C48A">
            <w:pPr>
              <w:spacing w:after="50" w:afterLines="0" w:line="400" w:lineRule="exact"/>
              <w:rPr>
                <w:rFonts w:hint="eastAsia" w:ascii="宋体" w:hAnsi="宋体" w:cs="宋体"/>
                <w:color w:val="auto"/>
                <w:sz w:val="24"/>
                <w:highlight w:val="none"/>
              </w:rPr>
            </w:pPr>
          </w:p>
        </w:tc>
      </w:tr>
    </w:tbl>
    <w:p w14:paraId="6398C762">
      <w:pPr>
        <w:spacing w:after="50" w:afterLines="0" w:line="40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注：1.供应商应按所列格式提交包括分包人在内的估计劳动力计划表。</w:t>
      </w:r>
    </w:p>
    <w:p w14:paraId="5B336E78">
      <w:pPr>
        <w:numPr>
          <w:ilvl w:val="0"/>
          <w:numId w:val="14"/>
        </w:numPr>
        <w:spacing w:after="50" w:afterLines="0" w:line="400" w:lineRule="exact"/>
        <w:ind w:firstLine="424" w:firstLineChars="200"/>
        <w:rPr>
          <w:rFonts w:hint="eastAsia" w:ascii="宋体" w:hAnsi="宋体" w:cs="宋体"/>
          <w:snapToGrid w:val="0"/>
          <w:color w:val="auto"/>
          <w:highlight w:val="none"/>
        </w:rPr>
      </w:pPr>
      <w:r>
        <w:rPr>
          <w:rFonts w:hint="eastAsia" w:ascii="宋体" w:hAnsi="宋体" w:cs="宋体"/>
          <w:snapToGrid w:val="0"/>
          <w:color w:val="auto"/>
          <w:spacing w:val="1"/>
          <w:highlight w:val="none"/>
        </w:rPr>
        <w:t>本计划表是以每班八小时工作制为基础编制</w:t>
      </w:r>
      <w:r>
        <w:rPr>
          <w:rFonts w:hint="eastAsia" w:ascii="宋体" w:hAnsi="宋体" w:cs="宋体"/>
          <w:snapToGrid w:val="0"/>
          <w:color w:val="auto"/>
          <w:spacing w:val="-7"/>
          <w:highlight w:val="none"/>
        </w:rPr>
        <w:t>的</w:t>
      </w:r>
      <w:r>
        <w:rPr>
          <w:rFonts w:hint="eastAsia" w:ascii="宋体" w:hAnsi="宋体" w:cs="宋体"/>
          <w:snapToGrid w:val="0"/>
          <w:color w:val="auto"/>
          <w:highlight w:val="none"/>
        </w:rPr>
        <w:t>。</w:t>
      </w:r>
    </w:p>
    <w:p w14:paraId="611531E4">
      <w:pPr>
        <w:spacing w:after="50" w:afterLines="0" w:line="400" w:lineRule="exact"/>
        <w:ind w:firstLine="482" w:firstLineChars="200"/>
        <w:rPr>
          <w:rFonts w:hint="eastAsia" w:ascii="宋体" w:hAnsi="宋体" w:cs="宋体"/>
          <w:b/>
          <w:snapToGrid w:val="0"/>
          <w:color w:val="auto"/>
          <w:sz w:val="24"/>
          <w:highlight w:val="none"/>
        </w:rPr>
      </w:pPr>
    </w:p>
    <w:p w14:paraId="6B7B2510">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snapToGrid w:val="0"/>
          <w:color w:val="auto"/>
          <w:sz w:val="24"/>
          <w:highlight w:val="none"/>
        </w:rPr>
        <w:t>附表三  ⑶</w:t>
      </w:r>
      <w:r>
        <w:rPr>
          <w:rFonts w:hint="eastAsia" w:ascii="宋体" w:hAnsi="宋体" w:cs="宋体"/>
          <w:b/>
          <w:bCs/>
          <w:color w:val="auto"/>
          <w:sz w:val="24"/>
          <w:highlight w:val="none"/>
        </w:rPr>
        <w:t>计划开、竣工日期和施工进度横道图</w:t>
      </w:r>
    </w:p>
    <w:p w14:paraId="402ED6EB">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1.供应商应提交施工进度横道图或施工进度表，说明按竞争性磋商采购文件要求的工期进行施工的各个关键日期。成交的供应商还应按合同条件有关条款的要求提交详细的施工进度计划。</w:t>
      </w:r>
    </w:p>
    <w:p w14:paraId="5C3A14BA">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2.施工进度表可采用横道图表示，说明计划开工日期和各分项工程各阶段的完工日期和分包合同签订的日期。</w:t>
      </w:r>
    </w:p>
    <w:p w14:paraId="25F59F1E">
      <w:pPr>
        <w:spacing w:after="156" w:afterLines="50" w:line="400" w:lineRule="exact"/>
        <w:ind w:firstLine="420" w:firstLineChars="200"/>
        <w:rPr>
          <w:rFonts w:hint="eastAsia" w:ascii="宋体" w:hAnsi="宋体" w:cs="宋体"/>
          <w:b/>
          <w:bCs/>
          <w:color w:val="auto"/>
          <w:sz w:val="24"/>
          <w:highlight w:val="none"/>
        </w:rPr>
      </w:pPr>
      <w:r>
        <w:rPr>
          <w:rFonts w:hint="eastAsia" w:ascii="宋体" w:hAnsi="宋体" w:cs="宋体"/>
          <w:color w:val="auto"/>
          <w:highlight w:val="none"/>
        </w:rPr>
        <w:t>3.施工进度计划应与施工组织设计相适应。</w:t>
      </w:r>
    </w:p>
    <w:p w14:paraId="12F41568">
      <w:pPr>
        <w:spacing w:after="50" w:afterLines="0" w:line="40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附表四  ⑷施工总平面图</w:t>
      </w:r>
    </w:p>
    <w:p w14:paraId="00FF8813">
      <w:pPr>
        <w:pStyle w:val="18"/>
        <w:ind w:firstLine="420" w:firstLineChars="200"/>
        <w:rPr>
          <w:rFonts w:hint="eastAsia" w:ascii="宋体" w:hAnsi="宋体" w:cs="宋体"/>
          <w:b/>
          <w:bCs/>
          <w:color w:val="auto"/>
          <w:sz w:val="24"/>
          <w:highlight w:val="none"/>
        </w:rPr>
      </w:pPr>
      <w:r>
        <w:rPr>
          <w:rFonts w:hint="eastAsia" w:hAnsi="宋体" w:cs="宋体"/>
          <w:color w:val="auto"/>
          <w:highlight w:val="none"/>
        </w:rPr>
        <w:t>供应商应提交一份施工总平面图，绘出现场临时设施布置图表并附文字说明，说明临时设施、加工车间、现场办公、设备及仓储、供电、供水、卫生、生活等设施的情况和布置。</w:t>
      </w:r>
    </w:p>
    <w:p w14:paraId="6E9973B5">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附表五  ⑸临时用地表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366"/>
        <w:gridCol w:w="2336"/>
        <w:gridCol w:w="2336"/>
      </w:tblGrid>
      <w:tr w14:paraId="1746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35" w:type="dxa"/>
            <w:noWrap w:val="0"/>
            <w:vAlign w:val="center"/>
          </w:tcPr>
          <w:p w14:paraId="08B63377">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用 途</w:t>
            </w:r>
          </w:p>
        </w:tc>
        <w:tc>
          <w:tcPr>
            <w:tcW w:w="2366" w:type="dxa"/>
            <w:noWrap w:val="0"/>
            <w:vAlign w:val="center"/>
          </w:tcPr>
          <w:p w14:paraId="2762843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面 积（平方米）</w:t>
            </w:r>
          </w:p>
        </w:tc>
        <w:tc>
          <w:tcPr>
            <w:tcW w:w="2336" w:type="dxa"/>
            <w:noWrap w:val="0"/>
            <w:vAlign w:val="center"/>
          </w:tcPr>
          <w:p w14:paraId="2880CE0B">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位 置</w:t>
            </w:r>
          </w:p>
        </w:tc>
        <w:tc>
          <w:tcPr>
            <w:tcW w:w="2336" w:type="dxa"/>
            <w:noWrap w:val="0"/>
            <w:vAlign w:val="center"/>
          </w:tcPr>
          <w:p w14:paraId="43F8076F">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需用时间</w:t>
            </w:r>
          </w:p>
        </w:tc>
      </w:tr>
      <w:tr w14:paraId="0A6F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52ED747E">
            <w:pPr>
              <w:spacing w:after="50" w:afterLines="0" w:line="400" w:lineRule="exact"/>
              <w:rPr>
                <w:rFonts w:hint="eastAsia" w:ascii="宋体" w:hAnsi="宋体" w:cs="宋体"/>
                <w:color w:val="auto"/>
                <w:highlight w:val="none"/>
              </w:rPr>
            </w:pPr>
          </w:p>
        </w:tc>
        <w:tc>
          <w:tcPr>
            <w:tcW w:w="2366" w:type="dxa"/>
            <w:noWrap w:val="0"/>
            <w:vAlign w:val="center"/>
          </w:tcPr>
          <w:p w14:paraId="6B6CEA32">
            <w:pPr>
              <w:spacing w:after="50" w:afterLines="0" w:line="400" w:lineRule="exact"/>
              <w:rPr>
                <w:rFonts w:hint="eastAsia" w:ascii="宋体" w:hAnsi="宋体" w:cs="宋体"/>
                <w:color w:val="auto"/>
                <w:highlight w:val="none"/>
              </w:rPr>
            </w:pPr>
          </w:p>
        </w:tc>
        <w:tc>
          <w:tcPr>
            <w:tcW w:w="2336" w:type="dxa"/>
            <w:noWrap w:val="0"/>
            <w:vAlign w:val="center"/>
          </w:tcPr>
          <w:p w14:paraId="6046B98D">
            <w:pPr>
              <w:spacing w:after="50" w:afterLines="0" w:line="400" w:lineRule="exact"/>
              <w:rPr>
                <w:rFonts w:hint="eastAsia" w:ascii="宋体" w:hAnsi="宋体" w:cs="宋体"/>
                <w:color w:val="auto"/>
                <w:highlight w:val="none"/>
              </w:rPr>
            </w:pPr>
          </w:p>
        </w:tc>
        <w:tc>
          <w:tcPr>
            <w:tcW w:w="2336" w:type="dxa"/>
            <w:noWrap w:val="0"/>
            <w:vAlign w:val="center"/>
          </w:tcPr>
          <w:p w14:paraId="426D74C8">
            <w:pPr>
              <w:spacing w:after="50" w:afterLines="0" w:line="400" w:lineRule="exact"/>
              <w:rPr>
                <w:rFonts w:hint="eastAsia" w:ascii="宋体" w:hAnsi="宋体" w:cs="宋体"/>
                <w:color w:val="auto"/>
                <w:highlight w:val="none"/>
              </w:rPr>
            </w:pPr>
          </w:p>
        </w:tc>
      </w:tr>
      <w:tr w14:paraId="2C38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41145577">
            <w:pPr>
              <w:spacing w:after="50" w:afterLines="0" w:line="400" w:lineRule="exact"/>
              <w:rPr>
                <w:rFonts w:hint="eastAsia" w:ascii="宋体" w:hAnsi="宋体" w:cs="宋体"/>
                <w:color w:val="auto"/>
                <w:highlight w:val="none"/>
              </w:rPr>
            </w:pPr>
          </w:p>
        </w:tc>
        <w:tc>
          <w:tcPr>
            <w:tcW w:w="2366" w:type="dxa"/>
            <w:noWrap w:val="0"/>
            <w:vAlign w:val="center"/>
          </w:tcPr>
          <w:p w14:paraId="63A64211">
            <w:pPr>
              <w:spacing w:after="50" w:afterLines="0" w:line="400" w:lineRule="exact"/>
              <w:rPr>
                <w:rFonts w:hint="eastAsia" w:ascii="宋体" w:hAnsi="宋体" w:cs="宋体"/>
                <w:color w:val="auto"/>
                <w:highlight w:val="none"/>
              </w:rPr>
            </w:pPr>
          </w:p>
        </w:tc>
        <w:tc>
          <w:tcPr>
            <w:tcW w:w="2336" w:type="dxa"/>
            <w:noWrap w:val="0"/>
            <w:vAlign w:val="center"/>
          </w:tcPr>
          <w:p w14:paraId="09324CFB">
            <w:pPr>
              <w:spacing w:after="50" w:afterLines="0" w:line="400" w:lineRule="exact"/>
              <w:rPr>
                <w:rFonts w:hint="eastAsia" w:ascii="宋体" w:hAnsi="宋体" w:cs="宋体"/>
                <w:color w:val="auto"/>
                <w:highlight w:val="none"/>
              </w:rPr>
            </w:pPr>
          </w:p>
        </w:tc>
        <w:tc>
          <w:tcPr>
            <w:tcW w:w="2336" w:type="dxa"/>
            <w:noWrap w:val="0"/>
            <w:vAlign w:val="center"/>
          </w:tcPr>
          <w:p w14:paraId="120321DB">
            <w:pPr>
              <w:spacing w:after="50" w:afterLines="0" w:line="400" w:lineRule="exact"/>
              <w:rPr>
                <w:rFonts w:hint="eastAsia" w:ascii="宋体" w:hAnsi="宋体" w:cs="宋体"/>
                <w:color w:val="auto"/>
                <w:highlight w:val="none"/>
              </w:rPr>
            </w:pPr>
          </w:p>
        </w:tc>
      </w:tr>
      <w:tr w14:paraId="7065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04AC3647">
            <w:pPr>
              <w:spacing w:after="50" w:afterLines="0" w:line="400" w:lineRule="exact"/>
              <w:rPr>
                <w:rFonts w:hint="eastAsia" w:ascii="宋体" w:hAnsi="宋体" w:cs="宋体"/>
                <w:color w:val="auto"/>
                <w:highlight w:val="none"/>
              </w:rPr>
            </w:pPr>
          </w:p>
        </w:tc>
        <w:tc>
          <w:tcPr>
            <w:tcW w:w="2366" w:type="dxa"/>
            <w:noWrap w:val="0"/>
            <w:vAlign w:val="center"/>
          </w:tcPr>
          <w:p w14:paraId="16C31A53">
            <w:pPr>
              <w:spacing w:after="50" w:afterLines="0" w:line="400" w:lineRule="exact"/>
              <w:rPr>
                <w:rFonts w:hint="eastAsia" w:ascii="宋体" w:hAnsi="宋体" w:cs="宋体"/>
                <w:color w:val="auto"/>
                <w:highlight w:val="none"/>
              </w:rPr>
            </w:pPr>
          </w:p>
        </w:tc>
        <w:tc>
          <w:tcPr>
            <w:tcW w:w="2336" w:type="dxa"/>
            <w:noWrap w:val="0"/>
            <w:vAlign w:val="center"/>
          </w:tcPr>
          <w:p w14:paraId="307202B0">
            <w:pPr>
              <w:spacing w:after="50" w:afterLines="0" w:line="400" w:lineRule="exact"/>
              <w:rPr>
                <w:rFonts w:hint="eastAsia" w:ascii="宋体" w:hAnsi="宋体" w:cs="宋体"/>
                <w:color w:val="auto"/>
                <w:highlight w:val="none"/>
              </w:rPr>
            </w:pPr>
          </w:p>
        </w:tc>
        <w:tc>
          <w:tcPr>
            <w:tcW w:w="2336" w:type="dxa"/>
            <w:noWrap w:val="0"/>
            <w:vAlign w:val="center"/>
          </w:tcPr>
          <w:p w14:paraId="385DA785">
            <w:pPr>
              <w:spacing w:after="50" w:afterLines="0" w:line="400" w:lineRule="exact"/>
              <w:rPr>
                <w:rFonts w:hint="eastAsia" w:ascii="宋体" w:hAnsi="宋体" w:cs="宋体"/>
                <w:color w:val="auto"/>
                <w:highlight w:val="none"/>
              </w:rPr>
            </w:pPr>
          </w:p>
        </w:tc>
      </w:tr>
      <w:tr w14:paraId="0ABA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335" w:type="dxa"/>
            <w:noWrap w:val="0"/>
            <w:vAlign w:val="center"/>
          </w:tcPr>
          <w:p w14:paraId="4067C9E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合 计</w:t>
            </w:r>
          </w:p>
        </w:tc>
        <w:tc>
          <w:tcPr>
            <w:tcW w:w="2366" w:type="dxa"/>
            <w:noWrap w:val="0"/>
            <w:vAlign w:val="center"/>
          </w:tcPr>
          <w:p w14:paraId="630A8257">
            <w:pPr>
              <w:spacing w:after="50" w:afterLines="0" w:line="400" w:lineRule="exact"/>
              <w:rPr>
                <w:rFonts w:hint="eastAsia" w:ascii="宋体" w:hAnsi="宋体" w:cs="宋体"/>
                <w:color w:val="auto"/>
                <w:highlight w:val="none"/>
              </w:rPr>
            </w:pPr>
          </w:p>
        </w:tc>
        <w:tc>
          <w:tcPr>
            <w:tcW w:w="2336" w:type="dxa"/>
            <w:noWrap w:val="0"/>
            <w:vAlign w:val="center"/>
          </w:tcPr>
          <w:p w14:paraId="55C04666">
            <w:pPr>
              <w:spacing w:after="50" w:afterLines="0" w:line="400" w:lineRule="exact"/>
              <w:rPr>
                <w:rFonts w:hint="eastAsia" w:ascii="宋体" w:hAnsi="宋体" w:cs="宋体"/>
                <w:color w:val="auto"/>
                <w:highlight w:val="none"/>
              </w:rPr>
            </w:pPr>
          </w:p>
        </w:tc>
        <w:tc>
          <w:tcPr>
            <w:tcW w:w="2336" w:type="dxa"/>
            <w:noWrap w:val="0"/>
            <w:vAlign w:val="center"/>
          </w:tcPr>
          <w:p w14:paraId="417715FE">
            <w:pPr>
              <w:spacing w:after="50" w:afterLines="0" w:line="400" w:lineRule="exact"/>
              <w:rPr>
                <w:rFonts w:hint="eastAsia" w:ascii="宋体" w:hAnsi="宋体" w:cs="宋体"/>
                <w:color w:val="auto"/>
                <w:highlight w:val="none"/>
              </w:rPr>
            </w:pPr>
          </w:p>
        </w:tc>
      </w:tr>
    </w:tbl>
    <w:p w14:paraId="52C2AB2F">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注：1.供应商应逐项填写本表，指出全部临时设施用地面积以及详细用途。</w:t>
      </w:r>
    </w:p>
    <w:p w14:paraId="20FC19AD">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2.若本表不够，可加附页。</w:t>
      </w:r>
    </w:p>
    <w:p w14:paraId="2C8D83FD">
      <w:pPr>
        <w:shd w:val="clear" w:color="auto" w:fill="FFFFFF"/>
        <w:jc w:val="both"/>
        <w:rPr>
          <w:rFonts w:hint="eastAsia" w:ascii="宋体" w:hAnsi="宋体" w:eastAsia="宋体" w:cs="宋体"/>
          <w:b/>
          <w:bCs/>
          <w:color w:val="auto"/>
          <w:sz w:val="24"/>
          <w:highlight w:val="none"/>
        </w:rPr>
        <w:sectPr>
          <w:headerReference r:id="rId7" w:type="default"/>
          <w:footerReference r:id="rId8" w:type="default"/>
          <w:pgSz w:w="11906" w:h="16838"/>
          <w:pgMar w:top="1758" w:right="1304" w:bottom="1021" w:left="1304" w:header="1247" w:footer="850" w:gutter="0"/>
          <w:pgNumType w:fmt="decimal"/>
          <w:cols w:space="720" w:num="1"/>
          <w:docGrid w:type="lines" w:linePitch="320" w:charSpace="0"/>
        </w:sectPr>
      </w:pPr>
    </w:p>
    <w:p w14:paraId="32E6A045">
      <w:pPr>
        <w:shd w:val="clear" w:color="auto" w:fill="FFFFFF"/>
        <w:ind w:firstLine="482" w:firstLineChars="200"/>
        <w:jc w:val="both"/>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4.项目管理机构及人员配备</w:t>
      </w:r>
    </w:p>
    <w:p w14:paraId="6F19877E">
      <w:pPr>
        <w:ind w:firstLine="482" w:firstLineChars="200"/>
        <w:jc w:val="center"/>
        <w:rPr>
          <w:rFonts w:hint="eastAsia" w:ascii="宋体" w:hAnsi="宋体" w:cs="宋体"/>
          <w:b/>
          <w:color w:val="auto"/>
          <w:sz w:val="24"/>
          <w:highlight w:val="none"/>
        </w:rPr>
      </w:pPr>
    </w:p>
    <w:p w14:paraId="21080695">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项目管理机构配备情况表（格式）</w:t>
      </w:r>
    </w:p>
    <w:tbl>
      <w:tblPr>
        <w:tblStyle w:val="22"/>
        <w:tblW w:w="0" w:type="auto"/>
        <w:jc w:val="center"/>
        <w:tblLayout w:type="fixed"/>
        <w:tblCellMar>
          <w:top w:w="0" w:type="dxa"/>
          <w:left w:w="0" w:type="dxa"/>
          <w:bottom w:w="0" w:type="dxa"/>
          <w:right w:w="0" w:type="dxa"/>
        </w:tblCellMar>
      </w:tblPr>
      <w:tblGrid>
        <w:gridCol w:w="2835"/>
        <w:gridCol w:w="899"/>
        <w:gridCol w:w="751"/>
        <w:gridCol w:w="619"/>
        <w:gridCol w:w="708"/>
        <w:gridCol w:w="744"/>
        <w:gridCol w:w="1173"/>
        <w:gridCol w:w="735"/>
        <w:gridCol w:w="881"/>
      </w:tblGrid>
      <w:tr w14:paraId="54F1EEF2">
        <w:tblPrEx>
          <w:tblCellMar>
            <w:top w:w="0" w:type="dxa"/>
            <w:left w:w="0" w:type="dxa"/>
            <w:bottom w:w="0" w:type="dxa"/>
            <w:right w:w="0" w:type="dxa"/>
          </w:tblCellMar>
        </w:tblPrEx>
        <w:trPr>
          <w:trHeight w:val="1419"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4B1EF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工作岗位名称</w:t>
            </w:r>
          </w:p>
        </w:tc>
        <w:tc>
          <w:tcPr>
            <w:tcW w:w="8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C22CA42">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75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ACB83E">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6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3B83C68">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工作职责</w:t>
            </w:r>
          </w:p>
        </w:tc>
        <w:tc>
          <w:tcPr>
            <w:tcW w:w="70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0F6595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A036F5">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专  业</w:t>
            </w:r>
          </w:p>
        </w:tc>
        <w:tc>
          <w:tcPr>
            <w:tcW w:w="11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E2CDC74">
            <w:pPr>
              <w:adjustRightInd w:val="0"/>
              <w:spacing w:line="32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相关证书名称及编号</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33A41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相关工作年限</w:t>
            </w: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E84144">
            <w:pPr>
              <w:adjustRightInd w:val="0"/>
              <w:spacing w:line="3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工作</w:t>
            </w:r>
          </w:p>
          <w:p w14:paraId="270E27FC">
            <w:pPr>
              <w:adjustRightInd w:val="0"/>
              <w:spacing w:line="3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简历</w:t>
            </w:r>
          </w:p>
        </w:tc>
      </w:tr>
      <w:tr w14:paraId="49FAEE0D">
        <w:tblPrEx>
          <w:tblCellMar>
            <w:top w:w="0" w:type="dxa"/>
            <w:left w:w="0" w:type="dxa"/>
            <w:bottom w:w="0" w:type="dxa"/>
            <w:right w:w="0" w:type="dxa"/>
          </w:tblCellMar>
        </w:tblPrEx>
        <w:trPr>
          <w:trHeight w:val="698" w:hRule="exact"/>
          <w:jc w:val="center"/>
        </w:trPr>
        <w:tc>
          <w:tcPr>
            <w:tcW w:w="28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16860E">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1、项目经理</w:t>
            </w:r>
          </w:p>
        </w:tc>
        <w:tc>
          <w:tcPr>
            <w:tcW w:w="8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9B1906">
            <w:pPr>
              <w:adjustRightInd w:val="0"/>
              <w:spacing w:line="320" w:lineRule="exact"/>
              <w:rPr>
                <w:rFonts w:hint="eastAsia" w:ascii="宋体" w:hAnsi="宋体" w:cs="宋体"/>
                <w:color w:val="auto"/>
                <w:szCs w:val="21"/>
                <w:highlight w:val="none"/>
              </w:rPr>
            </w:pPr>
          </w:p>
        </w:tc>
        <w:tc>
          <w:tcPr>
            <w:tcW w:w="7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6AFB73">
            <w:pPr>
              <w:adjustRightInd w:val="0"/>
              <w:spacing w:line="320" w:lineRule="exact"/>
              <w:rPr>
                <w:rFonts w:hint="eastAsia" w:ascii="宋体" w:hAnsi="宋体" w:cs="宋体"/>
                <w:color w:val="auto"/>
                <w:szCs w:val="21"/>
                <w:highlight w:val="none"/>
              </w:rPr>
            </w:pPr>
          </w:p>
        </w:tc>
        <w:tc>
          <w:tcPr>
            <w:tcW w:w="6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5F57BD">
            <w:pPr>
              <w:adjustRightInd w:val="0"/>
              <w:spacing w:line="320" w:lineRule="exact"/>
              <w:rPr>
                <w:rFonts w:hint="eastAsia" w:ascii="宋体" w:hAnsi="宋体" w:cs="宋体"/>
                <w:color w:val="auto"/>
                <w:szCs w:val="21"/>
                <w:highlight w:val="none"/>
              </w:rPr>
            </w:pPr>
          </w:p>
        </w:tc>
        <w:tc>
          <w:tcPr>
            <w:tcW w:w="70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9D5841">
            <w:pPr>
              <w:adjustRightInd w:val="0"/>
              <w:spacing w:line="320" w:lineRule="exact"/>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B91D83">
            <w:pPr>
              <w:adjustRightInd w:val="0"/>
              <w:spacing w:line="320" w:lineRule="exact"/>
              <w:rPr>
                <w:rFonts w:hint="eastAsia" w:ascii="宋体" w:hAnsi="宋体" w:cs="宋体"/>
                <w:color w:val="auto"/>
                <w:szCs w:val="21"/>
                <w:highlight w:val="none"/>
              </w:rPr>
            </w:pPr>
          </w:p>
        </w:tc>
        <w:tc>
          <w:tcPr>
            <w:tcW w:w="11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6B7161C">
            <w:pPr>
              <w:adjustRightInd w:val="0"/>
              <w:spacing w:line="320" w:lineRule="exact"/>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F33B170">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F766E7">
            <w:pPr>
              <w:adjustRightInd w:val="0"/>
              <w:spacing w:line="320" w:lineRule="exact"/>
              <w:rPr>
                <w:rFonts w:hint="eastAsia" w:ascii="宋体" w:hAnsi="宋体" w:cs="宋体"/>
                <w:color w:val="auto"/>
                <w:szCs w:val="21"/>
                <w:highlight w:val="none"/>
              </w:rPr>
            </w:pPr>
          </w:p>
        </w:tc>
      </w:tr>
      <w:tr w14:paraId="0A8A95E2">
        <w:tblPrEx>
          <w:tblCellMar>
            <w:top w:w="0" w:type="dxa"/>
            <w:left w:w="0" w:type="dxa"/>
            <w:bottom w:w="0" w:type="dxa"/>
            <w:right w:w="0" w:type="dxa"/>
          </w:tblCellMar>
        </w:tblPrEx>
        <w:trPr>
          <w:trHeight w:val="698" w:hRule="exact"/>
          <w:jc w:val="center"/>
        </w:trPr>
        <w:tc>
          <w:tcPr>
            <w:tcW w:w="28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FE3C85">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p>
        </w:tc>
        <w:tc>
          <w:tcPr>
            <w:tcW w:w="8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BA905D">
            <w:pPr>
              <w:adjustRightInd w:val="0"/>
              <w:spacing w:line="320" w:lineRule="exact"/>
              <w:rPr>
                <w:rFonts w:hint="eastAsia" w:ascii="宋体" w:hAnsi="宋体" w:cs="宋体"/>
                <w:color w:val="auto"/>
                <w:szCs w:val="21"/>
                <w:highlight w:val="none"/>
              </w:rPr>
            </w:pPr>
          </w:p>
        </w:tc>
        <w:tc>
          <w:tcPr>
            <w:tcW w:w="7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BD1F83">
            <w:pPr>
              <w:adjustRightInd w:val="0"/>
              <w:spacing w:line="320" w:lineRule="exact"/>
              <w:rPr>
                <w:rFonts w:hint="eastAsia" w:ascii="宋体" w:hAnsi="宋体" w:cs="宋体"/>
                <w:color w:val="auto"/>
                <w:szCs w:val="21"/>
                <w:highlight w:val="none"/>
              </w:rPr>
            </w:pPr>
          </w:p>
        </w:tc>
        <w:tc>
          <w:tcPr>
            <w:tcW w:w="6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190F241">
            <w:pPr>
              <w:adjustRightInd w:val="0"/>
              <w:spacing w:line="320" w:lineRule="exact"/>
              <w:rPr>
                <w:rFonts w:hint="eastAsia" w:ascii="宋体" w:hAnsi="宋体" w:cs="宋体"/>
                <w:color w:val="auto"/>
                <w:szCs w:val="21"/>
                <w:highlight w:val="none"/>
              </w:rPr>
            </w:pPr>
          </w:p>
        </w:tc>
        <w:tc>
          <w:tcPr>
            <w:tcW w:w="70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3915D39">
            <w:pPr>
              <w:adjustRightInd w:val="0"/>
              <w:spacing w:line="320" w:lineRule="exact"/>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C2FD96B">
            <w:pPr>
              <w:adjustRightInd w:val="0"/>
              <w:spacing w:line="320" w:lineRule="exact"/>
              <w:rPr>
                <w:rFonts w:hint="eastAsia" w:ascii="宋体" w:hAnsi="宋体" w:cs="宋体"/>
                <w:color w:val="auto"/>
                <w:szCs w:val="21"/>
                <w:highlight w:val="none"/>
              </w:rPr>
            </w:pPr>
          </w:p>
        </w:tc>
        <w:tc>
          <w:tcPr>
            <w:tcW w:w="11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C81269">
            <w:pPr>
              <w:adjustRightInd w:val="0"/>
              <w:spacing w:line="320" w:lineRule="exact"/>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524110">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E1BA19">
            <w:pPr>
              <w:adjustRightInd w:val="0"/>
              <w:spacing w:line="320" w:lineRule="exact"/>
              <w:rPr>
                <w:rFonts w:hint="eastAsia" w:ascii="宋体" w:hAnsi="宋体" w:cs="宋体"/>
                <w:color w:val="auto"/>
                <w:szCs w:val="21"/>
                <w:highlight w:val="none"/>
              </w:rPr>
            </w:pPr>
          </w:p>
        </w:tc>
      </w:tr>
      <w:tr w14:paraId="44F937F2">
        <w:tblPrEx>
          <w:tblCellMar>
            <w:top w:w="0" w:type="dxa"/>
            <w:left w:w="0" w:type="dxa"/>
            <w:bottom w:w="0" w:type="dxa"/>
            <w:right w:w="0" w:type="dxa"/>
          </w:tblCellMar>
        </w:tblPrEx>
        <w:trPr>
          <w:trHeight w:val="702"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9FC4C7">
            <w:pPr>
              <w:adjustRightIn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51664A">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9C819D">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ECD95B">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3EA54B">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AEDF7D">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0A5FA9">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26ACF5">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588951">
            <w:pPr>
              <w:adjustRightInd w:val="0"/>
              <w:spacing w:line="320" w:lineRule="exact"/>
              <w:rPr>
                <w:rFonts w:hint="eastAsia" w:ascii="宋体" w:hAnsi="宋体" w:cs="宋体"/>
                <w:color w:val="auto"/>
                <w:szCs w:val="21"/>
                <w:highlight w:val="none"/>
              </w:rPr>
            </w:pPr>
          </w:p>
        </w:tc>
      </w:tr>
      <w:tr w14:paraId="696BE7B7">
        <w:tblPrEx>
          <w:tblCellMar>
            <w:top w:w="0" w:type="dxa"/>
            <w:left w:w="0" w:type="dxa"/>
            <w:bottom w:w="0" w:type="dxa"/>
            <w:right w:w="0" w:type="dxa"/>
          </w:tblCellMar>
        </w:tblPrEx>
        <w:trPr>
          <w:trHeight w:val="733"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88C7A2">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888F45">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6BC49B">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365F6F">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B05DBB">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40406D">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B2E3CB">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8D97EB">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47B217">
            <w:pPr>
              <w:adjustRightInd w:val="0"/>
              <w:spacing w:line="320" w:lineRule="exact"/>
              <w:rPr>
                <w:rFonts w:hint="eastAsia" w:ascii="宋体" w:hAnsi="宋体" w:cs="宋体"/>
                <w:color w:val="auto"/>
                <w:szCs w:val="21"/>
                <w:highlight w:val="none"/>
              </w:rPr>
            </w:pPr>
          </w:p>
        </w:tc>
      </w:tr>
      <w:tr w14:paraId="15B2874D">
        <w:tblPrEx>
          <w:tblCellMar>
            <w:top w:w="0" w:type="dxa"/>
            <w:left w:w="0" w:type="dxa"/>
            <w:bottom w:w="0" w:type="dxa"/>
            <w:right w:w="0" w:type="dxa"/>
          </w:tblCellMar>
        </w:tblPrEx>
        <w:trPr>
          <w:trHeight w:val="679"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02DC79">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8BDCCC">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4B658D">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1147F5">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053422">
            <w:pPr>
              <w:pStyle w:val="47"/>
              <w:widowControl w:val="0"/>
              <w:overflowPunct/>
              <w:autoSpaceDE/>
              <w:autoSpaceDN/>
              <w:spacing w:before="0" w:beforeLines="0" w:line="320" w:lineRule="exact"/>
              <w:textAlignment w:val="auto"/>
              <w:rPr>
                <w:rFonts w:hint="eastAsia" w:ascii="宋体" w:hAnsi="宋体" w:cs="宋体"/>
                <w:color w:val="auto"/>
                <w:kern w:val="2"/>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2E96CE">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B2BA06">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C6AD24">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8E22D3">
            <w:pPr>
              <w:adjustRightInd w:val="0"/>
              <w:spacing w:line="320" w:lineRule="exact"/>
              <w:rPr>
                <w:rFonts w:hint="eastAsia" w:ascii="宋体" w:hAnsi="宋体" w:cs="宋体"/>
                <w:color w:val="auto"/>
                <w:szCs w:val="21"/>
                <w:highlight w:val="none"/>
              </w:rPr>
            </w:pPr>
          </w:p>
        </w:tc>
      </w:tr>
      <w:tr w14:paraId="60ECAD91">
        <w:tblPrEx>
          <w:tblCellMar>
            <w:top w:w="0" w:type="dxa"/>
            <w:left w:w="0" w:type="dxa"/>
            <w:bottom w:w="0" w:type="dxa"/>
            <w:right w:w="0" w:type="dxa"/>
          </w:tblCellMar>
        </w:tblPrEx>
        <w:trPr>
          <w:trHeight w:val="725"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9A6E87">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87619F">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264E91">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824AFC">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B06249">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37647A">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1BCD9F">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3384CB">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1CD27C">
            <w:pPr>
              <w:adjustRightInd w:val="0"/>
              <w:spacing w:line="320" w:lineRule="exact"/>
              <w:rPr>
                <w:rFonts w:hint="eastAsia" w:ascii="宋体" w:hAnsi="宋体" w:cs="宋体"/>
                <w:color w:val="auto"/>
                <w:szCs w:val="21"/>
                <w:highlight w:val="none"/>
              </w:rPr>
            </w:pPr>
          </w:p>
        </w:tc>
      </w:tr>
    </w:tbl>
    <w:p w14:paraId="359AA83F">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pacing w:val="8"/>
          <w:highlight w:val="none"/>
        </w:rPr>
        <w:t>电子</w:t>
      </w:r>
      <w:r>
        <w:rPr>
          <w:rFonts w:hint="eastAsia" w:ascii="宋体" w:hAnsi="宋体" w:cs="宋体"/>
          <w:color w:val="auto"/>
          <w:spacing w:val="8"/>
          <w:highlight w:val="none"/>
          <w:lang w:val="en-US" w:eastAsia="zh-CN"/>
        </w:rPr>
        <w:t>印</w:t>
      </w:r>
      <w:r>
        <w:rPr>
          <w:rFonts w:hint="eastAsia" w:ascii="宋体" w:hAnsi="宋体" w:eastAsia="宋体" w:cs="宋体"/>
          <w:color w:val="auto"/>
          <w:spacing w:val="8"/>
          <w:highlight w:val="none"/>
        </w:rPr>
        <w:t>章</w:t>
      </w:r>
      <w:r>
        <w:rPr>
          <w:rFonts w:hint="eastAsia" w:ascii="宋体" w:hAnsi="宋体" w:eastAsia="宋体" w:cs="宋体"/>
          <w:color w:val="auto"/>
          <w:szCs w:val="21"/>
          <w:highlight w:val="none"/>
        </w:rPr>
        <w:t>）：</w:t>
      </w:r>
    </w:p>
    <w:p w14:paraId="1F96C8F3">
      <w:pPr>
        <w:shd w:val="clear" w:color="auto" w:fill="FFFFFF"/>
        <w:spacing w:line="4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87FA734">
      <w:pPr>
        <w:adjustRightInd w:val="0"/>
        <w:spacing w:line="320" w:lineRule="exact"/>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说明：</w:t>
      </w:r>
    </w:p>
    <w:p w14:paraId="678AC318">
      <w:pPr>
        <w:adjustRightInd w:val="0"/>
        <w:spacing w:line="320" w:lineRule="exact"/>
        <w:ind w:firstLine="361" w:firstLineChars="200"/>
        <w:jc w:val="left"/>
        <w:rPr>
          <w:rFonts w:hint="eastAsia" w:ascii="宋体" w:hAnsi="宋体" w:cs="宋体"/>
          <w:b/>
          <w:color w:val="auto"/>
          <w:sz w:val="18"/>
          <w:szCs w:val="18"/>
          <w:highlight w:val="none"/>
        </w:rPr>
      </w:pPr>
      <w:r>
        <w:rPr>
          <w:rFonts w:hint="eastAsia" w:ascii="宋体" w:hAnsi="宋体" w:cs="宋体"/>
          <w:b/>
          <w:color w:val="auto"/>
          <w:sz w:val="18"/>
          <w:szCs w:val="18"/>
          <w:highlight w:val="none"/>
        </w:rPr>
        <w:t>1、本表所列岗位的所有管理人员的情况均应如实填写。可按以上格式扩展为多页填写，每一页均应加盖供应商单位</w:t>
      </w:r>
      <w:r>
        <w:rPr>
          <w:rFonts w:hint="eastAsia" w:ascii="宋体" w:hAnsi="宋体" w:cs="宋体"/>
          <w:b/>
          <w:color w:val="auto"/>
          <w:sz w:val="18"/>
          <w:szCs w:val="18"/>
          <w:highlight w:val="none"/>
          <w:lang w:val="en-US" w:eastAsia="zh-CN"/>
        </w:rPr>
        <w:t>电子印章</w:t>
      </w:r>
      <w:r>
        <w:rPr>
          <w:rFonts w:hint="eastAsia" w:ascii="宋体" w:hAnsi="宋体" w:cs="宋体"/>
          <w:b/>
          <w:color w:val="auto"/>
          <w:sz w:val="18"/>
          <w:szCs w:val="18"/>
          <w:highlight w:val="none"/>
        </w:rPr>
        <w:t>。</w:t>
      </w:r>
    </w:p>
    <w:p w14:paraId="11CB0FAA">
      <w:pPr>
        <w:shd w:val="clear" w:color="auto" w:fill="FFFFFF"/>
        <w:ind w:firstLine="361" w:firstLineChars="200"/>
        <w:jc w:val="left"/>
        <w:rPr>
          <w:rFonts w:hint="eastAsia" w:ascii="宋体" w:hAnsi="宋体" w:cs="宋体"/>
          <w:b/>
          <w:bCs/>
          <w:color w:val="auto"/>
          <w:sz w:val="24"/>
          <w:highlight w:val="none"/>
          <w:lang w:val="en-US" w:eastAsia="zh-CN"/>
        </w:rPr>
      </w:pPr>
      <w:r>
        <w:rPr>
          <w:rFonts w:hint="eastAsia" w:ascii="宋体" w:hAnsi="宋体" w:cs="宋体"/>
          <w:b/>
          <w:color w:val="auto"/>
          <w:sz w:val="18"/>
          <w:szCs w:val="18"/>
          <w:highlight w:val="none"/>
        </w:rPr>
        <w:t>2、本表后应附本表所列岗位的所有管理人员的身份证、相关证书</w:t>
      </w:r>
      <w:r>
        <w:rPr>
          <w:rFonts w:hint="eastAsia" w:ascii="宋体" w:hAnsi="宋体" w:cs="宋体"/>
          <w:b/>
          <w:color w:val="auto"/>
          <w:sz w:val="18"/>
          <w:szCs w:val="18"/>
          <w:highlight w:val="none"/>
          <w:lang w:eastAsia="zh-CN"/>
        </w:rPr>
        <w:t>（</w:t>
      </w:r>
      <w:r>
        <w:rPr>
          <w:rFonts w:hint="eastAsia" w:ascii="宋体" w:hAnsi="宋体" w:cs="宋体"/>
          <w:b/>
          <w:color w:val="auto"/>
          <w:sz w:val="18"/>
          <w:szCs w:val="18"/>
          <w:highlight w:val="none"/>
          <w:lang w:val="en-US" w:eastAsia="zh-CN"/>
        </w:rPr>
        <w:t>如有</w:t>
      </w:r>
      <w:r>
        <w:rPr>
          <w:rFonts w:hint="eastAsia" w:ascii="宋体" w:hAnsi="宋体" w:cs="宋体"/>
          <w:b/>
          <w:color w:val="auto"/>
          <w:sz w:val="18"/>
          <w:szCs w:val="18"/>
          <w:highlight w:val="none"/>
          <w:lang w:eastAsia="zh-CN"/>
        </w:rPr>
        <w:t>）</w:t>
      </w:r>
      <w:r>
        <w:rPr>
          <w:rFonts w:hint="eastAsia" w:ascii="宋体" w:hAnsi="宋体" w:cs="宋体"/>
          <w:b/>
          <w:color w:val="auto"/>
          <w:sz w:val="18"/>
          <w:szCs w:val="18"/>
          <w:highlight w:val="none"/>
        </w:rPr>
        <w:t>的复印件，项目经理还须附上资格审查条件所要求其他相关证书（如建造师注册证书、安全生产考核合格证书等）的复印件，复印件均需加盖供应商</w:t>
      </w:r>
      <w:r>
        <w:rPr>
          <w:rFonts w:hint="eastAsia" w:ascii="宋体" w:hAnsi="宋体" w:cs="宋体"/>
          <w:b/>
          <w:color w:val="auto"/>
          <w:sz w:val="18"/>
          <w:szCs w:val="18"/>
          <w:highlight w:val="none"/>
          <w:lang w:val="en-US" w:eastAsia="zh-CN"/>
        </w:rPr>
        <w:t>电子印章</w:t>
      </w:r>
      <w:r>
        <w:rPr>
          <w:rFonts w:hint="eastAsia" w:ascii="宋体" w:hAnsi="宋体" w:cs="宋体"/>
          <w:b/>
          <w:color w:val="auto"/>
          <w:sz w:val="18"/>
          <w:szCs w:val="18"/>
          <w:highlight w:val="none"/>
        </w:rPr>
        <w:t>。</w:t>
      </w:r>
    </w:p>
    <w:p w14:paraId="3DBB8F0B">
      <w:pPr>
        <w:shd w:val="clear" w:color="auto" w:fill="FFFFFF"/>
        <w:ind w:firstLine="482" w:firstLineChars="200"/>
        <w:jc w:val="center"/>
        <w:rPr>
          <w:rFonts w:hint="eastAsia" w:ascii="宋体" w:hAnsi="宋体" w:eastAsia="宋体" w:cs="宋体"/>
          <w:b/>
          <w:bCs/>
          <w:color w:val="auto"/>
          <w:sz w:val="24"/>
          <w:highlight w:val="none"/>
        </w:rPr>
      </w:pPr>
    </w:p>
    <w:p w14:paraId="414A0D68">
      <w:pPr>
        <w:shd w:val="clear" w:color="auto" w:fill="FFFFFF"/>
        <w:ind w:firstLine="482" w:firstLineChars="200"/>
        <w:jc w:val="center"/>
        <w:rPr>
          <w:rFonts w:hint="eastAsia" w:ascii="宋体" w:hAnsi="宋体" w:eastAsia="宋体" w:cs="宋体"/>
          <w:b/>
          <w:bCs/>
          <w:color w:val="auto"/>
          <w:sz w:val="24"/>
          <w:highlight w:val="none"/>
        </w:rPr>
      </w:pPr>
    </w:p>
    <w:p w14:paraId="4D8CBB0F">
      <w:pPr>
        <w:shd w:val="clear" w:color="auto" w:fill="FFFFFF"/>
        <w:ind w:firstLine="482" w:firstLineChars="200"/>
        <w:jc w:val="center"/>
        <w:rPr>
          <w:rFonts w:hint="eastAsia" w:ascii="宋体" w:hAnsi="宋体" w:eastAsia="宋体" w:cs="宋体"/>
          <w:b/>
          <w:bCs/>
          <w:color w:val="auto"/>
          <w:sz w:val="24"/>
          <w:highlight w:val="none"/>
        </w:rPr>
      </w:pPr>
    </w:p>
    <w:p w14:paraId="65B1A353">
      <w:pPr>
        <w:shd w:val="clear" w:color="auto" w:fill="FFFFFF"/>
        <w:ind w:firstLine="482" w:firstLineChars="200"/>
        <w:jc w:val="both"/>
        <w:rPr>
          <w:rFonts w:hint="eastAsia" w:ascii="宋体" w:hAnsi="宋体" w:eastAsia="宋体" w:cs="宋体"/>
          <w:b/>
          <w:bCs/>
          <w:color w:val="auto"/>
          <w:sz w:val="24"/>
          <w:highlight w:val="none"/>
        </w:rPr>
      </w:pPr>
    </w:p>
    <w:p w14:paraId="312E9532">
      <w:pPr>
        <w:shd w:val="clear" w:color="auto" w:fill="FFFFFF"/>
        <w:ind w:firstLine="482" w:firstLineChars="200"/>
        <w:jc w:val="both"/>
        <w:rPr>
          <w:rFonts w:hint="eastAsia" w:ascii="宋体" w:hAnsi="宋体" w:eastAsia="宋体" w:cs="宋体"/>
          <w:b/>
          <w:bCs/>
          <w:color w:val="auto"/>
          <w:sz w:val="24"/>
          <w:highlight w:val="none"/>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除</w:t>
      </w:r>
      <w:r>
        <w:rPr>
          <w:rFonts w:hint="eastAsia" w:ascii="宋体" w:hAnsi="宋体" w:cs="宋体"/>
          <w:b/>
          <w:bCs/>
          <w:color w:val="auto"/>
          <w:sz w:val="24"/>
          <w:szCs w:val="24"/>
          <w:highlight w:val="none"/>
          <w:lang w:val="en-US" w:eastAsia="zh-CN"/>
        </w:rPr>
        <w:t>竞争性磋商</w:t>
      </w:r>
      <w:r>
        <w:rPr>
          <w:rFonts w:hint="eastAsia" w:ascii="宋体" w:hAnsi="宋体" w:cs="宋体"/>
          <w:b/>
          <w:bCs/>
          <w:color w:val="auto"/>
          <w:sz w:val="24"/>
          <w:szCs w:val="24"/>
          <w:highlight w:val="none"/>
        </w:rPr>
        <w:t>文件规定必须提供以外，供应商认为需要提供的</w:t>
      </w:r>
      <w:r>
        <w:rPr>
          <w:rFonts w:hint="eastAsia" w:ascii="宋体" w:hAnsi="宋体" w:cs="宋体"/>
          <w:b/>
          <w:bCs/>
          <w:color w:val="auto"/>
          <w:sz w:val="24"/>
          <w:szCs w:val="24"/>
          <w:highlight w:val="none"/>
          <w:lang w:eastAsia="zh-CN"/>
        </w:rPr>
        <w:t>其他</w:t>
      </w:r>
      <w:r>
        <w:rPr>
          <w:rFonts w:hint="eastAsia" w:ascii="宋体" w:hAnsi="宋体" w:cs="宋体"/>
          <w:b/>
          <w:bCs/>
          <w:color w:val="auto"/>
          <w:sz w:val="24"/>
          <w:szCs w:val="24"/>
          <w:highlight w:val="none"/>
        </w:rPr>
        <w:t>证明材料</w:t>
      </w:r>
      <w:r>
        <w:rPr>
          <w:rFonts w:hint="eastAsia" w:ascii="宋体" w:hAnsi="宋体" w:cs="宋体"/>
          <w:b/>
          <w:bCs/>
          <w:color w:val="auto"/>
          <w:sz w:val="24"/>
          <w:szCs w:val="24"/>
          <w:highlight w:val="none"/>
          <w:lang w:eastAsia="zh-CN"/>
        </w:rPr>
        <w:t>。</w:t>
      </w:r>
    </w:p>
    <w:p w14:paraId="532B6155">
      <w:pPr>
        <w:shd w:val="clear" w:color="auto" w:fill="FFFFFF"/>
        <w:ind w:firstLine="482" w:firstLineChars="200"/>
        <w:jc w:val="center"/>
        <w:rPr>
          <w:rFonts w:hint="eastAsia" w:ascii="宋体" w:hAnsi="宋体" w:eastAsia="宋体" w:cs="宋体"/>
          <w:b/>
          <w:bCs/>
          <w:color w:val="auto"/>
          <w:sz w:val="24"/>
          <w:highlight w:val="none"/>
        </w:rPr>
      </w:pPr>
    </w:p>
    <w:p w14:paraId="2C02BC87">
      <w:pPr>
        <w:shd w:val="clear" w:color="auto" w:fill="FFFFFF"/>
        <w:ind w:firstLine="482" w:firstLineChars="200"/>
        <w:jc w:val="center"/>
        <w:rPr>
          <w:rFonts w:hint="eastAsia" w:ascii="宋体" w:hAnsi="宋体" w:eastAsia="宋体" w:cs="宋体"/>
          <w:b/>
          <w:bCs/>
          <w:color w:val="auto"/>
          <w:sz w:val="24"/>
          <w:highlight w:val="none"/>
        </w:rPr>
      </w:pPr>
    </w:p>
    <w:p w14:paraId="0E4BBCBC">
      <w:pPr>
        <w:shd w:val="clear" w:color="auto" w:fill="FFFFFF"/>
        <w:ind w:firstLine="482" w:firstLineChars="200"/>
        <w:jc w:val="center"/>
        <w:rPr>
          <w:rFonts w:hint="eastAsia" w:ascii="宋体" w:hAnsi="宋体" w:eastAsia="宋体" w:cs="宋体"/>
          <w:b/>
          <w:bCs/>
          <w:color w:val="auto"/>
          <w:sz w:val="24"/>
          <w:highlight w:val="none"/>
        </w:rPr>
      </w:pPr>
    </w:p>
    <w:p w14:paraId="52614247">
      <w:pPr>
        <w:shd w:val="clear" w:color="auto" w:fill="FFFFFF"/>
        <w:ind w:firstLine="482" w:firstLineChars="200"/>
        <w:jc w:val="center"/>
        <w:rPr>
          <w:rFonts w:hint="eastAsia" w:ascii="宋体" w:hAnsi="宋体" w:eastAsia="宋体" w:cs="宋体"/>
          <w:b/>
          <w:bCs/>
          <w:color w:val="auto"/>
          <w:sz w:val="24"/>
          <w:highlight w:val="none"/>
        </w:rPr>
      </w:pPr>
    </w:p>
    <w:p w14:paraId="422BAF55">
      <w:pPr>
        <w:shd w:val="clear" w:color="auto" w:fill="FFFFFF"/>
        <w:ind w:firstLine="482" w:firstLineChars="200"/>
        <w:jc w:val="center"/>
        <w:rPr>
          <w:rFonts w:hint="eastAsia" w:ascii="宋体" w:hAnsi="宋体" w:eastAsia="宋体" w:cs="宋体"/>
          <w:b/>
          <w:bCs/>
          <w:color w:val="auto"/>
          <w:sz w:val="24"/>
          <w:highlight w:val="none"/>
        </w:rPr>
      </w:pPr>
    </w:p>
    <w:p w14:paraId="2A2955C7">
      <w:pPr>
        <w:shd w:val="clear" w:color="auto" w:fill="FFFFFF"/>
        <w:ind w:firstLine="482" w:firstLineChars="200"/>
        <w:jc w:val="center"/>
        <w:rPr>
          <w:rFonts w:hint="eastAsia" w:ascii="宋体" w:hAnsi="宋体" w:eastAsia="宋体" w:cs="宋体"/>
          <w:b/>
          <w:bCs/>
          <w:color w:val="auto"/>
          <w:sz w:val="24"/>
          <w:highlight w:val="none"/>
        </w:rPr>
      </w:pPr>
    </w:p>
    <w:p w14:paraId="17E838B0">
      <w:pPr>
        <w:shd w:val="clear" w:color="auto" w:fill="FFFFFF"/>
        <w:ind w:firstLine="482" w:firstLineChars="200"/>
        <w:jc w:val="center"/>
        <w:rPr>
          <w:rFonts w:hint="eastAsia" w:ascii="宋体" w:hAnsi="宋体" w:eastAsia="宋体" w:cs="宋体"/>
          <w:b/>
          <w:bCs/>
          <w:color w:val="auto"/>
          <w:sz w:val="24"/>
          <w:highlight w:val="none"/>
        </w:rPr>
      </w:pPr>
    </w:p>
    <w:p w14:paraId="4004D08D">
      <w:pPr>
        <w:shd w:val="clear" w:color="auto" w:fill="FFFFFF"/>
        <w:ind w:firstLine="482" w:firstLineChars="200"/>
        <w:jc w:val="center"/>
        <w:rPr>
          <w:rFonts w:hint="eastAsia" w:ascii="宋体" w:hAnsi="宋体" w:eastAsia="宋体" w:cs="宋体"/>
          <w:b/>
          <w:bCs/>
          <w:color w:val="auto"/>
          <w:sz w:val="24"/>
          <w:highlight w:val="none"/>
        </w:rPr>
      </w:pPr>
    </w:p>
    <w:p w14:paraId="5934445D">
      <w:pPr>
        <w:shd w:val="clear" w:color="auto" w:fill="FFFFFF"/>
        <w:ind w:firstLine="482" w:firstLineChars="200"/>
        <w:jc w:val="center"/>
        <w:rPr>
          <w:rFonts w:hint="eastAsia" w:ascii="宋体" w:hAnsi="宋体" w:eastAsia="宋体" w:cs="宋体"/>
          <w:b/>
          <w:bCs/>
          <w:color w:val="auto"/>
          <w:sz w:val="24"/>
          <w:highlight w:val="none"/>
        </w:rPr>
      </w:pPr>
    </w:p>
    <w:p w14:paraId="3698C367">
      <w:pPr>
        <w:shd w:val="clear" w:color="auto" w:fill="FFFFFF"/>
        <w:jc w:val="both"/>
        <w:rPr>
          <w:rFonts w:hint="eastAsia" w:ascii="宋体" w:hAnsi="宋体" w:eastAsia="宋体" w:cs="宋体"/>
          <w:b/>
          <w:bCs/>
          <w:color w:val="auto"/>
          <w:sz w:val="24"/>
          <w:highlight w:val="none"/>
        </w:rPr>
      </w:pPr>
    </w:p>
    <w:p w14:paraId="461F9DD6">
      <w:pPr>
        <w:shd w:val="clear" w:color="auto" w:fill="FFFFFF"/>
        <w:ind w:firstLine="482" w:firstLineChars="200"/>
        <w:jc w:val="center"/>
        <w:rPr>
          <w:rFonts w:hint="eastAsia" w:ascii="宋体" w:hAnsi="宋体" w:eastAsia="宋体" w:cs="宋体"/>
          <w:b/>
          <w:bCs/>
          <w:color w:val="auto"/>
          <w:sz w:val="24"/>
          <w:highlight w:val="none"/>
        </w:rPr>
      </w:pPr>
    </w:p>
    <w:p w14:paraId="43D446A1">
      <w:pPr>
        <w:shd w:val="clear" w:color="auto" w:fill="FFFFFF"/>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（桂建质【2015】16号文附件一）</w:t>
      </w:r>
    </w:p>
    <w:p w14:paraId="7EA5FBC7">
      <w:pPr>
        <w:shd w:val="clear" w:color="auto" w:fill="FFFFFF"/>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广西壮族自治区建筑工程安全防护、文明施工措施项目清单内容</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5EC24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14:paraId="2099BE79">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2070" w:type="dxa"/>
            <w:gridSpan w:val="2"/>
            <w:noWrap w:val="0"/>
            <w:vAlign w:val="center"/>
          </w:tcPr>
          <w:p w14:paraId="6DC9F86A">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645" w:type="dxa"/>
            <w:noWrap w:val="0"/>
            <w:vAlign w:val="center"/>
          </w:tcPr>
          <w:p w14:paraId="14EDE4E4">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主要内容和要求</w:t>
            </w:r>
          </w:p>
        </w:tc>
      </w:tr>
      <w:tr w14:paraId="3C0D5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70E16AB6">
            <w:pPr>
              <w:pStyle w:val="44"/>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文明</w:t>
            </w:r>
          </w:p>
          <w:p w14:paraId="17A02A9C">
            <w:pPr>
              <w:pStyle w:val="44"/>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w:t>
            </w:r>
          </w:p>
          <w:p w14:paraId="36460BBF">
            <w:pPr>
              <w:pStyle w:val="44"/>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w:t>
            </w:r>
          </w:p>
          <w:p w14:paraId="158BEF44">
            <w:pPr>
              <w:pStyle w:val="44"/>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保护</w:t>
            </w:r>
          </w:p>
        </w:tc>
        <w:tc>
          <w:tcPr>
            <w:tcW w:w="2070" w:type="dxa"/>
            <w:gridSpan w:val="2"/>
            <w:noWrap w:val="0"/>
            <w:vAlign w:val="center"/>
          </w:tcPr>
          <w:p w14:paraId="405EAF33">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w:t>
            </w:r>
          </w:p>
          <w:p w14:paraId="410F3FBE">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标志牌</w:t>
            </w:r>
          </w:p>
        </w:tc>
        <w:tc>
          <w:tcPr>
            <w:tcW w:w="6645" w:type="dxa"/>
            <w:noWrap w:val="0"/>
            <w:vAlign w:val="center"/>
          </w:tcPr>
          <w:p w14:paraId="2A702C96">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在易发伤亡事故（或危险）处设置明显的、符合国家标准要求的安全警示标志牌。</w:t>
            </w:r>
          </w:p>
        </w:tc>
      </w:tr>
      <w:tr w14:paraId="51D32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CF96356">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68A4724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现场围挡</w:t>
            </w:r>
          </w:p>
        </w:tc>
        <w:tc>
          <w:tcPr>
            <w:tcW w:w="6645" w:type="dxa"/>
            <w:noWrap w:val="0"/>
            <w:vAlign w:val="center"/>
          </w:tcPr>
          <w:p w14:paraId="40FDFB5B">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现场采用封闭围挡，高度不小于1.8m。</w:t>
            </w:r>
          </w:p>
          <w:p w14:paraId="0CF6A086">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围挡材料可用彩色、定型钢板，砌块等墙体。</w:t>
            </w:r>
          </w:p>
        </w:tc>
      </w:tr>
      <w:tr w14:paraId="596DC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A69C20">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7572BDC2">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七牌二图</w:t>
            </w:r>
          </w:p>
        </w:tc>
        <w:tc>
          <w:tcPr>
            <w:tcW w:w="6645" w:type="dxa"/>
            <w:noWrap w:val="0"/>
            <w:vAlign w:val="center"/>
          </w:tcPr>
          <w:p w14:paraId="50BFC09E">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63A1EC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58D91E7A">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3D3C60D9">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企业标志</w:t>
            </w:r>
          </w:p>
        </w:tc>
        <w:tc>
          <w:tcPr>
            <w:tcW w:w="6645" w:type="dxa"/>
            <w:noWrap w:val="0"/>
            <w:vAlign w:val="center"/>
          </w:tcPr>
          <w:p w14:paraId="0B716FF1">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现场出入的大门应设有本企业标志或企业标识。</w:t>
            </w:r>
          </w:p>
        </w:tc>
      </w:tr>
      <w:tr w14:paraId="10A90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8D3D0E7">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46D4DB58">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场容场貌</w:t>
            </w:r>
          </w:p>
        </w:tc>
        <w:tc>
          <w:tcPr>
            <w:tcW w:w="6645" w:type="dxa"/>
            <w:noWrap w:val="0"/>
            <w:vAlign w:val="center"/>
          </w:tcPr>
          <w:p w14:paraId="6C1C2224">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道路畅通。</w:t>
            </w:r>
          </w:p>
          <w:p w14:paraId="6FFA4864">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排水设施齐全畅通。</w:t>
            </w:r>
          </w:p>
          <w:p w14:paraId="24595B55">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工地地面硬化处理（办公区、生活区、现场道路、材料堆放、混凝土搅拌、砂浆搅拌、钢筋加工等场地和外脚手架基础等）。</w:t>
            </w:r>
          </w:p>
        </w:tc>
      </w:tr>
      <w:tr w14:paraId="55ABA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B6500B1">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0A9A776">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材料堆放</w:t>
            </w:r>
          </w:p>
        </w:tc>
        <w:tc>
          <w:tcPr>
            <w:tcW w:w="6645" w:type="dxa"/>
            <w:noWrap w:val="0"/>
            <w:vAlign w:val="center"/>
          </w:tcPr>
          <w:p w14:paraId="1B8B162F">
            <w:pPr>
              <w:pStyle w:val="44"/>
              <w:numPr>
                <w:ilvl w:val="0"/>
                <w:numId w:val="15"/>
              </w:numPr>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材料、构件、料具等堆放时，应有名称、品种、规格等标牌。</w:t>
            </w:r>
          </w:p>
          <w:p w14:paraId="33FFFC4C">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水泥和其它易飞扬细颗粒建筑材料应封闭存放或采取覆盖等措施。</w:t>
            </w:r>
          </w:p>
          <w:p w14:paraId="63DE2F04">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易燃、易爆和有毒有害物品分类存放。</w:t>
            </w:r>
          </w:p>
        </w:tc>
      </w:tr>
      <w:tr w14:paraId="21E74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70D58DBB">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6EFD8F54">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现场防火</w:t>
            </w:r>
          </w:p>
        </w:tc>
        <w:tc>
          <w:tcPr>
            <w:tcW w:w="6645" w:type="dxa"/>
            <w:noWrap w:val="0"/>
            <w:vAlign w:val="center"/>
          </w:tcPr>
          <w:p w14:paraId="3EEECEE8">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消防器材配置合理，符合消防要求。</w:t>
            </w:r>
          </w:p>
        </w:tc>
      </w:tr>
      <w:tr w14:paraId="254B8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FDE259A">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4D446EF">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垃圾清运</w:t>
            </w:r>
          </w:p>
        </w:tc>
        <w:tc>
          <w:tcPr>
            <w:tcW w:w="6645" w:type="dxa"/>
            <w:noWrap w:val="0"/>
            <w:vAlign w:val="center"/>
          </w:tcPr>
          <w:p w14:paraId="7D960396">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施工现场应设置密闭式垃圾站，施工垃圾、生活垃圾应分类存放。</w:t>
            </w:r>
          </w:p>
          <w:p w14:paraId="15F9A6B9">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施工垃圾必须采用相应容器或管道运输。</w:t>
            </w:r>
          </w:p>
        </w:tc>
      </w:tr>
      <w:tr w14:paraId="1E972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7C0C450">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AFDCCFD">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宣传栏、环保及不扰民措施</w:t>
            </w:r>
          </w:p>
        </w:tc>
        <w:tc>
          <w:tcPr>
            <w:tcW w:w="6645" w:type="dxa"/>
            <w:noWrap w:val="0"/>
            <w:vAlign w:val="center"/>
          </w:tcPr>
          <w:p w14:paraId="349FA40C">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宣传栏、安全宣传标语等，洗车（防止污染市区道路）、粉尘、噪声控制和排污（污水、废气）措施等。</w:t>
            </w:r>
          </w:p>
        </w:tc>
      </w:tr>
      <w:tr w14:paraId="26C46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DA1333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临时设施</w:t>
            </w:r>
          </w:p>
        </w:tc>
        <w:tc>
          <w:tcPr>
            <w:tcW w:w="2070" w:type="dxa"/>
            <w:gridSpan w:val="2"/>
            <w:noWrap w:val="0"/>
            <w:vAlign w:val="center"/>
          </w:tcPr>
          <w:p w14:paraId="232A7476">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现场办公</w:t>
            </w:r>
          </w:p>
          <w:p w14:paraId="46A472EB">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生活设施</w:t>
            </w:r>
          </w:p>
        </w:tc>
        <w:tc>
          <w:tcPr>
            <w:tcW w:w="6645" w:type="dxa"/>
            <w:noWrap w:val="0"/>
            <w:vAlign w:val="center"/>
          </w:tcPr>
          <w:p w14:paraId="132CDAD2">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施工现场办公、生活区与作业区分开设置，保持安全距离。</w:t>
            </w:r>
          </w:p>
          <w:p w14:paraId="4801C17A">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工地办公室、现场宿舍、食堂、厕所、饮水、沐浴、休息场所等符合卫生、消防安全要求。</w:t>
            </w:r>
          </w:p>
        </w:tc>
      </w:tr>
      <w:tr w14:paraId="7F5DD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FDAA333">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restart"/>
            <w:noWrap w:val="0"/>
            <w:vAlign w:val="center"/>
          </w:tcPr>
          <w:p w14:paraId="7703795E">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w:t>
            </w:r>
          </w:p>
          <w:p w14:paraId="5C488663">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w:t>
            </w:r>
          </w:p>
        </w:tc>
        <w:tc>
          <w:tcPr>
            <w:tcW w:w="1545" w:type="dxa"/>
            <w:noWrap w:val="0"/>
            <w:vAlign w:val="center"/>
          </w:tcPr>
          <w:p w14:paraId="44B6623A">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配电线路</w:t>
            </w:r>
          </w:p>
        </w:tc>
        <w:tc>
          <w:tcPr>
            <w:tcW w:w="6645" w:type="dxa"/>
            <w:noWrap w:val="0"/>
            <w:vAlign w:val="center"/>
          </w:tcPr>
          <w:p w14:paraId="7BB03D7D">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按照TN-S系统要求配备五芯电缆、四芯电缆和三芯电缆。</w:t>
            </w:r>
          </w:p>
          <w:p w14:paraId="3D848087">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按要求架设临时用电线路的电杆、横担、瓷夹、瓷瓶等，或电缆埋地的地沟。</w:t>
            </w:r>
          </w:p>
          <w:p w14:paraId="671FADE1">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对靠近施工现场的外电线路，设置木质、塑料等绝缘体的防护设施。</w:t>
            </w:r>
          </w:p>
        </w:tc>
      </w:tr>
      <w:tr w14:paraId="31635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704A856">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5BB9014C">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6D53F2F3">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配电箱</w:t>
            </w:r>
          </w:p>
          <w:p w14:paraId="799819F9">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645" w:type="dxa"/>
            <w:noWrap w:val="0"/>
            <w:vAlign w:val="center"/>
          </w:tcPr>
          <w:p w14:paraId="625C1430">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按三级配电要求，配备总配电箱、分配电箱、开关箱三类（铁质）标准电箱，开关箱应符合“一机、一箱、一闸、一漏”，三类电箱中的各类电器应是合格品。</w:t>
            </w:r>
          </w:p>
          <w:p w14:paraId="00DAFE1D">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按两级保护的要求，选取符合容量要求和质量合格的总配电箱和开关箱中的漏电保护器。</w:t>
            </w:r>
          </w:p>
          <w:p w14:paraId="2D327AC5">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对大型、落地式分配电箱、开关箱设置防护棚和通透式围挡。</w:t>
            </w:r>
          </w:p>
        </w:tc>
      </w:tr>
      <w:tr w14:paraId="276B9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43C862C4">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E5592C4">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2F0CE167">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接地装置</w:t>
            </w:r>
          </w:p>
        </w:tc>
        <w:tc>
          <w:tcPr>
            <w:tcW w:w="6645" w:type="dxa"/>
            <w:noWrap w:val="0"/>
            <w:vAlign w:val="center"/>
          </w:tcPr>
          <w:p w14:paraId="1E89F31C">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施工现场应设置不少于三处的重复接地装置。</w:t>
            </w:r>
          </w:p>
        </w:tc>
      </w:tr>
      <w:tr w14:paraId="3D096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30EADE30">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3EE56C45">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33B73BC7">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现场变配电装置</w:t>
            </w:r>
          </w:p>
        </w:tc>
        <w:tc>
          <w:tcPr>
            <w:tcW w:w="6645" w:type="dxa"/>
            <w:noWrap w:val="0"/>
            <w:vAlign w:val="center"/>
          </w:tcPr>
          <w:p w14:paraId="2C1ACEDF">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总配电房建筑材料必须达到消防防火要求，室内做硬地坪、电缆沟。</w:t>
            </w:r>
          </w:p>
        </w:tc>
      </w:tr>
      <w:tr w14:paraId="3794C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38D6F070">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2070" w:type="dxa"/>
            <w:gridSpan w:val="2"/>
            <w:noWrap w:val="0"/>
            <w:vAlign w:val="center"/>
          </w:tcPr>
          <w:p w14:paraId="146B9061">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645" w:type="dxa"/>
            <w:noWrap w:val="0"/>
            <w:vAlign w:val="center"/>
          </w:tcPr>
          <w:p w14:paraId="5A7321E7">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主要内容和要求</w:t>
            </w:r>
          </w:p>
        </w:tc>
      </w:tr>
      <w:tr w14:paraId="4AE82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29B7847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安全施工</w:t>
            </w:r>
          </w:p>
        </w:tc>
        <w:tc>
          <w:tcPr>
            <w:tcW w:w="525" w:type="dxa"/>
            <w:vMerge w:val="restart"/>
            <w:noWrap w:val="0"/>
            <w:vAlign w:val="center"/>
          </w:tcPr>
          <w:p w14:paraId="65D5E6D0">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高处作业防护</w:t>
            </w:r>
          </w:p>
        </w:tc>
        <w:tc>
          <w:tcPr>
            <w:tcW w:w="1545" w:type="dxa"/>
            <w:noWrap w:val="0"/>
            <w:vAlign w:val="center"/>
          </w:tcPr>
          <w:p w14:paraId="14CC0A78">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楼层、屋面、阳台等临边</w:t>
            </w:r>
          </w:p>
        </w:tc>
        <w:tc>
          <w:tcPr>
            <w:tcW w:w="6645" w:type="dxa"/>
            <w:noWrap w:val="0"/>
            <w:vAlign w:val="center"/>
          </w:tcPr>
          <w:p w14:paraId="672D5F26">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设两道防护栏杆和18cm高的踢脚板，用密目式安全立网全封闭。</w:t>
            </w:r>
          </w:p>
        </w:tc>
      </w:tr>
      <w:tr w14:paraId="20541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1D88BD0">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547E16E8">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93CB10E">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通道口</w:t>
            </w:r>
          </w:p>
        </w:tc>
        <w:tc>
          <w:tcPr>
            <w:tcW w:w="6645" w:type="dxa"/>
            <w:noWrap w:val="0"/>
            <w:vAlign w:val="center"/>
          </w:tcPr>
          <w:p w14:paraId="37706323">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设防护棚，防护棚应为不小于5cm厚的木板或两道相距50cm的竹笆。两侧应沿栏杆架用密目式安全网封闭。</w:t>
            </w:r>
          </w:p>
        </w:tc>
      </w:tr>
      <w:tr w14:paraId="39D7F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9C2D022">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05E606C0">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7A6054C">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预留洞口</w:t>
            </w:r>
          </w:p>
        </w:tc>
        <w:tc>
          <w:tcPr>
            <w:tcW w:w="6645" w:type="dxa"/>
            <w:noWrap w:val="0"/>
            <w:vAlign w:val="center"/>
          </w:tcPr>
          <w:p w14:paraId="399685ED">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用硬质材料全封闭，短边超过1.5m长的洞口，除封闭外四周还应设有防护栏杆。</w:t>
            </w:r>
          </w:p>
        </w:tc>
      </w:tr>
      <w:tr w14:paraId="5AFA3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5542C162">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A49DAC2">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543211F7">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电梯井口</w:t>
            </w:r>
          </w:p>
        </w:tc>
        <w:tc>
          <w:tcPr>
            <w:tcW w:w="6645" w:type="dxa"/>
            <w:noWrap w:val="0"/>
            <w:vAlign w:val="center"/>
          </w:tcPr>
          <w:p w14:paraId="65D08A15">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设置定型化、工具化的防护门，在电梯井内每隔2层（不大于10m）设置一道水平防护。</w:t>
            </w:r>
          </w:p>
        </w:tc>
      </w:tr>
      <w:tr w14:paraId="53E52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83F018D">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F6EFC63">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3D5B167E">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楼梯边</w:t>
            </w:r>
          </w:p>
        </w:tc>
        <w:tc>
          <w:tcPr>
            <w:tcW w:w="6645" w:type="dxa"/>
            <w:noWrap w:val="0"/>
            <w:vAlign w:val="center"/>
          </w:tcPr>
          <w:p w14:paraId="5ACA7F4E">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设1.2m高的定型化、工具化的防护栏，18cm高的踢脚板。</w:t>
            </w:r>
          </w:p>
        </w:tc>
      </w:tr>
      <w:tr w14:paraId="1B9B3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4E604C">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161BA1A3">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F8F255A">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垂直方向交叉作业</w:t>
            </w:r>
          </w:p>
        </w:tc>
        <w:tc>
          <w:tcPr>
            <w:tcW w:w="6645" w:type="dxa"/>
            <w:noWrap w:val="0"/>
            <w:vAlign w:val="center"/>
          </w:tcPr>
          <w:p w14:paraId="229D0883">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设置防护隔离棚或其它设施。</w:t>
            </w:r>
          </w:p>
        </w:tc>
      </w:tr>
      <w:tr w14:paraId="429F2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9DF579E">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0020EDC4">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698BFDFB">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w:t>
            </w:r>
          </w:p>
        </w:tc>
        <w:tc>
          <w:tcPr>
            <w:tcW w:w="6645" w:type="dxa"/>
            <w:noWrap w:val="0"/>
            <w:vAlign w:val="center"/>
          </w:tcPr>
          <w:p w14:paraId="791C7E48">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有悬挂安全带的悬索或其它设施，有操作平台，有上下的梯子或其它形式的通道。</w:t>
            </w:r>
          </w:p>
        </w:tc>
      </w:tr>
      <w:tr w14:paraId="04D1D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7FCF3E6">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481CDFC">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B182393">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基坑、物料平台</w:t>
            </w:r>
          </w:p>
        </w:tc>
        <w:tc>
          <w:tcPr>
            <w:tcW w:w="6645" w:type="dxa"/>
            <w:noWrap w:val="0"/>
            <w:vAlign w:val="center"/>
          </w:tcPr>
          <w:p w14:paraId="70E243B0">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设1.2m高标准化的防护栏，用密目式安全立网封闭，悬挂标识。</w:t>
            </w:r>
          </w:p>
        </w:tc>
      </w:tr>
      <w:tr w14:paraId="635BB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086BCCF">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8899056">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安全防护用品</w:t>
            </w:r>
          </w:p>
        </w:tc>
        <w:tc>
          <w:tcPr>
            <w:tcW w:w="6645" w:type="dxa"/>
            <w:noWrap w:val="0"/>
            <w:vAlign w:val="center"/>
          </w:tcPr>
          <w:p w14:paraId="47A401B5">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安全帽、安全带、特种作业人员（电工、焊工、架子工等）防护服装、用品等。</w:t>
            </w:r>
          </w:p>
        </w:tc>
      </w:tr>
      <w:tr w14:paraId="78B9F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1D5B828B">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w:t>
            </w:r>
          </w:p>
        </w:tc>
        <w:tc>
          <w:tcPr>
            <w:tcW w:w="525" w:type="dxa"/>
            <w:vMerge w:val="restart"/>
            <w:noWrap w:val="0"/>
            <w:vAlign w:val="center"/>
          </w:tcPr>
          <w:p w14:paraId="55BCEEB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机械设备防护</w:t>
            </w:r>
          </w:p>
        </w:tc>
        <w:tc>
          <w:tcPr>
            <w:tcW w:w="1545" w:type="dxa"/>
            <w:noWrap w:val="0"/>
            <w:vAlign w:val="center"/>
          </w:tcPr>
          <w:p w14:paraId="546E1DBC">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中小型机械</w:t>
            </w:r>
          </w:p>
        </w:tc>
        <w:tc>
          <w:tcPr>
            <w:tcW w:w="6645" w:type="dxa"/>
            <w:noWrap w:val="0"/>
            <w:vAlign w:val="center"/>
          </w:tcPr>
          <w:p w14:paraId="2D89D5D4">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设防护棚（同通道口防护并有防雨措施）。</w:t>
            </w:r>
          </w:p>
        </w:tc>
      </w:tr>
      <w:tr w14:paraId="2805A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2822674">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26EBD264">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375F6F05">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垂直运输设备</w:t>
            </w:r>
          </w:p>
        </w:tc>
        <w:tc>
          <w:tcPr>
            <w:tcW w:w="6645" w:type="dxa"/>
            <w:noWrap w:val="0"/>
            <w:vAlign w:val="center"/>
          </w:tcPr>
          <w:p w14:paraId="40768CD2">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垂直运输设备检测、检验、日常维护、保养等。</w:t>
            </w:r>
          </w:p>
          <w:p w14:paraId="6C36BEDA">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物料提升机、施工电梯等物料平台搭设、外侧用密目式安全立网全封闭，有安全通道、安全防护门、防护棚等。</w:t>
            </w:r>
          </w:p>
        </w:tc>
      </w:tr>
      <w:tr w14:paraId="267EC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A2C27BC">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22547872">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专家论证审查</w:t>
            </w:r>
          </w:p>
        </w:tc>
        <w:tc>
          <w:tcPr>
            <w:tcW w:w="6645" w:type="dxa"/>
            <w:noWrap w:val="0"/>
            <w:vAlign w:val="center"/>
          </w:tcPr>
          <w:p w14:paraId="24734AE3">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超过一定规模的危险性较大分部分项工程专家论证审查。</w:t>
            </w:r>
          </w:p>
        </w:tc>
      </w:tr>
      <w:tr w14:paraId="6C279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294AB52D">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711216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应急救援预案</w:t>
            </w:r>
          </w:p>
        </w:tc>
        <w:tc>
          <w:tcPr>
            <w:tcW w:w="6645" w:type="dxa"/>
            <w:noWrap w:val="0"/>
            <w:vAlign w:val="center"/>
          </w:tcPr>
          <w:p w14:paraId="2ACC40D5">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救援器材准备及演练等。</w:t>
            </w:r>
          </w:p>
        </w:tc>
      </w:tr>
      <w:tr w14:paraId="027CB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6BC5BF0">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3CFAB41F">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非正常情况施工</w:t>
            </w:r>
          </w:p>
        </w:tc>
        <w:tc>
          <w:tcPr>
            <w:tcW w:w="6645" w:type="dxa"/>
            <w:noWrap w:val="0"/>
            <w:vAlign w:val="center"/>
          </w:tcPr>
          <w:p w14:paraId="46431164">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其它特殊情况下的防护费用，如：城市主干道、人流密集、河边等处施工及文物、古建筑、古树保护等。</w:t>
            </w:r>
          </w:p>
        </w:tc>
      </w:tr>
    </w:tbl>
    <w:p w14:paraId="4C753387">
      <w:pPr>
        <w:pStyle w:val="12"/>
        <w:shd w:val="clear" w:color="auto" w:fill="FFFFFF"/>
        <w:ind w:firstLine="422" w:firstLineChars="200"/>
        <w:jc w:val="center"/>
        <w:rPr>
          <w:rFonts w:hint="eastAsia" w:ascii="宋体" w:hAnsi="宋体" w:eastAsia="宋体" w:cs="宋体"/>
          <w:b/>
          <w:color w:val="auto"/>
          <w:highlight w:val="none"/>
        </w:rPr>
      </w:pPr>
      <w:r>
        <w:rPr>
          <w:rFonts w:hint="eastAsia" w:ascii="宋体" w:hAnsi="宋体" w:eastAsia="宋体" w:cs="宋体"/>
          <w:b/>
          <w:color w:val="auto"/>
          <w:highlight w:val="none"/>
        </w:rPr>
        <w:t>注：本表所列建筑工程安全防护、文明施工措施项目，是依据现行法律法规及标准规范确定的。如法律法规和标准规范修订，本表所列项目应按照修订后的法律法规和标准规范进行调整。</w:t>
      </w:r>
    </w:p>
    <w:p w14:paraId="1A19CE1F">
      <w:pPr>
        <w:rPr>
          <w:rFonts w:hint="eastAsia" w:ascii="宋体" w:hAnsi="宋体" w:eastAsia="宋体" w:cs="宋体"/>
          <w:b/>
          <w:color w:val="auto"/>
          <w:highlight w:val="none"/>
        </w:rPr>
      </w:pPr>
    </w:p>
    <w:p w14:paraId="5D790596">
      <w:pPr>
        <w:pStyle w:val="14"/>
        <w:rPr>
          <w:rFonts w:hint="eastAsia" w:ascii="宋体" w:hAnsi="宋体" w:eastAsia="宋体" w:cs="宋体"/>
          <w:b/>
          <w:color w:val="auto"/>
          <w:highlight w:val="none"/>
        </w:rPr>
      </w:pPr>
    </w:p>
    <w:p w14:paraId="0C4A483E">
      <w:pPr>
        <w:rPr>
          <w:rFonts w:hint="eastAsia" w:ascii="宋体" w:hAnsi="宋体" w:eastAsia="宋体" w:cs="宋体"/>
          <w:b/>
          <w:color w:val="auto"/>
          <w:highlight w:val="none"/>
        </w:rPr>
      </w:pPr>
    </w:p>
    <w:p w14:paraId="7D738E36">
      <w:pPr>
        <w:pStyle w:val="14"/>
        <w:rPr>
          <w:rFonts w:hint="eastAsia" w:ascii="宋体" w:hAnsi="宋体" w:eastAsia="宋体" w:cs="宋体"/>
          <w:b/>
          <w:color w:val="auto"/>
          <w:highlight w:val="none"/>
        </w:rPr>
      </w:pPr>
    </w:p>
    <w:p w14:paraId="2F56A3BE">
      <w:pPr>
        <w:rPr>
          <w:rFonts w:hint="eastAsia" w:ascii="宋体" w:hAnsi="宋体" w:eastAsia="宋体" w:cs="宋体"/>
          <w:b/>
          <w:color w:val="auto"/>
          <w:highlight w:val="none"/>
        </w:rPr>
      </w:pPr>
    </w:p>
    <w:p w14:paraId="4CF7692B">
      <w:pPr>
        <w:pStyle w:val="14"/>
        <w:rPr>
          <w:rFonts w:hint="eastAsia" w:ascii="宋体" w:hAnsi="宋体" w:eastAsia="宋体" w:cs="宋体"/>
          <w:b/>
          <w:color w:val="auto"/>
          <w:highlight w:val="none"/>
        </w:rPr>
      </w:pPr>
    </w:p>
    <w:p w14:paraId="6DC234DD">
      <w:pPr>
        <w:rPr>
          <w:rFonts w:hint="eastAsia" w:ascii="宋体" w:hAnsi="宋体" w:eastAsia="宋体" w:cs="宋体"/>
          <w:b/>
          <w:color w:val="auto"/>
          <w:highlight w:val="none"/>
        </w:rPr>
      </w:pPr>
    </w:p>
    <w:p w14:paraId="5560E7E5">
      <w:pPr>
        <w:pStyle w:val="14"/>
        <w:rPr>
          <w:rFonts w:hint="eastAsia" w:ascii="宋体" w:hAnsi="宋体" w:eastAsia="宋体" w:cs="宋体"/>
          <w:b/>
          <w:color w:val="auto"/>
          <w:highlight w:val="none"/>
        </w:rPr>
      </w:pPr>
    </w:p>
    <w:p w14:paraId="0C6AAE5F">
      <w:pPr>
        <w:rPr>
          <w:rFonts w:hint="eastAsia"/>
          <w:color w:val="auto"/>
        </w:rPr>
      </w:pPr>
    </w:p>
    <w:p w14:paraId="0A24D038">
      <w:pPr>
        <w:pStyle w:val="14"/>
        <w:rPr>
          <w:rFonts w:hint="eastAsia"/>
          <w:color w:val="auto"/>
        </w:rPr>
      </w:pPr>
    </w:p>
    <w:p w14:paraId="0D2F8549">
      <w:pPr>
        <w:numPr>
          <w:ilvl w:val="0"/>
          <w:numId w:val="16"/>
        </w:numPr>
        <w:shd w:val="clear" w:color="auto" w:fill="FFFFFF"/>
        <w:spacing w:line="600" w:lineRule="exact"/>
        <w:ind w:firstLine="723" w:firstLineChars="200"/>
        <w:jc w:val="center"/>
        <w:outlineLvl w:val="0"/>
        <w:rPr>
          <w:rFonts w:hint="eastAsia" w:ascii="宋体" w:hAnsi="宋体" w:eastAsia="宋体" w:cs="宋体"/>
          <w:b/>
          <w:color w:val="auto"/>
          <w:sz w:val="36"/>
          <w:szCs w:val="36"/>
          <w:highlight w:val="none"/>
        </w:rPr>
      </w:pPr>
      <w:bookmarkStart w:id="1221" w:name="_Toc2422"/>
      <w:bookmarkStart w:id="1222" w:name="OLE_LINK24"/>
      <w:r>
        <w:rPr>
          <w:rFonts w:hint="eastAsia" w:ascii="宋体" w:hAnsi="宋体" w:eastAsia="宋体" w:cs="宋体"/>
          <w:b/>
          <w:color w:val="auto"/>
          <w:sz w:val="36"/>
          <w:szCs w:val="36"/>
          <w:highlight w:val="none"/>
        </w:rPr>
        <w:t>工程量清单</w:t>
      </w:r>
      <w:bookmarkEnd w:id="1221"/>
    </w:p>
    <w:bookmarkEnd w:id="1222"/>
    <w:p w14:paraId="3BD41712">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both"/>
        <w:textAlignment w:val="auto"/>
        <w:outlineLvl w:val="0"/>
        <w:rPr>
          <w:rFonts w:hint="eastAsia" w:ascii="宋体" w:hAnsi="宋体" w:cs="宋体"/>
          <w:color w:val="auto"/>
          <w:sz w:val="24"/>
          <w:highlight w:val="yellow"/>
          <w:lang w:val="en-US" w:eastAsia="zh-CN"/>
        </w:rPr>
      </w:pPr>
      <w:bookmarkStart w:id="1223" w:name="_Toc29999"/>
    </w:p>
    <w:bookmarkEnd w:id="1223"/>
    <w:p w14:paraId="7A469A14">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643" w:firstLineChars="200"/>
        <w:jc w:val="center"/>
        <w:textAlignment w:val="auto"/>
        <w:outlineLvl w:val="0"/>
        <w:rPr>
          <w:rFonts w:hint="eastAsia" w:ascii="宋体" w:hAnsi="宋体" w:cs="宋体"/>
          <w:color w:val="auto"/>
          <w:sz w:val="24"/>
          <w:highlight w:val="yellow"/>
          <w:lang w:val="en-US" w:eastAsia="zh-CN"/>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另附</w:t>
      </w:r>
      <w:r>
        <w:rPr>
          <w:rFonts w:hint="eastAsia" w:ascii="宋体" w:hAnsi="宋体" w:eastAsia="宋体" w:cs="宋体"/>
          <w:b/>
          <w:color w:val="auto"/>
          <w:sz w:val="32"/>
          <w:szCs w:val="32"/>
          <w:highlight w:val="none"/>
          <w:lang w:eastAsia="zh-CN"/>
        </w:rPr>
        <w:t>）</w:t>
      </w:r>
    </w:p>
    <w:p w14:paraId="42418647">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both"/>
        <w:textAlignment w:val="auto"/>
        <w:outlineLvl w:val="0"/>
        <w:rPr>
          <w:rFonts w:hint="eastAsia" w:ascii="宋体" w:hAnsi="宋体" w:cs="宋体"/>
          <w:color w:val="auto"/>
          <w:sz w:val="24"/>
          <w:highlight w:val="yellow"/>
          <w:lang w:val="en-US" w:eastAsia="zh-CN"/>
        </w:rPr>
      </w:pPr>
    </w:p>
    <w:p w14:paraId="1B4F6FA3">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bookmarkStart w:id="1224" w:name="_Toc2377"/>
      <w:r>
        <w:rPr>
          <w:rFonts w:hint="eastAsia" w:ascii="宋体" w:hAnsi="宋体" w:eastAsia="宋体" w:cs="宋体"/>
          <w:b/>
          <w:color w:val="auto"/>
          <w:sz w:val="32"/>
          <w:szCs w:val="32"/>
          <w:highlight w:val="none"/>
          <w:lang w:val="en-US" w:eastAsia="zh-CN"/>
        </w:rPr>
        <w:t xml:space="preserve">第七章 </w:t>
      </w:r>
      <w:r>
        <w:rPr>
          <w:rFonts w:hint="eastAsia" w:ascii="宋体" w:hAnsi="宋体" w:eastAsia="宋体" w:cs="宋体"/>
          <w:b/>
          <w:color w:val="auto"/>
          <w:sz w:val="32"/>
          <w:szCs w:val="32"/>
          <w:highlight w:val="none"/>
        </w:rPr>
        <w:t>图纸</w:t>
      </w:r>
      <w:bookmarkEnd w:id="1224"/>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另附</w:t>
      </w:r>
      <w:r>
        <w:rPr>
          <w:rFonts w:hint="eastAsia" w:ascii="宋体" w:hAnsi="宋体" w:eastAsia="宋体" w:cs="宋体"/>
          <w:b/>
          <w:color w:val="auto"/>
          <w:sz w:val="32"/>
          <w:szCs w:val="32"/>
          <w:highlight w:val="none"/>
          <w:lang w:eastAsia="zh-CN"/>
        </w:rPr>
        <w:t>）</w:t>
      </w:r>
    </w:p>
    <w:p w14:paraId="3DA655C6">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bookmarkStart w:id="1225" w:name="_Toc29181"/>
    </w:p>
    <w:p w14:paraId="303B01EE">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64E8A875">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790B694D">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6B400710">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4D5EF556">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0854AD9C">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77E5D322">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19592BEC">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06243436">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2E741485">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28214255">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56768D31">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378110D3">
      <w:pPr>
        <w:rPr>
          <w:rFonts w:hint="eastAsia" w:ascii="宋体" w:hAnsi="宋体" w:eastAsia="宋体" w:cs="宋体"/>
          <w:b/>
          <w:color w:val="auto"/>
          <w:sz w:val="32"/>
          <w:szCs w:val="32"/>
          <w:highlight w:val="none"/>
        </w:rPr>
      </w:pPr>
    </w:p>
    <w:p w14:paraId="6697B207">
      <w:pPr>
        <w:pStyle w:val="14"/>
        <w:rPr>
          <w:rFonts w:hint="eastAsia" w:ascii="宋体" w:hAnsi="宋体" w:eastAsia="宋体" w:cs="宋体"/>
          <w:b/>
          <w:color w:val="auto"/>
          <w:sz w:val="32"/>
          <w:szCs w:val="32"/>
          <w:highlight w:val="none"/>
        </w:rPr>
      </w:pPr>
    </w:p>
    <w:p w14:paraId="1EEB7961">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eastAsia="zh-CN"/>
        </w:rPr>
        <w:t>八</w:t>
      </w:r>
      <w:r>
        <w:rPr>
          <w:rFonts w:hint="eastAsia" w:ascii="宋体" w:hAnsi="宋体" w:eastAsia="宋体" w:cs="宋体"/>
          <w:b/>
          <w:color w:val="auto"/>
          <w:sz w:val="32"/>
          <w:szCs w:val="32"/>
          <w:highlight w:val="none"/>
        </w:rPr>
        <w:t>章  评定标准</w:t>
      </w:r>
      <w:bookmarkEnd w:id="1220"/>
      <w:bookmarkEnd w:id="1225"/>
    </w:p>
    <w:p w14:paraId="21F32A87">
      <w:pPr>
        <w:spacing w:line="360" w:lineRule="auto"/>
        <w:ind w:firstLine="643" w:firstLineChars="200"/>
        <w:jc w:val="center"/>
        <w:rPr>
          <w:rFonts w:hint="eastAsia" w:ascii="宋体" w:hAnsi="宋体" w:cs="Times New Roman"/>
          <w:b/>
          <w:color w:val="auto"/>
          <w:sz w:val="32"/>
          <w:szCs w:val="32"/>
          <w:highlight w:val="none"/>
        </w:rPr>
      </w:pPr>
      <w:bookmarkStart w:id="1226" w:name="_Toc80886938"/>
      <w:bookmarkStart w:id="1227" w:name="_Toc29067"/>
      <w:bookmarkStart w:id="1228" w:name="_Toc6051"/>
      <w:r>
        <w:rPr>
          <w:rFonts w:hint="eastAsia" w:ascii="宋体" w:hAnsi="宋体" w:cs="Times New Roman"/>
          <w:b/>
          <w:color w:val="auto"/>
          <w:sz w:val="32"/>
          <w:szCs w:val="32"/>
          <w:highlight w:val="none"/>
        </w:rPr>
        <w:t>第一节 评审程序和评审方法</w:t>
      </w:r>
      <w:bookmarkEnd w:id="1226"/>
      <w:bookmarkEnd w:id="1227"/>
      <w:bookmarkEnd w:id="1228"/>
    </w:p>
    <w:p w14:paraId="62B8484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14:paraId="27ED5E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40948E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2B61685B">
      <w:pPr>
        <w:snapToGrid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35221AB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05B9250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eastAsia="宋体" w:cs="宋体"/>
          <w:b w:val="0"/>
          <w:bCs w:val="0"/>
          <w:color w:val="auto"/>
          <w:sz w:val="21"/>
          <w:szCs w:val="21"/>
          <w:highlight w:val="none"/>
          <w:lang w:val="en-US" w:eastAsia="zh-CN"/>
        </w:rPr>
        <w:t>广西政府采购云平台“信用中国”网站(</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"http://www.creditchina.gov.cn"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www.creditchina.gov.cn</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)、中国政府采购网(</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"http://www.ccgp.gov.cn"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www.ccgp.gov.cn</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)链接入口</w:t>
      </w:r>
      <w:r>
        <w:rPr>
          <w:rFonts w:hint="eastAsia" w:ascii="宋体" w:hAnsi="宋体" w:cs="宋体"/>
          <w:color w:val="auto"/>
          <w:szCs w:val="21"/>
          <w:highlight w:val="none"/>
        </w:rPr>
        <w:t>。</w:t>
      </w:r>
    </w:p>
    <w:p w14:paraId="2C6047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8EA420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查询记录和证据留存方式：在查询网站中直接查询记录，截图另存为电子文档作为评审资料保存。</w:t>
      </w:r>
    </w:p>
    <w:p w14:paraId="056C1D9B">
      <w:pPr>
        <w:snapToGrid w:val="0"/>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（3）信用信息使用规则：对在“信用中国”网站(www.creditchina.gov.cn) 、中国政府采购网(www.ccgp.gov.cn)被列入失信被执行人、</w:t>
      </w:r>
      <w:r>
        <w:rPr>
          <w:rFonts w:hint="eastAsia" w:ascii="宋体" w:hAnsi="宋体" w:cs="Times New Roman"/>
          <w:color w:val="auto"/>
          <w:szCs w:val="21"/>
          <w:highlight w:val="none"/>
          <w:lang w:eastAsia="zh-CN"/>
        </w:rPr>
        <w:t>重大税收违法失信主体</w:t>
      </w:r>
      <w:r>
        <w:rPr>
          <w:rFonts w:hint="eastAsia" w:ascii="宋体" w:hAnsi="宋体" w:cs="Times New Roman"/>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9DF8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D24F1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6B555A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08EECED2">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（2）响应文件未按磋商文件要求签署、盖章</w:t>
      </w:r>
      <w:r>
        <w:rPr>
          <w:rFonts w:hint="eastAsia" w:ascii="宋体" w:hAnsi="宋体" w:cs="宋体"/>
          <w:color w:val="auto"/>
          <w:szCs w:val="21"/>
          <w:highlight w:val="none"/>
          <w:lang w:eastAsia="zh-CN"/>
        </w:rPr>
        <w:t>；</w:t>
      </w:r>
    </w:p>
    <w:p w14:paraId="053901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响应文件未提供任一项“供应商须知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”资格证明文件规定的“必须提供”或者“委托时必须提供”的文件资料的；</w:t>
      </w:r>
    </w:p>
    <w:p w14:paraId="205680BD">
      <w:pPr>
        <w:spacing w:line="360" w:lineRule="auto"/>
        <w:ind w:firstLine="420" w:firstLineChars="200"/>
        <w:rPr>
          <w:rFonts w:hint="eastAsia" w:ascii="宋体" w:hAnsi="宋体" w:cs="宋体"/>
          <w:color w:val="auto"/>
          <w:szCs w:val="21"/>
          <w:highlight w:val="none"/>
        </w:rPr>
      </w:pPr>
      <w:bookmarkStart w:id="1229" w:name="_Hlk68601553"/>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委托代理人未能出具有效身份证明或者出具的身份证明与授权委托书中的信息不符； </w:t>
      </w:r>
    </w:p>
    <w:p w14:paraId="2761F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供应商不按要求提交农民工工资保障承诺书的；</w:t>
      </w:r>
    </w:p>
    <w:p w14:paraId="5CAF3E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）提供虚假的项目负责人或者主要技术人员简历、劳动关系证明、社保证明等；</w:t>
      </w:r>
    </w:p>
    <w:p w14:paraId="4EFB43AC">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）响应文件提供的资格证明文件出现任一项不符合“供应商须知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”资格证明文件规定的“必须提供”或者“委托时必须提供”的文件资料要求或者无效的</w:t>
      </w:r>
      <w:r>
        <w:rPr>
          <w:rFonts w:hint="eastAsia" w:ascii="宋体" w:hAnsi="宋体" w:cs="宋体"/>
          <w:color w:val="auto"/>
          <w:szCs w:val="21"/>
          <w:highlight w:val="none"/>
          <w:lang w:eastAsia="zh-CN"/>
        </w:rPr>
        <w:t>；</w:t>
      </w:r>
    </w:p>
    <w:p w14:paraId="4E89D3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）属于“供应商须知正文”第</w:t>
      </w:r>
      <w:r>
        <w:rPr>
          <w:rFonts w:hint="eastAsia" w:ascii="宋体" w:hAnsi="宋体" w:cs="宋体"/>
          <w:color w:val="auto"/>
          <w:szCs w:val="21"/>
          <w:highlight w:val="none"/>
          <w:lang w:val="en-US" w:eastAsia="zh-CN"/>
        </w:rPr>
        <w:t>24.5、24.6</w:t>
      </w:r>
      <w:r>
        <w:rPr>
          <w:rFonts w:hint="eastAsia" w:ascii="宋体" w:hAnsi="宋体" w:cs="宋体"/>
          <w:color w:val="auto"/>
          <w:szCs w:val="21"/>
          <w:highlight w:val="none"/>
        </w:rPr>
        <w:t>条情形；</w:t>
      </w:r>
    </w:p>
    <w:p w14:paraId="78628C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w:t>
      </w:r>
      <w:bookmarkEnd w:id="1229"/>
    </w:p>
    <w:p w14:paraId="366F1B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应当重新开展采购活动。</w:t>
      </w:r>
    </w:p>
    <w:p w14:paraId="05BD552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3B4E3C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由磋商小组</w:t>
      </w:r>
      <w:r>
        <w:rPr>
          <w:rFonts w:hint="eastAsia" w:ascii="宋体" w:hAnsi="宋体" w:eastAsia="宋体" w:cs="宋体"/>
          <w:color w:val="auto"/>
          <w:sz w:val="21"/>
          <w:szCs w:val="21"/>
          <w:highlight w:val="none"/>
        </w:rPr>
        <w:t>对符合资格的</w:t>
      </w:r>
      <w:r>
        <w:rPr>
          <w:rFonts w:hint="eastAsia" w:ascii="宋体" w:hAnsi="宋体"/>
          <w:color w:val="auto"/>
          <w:szCs w:val="21"/>
          <w:highlight w:val="none"/>
        </w:rPr>
        <w:t>供应商</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w:t>
      </w:r>
      <w:r>
        <w:rPr>
          <w:rFonts w:hint="eastAsia" w:ascii="宋体" w:hAnsi="宋体" w:eastAsia="宋体" w:cs="宋体"/>
          <w:color w:val="auto"/>
          <w:sz w:val="21"/>
          <w:szCs w:val="21"/>
          <w:highlight w:val="none"/>
        </w:rPr>
        <w:t>进行竞标报价、商务、技术等实质性要求符合性审查</w:t>
      </w:r>
      <w:r>
        <w:rPr>
          <w:rFonts w:hint="eastAsia" w:ascii="宋体" w:hAnsi="宋体" w:cs="宋体"/>
          <w:color w:val="auto"/>
          <w:szCs w:val="21"/>
          <w:highlight w:val="none"/>
        </w:rPr>
        <w:t>，以确定其是否满足磋商文件的实质性要求。</w:t>
      </w:r>
    </w:p>
    <w:p w14:paraId="6AFCAA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240E2C">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w:t>
      </w:r>
      <w:r>
        <w:rPr>
          <w:rFonts w:hint="eastAsia" w:ascii="宋体" w:hAnsi="宋体" w:cs="宋体"/>
          <w:color w:val="auto"/>
          <w:szCs w:val="21"/>
          <w:highlight w:val="none"/>
          <w:lang w:val="en-US" w:eastAsia="zh-CN"/>
        </w:rPr>
        <w:t>以</w:t>
      </w:r>
      <w:r>
        <w:rPr>
          <w:rFonts w:hint="eastAsia" w:ascii="宋体" w:hAnsi="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w:t>
      </w:r>
      <w:r>
        <w:rPr>
          <w:rFonts w:hint="eastAsia" w:ascii="宋体" w:hAnsi="宋体" w:cs="宋体"/>
          <w:color w:val="auto"/>
          <w:szCs w:val="21"/>
          <w:highlight w:val="none"/>
          <w:lang w:eastAsia="zh-CN"/>
        </w:rPr>
        <w:t>电子印章</w:t>
      </w:r>
      <w:r>
        <w:rPr>
          <w:rFonts w:hint="eastAsia" w:ascii="宋体" w:hAnsi="宋体" w:cs="宋体"/>
          <w:color w:val="auto"/>
          <w:spacing w:val="-6"/>
          <w:szCs w:val="21"/>
          <w:highlight w:val="none"/>
        </w:rPr>
        <w:t>。供应商为自然人的，必须由本人签字并附身份证明。</w:t>
      </w:r>
    </w:p>
    <w:p w14:paraId="4E4631BE">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w:t>
      </w:r>
      <w:r>
        <w:rPr>
          <w:rFonts w:ascii="宋体" w:hAnsi="宋体" w:cs="宋体"/>
          <w:color w:val="auto"/>
          <w:spacing w:val="-6"/>
          <w:szCs w:val="21"/>
          <w:highlight w:val="none"/>
        </w:rPr>
        <w:t>.4</w:t>
      </w:r>
      <w:r>
        <w:rPr>
          <w:rFonts w:hint="eastAsia" w:ascii="宋体" w:hAnsi="宋体" w:cs="宋体"/>
          <w:color w:val="auto"/>
          <w:szCs w:val="21"/>
          <w:highlight w:val="none"/>
        </w:rPr>
        <w:t xml:space="preserve">首次响应文件报价出现前后不一致的，按照下列规定修正： </w:t>
      </w:r>
    </w:p>
    <w:p w14:paraId="7A95D1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报价表内容与响应文件中相应内容不一致的，以</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报价表为准；</w:t>
      </w:r>
    </w:p>
    <w:p w14:paraId="5B08E1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8E7C7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报价表的总价为准，并修改单价；</w:t>
      </w:r>
    </w:p>
    <w:p w14:paraId="30FDDC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E7AB9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BA8BF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报价</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商务技术评审</w:t>
      </w:r>
    </w:p>
    <w:p w14:paraId="5C91F6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368B1E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评审</w:t>
      </w:r>
    </w:p>
    <w:p w14:paraId="52C231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54AD4C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2）工程量清单</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总价（封面）</w:t>
      </w:r>
      <w:r>
        <w:rPr>
          <w:rFonts w:hint="eastAsia" w:ascii="宋体" w:hAnsi="宋体" w:eastAsia="宋体" w:cs="宋体"/>
          <w:color w:val="auto"/>
          <w:szCs w:val="21"/>
          <w:highlight w:val="none"/>
          <w:lang w:val="en-US" w:eastAsia="zh-CN"/>
        </w:rPr>
        <w:t>没有按规定盖章</w:t>
      </w:r>
      <w:r>
        <w:rPr>
          <w:rFonts w:hint="eastAsia" w:ascii="宋体" w:hAnsi="宋体" w:eastAsia="宋体" w:cs="宋体"/>
          <w:color w:val="auto"/>
          <w:szCs w:val="21"/>
          <w:highlight w:val="none"/>
        </w:rPr>
        <w:t>；</w:t>
      </w:r>
    </w:p>
    <w:p w14:paraId="4AA65B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）未采用人民币报价或者未按照磋商文件标明的币种报价；</w:t>
      </w:r>
    </w:p>
    <w:p w14:paraId="1585DB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供应商未就</w:t>
      </w:r>
      <w:r>
        <w:rPr>
          <w:rFonts w:hint="eastAsia" w:ascii="宋体" w:hAnsi="宋体" w:eastAsia="宋体" w:cs="宋体"/>
          <w:color w:val="auto"/>
          <w:szCs w:val="21"/>
          <w:highlight w:val="none"/>
          <w:lang w:eastAsia="zh-CN"/>
        </w:rPr>
        <w:t>所竞标项目</w:t>
      </w:r>
      <w:r>
        <w:rPr>
          <w:rFonts w:hint="eastAsia" w:ascii="宋体" w:hAnsi="宋体" w:eastAsia="宋体" w:cs="宋体"/>
          <w:color w:val="auto"/>
          <w:szCs w:val="21"/>
          <w:highlight w:val="none"/>
        </w:rPr>
        <w:t>进行报价或者存在漏项报价；供应商未就</w:t>
      </w:r>
      <w:r>
        <w:rPr>
          <w:rFonts w:hint="eastAsia" w:ascii="宋体" w:hAnsi="宋体" w:eastAsia="宋体" w:cs="宋体"/>
          <w:color w:val="auto"/>
          <w:szCs w:val="21"/>
          <w:highlight w:val="none"/>
          <w:lang w:eastAsia="zh-CN"/>
        </w:rPr>
        <w:t>所竞标项目</w:t>
      </w:r>
      <w:r>
        <w:rPr>
          <w:rFonts w:hint="eastAsia" w:ascii="宋体" w:hAnsi="宋体" w:eastAsia="宋体" w:cs="宋体"/>
          <w:color w:val="auto"/>
          <w:szCs w:val="21"/>
          <w:highlight w:val="none"/>
        </w:rPr>
        <w:t>的单项内容作唯一报价；供应商未就</w:t>
      </w:r>
      <w:r>
        <w:rPr>
          <w:rFonts w:hint="eastAsia" w:ascii="宋体" w:hAnsi="宋体" w:eastAsia="宋体" w:cs="宋体"/>
          <w:color w:val="auto"/>
          <w:szCs w:val="21"/>
          <w:highlight w:val="none"/>
          <w:lang w:eastAsia="zh-CN"/>
        </w:rPr>
        <w:t>所竞标项目</w:t>
      </w:r>
      <w:r>
        <w:rPr>
          <w:rFonts w:hint="eastAsia" w:ascii="宋体" w:hAnsi="宋体" w:eastAsia="宋体" w:cs="宋体"/>
          <w:color w:val="auto"/>
          <w:szCs w:val="21"/>
          <w:highlight w:val="none"/>
        </w:rPr>
        <w:t>的全部内容作唯一总价报价；供应商响应文件中存在有选择、有条件报价的（磋商文件允许有备选方案或者其他约定的除外）；</w:t>
      </w:r>
    </w:p>
    <w:p w14:paraId="0FC058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报价（包含首次报价、最后报价）超过</w:t>
      </w:r>
      <w:r>
        <w:rPr>
          <w:rFonts w:hint="eastAsia" w:ascii="宋体" w:hAnsi="宋体" w:cs="宋体"/>
          <w:color w:val="auto"/>
          <w:szCs w:val="21"/>
          <w:highlight w:val="none"/>
          <w:lang w:eastAsia="zh-CN"/>
        </w:rPr>
        <w:t>所竞标项目</w:t>
      </w:r>
      <w:r>
        <w:rPr>
          <w:rFonts w:hint="eastAsia" w:ascii="宋体" w:hAnsi="宋体" w:cs="宋体"/>
          <w:color w:val="auto"/>
          <w:szCs w:val="21"/>
          <w:highlight w:val="none"/>
        </w:rPr>
        <w:t>规定的采购预算金额或者最高限价的（如本项目公布了最高限价）；</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报价（包含首次报价、最后报价）超过磋商文件分项采购预算金额或者最高限价的（如本项目公布了最高限价）；</w:t>
      </w:r>
    </w:p>
    <w:p w14:paraId="2AD781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）修正后的报价，供应商不确认的；或者经供应商确认修正后的</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（包含首次报价、最后报价）超过</w:t>
      </w:r>
      <w:r>
        <w:rPr>
          <w:rFonts w:hint="eastAsia" w:ascii="宋体" w:hAnsi="宋体" w:cs="宋体"/>
          <w:color w:val="auto"/>
          <w:szCs w:val="21"/>
          <w:highlight w:val="none"/>
          <w:lang w:eastAsia="zh-CN"/>
        </w:rPr>
        <w:t>所竞标项目</w:t>
      </w:r>
      <w:r>
        <w:rPr>
          <w:rFonts w:hint="eastAsia" w:ascii="宋体" w:hAnsi="宋体" w:cs="宋体"/>
          <w:color w:val="auto"/>
          <w:szCs w:val="21"/>
          <w:highlight w:val="none"/>
        </w:rPr>
        <w:t>规定的采购预算金额或者最高限价（如本项目公布了最高限价）；或者经供应商确认修正后</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报价（包含首次报价、最后报价）超过磋商文件分项采购预算金额或者最高限价的（如本项目公布了最高限价）。</w:t>
      </w:r>
    </w:p>
    <w:p w14:paraId="1F7C9D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）响应文件未提供任一项“供应商须知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文件中 “必须提供”的文件资料；响应文件提供的</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文件出现任一项不符合“供应商须知前附表”</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文件中 “必须提供”文件资料要求的规定或者提供的</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文件无效。</w:t>
      </w:r>
    </w:p>
    <w:p w14:paraId="7A5B87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未对竞标有效期作出响应或者响应文件承诺的竞标有效期不满足磋商文件要求；</w:t>
      </w:r>
    </w:p>
    <w:p w14:paraId="3B87F9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）响应文件的实质性内容未使用中文表述、使用计量单位不符合磋商文件要求；</w:t>
      </w:r>
    </w:p>
    <w:p w14:paraId="4BD116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）响应文件中的文件资料因填写不齐全或者内容虚假或者出现其他情形而导致被磋商小组认定无效；</w:t>
      </w:r>
    </w:p>
    <w:p w14:paraId="1F4CCD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）响应文件含有采购人不能接受的附加条件；</w:t>
      </w:r>
    </w:p>
    <w:p w14:paraId="0B35CB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）属于“供应商须知正文”第</w:t>
      </w:r>
      <w:r>
        <w:rPr>
          <w:rFonts w:hint="eastAsia" w:ascii="宋体" w:hAnsi="宋体" w:cs="宋体"/>
          <w:color w:val="auto"/>
          <w:szCs w:val="21"/>
          <w:highlight w:val="none"/>
          <w:lang w:val="en-US" w:eastAsia="zh-CN"/>
        </w:rPr>
        <w:t>24.5、24.6</w:t>
      </w:r>
      <w:r>
        <w:rPr>
          <w:rFonts w:hint="eastAsia" w:ascii="宋体" w:hAnsi="宋体" w:cs="宋体"/>
          <w:color w:val="auto"/>
          <w:szCs w:val="21"/>
          <w:highlight w:val="none"/>
        </w:rPr>
        <w:t>条情形；</w:t>
      </w:r>
    </w:p>
    <w:p w14:paraId="3AC651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）虚假竞标，或者出现其他情形而导致被磋商小组认定无效；</w:t>
      </w:r>
    </w:p>
    <w:p w14:paraId="66DDB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）响应文件标注的项目名称或者项目编号与竞争性磋商文件标注的项目名称或者项目编号不一致的；</w:t>
      </w:r>
    </w:p>
    <w:p w14:paraId="60302C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）未响应磋商文件实质性要求；</w:t>
      </w:r>
    </w:p>
    <w:p w14:paraId="4EA0EAE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w:t>
      </w:r>
      <w:r>
        <w:rPr>
          <w:rFonts w:hint="eastAsia" w:ascii="宋体" w:hAnsi="宋体" w:eastAsia="宋体" w:cs="宋体"/>
          <w:color w:val="auto"/>
          <w:szCs w:val="21"/>
          <w:highlight w:val="none"/>
        </w:rPr>
        <w:t>提交的磋商保证金无效的或者未按照磋商文件的规定提交磋商保证金；</w:t>
      </w:r>
    </w:p>
    <w:p w14:paraId="6A8678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）法律、法规和磋商文件规定的其他无效情形。</w:t>
      </w:r>
    </w:p>
    <w:p w14:paraId="42E07F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评审</w:t>
      </w:r>
    </w:p>
    <w:p w14:paraId="0C091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响应文件未按磋商文件要求签署、盖章；</w:t>
      </w:r>
    </w:p>
    <w:p w14:paraId="3F5DE1F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2）响应文件未提供任一项“供应商须知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文件中 “必须提供”的文件资料；响应文件提供的</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文件出现任一项不符合“供应商须知前附表”</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文件中 “必须提供”文件资料要求的规定或者提供的</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文件无效</w:t>
      </w:r>
      <w:r>
        <w:rPr>
          <w:rFonts w:hint="eastAsia" w:ascii="宋体" w:hAnsi="宋体" w:cs="宋体"/>
          <w:color w:val="auto"/>
          <w:szCs w:val="21"/>
          <w:highlight w:val="none"/>
          <w:lang w:eastAsia="zh-CN"/>
        </w:rPr>
        <w:t>；</w:t>
      </w:r>
    </w:p>
    <w:p w14:paraId="7CCA1F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）响应文件中的文件资料因填写不齐全或者内容虚假或者出现其他情形而导致被磋商小组认定无效；</w:t>
      </w:r>
    </w:p>
    <w:p w14:paraId="1DAAA6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）响应文件含有采购人不能接受的附加条件；</w:t>
      </w:r>
    </w:p>
    <w:p w14:paraId="736D162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属于“供应商须知正文”第</w:t>
      </w:r>
      <w:r>
        <w:rPr>
          <w:rFonts w:hint="eastAsia" w:ascii="宋体" w:hAnsi="宋体" w:cs="宋体"/>
          <w:color w:val="auto"/>
          <w:szCs w:val="21"/>
          <w:highlight w:val="none"/>
          <w:lang w:val="en-US" w:eastAsia="zh-CN"/>
        </w:rPr>
        <w:t>24.5、24.6</w:t>
      </w:r>
      <w:r>
        <w:rPr>
          <w:rFonts w:hint="eastAsia" w:ascii="宋体" w:hAnsi="宋体" w:cs="宋体"/>
          <w:color w:val="auto"/>
          <w:szCs w:val="21"/>
          <w:highlight w:val="none"/>
        </w:rPr>
        <w:t>条情形</w:t>
      </w:r>
      <w:r>
        <w:rPr>
          <w:rFonts w:hint="eastAsia" w:ascii="宋体" w:hAnsi="宋体" w:cs="宋体"/>
          <w:color w:val="auto"/>
          <w:szCs w:val="21"/>
          <w:highlight w:val="none"/>
          <w:lang w:eastAsia="zh-CN"/>
        </w:rPr>
        <w:t>；</w:t>
      </w:r>
    </w:p>
    <w:p w14:paraId="562924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虚假竞标，或者出现其他情形而导致被磋商小组认定无效；</w:t>
      </w:r>
    </w:p>
    <w:p w14:paraId="5A838C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0B84AE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）响应文件标注的项目名称或者项目编号与竞争性磋商文件标注的项目名称或者项目编号不一致的；</w:t>
      </w:r>
    </w:p>
    <w:p w14:paraId="2AA458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）未响应磋商文件实质性要求；</w:t>
      </w:r>
    </w:p>
    <w:p w14:paraId="62A6FD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）法律、法规和磋商文件规定的其他无效情形。</w:t>
      </w:r>
    </w:p>
    <w:p w14:paraId="1FD070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9CA84F0">
      <w:pPr>
        <w:spacing w:line="360" w:lineRule="auto"/>
        <w:ind w:firstLine="420" w:firstLineChars="200"/>
        <w:rPr>
          <w:rFonts w:hint="eastAsia" w:ascii="黑体" w:hAnsi="黑体" w:eastAsia="黑体" w:cs="宋体"/>
          <w:b/>
          <w:bCs/>
          <w:color w:val="auto"/>
          <w:sz w:val="24"/>
          <w:highlight w:val="none"/>
        </w:rPr>
      </w:pPr>
      <w:bookmarkStart w:id="1230" w:name="OLE_LINK40"/>
      <w:r>
        <w:rPr>
          <w:rFonts w:hint="eastAsia" w:ascii="宋体" w:hAnsi="宋体" w:cs="宋体"/>
          <w:color w:val="auto"/>
          <w:szCs w:val="21"/>
          <w:highlight w:val="none"/>
        </w:rPr>
        <w:t>3</w:t>
      </w:r>
      <w:r>
        <w:rPr>
          <w:rFonts w:ascii="宋体" w:hAnsi="宋体" w:cs="宋体"/>
          <w:color w:val="auto"/>
          <w:szCs w:val="21"/>
          <w:highlight w:val="none"/>
        </w:rPr>
        <w:t>.7</w:t>
      </w:r>
      <w:bookmarkEnd w:id="1230"/>
      <w:r>
        <w:rPr>
          <w:rFonts w:hint="eastAsia" w:ascii="宋体" w:hAnsi="宋体" w:cs="宋体"/>
          <w:color w:val="auto"/>
          <w:szCs w:val="21"/>
          <w:highlight w:val="none"/>
        </w:rPr>
        <w:t>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6153BEE">
      <w:pPr>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19BE1DF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D09F7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在磋商过程中，磋商小组可以根据磋商文件和磋商情况实质性变动</w:t>
      </w:r>
      <w:r>
        <w:rPr>
          <w:rFonts w:hint="eastAsia" w:ascii="宋体" w:hAnsi="宋体" w:cs="宋体"/>
          <w:color w:val="auto"/>
          <w:szCs w:val="21"/>
          <w:highlight w:val="none"/>
          <w:lang w:val="en-US" w:eastAsia="zh-CN"/>
        </w:rPr>
        <w:t>磋商文件</w:t>
      </w:r>
      <w:r>
        <w:rPr>
          <w:rFonts w:hint="eastAsia" w:ascii="宋体" w:hAnsi="宋体" w:cs="宋体"/>
          <w:color w:val="auto"/>
          <w:szCs w:val="21"/>
          <w:highlight w:val="none"/>
        </w:rPr>
        <w:t>中的技术、服务要求以及合同草案条款，但不得变动磋商文件中的其他内容。实质性变动的内容，须经采购人代表确认。可能实质性变动的内容为采购需求中的技术、服务要求以及合同草案条款。</w:t>
      </w:r>
    </w:p>
    <w:p w14:paraId="41255C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377584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.4</w:t>
      </w:r>
      <w:r>
        <w:rPr>
          <w:rFonts w:hint="eastAsia" w:ascii="宋体" w:hAnsi="宋体" w:cs="宋体"/>
          <w:color w:val="auto"/>
          <w:szCs w:val="21"/>
          <w:highlight w:val="none"/>
        </w:rPr>
        <w:t>供应商必须按照磋商文件的变动情况和磋商小组的要求以回函的形式重新提交响应文件，并加盖</w:t>
      </w:r>
      <w:r>
        <w:rPr>
          <w:rFonts w:hint="eastAsia" w:ascii="宋体" w:hAnsi="宋体" w:cs="宋体"/>
          <w:color w:val="auto"/>
          <w:szCs w:val="21"/>
          <w:highlight w:val="none"/>
          <w:lang w:eastAsia="zh-CN"/>
        </w:rPr>
        <w:t>电子印章</w:t>
      </w:r>
      <w:r>
        <w:rPr>
          <w:rFonts w:hint="eastAsia" w:ascii="宋体" w:hAnsi="宋体" w:cs="宋体"/>
          <w:color w:val="auto"/>
          <w:szCs w:val="21"/>
          <w:highlight w:val="none"/>
        </w:rPr>
        <w:t>。供应商为自然人的，必须由本人签字并附身份证明。参加磋商的供应商未在规定时间内重新提交响应文件的，视同退出磋商。</w:t>
      </w:r>
    </w:p>
    <w:p w14:paraId="0875D4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27ACC88A">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w:t>
      </w:r>
      <w:r>
        <w:rPr>
          <w:rFonts w:ascii="宋体" w:hAnsi="宋体" w:cs="宋体"/>
          <w:color w:val="auto"/>
          <w:szCs w:val="21"/>
          <w:highlight w:val="none"/>
        </w:rPr>
        <w:t>.6</w:t>
      </w:r>
      <w:r>
        <w:rPr>
          <w:rFonts w:hint="eastAsia" w:ascii="宋体" w:hAnsi="宋体" w:cs="宋体"/>
          <w:color w:val="auto"/>
          <w:szCs w:val="21"/>
          <w:highlight w:val="none"/>
        </w:rPr>
        <w:t>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17E1D1F6">
      <w:pPr>
        <w:pStyle w:val="45"/>
        <w:spacing w:before="0"/>
        <w:ind w:firstLine="396" w:firstLineChars="200"/>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4D7E0837">
      <w:pPr>
        <w:pStyle w:val="45"/>
        <w:spacing w:before="0"/>
        <w:ind w:firstLine="396" w:firstLineChars="200"/>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55EABFC8">
      <w:pPr>
        <w:pStyle w:val="45"/>
        <w:spacing w:before="0"/>
        <w:ind w:firstLine="396" w:firstLineChars="200"/>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64B8369D">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7</w:t>
      </w:r>
      <w:r>
        <w:rPr>
          <w:rFonts w:hint="eastAsia" w:ascii="宋体" w:hAnsi="宋体" w:cs="宋体"/>
          <w:color w:val="auto"/>
          <w:szCs w:val="21"/>
          <w:highlight w:val="none"/>
        </w:rPr>
        <w:t>磋商过程中重新提交的响应文件，供应商可以在开启前补充、修改。</w:t>
      </w:r>
    </w:p>
    <w:p w14:paraId="6980DC5B">
      <w:pPr>
        <w:tabs>
          <w:tab w:val="left" w:pos="2835"/>
        </w:tabs>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4</w:t>
      </w:r>
      <w:r>
        <w:rPr>
          <w:rFonts w:ascii="宋体" w:hAnsi="宋体" w:cs="宋体"/>
          <w:color w:val="auto"/>
          <w:szCs w:val="21"/>
          <w:highlight w:val="none"/>
        </w:rPr>
        <w:t>.8</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29C17517">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 最后报价</w:t>
      </w:r>
    </w:p>
    <w:p w14:paraId="7D5B6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eastAsia="宋体" w:cs="宋体"/>
          <w:color w:val="auto"/>
          <w:szCs w:val="21"/>
          <w:highlight w:val="none"/>
        </w:rPr>
        <w:t>磋商结束后，由磋商小组要求所有继续参加磋商的供应商在规定时间内</w:t>
      </w:r>
      <w:r>
        <w:rPr>
          <w:rFonts w:hint="eastAsia" w:ascii="宋体" w:hAnsi="宋体" w:cs="宋体"/>
          <w:color w:val="auto"/>
          <w:szCs w:val="21"/>
          <w:highlight w:val="none"/>
          <w:lang w:val="en-US" w:eastAsia="zh-CN"/>
        </w:rPr>
        <w:t>加密在线</w:t>
      </w:r>
      <w:r>
        <w:rPr>
          <w:rFonts w:hint="eastAsia" w:ascii="宋体" w:hAnsi="宋体" w:cs="宋体"/>
          <w:color w:val="auto"/>
          <w:szCs w:val="21"/>
          <w:highlight w:val="none"/>
        </w:rPr>
        <w:t>提交最后报价</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报价如有变动必须按工程量清单报价文件的要求及格式编制</w:t>
      </w:r>
      <w:r>
        <w:rPr>
          <w:rFonts w:hint="eastAsia" w:ascii="宋体" w:hAnsi="宋体" w:cs="宋体"/>
          <w:b/>
          <w:bCs/>
          <w:color w:val="auto"/>
          <w:szCs w:val="21"/>
          <w:highlight w:val="none"/>
          <w:lang w:val="en-US" w:eastAsia="zh-CN"/>
        </w:rPr>
        <w:t>并加盖供应商电子印章及相关编制人员（如有要求）签字或盖章（此处所指“签字或盖章”为手写签字或盖章后扫描上传）</w:t>
      </w:r>
      <w:r>
        <w:rPr>
          <w:rFonts w:hint="eastAsia" w:ascii="宋体" w:hAnsi="宋体" w:eastAsia="宋体" w:cs="宋体"/>
          <w:b/>
          <w:bCs/>
          <w:color w:val="auto"/>
          <w:szCs w:val="21"/>
          <w:highlight w:val="none"/>
        </w:rPr>
        <w:t>，不得以总价下浮的方式做</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报价，否则，作无效</w:t>
      </w:r>
      <w:r>
        <w:rPr>
          <w:rFonts w:hint="eastAsia" w:ascii="宋体" w:hAnsi="宋体" w:cs="宋体"/>
          <w:b/>
          <w:bCs/>
          <w:color w:val="auto"/>
          <w:szCs w:val="21"/>
          <w:highlight w:val="none"/>
          <w:lang w:val="en-US" w:eastAsia="zh-CN"/>
        </w:rPr>
        <w:t>磋商</w:t>
      </w:r>
      <w:r>
        <w:rPr>
          <w:rFonts w:hint="eastAsia" w:ascii="宋体" w:hAnsi="宋体" w:eastAsia="宋体" w:cs="宋体"/>
          <w:b/>
          <w:bCs/>
          <w:color w:val="auto"/>
          <w:szCs w:val="21"/>
          <w:highlight w:val="none"/>
        </w:rPr>
        <w:t>处理，供应商须提前做好相关准备并按时递交</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报价文件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以附件的方式上传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报价高于采购预算控制价的响应文件将被拒绝。</w:t>
      </w:r>
      <w:r>
        <w:rPr>
          <w:rFonts w:hint="eastAsia" w:ascii="宋体" w:hAnsi="宋体" w:cs="宋体"/>
          <w:color w:val="auto"/>
          <w:szCs w:val="21"/>
          <w:highlight w:val="none"/>
        </w:rPr>
        <w:t>除本章第5</w:t>
      </w:r>
      <w:r>
        <w:rPr>
          <w:rFonts w:ascii="宋体" w:hAnsi="宋体" w:cs="宋体"/>
          <w:color w:val="auto"/>
          <w:szCs w:val="21"/>
          <w:highlight w:val="none"/>
        </w:rPr>
        <w:t>.3</w:t>
      </w:r>
      <w:r>
        <w:rPr>
          <w:rFonts w:hint="eastAsia" w:ascii="宋体" w:hAnsi="宋体" w:cs="宋体"/>
          <w:color w:val="auto"/>
          <w:szCs w:val="21"/>
          <w:highlight w:val="none"/>
        </w:rPr>
        <w:t>条外，提交最后报价的供应商不得少于3家，否则必须重新采购。</w:t>
      </w:r>
    </w:p>
    <w:p w14:paraId="3FC922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w:t>
      </w:r>
      <w:r>
        <w:rPr>
          <w:rFonts w:hint="eastAsia" w:ascii="宋体" w:hAnsi="宋体" w:cs="宋体"/>
          <w:color w:val="auto"/>
          <w:szCs w:val="21"/>
          <w:highlight w:val="none"/>
          <w:lang w:val="en-US" w:eastAsia="zh-CN"/>
        </w:rPr>
        <w:t>在线</w:t>
      </w:r>
      <w:r>
        <w:rPr>
          <w:rFonts w:hint="eastAsia" w:ascii="宋体" w:hAnsi="宋体" w:cs="宋体"/>
          <w:color w:val="auto"/>
          <w:szCs w:val="21"/>
          <w:highlight w:val="none"/>
        </w:rPr>
        <w:t>提交最后报价。</w:t>
      </w:r>
    </w:p>
    <w:p w14:paraId="6E0A4C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.3</w:t>
      </w:r>
      <w:r>
        <w:rPr>
          <w:rFonts w:hint="eastAsia" w:ascii="宋体" w:hAnsi="宋体" w:cs="宋体"/>
          <w:color w:val="auto"/>
          <w:szCs w:val="21"/>
          <w:highlight w:val="none"/>
        </w:rPr>
        <w:t xml:space="preserve"> </w:t>
      </w:r>
      <w:bookmarkStart w:id="1231" w:name="OLE_LINK66"/>
      <w:r>
        <w:rPr>
          <w:rFonts w:hint="eastAsia" w:ascii="宋体" w:hAnsi="宋体" w:cs="宋体"/>
          <w:color w:val="auto"/>
          <w:szCs w:val="21"/>
          <w:highlight w:val="none"/>
        </w:rPr>
        <w:t>最后报价是供应商响应文件的有效组成部分。符合《政府采购竞争性磋商采购方式管理暂行办法》（财库〔2014〕214号）第三条第四项“市场竞争不充分的科研项目，以及需要扶持的科技成果转化项目</w:t>
      </w:r>
      <w:bookmarkEnd w:id="1231"/>
      <w:r>
        <w:rPr>
          <w:rFonts w:hint="eastAsia" w:ascii="宋体" w:hAnsi="宋体" w:cs="宋体"/>
          <w:color w:val="auto"/>
          <w:szCs w:val="21"/>
          <w:highlight w:val="none"/>
        </w:rPr>
        <w:t>”的</w:t>
      </w:r>
      <w:r>
        <w:rPr>
          <w:rFonts w:hint="eastAsia" w:ascii="宋体" w:hAnsi="宋体"/>
          <w:color w:val="auto"/>
          <w:szCs w:val="21"/>
          <w:highlight w:val="none"/>
          <w:lang w:eastAsia="zh-CN"/>
        </w:rPr>
        <w:t>，</w:t>
      </w:r>
      <w:r>
        <w:rPr>
          <w:rFonts w:hint="eastAsia" w:ascii="宋体" w:hAnsi="宋体" w:cs="宋体"/>
          <w:color w:val="auto"/>
          <w:szCs w:val="21"/>
          <w:highlight w:val="none"/>
        </w:rPr>
        <w:t>提交最后报价的供应商可以为2家。</w:t>
      </w:r>
    </w:p>
    <w:p w14:paraId="168436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w:t>
      </w:r>
    </w:p>
    <w:p w14:paraId="638E20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.5</w:t>
      </w:r>
      <w:r>
        <w:rPr>
          <w:rFonts w:hint="eastAsia" w:ascii="宋体" w:hAnsi="宋体" w:cs="宋体"/>
          <w:color w:val="auto"/>
          <w:szCs w:val="21"/>
          <w:highlight w:val="none"/>
        </w:rPr>
        <w:t>供应商未在规定时间内提交最后报价的，视为退出磋商，其响应文件作无效处理。</w:t>
      </w:r>
    </w:p>
    <w:p w14:paraId="49536F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磋商小组收齐</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最后报价后统一开启，磋商小组对最后报价进行有效性、完整性和响应程度的审查。</w:t>
      </w:r>
    </w:p>
    <w:p w14:paraId="5A7F79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.7</w:t>
      </w:r>
      <w:r>
        <w:rPr>
          <w:rFonts w:hint="eastAsia" w:ascii="宋体" w:hAnsi="宋体" w:cs="宋体"/>
          <w:color w:val="auto"/>
          <w:szCs w:val="21"/>
          <w:highlight w:val="none"/>
        </w:rPr>
        <w:t>最终响应文件的报价出现前后不一致的，按照</w:t>
      </w:r>
      <w:bookmarkStart w:id="1232" w:name="OLE_LINK41"/>
      <w:r>
        <w:rPr>
          <w:rFonts w:hint="eastAsia" w:ascii="宋体" w:hAnsi="宋体" w:cs="宋体"/>
          <w:color w:val="auto"/>
          <w:szCs w:val="21"/>
          <w:highlight w:val="none"/>
        </w:rPr>
        <w:t>本章第3</w:t>
      </w:r>
      <w:r>
        <w:rPr>
          <w:rFonts w:ascii="宋体" w:hAnsi="宋体" w:cs="宋体"/>
          <w:color w:val="auto"/>
          <w:szCs w:val="21"/>
          <w:highlight w:val="none"/>
        </w:rPr>
        <w:t>.4</w:t>
      </w:r>
      <w:r>
        <w:rPr>
          <w:rFonts w:hint="eastAsia" w:ascii="宋体" w:hAnsi="宋体" w:cs="宋体"/>
          <w:color w:val="auto"/>
          <w:szCs w:val="21"/>
          <w:highlight w:val="none"/>
        </w:rPr>
        <w:t>条</w:t>
      </w:r>
      <w:bookmarkEnd w:id="1232"/>
      <w:r>
        <w:rPr>
          <w:rFonts w:hint="eastAsia" w:ascii="宋体" w:hAnsi="宋体" w:cs="宋体"/>
          <w:color w:val="auto"/>
          <w:szCs w:val="21"/>
          <w:highlight w:val="none"/>
        </w:rPr>
        <w:t xml:space="preserve">的规定修正。 </w:t>
      </w:r>
    </w:p>
    <w:p w14:paraId="471E8F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.8</w:t>
      </w:r>
      <w:r>
        <w:rPr>
          <w:rFonts w:hint="eastAsia" w:ascii="宋体" w:hAnsi="宋体" w:cs="宋体"/>
          <w:color w:val="auto"/>
          <w:szCs w:val="21"/>
          <w:highlight w:val="none"/>
        </w:rPr>
        <w:t>修正后的报价出现下列情形的，按无效响应处理：</w:t>
      </w:r>
    </w:p>
    <w:p w14:paraId="304AD6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EE454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（包含首次报价、最后报价）超过</w:t>
      </w:r>
      <w:r>
        <w:rPr>
          <w:rFonts w:hint="eastAsia" w:ascii="宋体" w:hAnsi="宋体" w:cs="宋体"/>
          <w:color w:val="auto"/>
          <w:szCs w:val="21"/>
          <w:highlight w:val="none"/>
          <w:lang w:eastAsia="zh-CN"/>
        </w:rPr>
        <w:t>所竞标项目</w:t>
      </w:r>
      <w:r>
        <w:rPr>
          <w:rFonts w:hint="eastAsia" w:ascii="宋体" w:hAnsi="宋体" w:cs="宋体"/>
          <w:color w:val="auto"/>
          <w:szCs w:val="21"/>
          <w:highlight w:val="none"/>
        </w:rPr>
        <w:t>规定的采购预算金额或者最高限价的（如本项目公布了最高限价）；</w:t>
      </w:r>
    </w:p>
    <w:p w14:paraId="3BC53F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（包含首次报价、最后报价）超过分项采购预算金额或者最高限价的（如本项目公布了最高限价）。</w:t>
      </w:r>
    </w:p>
    <w:p w14:paraId="7EA854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.9</w:t>
      </w:r>
      <w:r>
        <w:rPr>
          <w:rFonts w:hint="eastAsia" w:ascii="宋体" w:hAnsi="宋体" w:cs="宋体"/>
          <w:color w:val="auto"/>
          <w:szCs w:val="21"/>
          <w:highlight w:val="none"/>
        </w:rPr>
        <w:t>经供应商确认修正后的最后报价作为评审及签订合同的依据。</w:t>
      </w:r>
    </w:p>
    <w:p w14:paraId="55F317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9A4E88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1最后报价结束后，磋商小组不得再与供应商进行任何形式的商谈。</w:t>
      </w:r>
    </w:p>
    <w:p w14:paraId="10161BD6">
      <w:pPr>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1218C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评审方法：综合评分法。</w:t>
      </w:r>
    </w:p>
    <w:p w14:paraId="31FA4B9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1B0239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463938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261A1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2D02374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49F0637">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6.5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olor w:val="auto"/>
          <w:kern w:val="0"/>
          <w:szCs w:val="21"/>
          <w:highlight w:val="none"/>
          <w:lang w:val="en-US" w:eastAsia="zh-CN"/>
        </w:rPr>
        <w:t>5</w:t>
      </w:r>
      <w:r>
        <w:rPr>
          <w:rFonts w:ascii="宋体" w:hAnsi="宋体"/>
          <w:color w:val="auto"/>
          <w:kern w:val="0"/>
          <w:szCs w:val="21"/>
          <w:highlight w:val="none"/>
        </w:rPr>
        <w:t>.3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r>
        <w:rPr>
          <w:rFonts w:hint="eastAsia" w:ascii="宋体" w:hAnsi="宋体" w:eastAsia="宋体" w:cs="宋体"/>
          <w:bCs/>
          <w:color w:val="auto"/>
          <w:szCs w:val="21"/>
          <w:highlight w:val="none"/>
        </w:rPr>
        <w:t>（按技术得分由高到低排序，技术得分相同的按照</w:t>
      </w:r>
      <w:r>
        <w:rPr>
          <w:rFonts w:hint="eastAsia" w:ascii="宋体" w:hAnsi="宋体" w:eastAsia="宋体" w:cs="宋体"/>
          <w:color w:val="auto"/>
          <w:highlight w:val="none"/>
          <w:lang w:eastAsia="zh-CN"/>
        </w:rPr>
        <w:t>承诺工期</w:t>
      </w:r>
      <w:r>
        <w:rPr>
          <w:rFonts w:hint="eastAsia" w:ascii="宋体" w:hAnsi="宋体" w:eastAsia="宋体" w:cs="宋体"/>
          <w:bCs/>
          <w:color w:val="auto"/>
          <w:szCs w:val="21"/>
          <w:highlight w:val="none"/>
          <w:lang w:eastAsia="zh-CN"/>
        </w:rPr>
        <w:t>优劣</w:t>
      </w:r>
      <w:r>
        <w:rPr>
          <w:rFonts w:hint="eastAsia" w:ascii="宋体" w:hAnsi="宋体" w:eastAsia="宋体" w:cs="宋体"/>
          <w:bCs/>
          <w:color w:val="auto"/>
          <w:szCs w:val="21"/>
          <w:highlight w:val="none"/>
        </w:rPr>
        <w:t>排序）。评审得分、最后报价（不计算价格折扣）、技术得分、</w:t>
      </w:r>
      <w:bookmarkStart w:id="1233" w:name="OLE_LINK42"/>
      <w:r>
        <w:rPr>
          <w:rFonts w:hint="eastAsia" w:ascii="宋体" w:hAnsi="宋体" w:eastAsia="宋体" w:cs="宋体"/>
          <w:color w:val="auto"/>
          <w:highlight w:val="none"/>
          <w:lang w:eastAsia="zh-CN"/>
        </w:rPr>
        <w:t>承诺工期</w:t>
      </w:r>
      <w:bookmarkEnd w:id="1233"/>
      <w:r>
        <w:rPr>
          <w:rFonts w:hint="eastAsia" w:ascii="宋体" w:hAnsi="宋体" w:eastAsia="宋体" w:cs="宋体"/>
          <w:bCs/>
          <w:color w:val="auto"/>
          <w:szCs w:val="21"/>
          <w:highlight w:val="none"/>
        </w:rPr>
        <w:t>均相同的，由磋商小组随机抽取推荐</w:t>
      </w:r>
      <w:r>
        <w:rPr>
          <w:rFonts w:hint="eastAsia" w:ascii="宋体" w:hAnsi="宋体"/>
          <w:color w:val="auto"/>
          <w:kern w:val="0"/>
          <w:szCs w:val="21"/>
          <w:highlight w:val="none"/>
        </w:rPr>
        <w:t>。</w:t>
      </w:r>
    </w:p>
    <w:p w14:paraId="40A9A14C">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6.6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E55CCE4">
      <w:pPr>
        <w:spacing w:line="360" w:lineRule="auto"/>
        <w:ind w:firstLine="643" w:firstLineChars="200"/>
        <w:jc w:val="center"/>
        <w:rPr>
          <w:rFonts w:hint="eastAsia" w:ascii="宋体" w:hAnsi="宋体"/>
          <w:b/>
          <w:color w:val="auto"/>
          <w:sz w:val="32"/>
          <w:szCs w:val="32"/>
          <w:highlight w:val="none"/>
        </w:rPr>
      </w:pPr>
    </w:p>
    <w:p w14:paraId="08FF13DA">
      <w:pPr>
        <w:spacing w:line="360" w:lineRule="auto"/>
        <w:ind w:firstLine="643" w:firstLineChars="200"/>
        <w:jc w:val="center"/>
        <w:rPr>
          <w:rFonts w:hint="eastAsia" w:ascii="宋体" w:hAnsi="宋体"/>
          <w:b/>
          <w:color w:val="auto"/>
          <w:sz w:val="32"/>
          <w:szCs w:val="32"/>
          <w:highlight w:val="none"/>
        </w:rPr>
      </w:pPr>
    </w:p>
    <w:p w14:paraId="7107B377">
      <w:pPr>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4877A30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7</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评审依据：磋商小组将以磋商响应文件为评审依据，对供应商的报价、技术等方面内容按百分制打分。（计分方法按四舍五入取至百分位）</w:t>
      </w:r>
    </w:p>
    <w:tbl>
      <w:tblPr>
        <w:tblStyle w:val="22"/>
        <w:tblpPr w:leftFromText="180" w:rightFromText="180" w:vertAnchor="text" w:horzAnchor="page" w:tblpX="1511" w:tblpY="9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1D9E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dxa"/>
            <w:noWrap w:val="0"/>
            <w:vAlign w:val="center"/>
          </w:tcPr>
          <w:p w14:paraId="2FD021FF">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418" w:type="dxa"/>
            <w:noWrap w:val="0"/>
            <w:vAlign w:val="center"/>
          </w:tcPr>
          <w:p w14:paraId="0258ACB8">
            <w:pPr>
              <w:widowControl/>
              <w:spacing w:line="360" w:lineRule="auto"/>
              <w:jc w:val="center"/>
              <w:rPr>
                <w:rFonts w:hint="eastAsia" w:ascii="宋体" w:hAnsi="宋体" w:eastAsia="宋体" w:cs="宋体"/>
                <w:b/>
                <w:bCs/>
                <w:color w:val="auto"/>
                <w:kern w:val="0"/>
                <w:szCs w:val="21"/>
                <w:highlight w:val="none"/>
              </w:rPr>
            </w:pPr>
            <w:bookmarkStart w:id="1234" w:name="OLE_LINK52"/>
            <w:r>
              <w:rPr>
                <w:rFonts w:hint="eastAsia" w:ascii="宋体" w:hAnsi="宋体" w:eastAsia="宋体" w:cs="宋体"/>
                <w:b/>
                <w:bCs/>
                <w:color w:val="auto"/>
                <w:kern w:val="0"/>
                <w:szCs w:val="21"/>
                <w:highlight w:val="none"/>
              </w:rPr>
              <w:t>评审因素</w:t>
            </w:r>
            <w:bookmarkEnd w:id="1234"/>
          </w:p>
        </w:tc>
        <w:tc>
          <w:tcPr>
            <w:tcW w:w="6288" w:type="dxa"/>
            <w:noWrap w:val="0"/>
            <w:vAlign w:val="center"/>
          </w:tcPr>
          <w:p w14:paraId="6E287B36">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评审因素具体内容</w:t>
            </w:r>
          </w:p>
        </w:tc>
        <w:tc>
          <w:tcPr>
            <w:tcW w:w="851" w:type="dxa"/>
            <w:noWrap w:val="0"/>
            <w:vAlign w:val="center"/>
          </w:tcPr>
          <w:p w14:paraId="59280596">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439C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dxa"/>
            <w:noWrap w:val="0"/>
            <w:vAlign w:val="center"/>
          </w:tcPr>
          <w:p w14:paraId="27B04D9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18" w:type="dxa"/>
            <w:noWrap w:val="0"/>
            <w:vAlign w:val="center"/>
          </w:tcPr>
          <w:p w14:paraId="6F1EE90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价格分</w:t>
            </w:r>
            <w:r>
              <w:rPr>
                <w:rFonts w:hint="eastAsia" w:ascii="宋体" w:hAnsi="宋体" w:eastAsia="宋体" w:cs="宋体"/>
                <w:color w:val="auto"/>
                <w:kern w:val="0"/>
                <w:szCs w:val="21"/>
                <w:highlight w:val="none"/>
                <w:lang w:val="en-US" w:eastAsia="zh-CN"/>
              </w:rPr>
              <w:t>30分</w:t>
            </w:r>
          </w:p>
        </w:tc>
        <w:tc>
          <w:tcPr>
            <w:tcW w:w="6288" w:type="dxa"/>
            <w:noWrap w:val="0"/>
            <w:vAlign w:val="top"/>
          </w:tcPr>
          <w:p w14:paraId="09B617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本项目为专门面向中小企业采购的项目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按照《政府采购促进中小企业发展管理办法》（财库〔2020〕46号）的规定</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highlight w:val="none"/>
                <w:lang w:eastAsia="zh-CN"/>
              </w:rPr>
              <w:t>不再执行价格评审优惠的扶持政策</w:t>
            </w:r>
            <w:r>
              <w:rPr>
                <w:rFonts w:hint="eastAsia" w:ascii="宋体" w:hAnsi="宋体" w:eastAsia="宋体" w:cs="宋体"/>
                <w:color w:val="auto"/>
                <w:sz w:val="21"/>
                <w:szCs w:val="21"/>
                <w:highlight w:val="none"/>
              </w:rPr>
              <w:t>。</w:t>
            </w:r>
          </w:p>
          <w:p w14:paraId="5EE605A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2.评审价为供应商的最后报价，评审价只是作为评审时使用。最终成交供应商的成交金额等于最后报价（如有修正，以确认修正后的最后报价为准）</w:t>
            </w:r>
            <w:r>
              <w:rPr>
                <w:rFonts w:hint="eastAsia" w:ascii="宋体" w:hAnsi="宋体" w:eastAsia="宋体" w:cs="宋体"/>
                <w:color w:val="auto"/>
                <w:sz w:val="21"/>
                <w:szCs w:val="21"/>
                <w:highlight w:val="none"/>
                <w:lang w:eastAsia="zh-CN"/>
              </w:rPr>
              <w:t>。</w:t>
            </w:r>
          </w:p>
          <w:p w14:paraId="2CD5D8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bookmarkStart w:id="1235" w:name="OLE_LINK43"/>
            <w:r>
              <w:rPr>
                <w:rFonts w:hint="eastAsia" w:ascii="宋体" w:hAnsi="宋体" w:eastAsia="宋体" w:cs="宋体"/>
                <w:color w:val="auto"/>
                <w:sz w:val="21"/>
                <w:szCs w:val="21"/>
                <w:highlight w:val="none"/>
              </w:rPr>
              <w:t>评审价</w:t>
            </w:r>
            <w:bookmarkEnd w:id="1235"/>
            <w:r>
              <w:rPr>
                <w:rFonts w:hint="eastAsia" w:ascii="宋体" w:hAnsi="宋体" w:eastAsia="宋体" w:cs="宋体"/>
                <w:color w:val="auto"/>
                <w:sz w:val="21"/>
                <w:szCs w:val="21"/>
                <w:highlight w:val="none"/>
              </w:rPr>
              <w:t>＝最后报价。</w:t>
            </w:r>
          </w:p>
          <w:p w14:paraId="695A3903">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lang w:val="en-US" w:eastAsia="zh-CN"/>
              </w:rPr>
              <w:t>4.</w:t>
            </w:r>
            <w:r>
              <w:rPr>
                <w:rFonts w:hint="eastAsia" w:ascii="宋体" w:hAnsi="宋体" w:eastAsia="宋体" w:cs="宋体"/>
                <w:bCs/>
                <w:color w:val="auto"/>
                <w:kern w:val="2"/>
                <w:sz w:val="21"/>
                <w:highlight w:val="none"/>
              </w:rPr>
              <w:t>以进入比较与评价环节的最低的评审价为基准价，基准价得分为</w:t>
            </w:r>
            <w:r>
              <w:rPr>
                <w:rFonts w:hint="eastAsia" w:ascii="宋体" w:hAnsi="宋体" w:eastAsia="宋体" w:cs="宋体"/>
                <w:bCs/>
                <w:color w:val="auto"/>
                <w:kern w:val="2"/>
                <w:sz w:val="21"/>
                <w:highlight w:val="none"/>
                <w:u w:val="single"/>
                <w:lang w:val="en-US" w:eastAsia="zh-CN"/>
              </w:rPr>
              <w:t>30</w:t>
            </w:r>
            <w:r>
              <w:rPr>
                <w:rFonts w:hint="eastAsia" w:ascii="宋体" w:hAnsi="宋体" w:eastAsia="宋体" w:cs="宋体"/>
                <w:bCs/>
                <w:color w:val="auto"/>
                <w:kern w:val="2"/>
                <w:sz w:val="21"/>
                <w:szCs w:val="21"/>
                <w:highlight w:val="none"/>
                <w:u w:val="none"/>
              </w:rPr>
              <w:t>分</w:t>
            </w:r>
            <w:r>
              <w:rPr>
                <w:rFonts w:hint="eastAsia" w:ascii="宋体" w:hAnsi="宋体" w:eastAsia="宋体" w:cs="宋体"/>
                <w:bCs/>
                <w:color w:val="auto"/>
                <w:kern w:val="2"/>
                <w:sz w:val="21"/>
                <w:highlight w:val="none"/>
              </w:rPr>
              <w:t>。</w:t>
            </w:r>
          </w:p>
          <w:p w14:paraId="69355431">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lang w:val="en-US" w:eastAsia="zh-CN"/>
              </w:rPr>
              <w:t>5.</w:t>
            </w:r>
            <w:r>
              <w:rPr>
                <w:rFonts w:hint="eastAsia" w:ascii="宋体" w:hAnsi="宋体" w:eastAsia="宋体" w:cs="宋体"/>
                <w:bCs/>
                <w:color w:val="auto"/>
                <w:kern w:val="2"/>
                <w:sz w:val="21"/>
                <w:highlight w:val="none"/>
              </w:rPr>
              <w:t>价格分计算公式：</w:t>
            </w:r>
          </w:p>
          <w:p w14:paraId="77E3CC1C">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报价得分=（基准价/</w:t>
            </w:r>
            <w:r>
              <w:rPr>
                <w:rFonts w:hint="eastAsia" w:ascii="宋体" w:hAnsi="宋体" w:eastAsia="宋体" w:cs="宋体"/>
                <w:color w:val="auto"/>
                <w:sz w:val="21"/>
                <w:szCs w:val="21"/>
                <w:highlight w:val="none"/>
              </w:rPr>
              <w:t>评审价</w:t>
            </w:r>
            <w:r>
              <w:rPr>
                <w:rFonts w:hint="eastAsia" w:ascii="宋体" w:hAnsi="宋体" w:eastAsia="宋体" w:cs="宋体"/>
                <w:bCs/>
                <w:color w:val="auto"/>
                <w:kern w:val="2"/>
                <w:sz w:val="21"/>
                <w:highlight w:val="none"/>
              </w:rPr>
              <w:t>）×</w:t>
            </w:r>
            <w:r>
              <w:rPr>
                <w:rFonts w:hint="eastAsia" w:ascii="宋体" w:hAnsi="宋体" w:eastAsia="宋体" w:cs="宋体"/>
                <w:bCs/>
                <w:color w:val="auto"/>
                <w:kern w:val="2"/>
                <w:sz w:val="21"/>
                <w:highlight w:val="none"/>
                <w:u w:val="single"/>
                <w:lang w:val="en-US" w:eastAsia="zh-CN"/>
              </w:rPr>
              <w:t>30</w:t>
            </w:r>
            <w:r>
              <w:rPr>
                <w:rFonts w:hint="eastAsia" w:ascii="宋体" w:hAnsi="宋体" w:eastAsia="宋体" w:cs="宋体"/>
                <w:bCs/>
                <w:color w:val="auto"/>
                <w:kern w:val="2"/>
                <w:sz w:val="21"/>
                <w:highlight w:val="none"/>
                <w:u w:val="single"/>
              </w:rPr>
              <w:t xml:space="preserve"> </w:t>
            </w:r>
            <w:r>
              <w:rPr>
                <w:rFonts w:hint="eastAsia" w:ascii="宋体" w:hAnsi="宋体" w:eastAsia="宋体" w:cs="宋体"/>
                <w:bCs/>
                <w:color w:val="auto"/>
                <w:kern w:val="2"/>
                <w:sz w:val="21"/>
                <w:highlight w:val="none"/>
                <w:u w:val="none"/>
              </w:rPr>
              <w:t>分</w:t>
            </w:r>
          </w:p>
        </w:tc>
        <w:tc>
          <w:tcPr>
            <w:tcW w:w="851" w:type="dxa"/>
            <w:noWrap w:val="0"/>
            <w:vAlign w:val="center"/>
          </w:tcPr>
          <w:p w14:paraId="1904327F">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p>
        </w:tc>
      </w:tr>
      <w:tr w14:paraId="128A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dxa"/>
            <w:noWrap w:val="0"/>
            <w:vAlign w:val="center"/>
          </w:tcPr>
          <w:p w14:paraId="60BB5096">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p>
        </w:tc>
        <w:tc>
          <w:tcPr>
            <w:tcW w:w="1418" w:type="dxa"/>
            <w:noWrap w:val="0"/>
            <w:vAlign w:val="center"/>
          </w:tcPr>
          <w:p w14:paraId="4E44FB6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技术分</w:t>
            </w:r>
          </w:p>
        </w:tc>
        <w:tc>
          <w:tcPr>
            <w:tcW w:w="7139" w:type="dxa"/>
            <w:gridSpan w:val="2"/>
            <w:noWrap w:val="0"/>
            <w:vAlign w:val="top"/>
          </w:tcPr>
          <w:p w14:paraId="687BF20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w:t>
            </w:r>
          </w:p>
        </w:tc>
      </w:tr>
      <w:tr w14:paraId="5349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33" w:type="dxa"/>
            <w:noWrap w:val="0"/>
            <w:vAlign w:val="center"/>
          </w:tcPr>
          <w:p w14:paraId="0C809EC5">
            <w:pPr>
              <w:adjustRightInd w:val="0"/>
              <w:spacing w:line="360" w:lineRule="auto"/>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1418" w:type="dxa"/>
            <w:noWrap w:val="0"/>
            <w:vAlign w:val="center"/>
          </w:tcPr>
          <w:p w14:paraId="138F9C4A">
            <w:pPr>
              <w:adjustRightInd w:val="0"/>
              <w:spacing w:line="360" w:lineRule="auto"/>
              <w:jc w:val="center"/>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项目实施方案分</w:t>
            </w:r>
            <w:r>
              <w:rPr>
                <w:rFonts w:hint="eastAsia" w:ascii="宋体" w:hAnsi="宋体" w:eastAsia="宋体" w:cs="宋体"/>
                <w:bCs/>
                <w:color w:val="auto"/>
                <w:kern w:val="0"/>
                <w:szCs w:val="21"/>
                <w:highlight w:val="none"/>
                <w:lang w:eastAsia="zh-CN"/>
              </w:rPr>
              <w:t>（满分</w:t>
            </w:r>
            <w:r>
              <w:rPr>
                <w:rFonts w:hint="eastAsia" w:ascii="宋体" w:hAnsi="宋体" w:cs="宋体"/>
                <w:bCs/>
                <w:color w:val="auto"/>
                <w:kern w:val="0"/>
                <w:szCs w:val="21"/>
                <w:highlight w:val="none"/>
                <w:lang w:val="en-US" w:eastAsia="zh-CN"/>
              </w:rPr>
              <w:t>70</w:t>
            </w:r>
            <w:r>
              <w:rPr>
                <w:rFonts w:hint="eastAsia" w:ascii="宋体" w:hAnsi="宋体" w:eastAsia="宋体" w:cs="宋体"/>
                <w:bCs/>
                <w:color w:val="auto"/>
                <w:kern w:val="0"/>
                <w:szCs w:val="21"/>
                <w:highlight w:val="none"/>
                <w:lang w:val="en-US" w:eastAsia="zh-CN"/>
              </w:rPr>
              <w:t>分</w:t>
            </w:r>
            <w:r>
              <w:rPr>
                <w:rFonts w:hint="eastAsia" w:ascii="宋体" w:hAnsi="宋体" w:eastAsia="宋体" w:cs="宋体"/>
                <w:bCs/>
                <w:color w:val="auto"/>
                <w:kern w:val="0"/>
                <w:szCs w:val="21"/>
                <w:highlight w:val="none"/>
                <w:lang w:eastAsia="zh-CN"/>
              </w:rPr>
              <w:t>）</w:t>
            </w:r>
          </w:p>
        </w:tc>
        <w:tc>
          <w:tcPr>
            <w:tcW w:w="6288" w:type="dxa"/>
            <w:noWrap w:val="0"/>
            <w:vAlign w:val="center"/>
          </w:tcPr>
          <w:p w14:paraId="4CE5C7E6">
            <w:pPr>
              <w:pStyle w:val="12"/>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由磋商小组</w:t>
            </w:r>
            <w:r>
              <w:rPr>
                <w:rFonts w:hint="eastAsia" w:ascii="宋体" w:hAnsi="宋体" w:eastAsia="宋体" w:cs="宋体"/>
                <w:color w:val="auto"/>
                <w:sz w:val="21"/>
                <w:highlight w:val="none"/>
                <w:lang w:val="en-US" w:eastAsia="zh-CN"/>
              </w:rPr>
              <w:t>各成员</w:t>
            </w:r>
            <w:r>
              <w:rPr>
                <w:rFonts w:hint="eastAsia" w:ascii="宋体" w:hAnsi="宋体" w:eastAsia="宋体" w:cs="宋体"/>
                <w:color w:val="auto"/>
                <w:sz w:val="21"/>
                <w:highlight w:val="none"/>
              </w:rPr>
              <w:t>根据</w:t>
            </w:r>
            <w:r>
              <w:rPr>
                <w:rFonts w:hint="eastAsia" w:ascii="宋体" w:hAnsi="宋体" w:eastAsia="宋体" w:cs="宋体"/>
                <w:b w:val="0"/>
                <w:bCs w:val="0"/>
                <w:color w:val="auto"/>
                <w:sz w:val="21"/>
                <w:highlight w:val="none"/>
              </w:rPr>
              <w:t>供应商提供的</w:t>
            </w:r>
            <w:r>
              <w:rPr>
                <w:rFonts w:hint="eastAsia" w:hAnsi="宋体" w:cs="宋体"/>
                <w:b w:val="0"/>
                <w:bCs w:val="0"/>
                <w:color w:val="auto"/>
                <w:sz w:val="21"/>
                <w:highlight w:val="none"/>
                <w:lang w:val="en-US" w:eastAsia="zh-CN"/>
              </w:rPr>
              <w:t>商务</w:t>
            </w:r>
            <w:r>
              <w:rPr>
                <w:rFonts w:hint="eastAsia" w:ascii="宋体" w:hAnsi="宋体" w:eastAsia="宋体" w:cs="宋体"/>
                <w:b w:val="0"/>
                <w:bCs w:val="0"/>
                <w:color w:val="auto"/>
                <w:sz w:val="21"/>
                <w:highlight w:val="none"/>
                <w:lang w:val="en-US" w:eastAsia="zh-CN"/>
              </w:rPr>
              <w:t>技术文件，就</w:t>
            </w:r>
            <w:r>
              <w:rPr>
                <w:rFonts w:hint="eastAsia" w:ascii="宋体" w:hAnsi="宋体" w:eastAsia="宋体" w:cs="宋体"/>
                <w:b w:val="0"/>
                <w:bCs w:val="0"/>
                <w:color w:val="auto"/>
                <w:highlight w:val="none"/>
              </w:rPr>
              <w:t>主要施工方法</w:t>
            </w:r>
            <w:r>
              <w:rPr>
                <w:rFonts w:hint="eastAsia" w:ascii="宋体" w:hAnsi="宋体" w:eastAsia="宋体" w:cs="宋体"/>
                <w:b w:val="0"/>
                <w:bCs w:val="0"/>
                <w:color w:val="auto"/>
                <w:sz w:val="21"/>
                <w:highlight w:val="none"/>
                <w:lang w:val="en-US" w:eastAsia="zh-CN"/>
              </w:rPr>
              <w:t>、</w:t>
            </w:r>
            <w:r>
              <w:rPr>
                <w:rFonts w:hint="eastAsia" w:ascii="宋体" w:hAnsi="宋体" w:eastAsia="宋体" w:cs="宋体"/>
                <w:b w:val="0"/>
                <w:bCs w:val="0"/>
                <w:color w:val="auto"/>
                <w:highlight w:val="none"/>
              </w:rPr>
              <w:t>主要物资计划、劳动力安排计划</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确保工程质量的技术组织措施</w:t>
            </w:r>
            <w:r>
              <w:rPr>
                <w:rFonts w:hint="eastAsia" w:ascii="宋体" w:hAnsi="宋体" w:eastAsia="宋体" w:cs="宋体"/>
                <w:b w:val="0"/>
                <w:bCs w:val="0"/>
                <w:color w:val="auto"/>
                <w:highlight w:val="none"/>
                <w:lang w:eastAsia="zh-CN"/>
              </w:rPr>
              <w:t>、</w:t>
            </w:r>
            <w:bookmarkStart w:id="1236" w:name="OLE_LINK48"/>
            <w:r>
              <w:rPr>
                <w:rFonts w:hint="eastAsia" w:ascii="宋体" w:hAnsi="宋体" w:eastAsia="宋体" w:cs="宋体"/>
                <w:b w:val="0"/>
                <w:bCs w:val="0"/>
                <w:color w:val="auto"/>
                <w:highlight w:val="none"/>
              </w:rPr>
              <w:t>确保安全生产的技术组织措施</w:t>
            </w:r>
            <w:bookmarkEnd w:id="1236"/>
            <w:r>
              <w:rPr>
                <w:rFonts w:hint="eastAsia" w:ascii="宋体" w:hAnsi="宋体" w:eastAsia="宋体" w:cs="宋体"/>
                <w:b w:val="0"/>
                <w:bCs w:val="0"/>
                <w:color w:val="auto"/>
                <w:highlight w:val="none"/>
                <w:lang w:eastAsia="zh-CN"/>
              </w:rPr>
              <w:t>、</w:t>
            </w:r>
            <w:bookmarkStart w:id="1237" w:name="OLE_LINK47"/>
            <w:r>
              <w:rPr>
                <w:rFonts w:hint="eastAsia" w:ascii="宋体" w:hAnsi="宋体" w:eastAsia="宋体" w:cs="宋体"/>
                <w:b w:val="0"/>
                <w:bCs w:val="0"/>
                <w:color w:val="auto"/>
                <w:highlight w:val="none"/>
              </w:rPr>
              <w:t>确保工期的技术组织措施</w:t>
            </w:r>
            <w:bookmarkEnd w:id="1237"/>
            <w:r>
              <w:rPr>
                <w:rFonts w:hint="eastAsia" w:ascii="宋体" w:hAnsi="宋体" w:eastAsia="宋体" w:cs="宋体"/>
                <w:b w:val="0"/>
                <w:bCs w:val="0"/>
                <w:color w:val="auto"/>
                <w:highlight w:val="none"/>
                <w:lang w:eastAsia="zh-CN"/>
              </w:rPr>
              <w:t>、</w:t>
            </w:r>
            <w:bookmarkStart w:id="1238" w:name="OLE_LINK46"/>
            <w:r>
              <w:rPr>
                <w:rFonts w:hint="eastAsia" w:ascii="宋体" w:hAnsi="宋体" w:eastAsia="宋体" w:cs="宋体"/>
                <w:b w:val="0"/>
                <w:bCs w:val="0"/>
                <w:color w:val="auto"/>
                <w:highlight w:val="none"/>
              </w:rPr>
              <w:t>确保文明施工的技术组织措施</w:t>
            </w:r>
            <w:bookmarkEnd w:id="1238"/>
            <w:r>
              <w:rPr>
                <w:rFonts w:hint="eastAsia" w:ascii="宋体" w:hAnsi="宋体" w:eastAsia="宋体" w:cs="宋体"/>
                <w:b w:val="0"/>
                <w:bCs w:val="0"/>
                <w:color w:val="auto"/>
                <w:sz w:val="21"/>
                <w:highlight w:val="none"/>
                <w:lang w:val="en-US" w:eastAsia="zh-CN"/>
              </w:rPr>
              <w:t>等内容</w:t>
            </w:r>
            <w:r>
              <w:rPr>
                <w:rFonts w:hint="eastAsia" w:ascii="宋体" w:hAnsi="宋体" w:eastAsia="宋体" w:cs="宋体"/>
                <w:b w:val="0"/>
                <w:bCs w:val="0"/>
                <w:color w:val="auto"/>
                <w:sz w:val="21"/>
                <w:highlight w:val="none"/>
              </w:rPr>
              <w:t>进行独立</w:t>
            </w:r>
            <w:r>
              <w:rPr>
                <w:rFonts w:hint="eastAsia" w:ascii="宋体" w:hAnsi="宋体" w:eastAsia="宋体" w:cs="宋体"/>
                <w:b w:val="0"/>
                <w:bCs w:val="0"/>
                <w:color w:val="auto"/>
                <w:sz w:val="21"/>
                <w:highlight w:val="none"/>
                <w:lang w:val="en-US" w:eastAsia="zh-CN"/>
              </w:rPr>
              <w:t>评审</w:t>
            </w:r>
            <w:r>
              <w:rPr>
                <w:rFonts w:hint="eastAsia" w:ascii="宋体" w:hAnsi="宋体" w:eastAsia="宋体" w:cs="宋体"/>
                <w:b w:val="0"/>
                <w:bCs w:val="0"/>
                <w:color w:val="auto"/>
                <w:sz w:val="21"/>
                <w:highlight w:val="none"/>
              </w:rPr>
              <w:t>打分。</w:t>
            </w:r>
          </w:p>
          <w:p w14:paraId="6CD1B221">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主要施工方法方案分（满分15分）</w:t>
            </w:r>
          </w:p>
          <w:p w14:paraId="6755EB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3</w:t>
            </w:r>
            <w:r>
              <w:rPr>
                <w:rFonts w:hint="eastAsia" w:ascii="宋体" w:hAnsi="宋体" w:eastAsia="宋体" w:cs="宋体"/>
                <w:color w:val="auto"/>
                <w:highlight w:val="none"/>
              </w:rPr>
              <w:t xml:space="preserve">分）：各主要分部施工方法符合项目需求，有施工技术方案。 </w:t>
            </w:r>
          </w:p>
          <w:p w14:paraId="36AB5A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分）：各主要分部施工方法符合项目实际，有详</w:t>
            </w:r>
            <w:r>
              <w:rPr>
                <w:rFonts w:hint="eastAsia" w:ascii="宋体" w:hAnsi="宋体" w:cs="宋体"/>
                <w:color w:val="auto"/>
                <w:highlight w:val="none"/>
                <w:lang w:val="en-US" w:eastAsia="zh-CN"/>
              </w:rPr>
              <w:t>细</w:t>
            </w:r>
            <w:r>
              <w:rPr>
                <w:rFonts w:hint="eastAsia" w:ascii="宋体" w:hAnsi="宋体" w:eastAsia="宋体" w:cs="宋体"/>
                <w:color w:val="auto"/>
                <w:highlight w:val="none"/>
              </w:rPr>
              <w:t xml:space="preserve">的施工技术方案，有主要分部工程施工步骤、施工要点，能指导具体施工并确保安全。 </w:t>
            </w:r>
          </w:p>
          <w:p w14:paraId="5AF0F500">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三档（1</w:t>
            </w:r>
            <w:r>
              <w:rPr>
                <w:rFonts w:hint="eastAsia" w:ascii="宋体" w:hAnsi="宋体" w:cs="宋体"/>
                <w:color w:val="auto"/>
                <w:highlight w:val="none"/>
                <w:lang w:val="en-US" w:eastAsia="zh-CN"/>
              </w:rPr>
              <w:t>1</w:t>
            </w:r>
            <w:r>
              <w:rPr>
                <w:rFonts w:hint="eastAsia" w:ascii="宋体" w:hAnsi="宋体" w:eastAsia="宋体" w:cs="宋体"/>
                <w:color w:val="auto"/>
                <w:highlight w:val="none"/>
              </w:rPr>
              <w:t>分）：各主要分部施工方法符合项目实际，有详</w:t>
            </w:r>
            <w:r>
              <w:rPr>
                <w:rFonts w:hint="eastAsia" w:ascii="宋体" w:hAnsi="宋体" w:cs="宋体"/>
                <w:color w:val="auto"/>
                <w:highlight w:val="none"/>
                <w:lang w:val="en-US" w:eastAsia="zh-CN"/>
              </w:rPr>
              <w:t>细</w:t>
            </w:r>
            <w:r>
              <w:rPr>
                <w:rFonts w:hint="eastAsia" w:ascii="宋体" w:hAnsi="宋体" w:eastAsia="宋体" w:cs="宋体"/>
                <w:color w:val="auto"/>
                <w:highlight w:val="none"/>
              </w:rPr>
              <w:t>的施工技术方案，</w:t>
            </w:r>
            <w:r>
              <w:rPr>
                <w:rFonts w:hint="eastAsia" w:ascii="宋体" w:hAnsi="宋体" w:cs="宋体"/>
                <w:color w:val="auto"/>
                <w:highlight w:val="none"/>
                <w:lang w:val="en-US" w:eastAsia="zh-CN"/>
              </w:rPr>
              <w:t>有</w:t>
            </w:r>
            <w:r>
              <w:rPr>
                <w:rFonts w:hint="eastAsia" w:ascii="宋体" w:hAnsi="宋体" w:eastAsia="宋体" w:cs="宋体"/>
                <w:color w:val="auto"/>
                <w:highlight w:val="none"/>
              </w:rPr>
              <w:t>主要分部工程施工工序、施工步骤、施工要点、施工工艺方案，施工准备、技术准备或交底、各工种施工配合方案具有</w:t>
            </w:r>
            <w:r>
              <w:rPr>
                <w:rFonts w:hint="eastAsia" w:ascii="宋体" w:hAnsi="宋体" w:cs="宋体"/>
                <w:color w:val="auto"/>
                <w:highlight w:val="none"/>
                <w:lang w:val="en-US" w:eastAsia="zh-CN"/>
              </w:rPr>
              <w:t>科学合理</w:t>
            </w:r>
            <w:r>
              <w:rPr>
                <w:rFonts w:hint="eastAsia" w:ascii="宋体" w:hAnsi="宋体" w:eastAsia="宋体" w:cs="宋体"/>
                <w:color w:val="auto"/>
                <w:highlight w:val="none"/>
              </w:rPr>
              <w:t>，能指导具体施工并确保安全。</w:t>
            </w:r>
          </w:p>
          <w:p w14:paraId="581F4921">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档（15分）：各主要分部施工方法符合项目实际，有详</w:t>
            </w:r>
            <w:r>
              <w:rPr>
                <w:rFonts w:hint="eastAsia" w:ascii="宋体" w:hAnsi="宋体" w:cs="宋体"/>
                <w:color w:val="auto"/>
                <w:highlight w:val="none"/>
                <w:lang w:val="en-US" w:eastAsia="zh-CN"/>
              </w:rPr>
              <w:t>细</w:t>
            </w:r>
            <w:r>
              <w:rPr>
                <w:rFonts w:hint="eastAsia" w:ascii="宋体" w:hAnsi="宋体" w:eastAsia="宋体" w:cs="宋体"/>
                <w:color w:val="auto"/>
                <w:highlight w:val="none"/>
              </w:rPr>
              <w:t>的施工技术方案，</w:t>
            </w:r>
            <w:r>
              <w:rPr>
                <w:rFonts w:hint="eastAsia" w:ascii="宋体" w:hAnsi="宋体" w:cs="宋体"/>
                <w:color w:val="auto"/>
                <w:highlight w:val="none"/>
                <w:lang w:val="en-US" w:eastAsia="zh-CN"/>
              </w:rPr>
              <w:t>有</w:t>
            </w:r>
            <w:r>
              <w:rPr>
                <w:rFonts w:hint="eastAsia" w:ascii="宋体" w:hAnsi="宋体" w:eastAsia="宋体" w:cs="宋体"/>
                <w:color w:val="auto"/>
                <w:highlight w:val="none"/>
              </w:rPr>
              <w:t>主要分部工程施工工序、施工步骤、施工要点、施工工艺方案，施工准备、技术准备或交底、各工种施工配合方案具有针对性，能高效指导具体施工并确保安全。</w:t>
            </w:r>
          </w:p>
          <w:p w14:paraId="0547583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拟投入的主要物资计划、劳动力安排计划方案分（满分15分）</w:t>
            </w:r>
          </w:p>
          <w:p w14:paraId="5D37E4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分）：投入的施工材料有组织计划，基本满足施工需要。各主要施工工序有劳动力安排计划，有各工种劳动力安排计划，基本能满足施工需要。</w:t>
            </w:r>
          </w:p>
          <w:p w14:paraId="4C81DB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分）：投入的主要物资计划与进度计划呼应，满足施工需要，定量定点堆放物资。各主要施工工序有周密的劳动力安排计划，不窝工，有各工种劳动力安排计划，能满足施工需要。</w:t>
            </w:r>
          </w:p>
          <w:p w14:paraId="49FD3EC4">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三档（1</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分）：投入的主要物资计划与进度计划呼应，满足施工需要，材料物资采购及供应保证措施，定量定点堆放物资。各主要施工工序有周密的劳动力安排计划，不窝工，各工种劳动力安排</w:t>
            </w:r>
            <w:r>
              <w:rPr>
                <w:rFonts w:hint="eastAsia" w:ascii="宋体" w:hAnsi="宋体" w:cs="宋体"/>
                <w:color w:val="auto"/>
                <w:highlight w:val="none"/>
                <w:lang w:val="en-US" w:eastAsia="zh-CN"/>
              </w:rPr>
              <w:t>合理</w:t>
            </w:r>
            <w:r>
              <w:rPr>
                <w:rFonts w:hint="eastAsia" w:ascii="宋体" w:hAnsi="宋体" w:eastAsia="宋体" w:cs="宋体"/>
                <w:color w:val="auto"/>
                <w:highlight w:val="none"/>
              </w:rPr>
              <w:t>，有劳动力保障措施，能满足施工需要。</w:t>
            </w:r>
          </w:p>
          <w:p w14:paraId="57354354">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15分）：投入的主要物资计划与进度计划呼应，满足施工需要，材料物资采购及供应保证措施，定量定点堆放物资。各主要施工工序有周密的劳动力安排计划，不窝工，各工种劳动力安排计划切实高效，有切实有效的劳动力保障措施，能满足施工需要且衔接得当。</w:t>
            </w:r>
          </w:p>
          <w:p w14:paraId="5DAA95D9">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确保工程质量的技术组织措施方案分（满分15分）</w:t>
            </w:r>
          </w:p>
          <w:p w14:paraId="48EF4D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分）：有质量技术管理班子和制度，主要工序有质量技术保证措施和手段。</w:t>
            </w:r>
          </w:p>
          <w:p w14:paraId="0C33E2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分）：有质量技术管理班子和制度，主要工序有质量技术保证措施和手段，</w:t>
            </w:r>
            <w:r>
              <w:rPr>
                <w:rFonts w:hint="eastAsia" w:ascii="宋体" w:hAnsi="宋体" w:eastAsia="宋体" w:cs="宋体"/>
                <w:color w:val="auto"/>
                <w:szCs w:val="21"/>
                <w:highlight w:val="none"/>
                <w:lang w:eastAsia="zh-CN"/>
              </w:rPr>
              <w:t>质量管理</w:t>
            </w:r>
            <w:r>
              <w:rPr>
                <w:rFonts w:hint="eastAsia" w:ascii="宋体" w:hAnsi="宋体" w:eastAsia="宋体" w:cs="宋体"/>
                <w:color w:val="auto"/>
                <w:szCs w:val="21"/>
                <w:highlight w:val="none"/>
              </w:rPr>
              <w:t>体系</w:t>
            </w:r>
            <w:r>
              <w:rPr>
                <w:rFonts w:hint="eastAsia" w:ascii="宋体" w:hAnsi="宋体" w:eastAsia="宋体" w:cs="宋体"/>
                <w:color w:val="auto"/>
                <w:szCs w:val="21"/>
                <w:highlight w:val="none"/>
                <w:lang w:val="en-US" w:eastAsia="zh-CN"/>
              </w:rPr>
              <w:t>内容详细</w:t>
            </w:r>
            <w:r>
              <w:rPr>
                <w:rFonts w:hint="eastAsia" w:ascii="宋体" w:hAnsi="宋体" w:eastAsia="宋体" w:cs="宋体"/>
                <w:color w:val="auto"/>
                <w:szCs w:val="21"/>
                <w:highlight w:val="none"/>
              </w:rPr>
              <w:t>，有施工准备阶段和施工过程质量控制措施，能保证技术质量，满足采购需求的质量要求及验收规范要求。</w:t>
            </w:r>
          </w:p>
          <w:p w14:paraId="546002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分）：有质量技术管理班子和制度，明确管理班子质量责任，主要工序有质量技术保证措施和手段，</w:t>
            </w:r>
            <w:r>
              <w:rPr>
                <w:rFonts w:hint="eastAsia" w:ascii="宋体" w:hAnsi="宋体" w:eastAsia="宋体" w:cs="宋体"/>
                <w:color w:val="auto"/>
                <w:szCs w:val="21"/>
                <w:highlight w:val="none"/>
                <w:lang w:eastAsia="zh-CN"/>
              </w:rPr>
              <w:t>质量管理</w:t>
            </w:r>
            <w:r>
              <w:rPr>
                <w:rFonts w:hint="eastAsia" w:ascii="宋体" w:hAnsi="宋体" w:eastAsia="宋体" w:cs="宋体"/>
                <w:color w:val="auto"/>
                <w:szCs w:val="21"/>
                <w:highlight w:val="none"/>
              </w:rPr>
              <w:t>体系</w:t>
            </w:r>
            <w:r>
              <w:rPr>
                <w:rFonts w:hint="eastAsia" w:ascii="宋体" w:hAnsi="宋体" w:eastAsia="宋体" w:cs="宋体"/>
                <w:color w:val="auto"/>
                <w:szCs w:val="21"/>
                <w:highlight w:val="none"/>
                <w:lang w:val="en-US" w:eastAsia="zh-CN"/>
              </w:rPr>
              <w:t>内容详细、清晰</w:t>
            </w:r>
            <w:r>
              <w:rPr>
                <w:rFonts w:hint="eastAsia" w:ascii="宋体" w:hAnsi="宋体" w:eastAsia="宋体" w:cs="宋体"/>
                <w:color w:val="auto"/>
                <w:szCs w:val="21"/>
                <w:highlight w:val="none"/>
              </w:rPr>
              <w:t>，有施工准备阶段、施工过程、竣工验收方案，能有效保证技术质量，达到采购需求的质量要求及验收规范要求。</w:t>
            </w:r>
          </w:p>
          <w:p w14:paraId="58E1EECA">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rPr>
              <w:t>档（</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分）：有专门的质量技术管理班子和制度，明确管理班子质量责任，主要工序有质量技术保证措施和手段，</w:t>
            </w:r>
            <w:r>
              <w:rPr>
                <w:rFonts w:hint="eastAsia" w:ascii="宋体" w:hAnsi="宋体" w:eastAsia="宋体" w:cs="宋体"/>
                <w:color w:val="auto"/>
                <w:szCs w:val="21"/>
                <w:highlight w:val="none"/>
                <w:lang w:eastAsia="zh-CN"/>
              </w:rPr>
              <w:t>质量管理</w:t>
            </w:r>
            <w:r>
              <w:rPr>
                <w:rFonts w:hint="eastAsia" w:ascii="宋体" w:hAnsi="宋体" w:eastAsia="宋体" w:cs="宋体"/>
                <w:color w:val="auto"/>
                <w:szCs w:val="21"/>
                <w:highlight w:val="none"/>
              </w:rPr>
              <w:t>体系</w:t>
            </w:r>
            <w:r>
              <w:rPr>
                <w:rFonts w:hint="eastAsia" w:ascii="宋体" w:hAnsi="宋体" w:eastAsia="宋体" w:cs="宋体"/>
                <w:color w:val="auto"/>
                <w:szCs w:val="21"/>
                <w:highlight w:val="none"/>
                <w:lang w:val="en-US" w:eastAsia="zh-CN"/>
              </w:rPr>
              <w:t>内容详细、清晰</w:t>
            </w:r>
            <w:r>
              <w:rPr>
                <w:rFonts w:hint="eastAsia" w:ascii="宋体" w:hAnsi="宋体" w:eastAsia="宋体" w:cs="宋体"/>
                <w:color w:val="auto"/>
                <w:szCs w:val="21"/>
                <w:highlight w:val="none"/>
              </w:rPr>
              <w:t>，有施工准备阶段、施工过程、竣工验收及交工阶段质量控制措施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隐蔽工程检查制度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有施工质量验收制度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工程质量保修方案，能有效保证技术质量，达到承诺的质量标准及验收规范要求。</w:t>
            </w:r>
          </w:p>
          <w:p w14:paraId="1C06A5AF">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确保安全生产的技术组织措施方案分（满分10分）</w:t>
            </w:r>
          </w:p>
          <w:p w14:paraId="068844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szCs w:val="21"/>
                <w:highlight w:val="none"/>
              </w:rPr>
              <w:t>有专门的安全管理人员和制度，有各道工序安全技术措施。</w:t>
            </w:r>
          </w:p>
          <w:p w14:paraId="6C8A3BB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eastAsia="宋体" w:cs="宋体"/>
                <w:color w:val="auto"/>
                <w:szCs w:val="21"/>
                <w:highlight w:val="none"/>
              </w:rPr>
              <w:t>有专门的安全管理人员和制度，有各道工序安全技术措施，确保</w:t>
            </w:r>
            <w:r>
              <w:rPr>
                <w:rFonts w:hint="eastAsia" w:ascii="宋体" w:hAnsi="宋体" w:eastAsia="宋体" w:cs="宋体"/>
                <w:bCs/>
                <w:color w:val="auto"/>
                <w:highlight w:val="none"/>
              </w:rPr>
              <w:t>工程质量的技术组织措施符合实际且满足有关安全技术标准要求。有现场防火、应急救援、社会治安安全措施。</w:t>
            </w:r>
          </w:p>
          <w:p w14:paraId="62AAD17F">
            <w:pPr>
              <w:widowControl/>
              <w:spacing w:line="360" w:lineRule="auto"/>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三档（</w:t>
            </w:r>
            <w:r>
              <w:rPr>
                <w:rFonts w:hint="eastAsia" w:ascii="宋体" w:hAnsi="宋体" w:cs="宋体"/>
                <w:bCs/>
                <w:color w:val="auto"/>
                <w:highlight w:val="none"/>
                <w:lang w:val="en-US" w:eastAsia="zh-CN"/>
              </w:rPr>
              <w:t>8</w:t>
            </w:r>
            <w:r>
              <w:rPr>
                <w:rFonts w:hint="eastAsia" w:ascii="宋体" w:hAnsi="宋体" w:eastAsia="宋体" w:cs="宋体"/>
                <w:bCs/>
                <w:color w:val="auto"/>
                <w:highlight w:val="none"/>
              </w:rPr>
              <w:t>分）：有专门的安全管理人员和制度，各道工序安全技术措施，确保工程质量的技术组织措施切合实际且优于有关安全技术标准要求。有现场防火、应急救援、社会治安安全措施。有安全生产责任、安全生产教育培训制度、施工现场临时用电方案及安全用电措施、安全管理目标。</w:t>
            </w:r>
          </w:p>
          <w:p w14:paraId="1333355A">
            <w:pPr>
              <w:widowControl/>
              <w:spacing w:line="360" w:lineRule="auto"/>
              <w:ind w:firstLine="420" w:firstLineChars="200"/>
              <w:jc w:val="left"/>
              <w:rPr>
                <w:rFonts w:hint="eastAsia" w:ascii="宋体" w:hAnsi="宋体" w:eastAsia="宋体" w:cs="宋体"/>
                <w:bCs/>
                <w:color w:val="auto"/>
                <w:highlight w:val="none"/>
              </w:rPr>
            </w:pPr>
            <w:r>
              <w:rPr>
                <w:rFonts w:hint="eastAsia" w:ascii="宋体" w:hAnsi="宋体" w:cs="宋体"/>
                <w:bCs/>
                <w:color w:val="auto"/>
                <w:highlight w:val="none"/>
                <w:lang w:val="en-US" w:eastAsia="zh-CN"/>
              </w:rPr>
              <w:t>四</w:t>
            </w:r>
            <w:r>
              <w:rPr>
                <w:rFonts w:hint="eastAsia" w:ascii="宋体" w:hAnsi="宋体" w:eastAsia="宋体" w:cs="宋体"/>
                <w:bCs/>
                <w:color w:val="auto"/>
                <w:highlight w:val="none"/>
              </w:rPr>
              <w:t>档（10分）：有专门的安全管理人员和制度，各道工序安全技术措施具有针对性，确保工程质量的技术组织措施切合实际且优于有关安全技术标准要求。有</w:t>
            </w:r>
            <w:r>
              <w:rPr>
                <w:rFonts w:hint="eastAsia" w:ascii="宋体" w:hAnsi="宋体" w:cs="宋体"/>
                <w:bCs/>
                <w:color w:val="auto"/>
                <w:highlight w:val="none"/>
                <w:lang w:val="en-US" w:eastAsia="zh-CN"/>
              </w:rPr>
              <w:t>有保障性</w:t>
            </w:r>
            <w:r>
              <w:rPr>
                <w:rFonts w:hint="eastAsia" w:ascii="宋体" w:hAnsi="宋体" w:eastAsia="宋体" w:cs="宋体"/>
                <w:bCs/>
                <w:color w:val="auto"/>
                <w:highlight w:val="none"/>
              </w:rPr>
              <w:t>的现场防火、应急救援、社会治安安全措施。有安全生产责任、安全生产教育培训制度、施工现场临时用电方案及安全用电措施、安全管理目标。</w:t>
            </w:r>
          </w:p>
          <w:p w14:paraId="3FC370A2">
            <w:pPr>
              <w:widowControl/>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eastAsia="zh-CN"/>
              </w:rPr>
              <w:t>）</w:t>
            </w:r>
            <w:bookmarkStart w:id="1239" w:name="OLE_LINK38"/>
            <w:r>
              <w:rPr>
                <w:rFonts w:hint="eastAsia" w:ascii="宋体" w:hAnsi="宋体" w:eastAsia="宋体" w:cs="宋体"/>
                <w:b/>
                <w:bCs/>
                <w:color w:val="auto"/>
                <w:highlight w:val="none"/>
              </w:rPr>
              <w:t>确保工期的技术组织措施</w:t>
            </w:r>
            <w:bookmarkEnd w:id="1239"/>
            <w:r>
              <w:rPr>
                <w:rFonts w:hint="eastAsia" w:ascii="宋体" w:hAnsi="宋体" w:eastAsia="宋体" w:cs="宋体"/>
                <w:b/>
                <w:bCs/>
                <w:color w:val="auto"/>
                <w:highlight w:val="none"/>
              </w:rPr>
              <w:t>方案</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lang w:eastAsia="zh-CN"/>
              </w:rPr>
              <w:t>分）</w:t>
            </w:r>
          </w:p>
          <w:p w14:paraId="2A6CE6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2</w:t>
            </w:r>
            <w:r>
              <w:rPr>
                <w:rFonts w:hint="eastAsia" w:ascii="宋体" w:hAnsi="宋体" w:eastAsia="宋体" w:cs="宋体"/>
                <w:color w:val="auto"/>
                <w:highlight w:val="none"/>
              </w:rPr>
              <w:t>分）：在施工工艺、施工方法、材料选用、劳动力安排、技术方面有保证工期的措施。有控制工期的施工进度计划。</w:t>
            </w:r>
          </w:p>
          <w:p w14:paraId="600A52A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4</w:t>
            </w:r>
            <w:r>
              <w:rPr>
                <w:rFonts w:hint="eastAsia" w:ascii="宋体" w:hAnsi="宋体" w:eastAsia="宋体" w:cs="宋体"/>
                <w:color w:val="auto"/>
                <w:highlight w:val="none"/>
              </w:rPr>
              <w:t>分）：在施工工艺、施工方法、材料选用、劳动力安排、技术方面有保证工期的措施。有控制工期的施工进度计划。有施工总进度表或施工网络图。</w:t>
            </w:r>
          </w:p>
          <w:p w14:paraId="618A0453">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cs="宋体"/>
                <w:color w:val="auto"/>
                <w:highlight w:val="none"/>
                <w:lang w:val="en-US" w:eastAsia="zh-CN"/>
              </w:rPr>
              <w:t>6</w:t>
            </w:r>
            <w:r>
              <w:rPr>
                <w:rFonts w:hint="eastAsia" w:ascii="宋体" w:hAnsi="宋体" w:eastAsia="宋体" w:cs="宋体"/>
                <w:color w:val="auto"/>
                <w:highlight w:val="none"/>
              </w:rPr>
              <w:t>分）：在施工工艺、施工方法、材料选用、劳动力安排、技术方面有保证工期的措施切实符合项目需求。有控制工期的施工进度计划</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施工进度计划的执行与控制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进度偏差管理措施。有施工总进度表或施工网络图。</w:t>
            </w:r>
          </w:p>
          <w:p w14:paraId="37E971BF">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cs="宋体"/>
                <w:color w:val="auto"/>
                <w:highlight w:val="none"/>
                <w:lang w:val="en-US" w:eastAsia="zh-CN"/>
              </w:rPr>
              <w:t>8</w:t>
            </w:r>
            <w:r>
              <w:rPr>
                <w:rFonts w:hint="eastAsia" w:ascii="宋体" w:hAnsi="宋体" w:eastAsia="宋体" w:cs="宋体"/>
                <w:color w:val="auto"/>
                <w:highlight w:val="none"/>
              </w:rPr>
              <w:t>分）：在施工工艺、施工方法、材料选用、劳动力安排、技术方面有保证工期的措施切实符合项目需求，具有针对性。有控制工期的施工进度计划</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施工进度计划的执行与控制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进度偏差管理措施。有施工总进度表或施工网络图，各项计划图表编制</w:t>
            </w:r>
            <w:r>
              <w:rPr>
                <w:rFonts w:hint="eastAsia" w:ascii="宋体" w:hAnsi="宋体" w:eastAsia="宋体" w:cs="宋体"/>
                <w:color w:val="auto"/>
                <w:highlight w:val="none"/>
                <w:lang w:val="en-US" w:eastAsia="zh-CN"/>
              </w:rPr>
              <w:t>详细</w:t>
            </w:r>
            <w:r>
              <w:rPr>
                <w:rFonts w:hint="eastAsia" w:ascii="宋体" w:hAnsi="宋体" w:eastAsia="宋体" w:cs="宋体"/>
                <w:color w:val="auto"/>
                <w:highlight w:val="none"/>
              </w:rPr>
              <w:t>。</w:t>
            </w:r>
          </w:p>
          <w:p w14:paraId="2F93AF08">
            <w:pPr>
              <w:widowControl/>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确保文明施工的技术组织措施方案分</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lang w:eastAsia="zh-CN"/>
              </w:rPr>
              <w:t>分）</w:t>
            </w:r>
          </w:p>
          <w:p w14:paraId="10E98A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分）：文明施工方案达到《建筑施工安全生产检查标准》（JGJ59-2011）合格标准。</w:t>
            </w:r>
          </w:p>
          <w:p w14:paraId="30BDF1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分）：有现场文明施工措施，达到 《建筑施工安全生产检查标准》 （JGJ59-2011） 合格标准并符合《广西壮族自治区建筑工程文明施工导则》要求。</w:t>
            </w:r>
          </w:p>
          <w:p w14:paraId="43D97039">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cs="宋体"/>
                <w:color w:val="auto"/>
                <w:highlight w:val="none"/>
                <w:lang w:val="en-US" w:eastAsia="zh-CN"/>
              </w:rPr>
              <w:t>5</w:t>
            </w:r>
            <w:r>
              <w:rPr>
                <w:rFonts w:hint="eastAsia" w:ascii="宋体" w:hAnsi="宋体" w:eastAsia="宋体" w:cs="宋体"/>
                <w:color w:val="auto"/>
                <w:highlight w:val="none"/>
              </w:rPr>
              <w:t>分）：针对本工程项目特点，有现场文明施工、环境保护措施，且措施内容达到《建筑施工安全生产检查标准》（JGJ59-2011）合格标准并符合《广西壮族自治区建筑工程文明施工导则》要求。各项措施切合项目需求。</w:t>
            </w:r>
          </w:p>
          <w:p w14:paraId="123AC10D">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针对本工程项目特点，有现场文明施工、环境保护措施，且措施内容达到《建筑施工安全生产检查标准》（JGJ59-2011）合格标准并符合《广西壮族自治区建筑工程文明施工导则》要求。各项措施切合项目需求，具有针对性。</w:t>
            </w:r>
          </w:p>
        </w:tc>
        <w:tc>
          <w:tcPr>
            <w:tcW w:w="851" w:type="dxa"/>
            <w:noWrap w:val="0"/>
            <w:vAlign w:val="center"/>
          </w:tcPr>
          <w:p w14:paraId="79E7B5C8">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70</w:t>
            </w:r>
            <w:r>
              <w:rPr>
                <w:rFonts w:hint="eastAsia" w:ascii="宋体" w:hAnsi="宋体" w:eastAsia="宋体" w:cs="宋体"/>
                <w:color w:val="auto"/>
                <w:kern w:val="0"/>
                <w:szCs w:val="21"/>
                <w:highlight w:val="none"/>
                <w:lang w:eastAsia="zh-CN"/>
              </w:rPr>
              <w:t>分</w:t>
            </w:r>
          </w:p>
        </w:tc>
      </w:tr>
      <w:tr w14:paraId="5B51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39" w:type="dxa"/>
            <w:gridSpan w:val="3"/>
            <w:noWrap w:val="0"/>
            <w:vAlign w:val="top"/>
          </w:tcPr>
          <w:p w14:paraId="03BA7079">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总得分＝1＋2</w:t>
            </w:r>
          </w:p>
        </w:tc>
        <w:tc>
          <w:tcPr>
            <w:tcW w:w="851" w:type="dxa"/>
            <w:noWrap w:val="0"/>
            <w:vAlign w:val="center"/>
          </w:tcPr>
          <w:p w14:paraId="33BB58F8">
            <w:pPr>
              <w:widowControl/>
              <w:spacing w:line="360" w:lineRule="auto"/>
              <w:jc w:val="center"/>
              <w:rPr>
                <w:rFonts w:hint="eastAsia" w:ascii="宋体" w:hAnsi="宋体" w:eastAsia="宋体" w:cs="宋体"/>
                <w:color w:val="auto"/>
                <w:kern w:val="0"/>
                <w:szCs w:val="21"/>
                <w:highlight w:val="none"/>
              </w:rPr>
            </w:pPr>
          </w:p>
        </w:tc>
      </w:tr>
    </w:tbl>
    <w:p w14:paraId="1B98746D">
      <w:pPr>
        <w:spacing w:line="480" w:lineRule="auto"/>
        <w:ind w:firstLine="420" w:firstLineChars="200"/>
        <w:rPr>
          <w:rFonts w:hint="eastAsia" w:ascii="宋体" w:hAnsi="宋体" w:eastAsia="宋体" w:cs="宋体"/>
          <w:color w:val="auto"/>
          <w:szCs w:val="21"/>
          <w:highlight w:val="none"/>
        </w:rPr>
      </w:pPr>
    </w:p>
    <w:p w14:paraId="077EFC29">
      <w:pPr>
        <w:spacing w:line="48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w:t>
      </w:r>
      <w:r>
        <w:rPr>
          <w:rFonts w:hint="eastAsia" w:ascii="宋体" w:hAnsi="宋体" w:cs="宋体"/>
          <w:color w:val="auto"/>
          <w:kern w:val="0"/>
          <w:szCs w:val="21"/>
          <w:highlight w:val="none"/>
          <w:lang w:val="en-US" w:eastAsia="zh-CN"/>
        </w:rPr>
        <w:t>5.3</w:t>
      </w:r>
      <w:r>
        <w:rPr>
          <w:rFonts w:hint="eastAsia" w:ascii="宋体" w:hAnsi="宋体" w:eastAsia="宋体" w:cs="宋体"/>
          <w:color w:val="auto"/>
          <w:kern w:val="0"/>
          <w:szCs w:val="21"/>
          <w:highlight w:val="none"/>
        </w:rPr>
        <w:t>条情形的，可以推荐2家成交候选供应商。</w:t>
      </w:r>
      <w:r>
        <w:rPr>
          <w:rFonts w:hint="eastAsia" w:ascii="宋体" w:hAnsi="宋体" w:eastAsia="宋体" w:cs="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eastAsia="宋体" w:cs="宋体"/>
          <w:color w:val="auto"/>
          <w:highlight w:val="none"/>
          <w:lang w:eastAsia="zh-CN"/>
        </w:rPr>
        <w:t>承</w:t>
      </w:r>
      <w:bookmarkStart w:id="1240" w:name="OLE_LINK49"/>
      <w:r>
        <w:rPr>
          <w:rFonts w:hint="eastAsia" w:ascii="宋体" w:hAnsi="宋体" w:eastAsia="宋体" w:cs="宋体"/>
          <w:color w:val="auto"/>
          <w:highlight w:val="none"/>
          <w:lang w:eastAsia="zh-CN"/>
        </w:rPr>
        <w:t>诺工期</w:t>
      </w:r>
      <w:r>
        <w:rPr>
          <w:rFonts w:hint="eastAsia" w:ascii="宋体" w:hAnsi="宋体" w:eastAsia="宋体" w:cs="宋体"/>
          <w:bCs/>
          <w:color w:val="auto"/>
          <w:szCs w:val="21"/>
          <w:highlight w:val="none"/>
          <w:lang w:eastAsia="zh-CN"/>
        </w:rPr>
        <w:t>优劣</w:t>
      </w:r>
      <w:bookmarkEnd w:id="1240"/>
      <w:r>
        <w:rPr>
          <w:rFonts w:hint="eastAsia" w:ascii="宋体" w:hAnsi="宋体" w:eastAsia="宋体" w:cs="宋体"/>
          <w:bCs/>
          <w:color w:val="auto"/>
          <w:szCs w:val="21"/>
          <w:highlight w:val="none"/>
        </w:rPr>
        <w:t>排序）。评审得分、最后报价（不计算价格折扣）、技术得分、</w:t>
      </w:r>
      <w:r>
        <w:rPr>
          <w:rFonts w:hint="eastAsia" w:ascii="宋体" w:hAnsi="宋体" w:eastAsia="宋体" w:cs="宋体"/>
          <w:color w:val="auto"/>
          <w:highlight w:val="none"/>
          <w:lang w:eastAsia="zh-CN"/>
        </w:rPr>
        <w:t>承诺工期</w:t>
      </w:r>
      <w:r>
        <w:rPr>
          <w:rFonts w:hint="eastAsia" w:ascii="宋体" w:hAnsi="宋体" w:eastAsia="宋体" w:cs="宋体"/>
          <w:bCs/>
          <w:color w:val="auto"/>
          <w:szCs w:val="21"/>
          <w:highlight w:val="none"/>
        </w:rPr>
        <w:t>均相同的，由磋商小组随机抽取推荐。</w:t>
      </w:r>
    </w:p>
    <w:p w14:paraId="4F20DFEC">
      <w:pPr>
        <w:pStyle w:val="14"/>
        <w:rPr>
          <w:rFonts w:hint="eastAsia" w:ascii="宋体" w:hAnsi="宋体" w:eastAsia="宋体" w:cs="宋体"/>
          <w:bCs/>
          <w:color w:val="auto"/>
          <w:szCs w:val="21"/>
          <w:highlight w:val="none"/>
        </w:rPr>
      </w:pPr>
    </w:p>
    <w:p w14:paraId="150771CF">
      <w:pPr>
        <w:rPr>
          <w:rFonts w:hint="eastAsia"/>
          <w:color w:val="auto"/>
        </w:rPr>
      </w:pPr>
    </w:p>
    <w:p w14:paraId="2824B031">
      <w:pPr>
        <w:pStyle w:val="14"/>
        <w:rPr>
          <w:rFonts w:hint="eastAsia" w:ascii="宋体" w:hAnsi="宋体" w:eastAsia="宋体" w:cs="宋体"/>
          <w:bCs/>
          <w:color w:val="auto"/>
          <w:szCs w:val="21"/>
          <w:highlight w:val="none"/>
        </w:rPr>
      </w:pPr>
    </w:p>
    <w:p w14:paraId="403B8ACE">
      <w:pPr>
        <w:rPr>
          <w:rFonts w:hint="eastAsia" w:ascii="宋体" w:hAnsi="宋体" w:eastAsia="宋体" w:cs="宋体"/>
          <w:bCs/>
          <w:color w:val="auto"/>
          <w:szCs w:val="21"/>
          <w:highlight w:val="none"/>
        </w:rPr>
      </w:pPr>
    </w:p>
    <w:p w14:paraId="62AED26F">
      <w:pPr>
        <w:pStyle w:val="2"/>
        <w:pageBreakBefore w:val="0"/>
        <w:widowControl w:val="0"/>
        <w:numPr>
          <w:ilvl w:val="0"/>
          <w:numId w:val="0"/>
        </w:numPr>
        <w:kinsoku/>
        <w:wordWrap/>
        <w:overflowPunct/>
        <w:topLinePunct w:val="0"/>
        <w:autoSpaceDE/>
        <w:autoSpaceDN/>
        <w:bidi w:val="0"/>
        <w:adjustRightInd/>
        <w:snapToGrid/>
        <w:spacing w:before="0" w:after="0" w:line="240" w:lineRule="auto"/>
        <w:ind w:leftChars="200"/>
        <w:jc w:val="both"/>
        <w:textAlignment w:val="auto"/>
        <w:rPr>
          <w:rFonts w:hint="eastAsia" w:ascii="宋体" w:hAnsi="宋体" w:cs="宋体"/>
          <w:b/>
          <w:color w:val="auto"/>
          <w:sz w:val="32"/>
          <w:szCs w:val="32"/>
          <w:highlight w:val="none"/>
          <w:lang w:val="en-US" w:eastAsia="zh-CN"/>
        </w:rPr>
      </w:pPr>
      <w:bookmarkStart w:id="1241" w:name="_Toc178"/>
      <w:bookmarkStart w:id="1242" w:name="_Toc25850"/>
      <w:bookmarkStart w:id="1243" w:name="_Toc8963"/>
      <w:bookmarkStart w:id="1244" w:name="_Toc610"/>
      <w:bookmarkStart w:id="1245" w:name="_Toc29624"/>
      <w:bookmarkStart w:id="1246" w:name="_Toc80886951"/>
      <w:bookmarkStart w:id="1247" w:name="_Toc13011"/>
      <w:bookmarkStart w:id="1248" w:name="_Toc28283"/>
      <w:bookmarkStart w:id="1249" w:name="_Toc20915"/>
    </w:p>
    <w:bookmarkEnd w:id="1241"/>
    <w:bookmarkEnd w:id="1242"/>
    <w:bookmarkEnd w:id="1243"/>
    <w:bookmarkEnd w:id="1244"/>
    <w:bookmarkEnd w:id="1245"/>
    <w:bookmarkEnd w:id="1246"/>
    <w:bookmarkEnd w:id="1247"/>
    <w:bookmarkEnd w:id="1248"/>
    <w:bookmarkEnd w:id="1249"/>
    <w:p w14:paraId="3A66F7FC">
      <w:pPr>
        <w:spacing w:line="360" w:lineRule="auto"/>
        <w:jc w:val="both"/>
        <w:rPr>
          <w:rFonts w:hint="eastAsia"/>
          <w:b/>
          <w:bCs/>
          <w:color w:val="auto"/>
          <w:sz w:val="32"/>
          <w:szCs w:val="32"/>
          <w:highlight w:val="none"/>
        </w:rPr>
      </w:pPr>
    </w:p>
    <w:p w14:paraId="0F00EF30">
      <w:pPr>
        <w:spacing w:line="360" w:lineRule="auto"/>
        <w:jc w:val="both"/>
        <w:rPr>
          <w:rFonts w:hint="eastAsia"/>
          <w:b/>
          <w:bCs/>
          <w:color w:val="auto"/>
          <w:sz w:val="32"/>
          <w:szCs w:val="32"/>
          <w:highlight w:val="none"/>
        </w:rPr>
      </w:pPr>
    </w:p>
    <w:p w14:paraId="5C0D86E3">
      <w:pPr>
        <w:spacing w:line="360" w:lineRule="auto"/>
        <w:jc w:val="both"/>
        <w:rPr>
          <w:rFonts w:hint="eastAsia"/>
          <w:b/>
          <w:bCs/>
          <w:color w:val="auto"/>
          <w:sz w:val="32"/>
          <w:szCs w:val="32"/>
          <w:highlight w:val="none"/>
        </w:rPr>
      </w:pPr>
    </w:p>
    <w:p w14:paraId="268A1605">
      <w:pPr>
        <w:spacing w:line="360" w:lineRule="auto"/>
        <w:jc w:val="both"/>
        <w:rPr>
          <w:rFonts w:hint="eastAsia"/>
          <w:b/>
          <w:bCs/>
          <w:color w:val="auto"/>
          <w:sz w:val="32"/>
          <w:szCs w:val="32"/>
          <w:highlight w:val="none"/>
        </w:rPr>
      </w:pPr>
    </w:p>
    <w:p w14:paraId="6E420019">
      <w:pPr>
        <w:spacing w:line="360" w:lineRule="auto"/>
        <w:jc w:val="both"/>
        <w:rPr>
          <w:rFonts w:hint="eastAsia"/>
          <w:b/>
          <w:bCs/>
          <w:color w:val="auto"/>
          <w:sz w:val="32"/>
          <w:szCs w:val="32"/>
          <w:highlight w:val="none"/>
        </w:rPr>
      </w:pPr>
    </w:p>
    <w:p w14:paraId="5FC9911A">
      <w:pPr>
        <w:spacing w:line="360" w:lineRule="auto"/>
        <w:jc w:val="both"/>
        <w:rPr>
          <w:rFonts w:hint="eastAsia"/>
          <w:b/>
          <w:bCs/>
          <w:color w:val="auto"/>
          <w:sz w:val="32"/>
          <w:szCs w:val="32"/>
          <w:highlight w:val="none"/>
        </w:rPr>
      </w:pPr>
    </w:p>
    <w:p w14:paraId="5A599759">
      <w:pPr>
        <w:spacing w:line="240" w:lineRule="auto"/>
        <w:ind w:firstLine="643" w:firstLineChars="200"/>
        <w:jc w:val="left"/>
        <w:rPr>
          <w:rFonts w:hint="eastAsia"/>
          <w:b/>
          <w:bCs/>
          <w:color w:val="auto"/>
          <w:sz w:val="32"/>
          <w:szCs w:val="32"/>
          <w:highlight w:val="none"/>
          <w:lang w:val="en-US" w:eastAsia="zh-CN"/>
        </w:rPr>
      </w:pPr>
      <w:r>
        <w:rPr>
          <w:rFonts w:hint="eastAsia"/>
          <w:b/>
          <w:bCs/>
          <w:color w:val="auto"/>
          <w:sz w:val="32"/>
          <w:szCs w:val="32"/>
          <w:highlight w:val="none"/>
          <w:lang w:val="en-US" w:eastAsia="zh-CN"/>
        </w:rPr>
        <w:br w:type="page"/>
      </w:r>
    </w:p>
    <w:p w14:paraId="31A75D80">
      <w:pPr>
        <w:spacing w:line="360" w:lineRule="auto"/>
        <w:ind w:firstLine="643" w:firstLineChars="20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第九章质疑、投诉材料</w:t>
      </w:r>
    </w:p>
    <w:p w14:paraId="6D461DF4">
      <w:pPr>
        <w:spacing w:line="360" w:lineRule="auto"/>
        <w:jc w:val="both"/>
        <w:rPr>
          <w:rFonts w:hint="eastAsia"/>
          <w:b/>
          <w:bCs/>
          <w:color w:val="auto"/>
          <w:sz w:val="32"/>
          <w:szCs w:val="32"/>
          <w:highlight w:val="none"/>
        </w:rPr>
      </w:pPr>
    </w:p>
    <w:p w14:paraId="333C3036">
      <w:pPr>
        <w:spacing w:line="360" w:lineRule="auto"/>
        <w:ind w:firstLine="643" w:firstLineChars="200"/>
        <w:jc w:val="both"/>
        <w:rPr>
          <w:rFonts w:hint="eastAsia"/>
          <w:b/>
          <w:bCs/>
          <w:color w:val="auto"/>
          <w:sz w:val="32"/>
          <w:szCs w:val="32"/>
          <w:highlight w:val="none"/>
        </w:rPr>
      </w:pPr>
      <w:r>
        <w:rPr>
          <w:rFonts w:hint="eastAsia"/>
          <w:b/>
          <w:bCs/>
          <w:color w:val="auto"/>
          <w:sz w:val="32"/>
          <w:szCs w:val="32"/>
          <w:highlight w:val="none"/>
        </w:rPr>
        <w:t>质疑函（格式）</w:t>
      </w:r>
    </w:p>
    <w:p w14:paraId="375F1406">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49A1847B">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DBE62CC">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7D215108">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E75A002">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1E3646BC">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856C386">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A9880E3">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280542EC">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689DB487">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446D3FB5">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17EAF079">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0DFBAD95">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632757EE">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315888E4">
      <w:pPr>
        <w:spacing w:line="360" w:lineRule="auto"/>
        <w:ind w:left="25" w:leftChars="12"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62653217">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077B84AF">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5561D921">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0547E5C4">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2212C1D4">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45128C1B">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02F4AAFC">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75DAA3F4">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1026373C">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05C9DC58">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3EF0CEEA">
      <w:pPr>
        <w:spacing w:line="360" w:lineRule="auto"/>
        <w:ind w:left="25" w:leftChars="12" w:firstLine="480" w:firstLineChars="200"/>
        <w:contextualSpacing/>
        <w:rPr>
          <w:rFonts w:hint="eastAsia" w:ascii="宋体" w:hAnsi="宋体" w:eastAsia="宋体" w:cs="宋体"/>
          <w:color w:val="auto"/>
          <w:kern w:val="0"/>
          <w:sz w:val="24"/>
          <w:highlight w:val="none"/>
        </w:rPr>
      </w:pPr>
    </w:p>
    <w:p w14:paraId="3EEA109F">
      <w:pPr>
        <w:spacing w:line="360" w:lineRule="auto"/>
        <w:ind w:firstLine="482" w:firstLineChars="200"/>
        <w:contextualSpacing/>
        <w:rPr>
          <w:rFonts w:hint="eastAsia"/>
          <w:b/>
          <w:color w:val="auto"/>
          <w:kern w:val="0"/>
          <w:sz w:val="24"/>
          <w:highlight w:val="none"/>
        </w:rPr>
      </w:pPr>
      <w:r>
        <w:rPr>
          <w:rFonts w:hint="eastAsia"/>
          <w:b/>
          <w:color w:val="auto"/>
          <w:kern w:val="0"/>
          <w:sz w:val="24"/>
          <w:highlight w:val="none"/>
        </w:rPr>
        <w:t>说明：</w:t>
      </w:r>
    </w:p>
    <w:p w14:paraId="68DF043A">
      <w:pPr>
        <w:spacing w:line="360" w:lineRule="auto"/>
        <w:ind w:left="25" w:leftChars="12"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63B2ADB2">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FCA97D6">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573EA2D9">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46FB74A2">
      <w:pPr>
        <w:spacing w:line="360" w:lineRule="auto"/>
        <w:ind w:left="25" w:leftChars="12" w:firstLine="482" w:firstLineChars="200"/>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69FA1A58">
      <w:pPr>
        <w:spacing w:line="460" w:lineRule="exact"/>
        <w:ind w:firstLine="880" w:firstLineChars="200"/>
        <w:jc w:val="center"/>
        <w:rPr>
          <w:rFonts w:hint="eastAsia" w:ascii="Calibri" w:hAnsi="Calibri" w:eastAsia="隶书"/>
          <w:color w:val="auto"/>
          <w:sz w:val="44"/>
          <w:highlight w:val="none"/>
        </w:rPr>
      </w:pPr>
      <w:r>
        <w:rPr>
          <w:rFonts w:ascii="Calibri" w:hAnsi="Calibri" w:eastAsia="隶书"/>
          <w:color w:val="auto"/>
          <w:sz w:val="44"/>
          <w:highlight w:val="none"/>
        </w:rPr>
        <w:br w:type="page"/>
      </w:r>
    </w:p>
    <w:p w14:paraId="36CDF3A7">
      <w:pPr>
        <w:spacing w:line="360" w:lineRule="auto"/>
        <w:ind w:firstLine="643" w:firstLineChars="200"/>
        <w:jc w:val="center"/>
        <w:rPr>
          <w:rFonts w:hint="eastAsia"/>
          <w:b/>
          <w:bCs/>
          <w:color w:val="auto"/>
          <w:sz w:val="32"/>
          <w:szCs w:val="32"/>
          <w:highlight w:val="none"/>
        </w:rPr>
      </w:pPr>
      <w:r>
        <w:rPr>
          <w:rFonts w:hint="eastAsia"/>
          <w:b/>
          <w:bCs/>
          <w:color w:val="auto"/>
          <w:sz w:val="32"/>
          <w:szCs w:val="32"/>
          <w:highlight w:val="none"/>
        </w:rPr>
        <w:t>投诉书（格式）</w:t>
      </w:r>
    </w:p>
    <w:p w14:paraId="488F8D73">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44B7E81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399D599">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9D2FE0B">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1B521023">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0E8F060">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A20573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46115FF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1C10FCE">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42D583BF">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55A5170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2234018">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CA65980">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0AD28CDA">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397D275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5A9AEC89">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6865183D">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733DACE7">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7280C72E">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28F631BE">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60CDEC13">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429F9995">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3F6DB9A7">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lang w:eastAsia="zh-CN"/>
        </w:rPr>
        <w:t>采购</w:t>
      </w:r>
      <w:r>
        <w:rPr>
          <w:rFonts w:hint="eastAsia" w:ascii="宋体" w:hAnsi="宋体" w:eastAsia="宋体" w:cs="宋体"/>
          <w:bCs/>
          <w:color w:val="auto"/>
          <w:kern w:val="0"/>
          <w:sz w:val="24"/>
          <w:highlight w:val="none"/>
        </w:rPr>
        <w:t>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6506A37">
      <w:pPr>
        <w:spacing w:line="360" w:lineRule="auto"/>
        <w:ind w:left="25" w:leftChars="12" w:firstLine="480" w:firstLineChars="20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3646D192">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29776D7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251D23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w:t>
      </w:r>
      <w:r>
        <w:rPr>
          <w:rFonts w:hint="eastAsia" w:ascii="宋体" w:hAnsi="宋体" w:eastAsia="宋体" w:cs="宋体"/>
          <w:bCs/>
          <w:color w:val="auto"/>
          <w:kern w:val="0"/>
          <w:sz w:val="24"/>
          <w:highlight w:val="none"/>
          <w:u w:val="single"/>
          <w:lang w:eastAsia="zh-CN"/>
        </w:rPr>
        <w:t>采购</w:t>
      </w:r>
      <w:r>
        <w:rPr>
          <w:rFonts w:hint="eastAsia" w:ascii="宋体" w:hAnsi="宋体" w:eastAsia="宋体" w:cs="宋体"/>
          <w:bCs/>
          <w:color w:val="auto"/>
          <w:kern w:val="0"/>
          <w:sz w:val="24"/>
          <w:highlight w:val="none"/>
          <w:u w:val="single"/>
        </w:rPr>
        <w:t>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729D5EC9">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7B525FEA">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5934B835">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4E69731">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008C2FCA">
      <w:pPr>
        <w:spacing w:line="360" w:lineRule="auto"/>
        <w:ind w:left="25" w:leftChars="12" w:firstLine="480" w:firstLineChars="200"/>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207E5EF5">
      <w:pPr>
        <w:spacing w:line="360" w:lineRule="auto"/>
        <w:ind w:left="25" w:leftChars="12"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77374399">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34D22A40">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9C75BA9">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2C63730E">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3F20FD9A">
      <w:pPr>
        <w:snapToGrid w:val="0"/>
        <w:spacing w:line="360" w:lineRule="auto"/>
        <w:ind w:firstLine="482" w:firstLineChars="200"/>
        <w:rPr>
          <w:rFonts w:hint="eastAsia" w:ascii="宋体" w:hAnsi="宋体" w:eastAsia="宋体" w:cs="宋体"/>
          <w:b/>
          <w:color w:val="auto"/>
          <w:kern w:val="0"/>
          <w:sz w:val="24"/>
          <w:highlight w:val="none"/>
        </w:rPr>
      </w:pPr>
    </w:p>
    <w:p w14:paraId="76C2A682">
      <w:pPr>
        <w:snapToGrid w:val="0"/>
        <w:spacing w:line="360" w:lineRule="auto"/>
        <w:ind w:firstLine="482" w:firstLineChars="200"/>
        <w:rPr>
          <w:rFonts w:hint="eastAsia" w:ascii="宋体" w:hAnsi="宋体" w:eastAsia="宋体" w:cs="宋体"/>
          <w:b/>
          <w:color w:val="auto"/>
          <w:kern w:val="0"/>
          <w:sz w:val="24"/>
          <w:highlight w:val="none"/>
        </w:rPr>
      </w:pPr>
    </w:p>
    <w:p w14:paraId="0C4E3675">
      <w:pPr>
        <w:snapToGrid w:val="0"/>
        <w:spacing w:line="360" w:lineRule="auto"/>
        <w:ind w:firstLine="482" w:firstLineChars="200"/>
        <w:rPr>
          <w:rFonts w:hint="eastAsia" w:ascii="宋体" w:hAnsi="宋体" w:eastAsia="宋体" w:cs="宋体"/>
          <w:b/>
          <w:color w:val="auto"/>
          <w:kern w:val="0"/>
          <w:sz w:val="24"/>
          <w:highlight w:val="none"/>
        </w:rPr>
      </w:pPr>
    </w:p>
    <w:p w14:paraId="0760D036">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72AED5E4">
      <w:pPr>
        <w:spacing w:line="360" w:lineRule="auto"/>
        <w:ind w:left="25" w:leftChars="12" w:firstLine="482" w:firstLineChars="200"/>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513B0F27">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89948A">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545157EC">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60B69588">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47A81B0E">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08805AE1">
      <w:pPr>
        <w:pStyle w:val="12"/>
        <w:spacing w:line="320" w:lineRule="exact"/>
        <w:ind w:firstLine="482" w:firstLineChars="200"/>
        <w:rPr>
          <w:rFonts w:hint="eastAsia" w:ascii="宋体" w:hAnsi="宋体" w:eastAsia="宋体" w:cs="宋体"/>
          <w:b/>
          <w:bCs/>
          <w:color w:val="auto"/>
          <w:sz w:val="24"/>
          <w:highlight w:val="none"/>
          <w:lang w:eastAsia="zh-CN"/>
        </w:rPr>
      </w:pPr>
    </w:p>
    <w:p w14:paraId="5A13CD02">
      <w:pPr>
        <w:pStyle w:val="12"/>
        <w:spacing w:line="320" w:lineRule="exact"/>
        <w:ind w:firstLine="482" w:firstLineChars="200"/>
        <w:rPr>
          <w:rFonts w:hint="eastAsia" w:ascii="宋体" w:hAnsi="宋体" w:eastAsia="宋体" w:cs="宋体"/>
          <w:b/>
          <w:bCs/>
          <w:color w:val="auto"/>
          <w:sz w:val="24"/>
          <w:highlight w:val="none"/>
          <w:lang w:eastAsia="zh-CN"/>
        </w:rPr>
      </w:pPr>
    </w:p>
    <w:p w14:paraId="4443A800">
      <w:pPr>
        <w:pStyle w:val="12"/>
        <w:spacing w:line="320" w:lineRule="exact"/>
        <w:ind w:firstLine="482" w:firstLineChars="200"/>
        <w:rPr>
          <w:rFonts w:hint="eastAsia" w:ascii="宋体" w:hAnsi="宋体" w:eastAsia="宋体" w:cs="宋体"/>
          <w:b/>
          <w:bCs/>
          <w:color w:val="auto"/>
          <w:sz w:val="24"/>
          <w:highlight w:val="none"/>
          <w:lang w:eastAsia="zh-CN"/>
        </w:rPr>
      </w:pPr>
    </w:p>
    <w:p w14:paraId="176F4A54">
      <w:pPr>
        <w:pStyle w:val="12"/>
        <w:spacing w:line="320" w:lineRule="exact"/>
        <w:ind w:firstLine="482" w:firstLineChars="200"/>
        <w:rPr>
          <w:rFonts w:hint="eastAsia" w:ascii="宋体" w:hAnsi="宋体" w:eastAsia="宋体" w:cs="宋体"/>
          <w:b/>
          <w:bCs/>
          <w:color w:val="auto"/>
          <w:sz w:val="24"/>
          <w:highlight w:val="none"/>
          <w:lang w:eastAsia="zh-CN"/>
        </w:rPr>
      </w:pPr>
    </w:p>
    <w:p w14:paraId="4F59C93A">
      <w:pPr>
        <w:pStyle w:val="12"/>
        <w:spacing w:line="320" w:lineRule="exact"/>
        <w:ind w:firstLine="482" w:firstLineChars="200"/>
        <w:rPr>
          <w:rFonts w:hint="eastAsia" w:ascii="宋体" w:hAnsi="宋体" w:eastAsia="宋体" w:cs="宋体"/>
          <w:b/>
          <w:bCs/>
          <w:color w:val="auto"/>
          <w:sz w:val="24"/>
          <w:highlight w:val="none"/>
          <w:lang w:eastAsia="zh-CN"/>
        </w:rPr>
      </w:pPr>
    </w:p>
    <w:p w14:paraId="59A17B4C">
      <w:pPr>
        <w:pStyle w:val="12"/>
        <w:spacing w:line="320" w:lineRule="exact"/>
        <w:ind w:firstLine="482" w:firstLineChars="200"/>
        <w:rPr>
          <w:rFonts w:hint="eastAsia" w:ascii="宋体" w:hAnsi="宋体" w:eastAsia="宋体" w:cs="宋体"/>
          <w:b/>
          <w:bCs/>
          <w:color w:val="auto"/>
          <w:sz w:val="24"/>
          <w:highlight w:val="none"/>
          <w:lang w:eastAsia="zh-CN"/>
        </w:rPr>
      </w:pPr>
    </w:p>
    <w:p w14:paraId="021BEFF3">
      <w:pPr>
        <w:pStyle w:val="12"/>
        <w:spacing w:line="320" w:lineRule="exact"/>
        <w:rPr>
          <w:rFonts w:hint="eastAsia" w:ascii="宋体" w:hAnsi="宋体" w:eastAsia="宋体" w:cs="宋体"/>
          <w:b/>
          <w:bCs/>
          <w:color w:val="auto"/>
          <w:sz w:val="24"/>
          <w:highlight w:val="none"/>
          <w:lang w:eastAsia="zh-CN"/>
        </w:rPr>
      </w:pPr>
    </w:p>
    <w:p w14:paraId="62B12532">
      <w:pPr>
        <w:pStyle w:val="12"/>
        <w:spacing w:line="32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附件</w:t>
      </w:r>
      <w:r>
        <w:rPr>
          <w:rFonts w:hint="eastAsia" w:hAnsi="宋体" w:cs="宋体"/>
          <w:b/>
          <w:bCs/>
          <w:color w:val="auto"/>
          <w:sz w:val="24"/>
          <w:highlight w:val="none"/>
          <w:lang w:val="en-US" w:eastAsia="zh-CN"/>
        </w:rPr>
        <w:t>二</w:t>
      </w:r>
      <w:r>
        <w:rPr>
          <w:rFonts w:hint="eastAsia" w:ascii="宋体" w:hAnsi="宋体" w:eastAsia="宋体" w:cs="宋体"/>
          <w:color w:val="auto"/>
          <w:sz w:val="24"/>
          <w:highlight w:val="none"/>
        </w:rPr>
        <w:t>：</w:t>
      </w:r>
    </w:p>
    <w:p w14:paraId="76350944">
      <w:pPr>
        <w:pStyle w:val="12"/>
        <w:spacing w:line="320" w:lineRule="exact"/>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广西壮族自治区政府采购项目合同验收书（格式）</w:t>
      </w:r>
    </w:p>
    <w:p w14:paraId="0D7D21C7">
      <w:pPr>
        <w:snapToGrid w:val="0"/>
        <w:spacing w:before="100" w:beforeAutospacing="1" w:after="100" w:afterAutospacing="1" w:line="320" w:lineRule="exact"/>
        <w:ind w:left="-359" w:leftChars="-171"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根据政府采购项目（</w:t>
      </w:r>
      <w:r>
        <w:rPr>
          <w:rFonts w:hint="eastAsia" w:ascii="宋体" w:hAnsi="宋体" w:eastAsia="宋体" w:cs="宋体"/>
          <w:color w:val="auto"/>
          <w:szCs w:val="21"/>
          <w:highlight w:val="none"/>
          <w:u w:val="single"/>
        </w:rPr>
        <w:t>采购合同编号：</w:t>
      </w:r>
      <w:r>
        <w:rPr>
          <w:rFonts w:hint="eastAsia" w:ascii="宋体" w:hAnsi="宋体" w:eastAsia="宋体" w:cs="宋体"/>
          <w:color w:val="auto"/>
          <w:szCs w:val="21"/>
          <w:highlight w:val="none"/>
          <w:u w:val="single"/>
        </w:rPr>
        <w:softHyphen/>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）的约定，我单位对（</w:t>
      </w:r>
      <w:r>
        <w:rPr>
          <w:rFonts w:hint="eastAsia" w:ascii="宋体" w:hAnsi="宋体" w:eastAsia="宋体" w:cs="宋体"/>
          <w:color w:val="auto"/>
          <w:szCs w:val="21"/>
          <w:highlight w:val="none"/>
          <w:u w:val="single"/>
        </w:rPr>
        <w:t xml:space="preserve">  项目名称   ）       </w:t>
      </w:r>
      <w:r>
        <w:rPr>
          <w:rFonts w:hint="eastAsia" w:ascii="宋体" w:hAnsi="宋体" w:eastAsia="宋体" w:cs="宋体"/>
          <w:color w:val="auto"/>
          <w:szCs w:val="21"/>
          <w:highlight w:val="none"/>
        </w:rPr>
        <w:t>政府采购项目中标（或成交）供应商</w:t>
      </w:r>
      <w:r>
        <w:rPr>
          <w:rFonts w:hint="eastAsia" w:ascii="宋体" w:hAnsi="宋体" w:eastAsia="宋体" w:cs="宋体"/>
          <w:color w:val="auto"/>
          <w:szCs w:val="21"/>
          <w:highlight w:val="none"/>
          <w:u w:val="single"/>
        </w:rPr>
        <w:t xml:space="preserve">（            公司名称              ）       </w:t>
      </w:r>
      <w:r>
        <w:rPr>
          <w:rFonts w:hint="eastAsia" w:ascii="宋体" w:hAnsi="宋体" w:eastAsia="宋体" w:cs="宋体"/>
          <w:color w:val="auto"/>
          <w:szCs w:val="21"/>
          <w:highlight w:val="none"/>
        </w:rPr>
        <w:t>提供的工程进行了验收，验收情况如下：</w:t>
      </w:r>
    </w:p>
    <w:tbl>
      <w:tblPr>
        <w:tblStyle w:val="2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2F01F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1CFA8D82">
            <w:pPr>
              <w:snapToGrid w:val="0"/>
              <w:spacing w:before="100" w:beforeAutospacing="1" w:after="100" w:afterAutospacing="1" w:line="320" w:lineRule="exact"/>
              <w:ind w:left="-3" w:firstLine="4" w:firstLineChars="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1B33B198">
            <w:pPr>
              <w:snapToGrid w:val="0"/>
              <w:spacing w:before="100" w:beforeAutospacing="1" w:after="100" w:afterAutospacing="1" w:line="320" w:lineRule="exact"/>
              <w:ind w:left="-3"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□自行验收         □委托验收</w:t>
            </w:r>
          </w:p>
        </w:tc>
      </w:tr>
      <w:tr w14:paraId="5FCBF5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6AFB9517">
            <w:pPr>
              <w:snapToGrid w:val="0"/>
              <w:spacing w:before="100" w:beforeAutospacing="1" w:after="100" w:afterAutospacing="1" w:line="320" w:lineRule="exact"/>
              <w:ind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815767A">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8CA3110">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CE7B692">
            <w:pPr>
              <w:snapToGrid w:val="0"/>
              <w:spacing w:before="100" w:beforeAutospacing="1" w:after="100" w:afterAutospacing="1"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32C8332A">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w:t>
            </w:r>
          </w:p>
        </w:tc>
      </w:tr>
      <w:tr w14:paraId="4B996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570A309">
            <w:pPr>
              <w:snapToGrid w:val="0"/>
              <w:spacing w:before="100" w:beforeAutospacing="1" w:after="100" w:afterAutospacing="1" w:line="320" w:lineRule="exact"/>
              <w:ind w:left="-3" w:firstLine="4" w:firstLineChars="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5AD079DB">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82A6164">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1737F1ED">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8260098">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5B1447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0F0B62AB">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6F46C50E">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6557C575">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3D5DA00">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4D3F9301">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68EBB7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60419A7C">
            <w:pPr>
              <w:snapToGrid w:val="0"/>
              <w:spacing w:before="100" w:beforeAutospacing="1" w:after="100" w:afterAutospacing="1" w:line="320" w:lineRule="exact"/>
              <w:ind w:left="-3" w:firstLine="4" w:firstLineChars="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8439D32">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A5DD9D5">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26002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578A9232">
            <w:pPr>
              <w:snapToGrid w:val="0"/>
              <w:spacing w:before="100" w:beforeAutospacing="1" w:after="100" w:afterAutospacing="1" w:line="320" w:lineRule="exact"/>
              <w:ind w:firstLine="2" w:firstLine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合计大写金额：   仟    佰    拾    万    仟    佰    拾    元</w:t>
            </w:r>
          </w:p>
        </w:tc>
      </w:tr>
      <w:tr w14:paraId="4E853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04698AC0">
            <w:pPr>
              <w:snapToGrid w:val="0"/>
              <w:spacing w:before="100" w:beforeAutospacing="1" w:after="100" w:afterAutospacing="1" w:line="320" w:lineRule="exact"/>
              <w:ind w:firstLine="2" w:firstLine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3BCBA6EC">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3F4FA075">
            <w:pPr>
              <w:snapToGrid w:val="0"/>
              <w:spacing w:before="100" w:beforeAutospacing="1" w:after="100" w:afterAutospacing="1" w:line="320" w:lineRule="exact"/>
              <w:ind w:firstLine="39" w:firstLine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2A743E29">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r>
      <w:tr w14:paraId="20D1C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26D3C18E">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34760508">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72B012B2">
            <w:pPr>
              <w:snapToGrid w:val="0"/>
              <w:spacing w:before="100" w:beforeAutospacing="1" w:after="100" w:afterAutospacing="1" w:line="320" w:lineRule="exact"/>
              <w:ind w:left="590" w:firstLine="420" w:firstLineChars="200"/>
              <w:jc w:val="left"/>
              <w:rPr>
                <w:rFonts w:hint="eastAsia" w:ascii="宋体" w:hAnsi="宋体" w:eastAsia="宋体" w:cs="宋体"/>
                <w:color w:val="auto"/>
                <w:szCs w:val="21"/>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7E42542D">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r>
      <w:tr w14:paraId="4DEA77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E4D188">
            <w:pPr>
              <w:snapToGrid w:val="0"/>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5F0DDD">
            <w:pPr>
              <w:snapToGrid w:val="0"/>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采购合同、采购文件、投标响应文件及验收方案等进行验收；并核对中标或者成交人在安装调试等方面是否违反合同约定或服务规范要求、提供的质量保证证明材料是否齐全、应有的配件及附件是否达到合同约定等。可附件)</w:t>
            </w:r>
          </w:p>
        </w:tc>
      </w:tr>
      <w:tr w14:paraId="1E16D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AEA8C9">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247C52E5">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验收结论性意见：</w:t>
            </w:r>
          </w:p>
        </w:tc>
      </w:tr>
      <w:tr w14:paraId="2994E6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0" w:hRule="atLeast"/>
          <w:jc w:val="center"/>
        </w:trPr>
        <w:tc>
          <w:tcPr>
            <w:tcW w:w="1527" w:type="dxa"/>
            <w:vMerge w:val="continue"/>
            <w:tcBorders>
              <w:top w:val="single" w:color="auto" w:sz="8" w:space="0"/>
              <w:left w:val="single" w:color="auto" w:sz="8" w:space="0"/>
              <w:bottom w:val="single" w:color="auto" w:sz="8" w:space="0"/>
              <w:right w:val="single" w:color="auto" w:sz="8" w:space="0"/>
            </w:tcBorders>
            <w:noWrap w:val="0"/>
            <w:vAlign w:val="center"/>
          </w:tcPr>
          <w:p w14:paraId="16979740">
            <w:pPr>
              <w:spacing w:line="320" w:lineRule="exact"/>
              <w:jc w:val="left"/>
              <w:rPr>
                <w:rFonts w:hint="eastAsia" w:ascii="宋体" w:hAnsi="宋体" w:eastAsia="宋体" w:cs="宋体"/>
                <w:color w:val="auto"/>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6B4765A9">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有异议的意见和说明理由：</w:t>
            </w:r>
          </w:p>
          <w:p w14:paraId="3B4CD94D">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r>
      <w:tr w14:paraId="057C4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A96DD1">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验收小组成员签字：</w:t>
            </w:r>
          </w:p>
        </w:tc>
      </w:tr>
      <w:tr w14:paraId="2CFF2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89C40B">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监督人员或其他相关人员签字：</w:t>
            </w:r>
          </w:p>
          <w:p w14:paraId="059AC3DA">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或受邀机构的意见（盖章）：</w:t>
            </w:r>
          </w:p>
        </w:tc>
      </w:tr>
      <w:tr w14:paraId="760DC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5"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38430AA0">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中标或者成交人负责人签字或盖章：</w:t>
            </w:r>
          </w:p>
          <w:p w14:paraId="39392FF3">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576AD776">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采购人或受托机构的意见（盖章）：</w:t>
            </w:r>
          </w:p>
          <w:p w14:paraId="398B8752">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r>
    </w:tbl>
    <w:p w14:paraId="296AED2A">
      <w:pPr>
        <w:pStyle w:val="14"/>
        <w:rPr>
          <w:rFonts w:hint="eastAsia"/>
          <w:color w:val="auto"/>
          <w:highlight w:val="none"/>
        </w:rPr>
      </w:pPr>
    </w:p>
    <w:sectPr>
      <w:headerReference r:id="rId9" w:type="default"/>
      <w:footerReference r:id="rId10" w:type="default"/>
      <w:footerReference r:id="rId11" w:type="even"/>
      <w:pgSz w:w="11906" w:h="16838"/>
      <w:pgMar w:top="1758" w:right="1304" w:bottom="1021" w:left="1304" w:header="1247"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Ìå">
    <w:altName w:val="Times New Roman"/>
    <w:panose1 w:val="00000000000000000000"/>
    <w:charset w:val="00"/>
    <w:family w:val="auto"/>
    <w:pitch w:val="default"/>
    <w:sig w:usb0="00000000" w:usb1="00000000" w:usb2="00000000" w:usb3="00000000" w:csb0="00000001" w:csb1="00000000"/>
  </w:font>
  <w:font w:name="方正小标宋简体">
    <w:altName w:val="黑体"/>
    <w:panose1 w:val="02000000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36187">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9AFF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A9AFF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B0F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0332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B0332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7B43">
    <w:pPr>
      <w:pStyle w:val="1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07240B6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LOeaOPNAQAAmAMAAA4AAAAAAAAAAQAgAAAAHwEAAGRycy9l&#10;Mm9Eb2MueG1sUEsFBgAAAAAGAAYAWQEAAF4FAAAAAA==&#10;">
              <v:fill on="f" focussize="0,0"/>
              <v:stroke on="f"/>
              <v:imagedata o:title=""/>
              <o:lock v:ext="edit" aspectratio="f"/>
              <v:textbox inset="0mm,0mm,0mm,0mm" style="mso-fit-shape-to-text:t;">
                <w:txbxContent>
                  <w:p w14:paraId="07240B6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DE4D">
    <w:pPr>
      <w:pStyle w:val="14"/>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315839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14:paraId="3315839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5A7D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11AC1B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14:paraId="011AC1B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CA3F">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lang w:val="zh-CN"/>
      </w:rPr>
      <w:t>1</w:t>
    </w:r>
    <w:r>
      <w:fldChar w:fldCharType="end"/>
    </w:r>
  </w:p>
  <w:p w14:paraId="437A792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7248">
    <w:pPr>
      <w:pStyle w:val="16"/>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4EC5">
    <w:pPr>
      <w:pStyle w:val="16"/>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31E4A">
    <w:pPr>
      <w:pStyle w:val="16"/>
      <w:pBdr>
        <w:bottom w:val="none" w:color="auto" w:sz="0" w:space="0"/>
      </w:pBdr>
      <w:jc w:val="both"/>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BE982"/>
    <w:multiLevelType w:val="singleLevel"/>
    <w:tmpl w:val="B1ABE982"/>
    <w:lvl w:ilvl="0" w:tentative="0">
      <w:start w:val="6"/>
      <w:numFmt w:val="chineseCounting"/>
      <w:suff w:val="space"/>
      <w:lvlText w:val="第%1章"/>
      <w:lvlJc w:val="left"/>
      <w:rPr>
        <w:rFonts w:hint="eastAsia"/>
      </w:rPr>
    </w:lvl>
  </w:abstractNum>
  <w:abstractNum w:abstractNumId="1">
    <w:nsid w:val="00000007"/>
    <w:multiLevelType w:val="multilevel"/>
    <w:tmpl w:val="00000007"/>
    <w:lvl w:ilvl="0" w:tentative="0">
      <w:start w:val="1"/>
      <w:numFmt w:val="decimal"/>
      <w:pStyle w:val="52"/>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2"/>
      <w:numFmt w:val="decimal"/>
      <w:suff w:val="nothing"/>
      <w:lvlText w:val="%1."/>
      <w:lvlJc w:val="left"/>
    </w:lvl>
  </w:abstractNum>
  <w:abstractNum w:abstractNumId="3">
    <w:nsid w:val="174D14CB"/>
    <w:multiLevelType w:val="singleLevel"/>
    <w:tmpl w:val="174D14CB"/>
    <w:lvl w:ilvl="0" w:tentative="0">
      <w:start w:val="1"/>
      <w:numFmt w:val="chineseCounting"/>
      <w:suff w:val="space"/>
      <w:lvlText w:val="第%1章"/>
      <w:lvlJc w:val="left"/>
      <w:rPr>
        <w:rFonts w:hint="eastAsia"/>
      </w:rPr>
    </w:lvl>
  </w:abstractNum>
  <w:abstractNum w:abstractNumId="4">
    <w:nsid w:val="3E5E7BC9"/>
    <w:multiLevelType w:val="singleLevel"/>
    <w:tmpl w:val="3E5E7BC9"/>
    <w:lvl w:ilvl="0" w:tentative="0">
      <w:start w:val="1"/>
      <w:numFmt w:val="decimal"/>
      <w:suff w:val="nothing"/>
      <w:lvlText w:val="（%1）"/>
      <w:lvlJc w:val="left"/>
    </w:lvl>
  </w:abstractNum>
  <w:abstractNum w:abstractNumId="5">
    <w:nsid w:val="55E62055"/>
    <w:multiLevelType w:val="singleLevel"/>
    <w:tmpl w:val="55E62055"/>
    <w:lvl w:ilvl="0" w:tentative="0">
      <w:start w:val="3"/>
      <w:numFmt w:val="chineseCounting"/>
      <w:suff w:val="space"/>
      <w:lvlText w:val="第%1章"/>
      <w:lvlJc w:val="left"/>
      <w:rPr>
        <w:rFonts w:hint="eastAsia"/>
      </w:rPr>
    </w:lvl>
  </w:abstractNum>
  <w:abstractNum w:abstractNumId="6">
    <w:nsid w:val="6EDD6596"/>
    <w:multiLevelType w:val="singleLevel"/>
    <w:tmpl w:val="6EDD6596"/>
    <w:lvl w:ilvl="0" w:tentative="0">
      <w:start w:val="1"/>
      <w:numFmt w:val="decimal"/>
      <w:suff w:val="space"/>
      <w:lvlText w:val="%1."/>
      <w:lvlJc w:val="left"/>
    </w:lvl>
  </w:abstractNum>
  <w:abstractNum w:abstractNumId="7">
    <w:nsid w:val="6EDD6597"/>
    <w:multiLevelType w:val="singleLevel"/>
    <w:tmpl w:val="6EDD6597"/>
    <w:lvl w:ilvl="0" w:tentative="0">
      <w:start w:val="1"/>
      <w:numFmt w:val="decimal"/>
      <w:suff w:val="nothing"/>
      <w:lvlText w:val="(%1)"/>
      <w:lvlJc w:val="left"/>
    </w:lvl>
  </w:abstractNum>
  <w:abstractNum w:abstractNumId="8">
    <w:nsid w:val="6EDD6598"/>
    <w:multiLevelType w:val="singleLevel"/>
    <w:tmpl w:val="6EDD6598"/>
    <w:lvl w:ilvl="0" w:tentative="0">
      <w:start w:val="11"/>
      <w:numFmt w:val="decimal"/>
      <w:suff w:val="space"/>
      <w:lvlText w:val="%1."/>
      <w:lvlJc w:val="left"/>
    </w:lvl>
  </w:abstractNum>
  <w:abstractNum w:abstractNumId="9">
    <w:nsid w:val="6EDD6599"/>
    <w:multiLevelType w:val="multilevel"/>
    <w:tmpl w:val="6EDD65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EDD659A"/>
    <w:multiLevelType w:val="multilevel"/>
    <w:tmpl w:val="6EDD659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EDD659B"/>
    <w:multiLevelType w:val="multilevel"/>
    <w:tmpl w:val="6EDD659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EDD659C"/>
    <w:multiLevelType w:val="multilevel"/>
    <w:tmpl w:val="6EDD659C"/>
    <w:lvl w:ilvl="0" w:tentative="0">
      <w:start w:val="1"/>
      <w:numFmt w:val="decimal"/>
      <w:lvlText w:val="（%1）"/>
      <w:lvlJc w:val="left"/>
      <w:pPr>
        <w:ind w:left="1560" w:hanging="720"/>
      </w:pPr>
      <w:rPr>
        <w:rFonts w:hint="default"/>
      </w:rPr>
    </w:lvl>
    <w:lvl w:ilvl="1" w:tentative="0">
      <w:start w:val="1"/>
      <w:numFmt w:val="decimal"/>
      <w:lvlText w:val="%2)"/>
      <w:lvlJc w:val="left"/>
      <w:pPr>
        <w:ind w:left="1260" w:hanging="4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EDD659D"/>
    <w:multiLevelType w:val="multilevel"/>
    <w:tmpl w:val="6EDD659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EDD659E"/>
    <w:multiLevelType w:val="multilevel"/>
    <w:tmpl w:val="6EDD659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EDD659F"/>
    <w:multiLevelType w:val="multilevel"/>
    <w:tmpl w:val="6EDD659F"/>
    <w:lvl w:ilvl="0" w:tentative="0">
      <w:start w:val="1"/>
      <w:numFmt w:val="upperLetter"/>
      <w:lvlText w:val="%1."/>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5"/>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4"/>
  </w:num>
  <w:num w:numId="14">
    <w:abstractNumId w:val="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s>
  <w:rsids>
    <w:rsidRoot w:val="16344B64"/>
    <w:rsid w:val="000769C6"/>
    <w:rsid w:val="00292E98"/>
    <w:rsid w:val="00391CF2"/>
    <w:rsid w:val="00876B84"/>
    <w:rsid w:val="008C2C82"/>
    <w:rsid w:val="00B5103D"/>
    <w:rsid w:val="013363E4"/>
    <w:rsid w:val="01435D27"/>
    <w:rsid w:val="014B09B3"/>
    <w:rsid w:val="0165313D"/>
    <w:rsid w:val="01703541"/>
    <w:rsid w:val="019451CC"/>
    <w:rsid w:val="019A117A"/>
    <w:rsid w:val="01A52705"/>
    <w:rsid w:val="01D41215"/>
    <w:rsid w:val="01D42121"/>
    <w:rsid w:val="01E85CB8"/>
    <w:rsid w:val="01F64D0F"/>
    <w:rsid w:val="02057DBE"/>
    <w:rsid w:val="02224369"/>
    <w:rsid w:val="02333E82"/>
    <w:rsid w:val="023B4DEC"/>
    <w:rsid w:val="02453514"/>
    <w:rsid w:val="02460EB6"/>
    <w:rsid w:val="028A0DA9"/>
    <w:rsid w:val="02D169DB"/>
    <w:rsid w:val="03001EE1"/>
    <w:rsid w:val="035E59F6"/>
    <w:rsid w:val="038A7BB5"/>
    <w:rsid w:val="03972500"/>
    <w:rsid w:val="039F67AA"/>
    <w:rsid w:val="03A9358B"/>
    <w:rsid w:val="03D251CE"/>
    <w:rsid w:val="03E219EE"/>
    <w:rsid w:val="03EB220E"/>
    <w:rsid w:val="03ED7190"/>
    <w:rsid w:val="040E0AFD"/>
    <w:rsid w:val="04304467"/>
    <w:rsid w:val="043D01D6"/>
    <w:rsid w:val="043E6C3C"/>
    <w:rsid w:val="044E20D8"/>
    <w:rsid w:val="045D2E23"/>
    <w:rsid w:val="0469012C"/>
    <w:rsid w:val="04781A0B"/>
    <w:rsid w:val="04793104"/>
    <w:rsid w:val="047C0BCC"/>
    <w:rsid w:val="05033049"/>
    <w:rsid w:val="052A45EE"/>
    <w:rsid w:val="056D5429"/>
    <w:rsid w:val="05B30A98"/>
    <w:rsid w:val="05CE5247"/>
    <w:rsid w:val="05D2338D"/>
    <w:rsid w:val="05F94DCD"/>
    <w:rsid w:val="060D56D1"/>
    <w:rsid w:val="0644195F"/>
    <w:rsid w:val="06556B9B"/>
    <w:rsid w:val="067A36AA"/>
    <w:rsid w:val="068046A5"/>
    <w:rsid w:val="06867C76"/>
    <w:rsid w:val="0687062B"/>
    <w:rsid w:val="06A40442"/>
    <w:rsid w:val="06A55497"/>
    <w:rsid w:val="06B605BA"/>
    <w:rsid w:val="06BF3139"/>
    <w:rsid w:val="06F16788"/>
    <w:rsid w:val="070211A3"/>
    <w:rsid w:val="0733410C"/>
    <w:rsid w:val="07467D48"/>
    <w:rsid w:val="077D02B2"/>
    <w:rsid w:val="07AB560D"/>
    <w:rsid w:val="07B00DB5"/>
    <w:rsid w:val="07EE0856"/>
    <w:rsid w:val="07EF5437"/>
    <w:rsid w:val="082958EE"/>
    <w:rsid w:val="08382DE5"/>
    <w:rsid w:val="08590257"/>
    <w:rsid w:val="086B310B"/>
    <w:rsid w:val="08782A74"/>
    <w:rsid w:val="08EC40D2"/>
    <w:rsid w:val="09026A3E"/>
    <w:rsid w:val="09192DFD"/>
    <w:rsid w:val="09922E2F"/>
    <w:rsid w:val="09B7036B"/>
    <w:rsid w:val="0A1925F0"/>
    <w:rsid w:val="0A39280F"/>
    <w:rsid w:val="0A3D4A0C"/>
    <w:rsid w:val="0A4B5D54"/>
    <w:rsid w:val="0A57550F"/>
    <w:rsid w:val="0A6749FB"/>
    <w:rsid w:val="0A6C2012"/>
    <w:rsid w:val="0A6E2124"/>
    <w:rsid w:val="0A733489"/>
    <w:rsid w:val="0A7526BF"/>
    <w:rsid w:val="0A78296A"/>
    <w:rsid w:val="0A7A55CE"/>
    <w:rsid w:val="0A8C6F1B"/>
    <w:rsid w:val="0A912E56"/>
    <w:rsid w:val="0A9A26C8"/>
    <w:rsid w:val="0AAE65CC"/>
    <w:rsid w:val="0AB52C23"/>
    <w:rsid w:val="0AD83CD8"/>
    <w:rsid w:val="0AE16A2B"/>
    <w:rsid w:val="0AE21360"/>
    <w:rsid w:val="0B237BA9"/>
    <w:rsid w:val="0B2C193F"/>
    <w:rsid w:val="0B372620"/>
    <w:rsid w:val="0B3C6B2A"/>
    <w:rsid w:val="0B4934D4"/>
    <w:rsid w:val="0B7A5702"/>
    <w:rsid w:val="0B975623"/>
    <w:rsid w:val="0BC66934"/>
    <w:rsid w:val="0BD04408"/>
    <w:rsid w:val="0BD75F20"/>
    <w:rsid w:val="0C040834"/>
    <w:rsid w:val="0C0E3DC8"/>
    <w:rsid w:val="0C127A9F"/>
    <w:rsid w:val="0C421E03"/>
    <w:rsid w:val="0C4D22BF"/>
    <w:rsid w:val="0C783F77"/>
    <w:rsid w:val="0C8406AF"/>
    <w:rsid w:val="0C8F3EC5"/>
    <w:rsid w:val="0C9845FB"/>
    <w:rsid w:val="0C9E5BEF"/>
    <w:rsid w:val="0CB46FF3"/>
    <w:rsid w:val="0CC03127"/>
    <w:rsid w:val="0CC961F6"/>
    <w:rsid w:val="0CDD71F7"/>
    <w:rsid w:val="0CE53015"/>
    <w:rsid w:val="0CF652A1"/>
    <w:rsid w:val="0D3A6E59"/>
    <w:rsid w:val="0D4D2858"/>
    <w:rsid w:val="0D6D35A4"/>
    <w:rsid w:val="0D881D7B"/>
    <w:rsid w:val="0D8D2972"/>
    <w:rsid w:val="0D8F6463"/>
    <w:rsid w:val="0D903F33"/>
    <w:rsid w:val="0E1235A8"/>
    <w:rsid w:val="0E172295"/>
    <w:rsid w:val="0E1D072F"/>
    <w:rsid w:val="0E323F57"/>
    <w:rsid w:val="0E501BC4"/>
    <w:rsid w:val="0E713147"/>
    <w:rsid w:val="0E835165"/>
    <w:rsid w:val="0E896B1A"/>
    <w:rsid w:val="0E8D122A"/>
    <w:rsid w:val="0EB832CB"/>
    <w:rsid w:val="0EBC4225"/>
    <w:rsid w:val="0EC536A4"/>
    <w:rsid w:val="0EC54DF5"/>
    <w:rsid w:val="0EEB2F22"/>
    <w:rsid w:val="0F0D457E"/>
    <w:rsid w:val="0F137A6E"/>
    <w:rsid w:val="0F152AA6"/>
    <w:rsid w:val="0F166E28"/>
    <w:rsid w:val="0F1F407A"/>
    <w:rsid w:val="0F255D7B"/>
    <w:rsid w:val="0F292C57"/>
    <w:rsid w:val="0F3C72EE"/>
    <w:rsid w:val="0F582B65"/>
    <w:rsid w:val="0F711E78"/>
    <w:rsid w:val="0F9E4A0D"/>
    <w:rsid w:val="0FA568B9"/>
    <w:rsid w:val="0FA83B24"/>
    <w:rsid w:val="0FB326C7"/>
    <w:rsid w:val="0FCD285F"/>
    <w:rsid w:val="0FE91A0F"/>
    <w:rsid w:val="0FEB1231"/>
    <w:rsid w:val="0FEE7612"/>
    <w:rsid w:val="100B56B6"/>
    <w:rsid w:val="100E76C7"/>
    <w:rsid w:val="102706CA"/>
    <w:rsid w:val="103A1282"/>
    <w:rsid w:val="108D0181"/>
    <w:rsid w:val="10AD6AD9"/>
    <w:rsid w:val="10B178E5"/>
    <w:rsid w:val="10C4368F"/>
    <w:rsid w:val="10C85AC8"/>
    <w:rsid w:val="10C96446"/>
    <w:rsid w:val="110D46FC"/>
    <w:rsid w:val="110F721E"/>
    <w:rsid w:val="111C17C4"/>
    <w:rsid w:val="11242549"/>
    <w:rsid w:val="11350618"/>
    <w:rsid w:val="11704727"/>
    <w:rsid w:val="11797307"/>
    <w:rsid w:val="118B719F"/>
    <w:rsid w:val="11BE0577"/>
    <w:rsid w:val="11C139BB"/>
    <w:rsid w:val="11C15E5E"/>
    <w:rsid w:val="11C70925"/>
    <w:rsid w:val="12083E84"/>
    <w:rsid w:val="120D0882"/>
    <w:rsid w:val="12305553"/>
    <w:rsid w:val="123251FD"/>
    <w:rsid w:val="126747D0"/>
    <w:rsid w:val="126E0E31"/>
    <w:rsid w:val="12727028"/>
    <w:rsid w:val="12A9357F"/>
    <w:rsid w:val="130612C1"/>
    <w:rsid w:val="130F7236"/>
    <w:rsid w:val="13144FF5"/>
    <w:rsid w:val="13161C63"/>
    <w:rsid w:val="13475083"/>
    <w:rsid w:val="13477178"/>
    <w:rsid w:val="134961F2"/>
    <w:rsid w:val="13632396"/>
    <w:rsid w:val="13913395"/>
    <w:rsid w:val="13950464"/>
    <w:rsid w:val="139C0611"/>
    <w:rsid w:val="13E30B42"/>
    <w:rsid w:val="13EA6286"/>
    <w:rsid w:val="13F25D54"/>
    <w:rsid w:val="13F26814"/>
    <w:rsid w:val="14004C93"/>
    <w:rsid w:val="14305965"/>
    <w:rsid w:val="145511F1"/>
    <w:rsid w:val="146076B0"/>
    <w:rsid w:val="14972464"/>
    <w:rsid w:val="149809ED"/>
    <w:rsid w:val="14C1100B"/>
    <w:rsid w:val="14D05F3E"/>
    <w:rsid w:val="14D41A3E"/>
    <w:rsid w:val="14EC05ED"/>
    <w:rsid w:val="14F96B98"/>
    <w:rsid w:val="151170E1"/>
    <w:rsid w:val="15364883"/>
    <w:rsid w:val="153B2BB3"/>
    <w:rsid w:val="156469AC"/>
    <w:rsid w:val="156E6948"/>
    <w:rsid w:val="157B5BC9"/>
    <w:rsid w:val="158E235B"/>
    <w:rsid w:val="15977A11"/>
    <w:rsid w:val="15CE60D5"/>
    <w:rsid w:val="15D91999"/>
    <w:rsid w:val="15E41D29"/>
    <w:rsid w:val="15F84C59"/>
    <w:rsid w:val="160E205C"/>
    <w:rsid w:val="16344B64"/>
    <w:rsid w:val="163E6233"/>
    <w:rsid w:val="16457EB7"/>
    <w:rsid w:val="16514A32"/>
    <w:rsid w:val="1651790F"/>
    <w:rsid w:val="16644988"/>
    <w:rsid w:val="167D5C38"/>
    <w:rsid w:val="16AA1A1F"/>
    <w:rsid w:val="16AF1939"/>
    <w:rsid w:val="16BE4B10"/>
    <w:rsid w:val="16C97128"/>
    <w:rsid w:val="16D42C63"/>
    <w:rsid w:val="16D67B4D"/>
    <w:rsid w:val="16E6314C"/>
    <w:rsid w:val="16F16621"/>
    <w:rsid w:val="16F66562"/>
    <w:rsid w:val="17057AB0"/>
    <w:rsid w:val="1722662B"/>
    <w:rsid w:val="1728549D"/>
    <w:rsid w:val="173151C4"/>
    <w:rsid w:val="173C32B6"/>
    <w:rsid w:val="174316CF"/>
    <w:rsid w:val="17705F66"/>
    <w:rsid w:val="178176F0"/>
    <w:rsid w:val="17941A0B"/>
    <w:rsid w:val="17CA2D47"/>
    <w:rsid w:val="17DE7609"/>
    <w:rsid w:val="17E15EFC"/>
    <w:rsid w:val="17E46E8B"/>
    <w:rsid w:val="186326CD"/>
    <w:rsid w:val="189015C1"/>
    <w:rsid w:val="18B43502"/>
    <w:rsid w:val="18B90CB1"/>
    <w:rsid w:val="18DC4A8F"/>
    <w:rsid w:val="18DD46F6"/>
    <w:rsid w:val="18E52696"/>
    <w:rsid w:val="18E733F2"/>
    <w:rsid w:val="18EE6E9D"/>
    <w:rsid w:val="190855FC"/>
    <w:rsid w:val="19235F91"/>
    <w:rsid w:val="19373188"/>
    <w:rsid w:val="194014CF"/>
    <w:rsid w:val="19952838"/>
    <w:rsid w:val="19A246EC"/>
    <w:rsid w:val="19B4308D"/>
    <w:rsid w:val="19C812C8"/>
    <w:rsid w:val="19DB12ED"/>
    <w:rsid w:val="1A0A3AD8"/>
    <w:rsid w:val="1A547350"/>
    <w:rsid w:val="1A937147"/>
    <w:rsid w:val="1AA72C3B"/>
    <w:rsid w:val="1AAA0C58"/>
    <w:rsid w:val="1AAA10CE"/>
    <w:rsid w:val="1AB765E6"/>
    <w:rsid w:val="1AC3196F"/>
    <w:rsid w:val="1AC7726A"/>
    <w:rsid w:val="1AD82220"/>
    <w:rsid w:val="1B0D38D7"/>
    <w:rsid w:val="1B310344"/>
    <w:rsid w:val="1B334C64"/>
    <w:rsid w:val="1B540A26"/>
    <w:rsid w:val="1B6D7998"/>
    <w:rsid w:val="1B9F58CE"/>
    <w:rsid w:val="1BD657A9"/>
    <w:rsid w:val="1BFA2FC3"/>
    <w:rsid w:val="1C211E34"/>
    <w:rsid w:val="1C792991"/>
    <w:rsid w:val="1CA7489F"/>
    <w:rsid w:val="1D095F63"/>
    <w:rsid w:val="1D2B64AD"/>
    <w:rsid w:val="1D320E6E"/>
    <w:rsid w:val="1D3B1545"/>
    <w:rsid w:val="1D540E0F"/>
    <w:rsid w:val="1D6C6F35"/>
    <w:rsid w:val="1D72263D"/>
    <w:rsid w:val="1D79054E"/>
    <w:rsid w:val="1D7A4260"/>
    <w:rsid w:val="1D965BEF"/>
    <w:rsid w:val="1DA125C3"/>
    <w:rsid w:val="1DB45D52"/>
    <w:rsid w:val="1DBF10E6"/>
    <w:rsid w:val="1DC17C39"/>
    <w:rsid w:val="1E6D4AAE"/>
    <w:rsid w:val="1E8D59FB"/>
    <w:rsid w:val="1E8E1732"/>
    <w:rsid w:val="1E913906"/>
    <w:rsid w:val="1E9B1611"/>
    <w:rsid w:val="1EBD275C"/>
    <w:rsid w:val="1ECA0720"/>
    <w:rsid w:val="1EFE225E"/>
    <w:rsid w:val="1F0F3395"/>
    <w:rsid w:val="1F2E0AC9"/>
    <w:rsid w:val="1F3B6052"/>
    <w:rsid w:val="1F65056F"/>
    <w:rsid w:val="1F8563B1"/>
    <w:rsid w:val="1FA77EFE"/>
    <w:rsid w:val="1FAC7ADB"/>
    <w:rsid w:val="1FB57B5F"/>
    <w:rsid w:val="1FDA574F"/>
    <w:rsid w:val="1FDE32B5"/>
    <w:rsid w:val="2020053C"/>
    <w:rsid w:val="202D34A1"/>
    <w:rsid w:val="20310280"/>
    <w:rsid w:val="20323948"/>
    <w:rsid w:val="203A77D5"/>
    <w:rsid w:val="204408F1"/>
    <w:rsid w:val="20463296"/>
    <w:rsid w:val="2050445F"/>
    <w:rsid w:val="205D447F"/>
    <w:rsid w:val="20656879"/>
    <w:rsid w:val="207F6714"/>
    <w:rsid w:val="20B039D3"/>
    <w:rsid w:val="20BA6A7D"/>
    <w:rsid w:val="20BC4D54"/>
    <w:rsid w:val="20BE2C1F"/>
    <w:rsid w:val="20C12DDC"/>
    <w:rsid w:val="20D53AB5"/>
    <w:rsid w:val="21191420"/>
    <w:rsid w:val="211C0DBB"/>
    <w:rsid w:val="212F26E9"/>
    <w:rsid w:val="21462BEF"/>
    <w:rsid w:val="21495DF5"/>
    <w:rsid w:val="21724C17"/>
    <w:rsid w:val="2172749F"/>
    <w:rsid w:val="21753196"/>
    <w:rsid w:val="217F3D25"/>
    <w:rsid w:val="21B343B3"/>
    <w:rsid w:val="21D72FC6"/>
    <w:rsid w:val="21E64AA1"/>
    <w:rsid w:val="221D798C"/>
    <w:rsid w:val="223324D4"/>
    <w:rsid w:val="226664B7"/>
    <w:rsid w:val="2284740D"/>
    <w:rsid w:val="22A73B3E"/>
    <w:rsid w:val="22AA546F"/>
    <w:rsid w:val="22DA19B2"/>
    <w:rsid w:val="22F92EA7"/>
    <w:rsid w:val="230102B6"/>
    <w:rsid w:val="231B4679"/>
    <w:rsid w:val="23280110"/>
    <w:rsid w:val="234D2500"/>
    <w:rsid w:val="238B62C4"/>
    <w:rsid w:val="238B72AE"/>
    <w:rsid w:val="239756EE"/>
    <w:rsid w:val="23B428FE"/>
    <w:rsid w:val="23FF76F8"/>
    <w:rsid w:val="24336DA7"/>
    <w:rsid w:val="243E0123"/>
    <w:rsid w:val="24430D47"/>
    <w:rsid w:val="244A2F6C"/>
    <w:rsid w:val="244E1ECC"/>
    <w:rsid w:val="24567DD6"/>
    <w:rsid w:val="245B000B"/>
    <w:rsid w:val="247618AC"/>
    <w:rsid w:val="24921C2D"/>
    <w:rsid w:val="25070E5D"/>
    <w:rsid w:val="252407DE"/>
    <w:rsid w:val="25413A34"/>
    <w:rsid w:val="25445C0D"/>
    <w:rsid w:val="25535E50"/>
    <w:rsid w:val="255C04C8"/>
    <w:rsid w:val="255D282B"/>
    <w:rsid w:val="25651C1A"/>
    <w:rsid w:val="256576FC"/>
    <w:rsid w:val="256666C5"/>
    <w:rsid w:val="258129BE"/>
    <w:rsid w:val="258D1BD9"/>
    <w:rsid w:val="25994203"/>
    <w:rsid w:val="25AD3484"/>
    <w:rsid w:val="25B016CF"/>
    <w:rsid w:val="261047C5"/>
    <w:rsid w:val="264D1C3A"/>
    <w:rsid w:val="265044EA"/>
    <w:rsid w:val="265C0D35"/>
    <w:rsid w:val="266165C3"/>
    <w:rsid w:val="268D7140"/>
    <w:rsid w:val="269B0243"/>
    <w:rsid w:val="26B612F4"/>
    <w:rsid w:val="26BE19EF"/>
    <w:rsid w:val="26D91416"/>
    <w:rsid w:val="26F80BAE"/>
    <w:rsid w:val="27274607"/>
    <w:rsid w:val="273D0F55"/>
    <w:rsid w:val="274E0EEF"/>
    <w:rsid w:val="274F2647"/>
    <w:rsid w:val="275545B7"/>
    <w:rsid w:val="275A70B5"/>
    <w:rsid w:val="276A5C79"/>
    <w:rsid w:val="276C144B"/>
    <w:rsid w:val="2771321A"/>
    <w:rsid w:val="277C759E"/>
    <w:rsid w:val="27C1510D"/>
    <w:rsid w:val="27C72DDE"/>
    <w:rsid w:val="27C97ADC"/>
    <w:rsid w:val="27CD54D1"/>
    <w:rsid w:val="27DB2224"/>
    <w:rsid w:val="280160A5"/>
    <w:rsid w:val="280947ED"/>
    <w:rsid w:val="28151036"/>
    <w:rsid w:val="2818512F"/>
    <w:rsid w:val="28243C0D"/>
    <w:rsid w:val="282E2931"/>
    <w:rsid w:val="283B580B"/>
    <w:rsid w:val="28531690"/>
    <w:rsid w:val="287E4328"/>
    <w:rsid w:val="28C3509B"/>
    <w:rsid w:val="29096ABC"/>
    <w:rsid w:val="29131644"/>
    <w:rsid w:val="29422464"/>
    <w:rsid w:val="29504EF8"/>
    <w:rsid w:val="296D5AAF"/>
    <w:rsid w:val="29930F11"/>
    <w:rsid w:val="29C93357"/>
    <w:rsid w:val="29D22FED"/>
    <w:rsid w:val="2A215161"/>
    <w:rsid w:val="2A21651D"/>
    <w:rsid w:val="2A486BB9"/>
    <w:rsid w:val="2A653706"/>
    <w:rsid w:val="2A657603"/>
    <w:rsid w:val="2A7D18B9"/>
    <w:rsid w:val="2A9213B0"/>
    <w:rsid w:val="2AC0284D"/>
    <w:rsid w:val="2ADA0D7A"/>
    <w:rsid w:val="2ADE2BED"/>
    <w:rsid w:val="2AE95980"/>
    <w:rsid w:val="2AF05D00"/>
    <w:rsid w:val="2B0143CE"/>
    <w:rsid w:val="2B151462"/>
    <w:rsid w:val="2B18086E"/>
    <w:rsid w:val="2B4D4859"/>
    <w:rsid w:val="2B50164C"/>
    <w:rsid w:val="2B606BD1"/>
    <w:rsid w:val="2B681FF8"/>
    <w:rsid w:val="2B7E372B"/>
    <w:rsid w:val="2B9E2CF3"/>
    <w:rsid w:val="2BA14861"/>
    <w:rsid w:val="2BCA4ACE"/>
    <w:rsid w:val="2BD1187D"/>
    <w:rsid w:val="2BE133C4"/>
    <w:rsid w:val="2BE25B67"/>
    <w:rsid w:val="2BF0108D"/>
    <w:rsid w:val="2C445F61"/>
    <w:rsid w:val="2C9B7AB3"/>
    <w:rsid w:val="2CB43860"/>
    <w:rsid w:val="2CD44AF8"/>
    <w:rsid w:val="2CD97A0B"/>
    <w:rsid w:val="2CDA1172"/>
    <w:rsid w:val="2CEE501C"/>
    <w:rsid w:val="2CFB12A7"/>
    <w:rsid w:val="2D0A387C"/>
    <w:rsid w:val="2D20628D"/>
    <w:rsid w:val="2D293BB8"/>
    <w:rsid w:val="2D3C3519"/>
    <w:rsid w:val="2D4B565F"/>
    <w:rsid w:val="2D58023A"/>
    <w:rsid w:val="2D59578F"/>
    <w:rsid w:val="2D65288F"/>
    <w:rsid w:val="2D7543F8"/>
    <w:rsid w:val="2DA859DE"/>
    <w:rsid w:val="2DE51610"/>
    <w:rsid w:val="2DED7A59"/>
    <w:rsid w:val="2DF9330D"/>
    <w:rsid w:val="2E024EC2"/>
    <w:rsid w:val="2E1C2EF5"/>
    <w:rsid w:val="2E404FEA"/>
    <w:rsid w:val="2E4B78A6"/>
    <w:rsid w:val="2E5414BC"/>
    <w:rsid w:val="2E881533"/>
    <w:rsid w:val="2EBD5A03"/>
    <w:rsid w:val="2ED33CEA"/>
    <w:rsid w:val="2ED51AEB"/>
    <w:rsid w:val="2EFE48DE"/>
    <w:rsid w:val="2F2E7897"/>
    <w:rsid w:val="2F397563"/>
    <w:rsid w:val="2F3A2C0B"/>
    <w:rsid w:val="2F4176C0"/>
    <w:rsid w:val="2F535070"/>
    <w:rsid w:val="2F5C1DA5"/>
    <w:rsid w:val="2F9D575C"/>
    <w:rsid w:val="2FA37312"/>
    <w:rsid w:val="2FA8323D"/>
    <w:rsid w:val="2FDA7AF5"/>
    <w:rsid w:val="2FDC2D07"/>
    <w:rsid w:val="2FF164DD"/>
    <w:rsid w:val="30145DCA"/>
    <w:rsid w:val="3030528B"/>
    <w:rsid w:val="30406F9E"/>
    <w:rsid w:val="30456D72"/>
    <w:rsid w:val="30582CC7"/>
    <w:rsid w:val="306B1C3D"/>
    <w:rsid w:val="30714FED"/>
    <w:rsid w:val="30764FE7"/>
    <w:rsid w:val="30821396"/>
    <w:rsid w:val="308235EB"/>
    <w:rsid w:val="3087288E"/>
    <w:rsid w:val="30953B76"/>
    <w:rsid w:val="309612E7"/>
    <w:rsid w:val="30B729DB"/>
    <w:rsid w:val="30C101E2"/>
    <w:rsid w:val="30C54BAF"/>
    <w:rsid w:val="30CB0C8C"/>
    <w:rsid w:val="30CB3B9B"/>
    <w:rsid w:val="30CC4D09"/>
    <w:rsid w:val="30CC6F4A"/>
    <w:rsid w:val="30CE282F"/>
    <w:rsid w:val="30D20666"/>
    <w:rsid w:val="30DD371A"/>
    <w:rsid w:val="30ED5B24"/>
    <w:rsid w:val="30EF505A"/>
    <w:rsid w:val="30F027A5"/>
    <w:rsid w:val="30F261AE"/>
    <w:rsid w:val="31166F86"/>
    <w:rsid w:val="312E2E77"/>
    <w:rsid w:val="313A1C72"/>
    <w:rsid w:val="316F5349"/>
    <w:rsid w:val="317E0366"/>
    <w:rsid w:val="31A30A4A"/>
    <w:rsid w:val="31A33AA1"/>
    <w:rsid w:val="31B54688"/>
    <w:rsid w:val="31C21E27"/>
    <w:rsid w:val="31D0106A"/>
    <w:rsid w:val="31E47035"/>
    <w:rsid w:val="31E70E77"/>
    <w:rsid w:val="31F854E1"/>
    <w:rsid w:val="31F93309"/>
    <w:rsid w:val="31FC2FF6"/>
    <w:rsid w:val="31FD78E9"/>
    <w:rsid w:val="32364B30"/>
    <w:rsid w:val="326B110E"/>
    <w:rsid w:val="326C06C8"/>
    <w:rsid w:val="326E0D3B"/>
    <w:rsid w:val="32A712BA"/>
    <w:rsid w:val="32B264A1"/>
    <w:rsid w:val="32B44946"/>
    <w:rsid w:val="32BA479B"/>
    <w:rsid w:val="32C11ADD"/>
    <w:rsid w:val="32CA196C"/>
    <w:rsid w:val="32F10326"/>
    <w:rsid w:val="32FA333F"/>
    <w:rsid w:val="330B7CAD"/>
    <w:rsid w:val="33146C22"/>
    <w:rsid w:val="33211CFA"/>
    <w:rsid w:val="332874AD"/>
    <w:rsid w:val="33533D94"/>
    <w:rsid w:val="33B60F0F"/>
    <w:rsid w:val="33C204A7"/>
    <w:rsid w:val="33D94143"/>
    <w:rsid w:val="33FD3084"/>
    <w:rsid w:val="3413690A"/>
    <w:rsid w:val="34454265"/>
    <w:rsid w:val="345E24D1"/>
    <w:rsid w:val="346A7BCF"/>
    <w:rsid w:val="34814BCF"/>
    <w:rsid w:val="34824778"/>
    <w:rsid w:val="34973F47"/>
    <w:rsid w:val="34A33B07"/>
    <w:rsid w:val="34DB376C"/>
    <w:rsid w:val="34E348BE"/>
    <w:rsid w:val="35110CC8"/>
    <w:rsid w:val="351F3659"/>
    <w:rsid w:val="35220001"/>
    <w:rsid w:val="35590374"/>
    <w:rsid w:val="356B2A0F"/>
    <w:rsid w:val="357A3838"/>
    <w:rsid w:val="358A6C10"/>
    <w:rsid w:val="359A3A8C"/>
    <w:rsid w:val="35AC01F2"/>
    <w:rsid w:val="35CE6E2D"/>
    <w:rsid w:val="3613585B"/>
    <w:rsid w:val="36321290"/>
    <w:rsid w:val="36424C3B"/>
    <w:rsid w:val="3647794D"/>
    <w:rsid w:val="3658358C"/>
    <w:rsid w:val="36A56635"/>
    <w:rsid w:val="36A60D62"/>
    <w:rsid w:val="36AD162D"/>
    <w:rsid w:val="36B90A97"/>
    <w:rsid w:val="36C92741"/>
    <w:rsid w:val="36EB4174"/>
    <w:rsid w:val="36FE61AE"/>
    <w:rsid w:val="370F19F3"/>
    <w:rsid w:val="37102263"/>
    <w:rsid w:val="372D3EF5"/>
    <w:rsid w:val="373D2DFA"/>
    <w:rsid w:val="3753434C"/>
    <w:rsid w:val="379F59C1"/>
    <w:rsid w:val="37B46714"/>
    <w:rsid w:val="380946B6"/>
    <w:rsid w:val="380A513E"/>
    <w:rsid w:val="38116B11"/>
    <w:rsid w:val="383028B0"/>
    <w:rsid w:val="383864ED"/>
    <w:rsid w:val="38703B97"/>
    <w:rsid w:val="389E6A5F"/>
    <w:rsid w:val="38CC3AF8"/>
    <w:rsid w:val="38D33B52"/>
    <w:rsid w:val="38D64556"/>
    <w:rsid w:val="391C380C"/>
    <w:rsid w:val="391F2AFD"/>
    <w:rsid w:val="39897C3B"/>
    <w:rsid w:val="398E6FFF"/>
    <w:rsid w:val="39BE465E"/>
    <w:rsid w:val="39C86FD5"/>
    <w:rsid w:val="39CA4E68"/>
    <w:rsid w:val="39EE4294"/>
    <w:rsid w:val="3A031F92"/>
    <w:rsid w:val="3A0C0228"/>
    <w:rsid w:val="3A127ACC"/>
    <w:rsid w:val="3A272246"/>
    <w:rsid w:val="3A2C18CA"/>
    <w:rsid w:val="3A3E06CA"/>
    <w:rsid w:val="3A445846"/>
    <w:rsid w:val="3A557B1D"/>
    <w:rsid w:val="3A68325A"/>
    <w:rsid w:val="3A6957DB"/>
    <w:rsid w:val="3A865F28"/>
    <w:rsid w:val="3AAC06E8"/>
    <w:rsid w:val="3ABA4BA7"/>
    <w:rsid w:val="3AEC11B5"/>
    <w:rsid w:val="3AF03860"/>
    <w:rsid w:val="3B013C77"/>
    <w:rsid w:val="3B0F00F5"/>
    <w:rsid w:val="3B163750"/>
    <w:rsid w:val="3B210E72"/>
    <w:rsid w:val="3B36794F"/>
    <w:rsid w:val="3B6B0250"/>
    <w:rsid w:val="3B702F3D"/>
    <w:rsid w:val="3B822B94"/>
    <w:rsid w:val="3B842323"/>
    <w:rsid w:val="3B8442F2"/>
    <w:rsid w:val="3BBA3BCF"/>
    <w:rsid w:val="3BD77022"/>
    <w:rsid w:val="3BF34A1D"/>
    <w:rsid w:val="3BFF5BE1"/>
    <w:rsid w:val="3C21315F"/>
    <w:rsid w:val="3C2A0477"/>
    <w:rsid w:val="3C4F08ED"/>
    <w:rsid w:val="3C5723FA"/>
    <w:rsid w:val="3C7A72EF"/>
    <w:rsid w:val="3C8B5A78"/>
    <w:rsid w:val="3CCC056A"/>
    <w:rsid w:val="3CE86A81"/>
    <w:rsid w:val="3CF960EF"/>
    <w:rsid w:val="3D3C4E79"/>
    <w:rsid w:val="3D452CE3"/>
    <w:rsid w:val="3D576BE7"/>
    <w:rsid w:val="3D5E3EE5"/>
    <w:rsid w:val="3DA20451"/>
    <w:rsid w:val="3DA87911"/>
    <w:rsid w:val="3DBF3C2B"/>
    <w:rsid w:val="3DCD548E"/>
    <w:rsid w:val="3DF00289"/>
    <w:rsid w:val="3E102BC8"/>
    <w:rsid w:val="3E285C74"/>
    <w:rsid w:val="3E436645"/>
    <w:rsid w:val="3E443DD0"/>
    <w:rsid w:val="3E5772FE"/>
    <w:rsid w:val="3E787087"/>
    <w:rsid w:val="3E7E4B3D"/>
    <w:rsid w:val="3E80225A"/>
    <w:rsid w:val="3EA4715D"/>
    <w:rsid w:val="3EAA68CD"/>
    <w:rsid w:val="3EE30A30"/>
    <w:rsid w:val="3EEF005D"/>
    <w:rsid w:val="3EF56ECB"/>
    <w:rsid w:val="3EFF0708"/>
    <w:rsid w:val="3F051B12"/>
    <w:rsid w:val="3F0A3424"/>
    <w:rsid w:val="3F0E05B1"/>
    <w:rsid w:val="3F1222A6"/>
    <w:rsid w:val="3F1C007A"/>
    <w:rsid w:val="3F2C4C85"/>
    <w:rsid w:val="3F3F5F1E"/>
    <w:rsid w:val="3F5234C8"/>
    <w:rsid w:val="3F54165D"/>
    <w:rsid w:val="3F966C0E"/>
    <w:rsid w:val="3F9F6718"/>
    <w:rsid w:val="3FA46762"/>
    <w:rsid w:val="3FD36CD7"/>
    <w:rsid w:val="3FD6237F"/>
    <w:rsid w:val="3FF8777C"/>
    <w:rsid w:val="3FFF4F2D"/>
    <w:rsid w:val="40215BD4"/>
    <w:rsid w:val="408348BC"/>
    <w:rsid w:val="40BA6DA3"/>
    <w:rsid w:val="40DC2040"/>
    <w:rsid w:val="40F1294E"/>
    <w:rsid w:val="40F4509D"/>
    <w:rsid w:val="40FF5C23"/>
    <w:rsid w:val="41024717"/>
    <w:rsid w:val="41270465"/>
    <w:rsid w:val="413F4274"/>
    <w:rsid w:val="414C522F"/>
    <w:rsid w:val="417411D1"/>
    <w:rsid w:val="41AF62F6"/>
    <w:rsid w:val="41E04080"/>
    <w:rsid w:val="420F1253"/>
    <w:rsid w:val="424B1F31"/>
    <w:rsid w:val="426E51C1"/>
    <w:rsid w:val="42760BE7"/>
    <w:rsid w:val="427D6F5C"/>
    <w:rsid w:val="4293483E"/>
    <w:rsid w:val="429C4F38"/>
    <w:rsid w:val="42B6049B"/>
    <w:rsid w:val="42B70E39"/>
    <w:rsid w:val="42C2592E"/>
    <w:rsid w:val="42CF2B89"/>
    <w:rsid w:val="42D862E7"/>
    <w:rsid w:val="430F56AE"/>
    <w:rsid w:val="431149D7"/>
    <w:rsid w:val="4316534F"/>
    <w:rsid w:val="434D0785"/>
    <w:rsid w:val="435C338F"/>
    <w:rsid w:val="43A53C00"/>
    <w:rsid w:val="43C65E5E"/>
    <w:rsid w:val="43E522F1"/>
    <w:rsid w:val="440A3E06"/>
    <w:rsid w:val="44324DDE"/>
    <w:rsid w:val="4445623B"/>
    <w:rsid w:val="444C3DF3"/>
    <w:rsid w:val="446049E5"/>
    <w:rsid w:val="44660972"/>
    <w:rsid w:val="446C1B10"/>
    <w:rsid w:val="44752BF3"/>
    <w:rsid w:val="449E6563"/>
    <w:rsid w:val="44B040D7"/>
    <w:rsid w:val="44BA2076"/>
    <w:rsid w:val="44D73F50"/>
    <w:rsid w:val="44D822D6"/>
    <w:rsid w:val="44F168F4"/>
    <w:rsid w:val="45085497"/>
    <w:rsid w:val="450D204D"/>
    <w:rsid w:val="45231D5E"/>
    <w:rsid w:val="45240818"/>
    <w:rsid w:val="45321187"/>
    <w:rsid w:val="4533216F"/>
    <w:rsid w:val="453D6C8A"/>
    <w:rsid w:val="45467398"/>
    <w:rsid w:val="45672093"/>
    <w:rsid w:val="456A7A63"/>
    <w:rsid w:val="4588349D"/>
    <w:rsid w:val="45884F7C"/>
    <w:rsid w:val="45A470E5"/>
    <w:rsid w:val="45B23B00"/>
    <w:rsid w:val="45CE61D4"/>
    <w:rsid w:val="45D10D46"/>
    <w:rsid w:val="45DD2BDA"/>
    <w:rsid w:val="45FA2B93"/>
    <w:rsid w:val="460348D1"/>
    <w:rsid w:val="461B60BF"/>
    <w:rsid w:val="461F45F4"/>
    <w:rsid w:val="464B6AB0"/>
    <w:rsid w:val="46710BCE"/>
    <w:rsid w:val="46746CBB"/>
    <w:rsid w:val="46794B93"/>
    <w:rsid w:val="4687226F"/>
    <w:rsid w:val="46C30911"/>
    <w:rsid w:val="46D631B6"/>
    <w:rsid w:val="46F5183A"/>
    <w:rsid w:val="46F7741A"/>
    <w:rsid w:val="47144B64"/>
    <w:rsid w:val="47176CAE"/>
    <w:rsid w:val="47266AC9"/>
    <w:rsid w:val="47516D0C"/>
    <w:rsid w:val="476E0B50"/>
    <w:rsid w:val="479A72E7"/>
    <w:rsid w:val="47E15B31"/>
    <w:rsid w:val="48037BDA"/>
    <w:rsid w:val="48110DAD"/>
    <w:rsid w:val="48265BAB"/>
    <w:rsid w:val="48376F2A"/>
    <w:rsid w:val="48557286"/>
    <w:rsid w:val="485A27D8"/>
    <w:rsid w:val="485F12D7"/>
    <w:rsid w:val="48720648"/>
    <w:rsid w:val="48937786"/>
    <w:rsid w:val="48A96FD5"/>
    <w:rsid w:val="48C219B3"/>
    <w:rsid w:val="48FB1966"/>
    <w:rsid w:val="490D706B"/>
    <w:rsid w:val="493A7349"/>
    <w:rsid w:val="495913F6"/>
    <w:rsid w:val="49710B97"/>
    <w:rsid w:val="49752A94"/>
    <w:rsid w:val="497D74FE"/>
    <w:rsid w:val="4990049A"/>
    <w:rsid w:val="49A04487"/>
    <w:rsid w:val="49A33E79"/>
    <w:rsid w:val="49AE2F4E"/>
    <w:rsid w:val="49B341B6"/>
    <w:rsid w:val="49D022EA"/>
    <w:rsid w:val="49D927B0"/>
    <w:rsid w:val="49E5343B"/>
    <w:rsid w:val="49FA3056"/>
    <w:rsid w:val="4A486552"/>
    <w:rsid w:val="4A510BD5"/>
    <w:rsid w:val="4A822555"/>
    <w:rsid w:val="4AB81764"/>
    <w:rsid w:val="4AE54BC6"/>
    <w:rsid w:val="4B0A6530"/>
    <w:rsid w:val="4B4E2A92"/>
    <w:rsid w:val="4B5D7098"/>
    <w:rsid w:val="4B871835"/>
    <w:rsid w:val="4BA74520"/>
    <w:rsid w:val="4BEF1B80"/>
    <w:rsid w:val="4C1859E4"/>
    <w:rsid w:val="4C3032BC"/>
    <w:rsid w:val="4C943F2C"/>
    <w:rsid w:val="4C9920F5"/>
    <w:rsid w:val="4C9C27E6"/>
    <w:rsid w:val="4CA778DF"/>
    <w:rsid w:val="4CC53416"/>
    <w:rsid w:val="4CE54EAA"/>
    <w:rsid w:val="4CFE5DF2"/>
    <w:rsid w:val="4D0E24D9"/>
    <w:rsid w:val="4D115085"/>
    <w:rsid w:val="4D1D36CF"/>
    <w:rsid w:val="4D292A26"/>
    <w:rsid w:val="4D374DAA"/>
    <w:rsid w:val="4D7A615F"/>
    <w:rsid w:val="4DA348A5"/>
    <w:rsid w:val="4DA73800"/>
    <w:rsid w:val="4DD9098D"/>
    <w:rsid w:val="4DD9508F"/>
    <w:rsid w:val="4DE566F3"/>
    <w:rsid w:val="4DF70A34"/>
    <w:rsid w:val="4E081392"/>
    <w:rsid w:val="4E102281"/>
    <w:rsid w:val="4E2E504E"/>
    <w:rsid w:val="4E3F13E0"/>
    <w:rsid w:val="4E676348"/>
    <w:rsid w:val="4E6D6F9E"/>
    <w:rsid w:val="4EAF7F93"/>
    <w:rsid w:val="4ED466A8"/>
    <w:rsid w:val="4EE370A0"/>
    <w:rsid w:val="4F4D6230"/>
    <w:rsid w:val="4F523BA7"/>
    <w:rsid w:val="4F811CEE"/>
    <w:rsid w:val="4F886166"/>
    <w:rsid w:val="4F893350"/>
    <w:rsid w:val="4F8A4A15"/>
    <w:rsid w:val="4F8E16AF"/>
    <w:rsid w:val="4FA01D19"/>
    <w:rsid w:val="4FAC4C61"/>
    <w:rsid w:val="4FB12D62"/>
    <w:rsid w:val="4FD70E84"/>
    <w:rsid w:val="4FDD43E5"/>
    <w:rsid w:val="50061F1C"/>
    <w:rsid w:val="500813B6"/>
    <w:rsid w:val="500814FB"/>
    <w:rsid w:val="50093785"/>
    <w:rsid w:val="5046693C"/>
    <w:rsid w:val="504C24BB"/>
    <w:rsid w:val="50574928"/>
    <w:rsid w:val="50613B94"/>
    <w:rsid w:val="50852BD8"/>
    <w:rsid w:val="508F2479"/>
    <w:rsid w:val="509727E6"/>
    <w:rsid w:val="50984C98"/>
    <w:rsid w:val="50A33A98"/>
    <w:rsid w:val="50AE593F"/>
    <w:rsid w:val="50C11611"/>
    <w:rsid w:val="50D17EF7"/>
    <w:rsid w:val="512C7A8E"/>
    <w:rsid w:val="51331F49"/>
    <w:rsid w:val="51380B46"/>
    <w:rsid w:val="513F302A"/>
    <w:rsid w:val="513F339B"/>
    <w:rsid w:val="514646E8"/>
    <w:rsid w:val="51562A2F"/>
    <w:rsid w:val="518112F3"/>
    <w:rsid w:val="519525A0"/>
    <w:rsid w:val="51CD379C"/>
    <w:rsid w:val="51CF595A"/>
    <w:rsid w:val="51F1174E"/>
    <w:rsid w:val="52000675"/>
    <w:rsid w:val="52031183"/>
    <w:rsid w:val="520A1160"/>
    <w:rsid w:val="52190F59"/>
    <w:rsid w:val="52603DB4"/>
    <w:rsid w:val="52AC1B5C"/>
    <w:rsid w:val="52C40D65"/>
    <w:rsid w:val="52C86D6D"/>
    <w:rsid w:val="52CF0A44"/>
    <w:rsid w:val="52D71D3A"/>
    <w:rsid w:val="52DC6BD6"/>
    <w:rsid w:val="52DE177E"/>
    <w:rsid w:val="530413B6"/>
    <w:rsid w:val="533F13F6"/>
    <w:rsid w:val="536410A5"/>
    <w:rsid w:val="539002A8"/>
    <w:rsid w:val="53966D85"/>
    <w:rsid w:val="53A935F0"/>
    <w:rsid w:val="53BB6EC7"/>
    <w:rsid w:val="53C11E92"/>
    <w:rsid w:val="53D9122C"/>
    <w:rsid w:val="53DA1367"/>
    <w:rsid w:val="53DE2435"/>
    <w:rsid w:val="540A7A37"/>
    <w:rsid w:val="54111ADD"/>
    <w:rsid w:val="544407AB"/>
    <w:rsid w:val="544A46A5"/>
    <w:rsid w:val="547A3496"/>
    <w:rsid w:val="547E0966"/>
    <w:rsid w:val="547F4C50"/>
    <w:rsid w:val="54834172"/>
    <w:rsid w:val="548B68C9"/>
    <w:rsid w:val="548E73B7"/>
    <w:rsid w:val="54936357"/>
    <w:rsid w:val="54AA4354"/>
    <w:rsid w:val="54E374CE"/>
    <w:rsid w:val="550D249D"/>
    <w:rsid w:val="551B4D39"/>
    <w:rsid w:val="552D6DD8"/>
    <w:rsid w:val="553824CA"/>
    <w:rsid w:val="5559726C"/>
    <w:rsid w:val="556644E1"/>
    <w:rsid w:val="55A04672"/>
    <w:rsid w:val="55A16D1C"/>
    <w:rsid w:val="55A22D19"/>
    <w:rsid w:val="55C81EEC"/>
    <w:rsid w:val="55EB07FC"/>
    <w:rsid w:val="55F74817"/>
    <w:rsid w:val="561129C4"/>
    <w:rsid w:val="561C39C0"/>
    <w:rsid w:val="564210CC"/>
    <w:rsid w:val="56427054"/>
    <w:rsid w:val="564B1124"/>
    <w:rsid w:val="566413BC"/>
    <w:rsid w:val="56696900"/>
    <w:rsid w:val="56893FCC"/>
    <w:rsid w:val="568C2568"/>
    <w:rsid w:val="56B15C7D"/>
    <w:rsid w:val="56C9121F"/>
    <w:rsid w:val="56D51F0A"/>
    <w:rsid w:val="573C40E7"/>
    <w:rsid w:val="575603D6"/>
    <w:rsid w:val="57691A9E"/>
    <w:rsid w:val="5778274A"/>
    <w:rsid w:val="57B079EB"/>
    <w:rsid w:val="57BC7D52"/>
    <w:rsid w:val="57CC3CD5"/>
    <w:rsid w:val="57CD70EC"/>
    <w:rsid w:val="57FE5FA5"/>
    <w:rsid w:val="580764A3"/>
    <w:rsid w:val="580C32E9"/>
    <w:rsid w:val="580C4CD1"/>
    <w:rsid w:val="58173245"/>
    <w:rsid w:val="581E5741"/>
    <w:rsid w:val="582809F8"/>
    <w:rsid w:val="58295E6C"/>
    <w:rsid w:val="5834289E"/>
    <w:rsid w:val="58464FA6"/>
    <w:rsid w:val="58493820"/>
    <w:rsid w:val="58666EB9"/>
    <w:rsid w:val="58831FCD"/>
    <w:rsid w:val="589C1452"/>
    <w:rsid w:val="58A60C7F"/>
    <w:rsid w:val="58B905F4"/>
    <w:rsid w:val="58D73C77"/>
    <w:rsid w:val="58E0187E"/>
    <w:rsid w:val="58E4724B"/>
    <w:rsid w:val="58E74B94"/>
    <w:rsid w:val="58EB2CD9"/>
    <w:rsid w:val="58FF1AD9"/>
    <w:rsid w:val="58FF3869"/>
    <w:rsid w:val="590D2CC0"/>
    <w:rsid w:val="59157EF0"/>
    <w:rsid w:val="59296DD7"/>
    <w:rsid w:val="593516B6"/>
    <w:rsid w:val="59920011"/>
    <w:rsid w:val="59B53C22"/>
    <w:rsid w:val="59CD1026"/>
    <w:rsid w:val="59DA1206"/>
    <w:rsid w:val="59E36A9C"/>
    <w:rsid w:val="59EE16C8"/>
    <w:rsid w:val="59F26EC9"/>
    <w:rsid w:val="59FA2DF6"/>
    <w:rsid w:val="5A326C3E"/>
    <w:rsid w:val="5A4E15BC"/>
    <w:rsid w:val="5A530D01"/>
    <w:rsid w:val="5A5A68D3"/>
    <w:rsid w:val="5A743DED"/>
    <w:rsid w:val="5A7C0AF6"/>
    <w:rsid w:val="5A8C0B94"/>
    <w:rsid w:val="5AAD14E0"/>
    <w:rsid w:val="5ADD36EF"/>
    <w:rsid w:val="5AF86E69"/>
    <w:rsid w:val="5B056192"/>
    <w:rsid w:val="5B081AB1"/>
    <w:rsid w:val="5B153001"/>
    <w:rsid w:val="5B1A5B33"/>
    <w:rsid w:val="5B500B59"/>
    <w:rsid w:val="5B640C96"/>
    <w:rsid w:val="5B7763B9"/>
    <w:rsid w:val="5B810E0B"/>
    <w:rsid w:val="5B812FDC"/>
    <w:rsid w:val="5B8955D8"/>
    <w:rsid w:val="5B911B5A"/>
    <w:rsid w:val="5BA6424D"/>
    <w:rsid w:val="5BA8378D"/>
    <w:rsid w:val="5BBB00A3"/>
    <w:rsid w:val="5BD5525B"/>
    <w:rsid w:val="5BE36C26"/>
    <w:rsid w:val="5BEB5F37"/>
    <w:rsid w:val="5BF1063E"/>
    <w:rsid w:val="5BF43C20"/>
    <w:rsid w:val="5BFE1777"/>
    <w:rsid w:val="5C0C44F2"/>
    <w:rsid w:val="5C2443E2"/>
    <w:rsid w:val="5C313AEE"/>
    <w:rsid w:val="5C65668A"/>
    <w:rsid w:val="5C6F65BF"/>
    <w:rsid w:val="5C702869"/>
    <w:rsid w:val="5C9212C4"/>
    <w:rsid w:val="5CD64EEC"/>
    <w:rsid w:val="5CFA284C"/>
    <w:rsid w:val="5D1C1C6E"/>
    <w:rsid w:val="5D680F80"/>
    <w:rsid w:val="5D717F20"/>
    <w:rsid w:val="5D7F6ADB"/>
    <w:rsid w:val="5D8068D9"/>
    <w:rsid w:val="5DA42F24"/>
    <w:rsid w:val="5DB46280"/>
    <w:rsid w:val="5DC666FD"/>
    <w:rsid w:val="5DDB3323"/>
    <w:rsid w:val="5DF4238F"/>
    <w:rsid w:val="5E2B7310"/>
    <w:rsid w:val="5E35109B"/>
    <w:rsid w:val="5E3B0012"/>
    <w:rsid w:val="5E3C7C68"/>
    <w:rsid w:val="5E4966A0"/>
    <w:rsid w:val="5E506C8B"/>
    <w:rsid w:val="5E520C3C"/>
    <w:rsid w:val="5E6B0F24"/>
    <w:rsid w:val="5E8659F7"/>
    <w:rsid w:val="5E896645"/>
    <w:rsid w:val="5E8E28E2"/>
    <w:rsid w:val="5EAD2E69"/>
    <w:rsid w:val="5EB12A83"/>
    <w:rsid w:val="5EBA601D"/>
    <w:rsid w:val="5ED864A3"/>
    <w:rsid w:val="5EE07BBC"/>
    <w:rsid w:val="5EE50805"/>
    <w:rsid w:val="5EE52D4E"/>
    <w:rsid w:val="5F0F069E"/>
    <w:rsid w:val="5F13572D"/>
    <w:rsid w:val="5F5B4E14"/>
    <w:rsid w:val="5FA34D03"/>
    <w:rsid w:val="5FB80CF6"/>
    <w:rsid w:val="5FD61386"/>
    <w:rsid w:val="5FDA7074"/>
    <w:rsid w:val="604240FA"/>
    <w:rsid w:val="604525D2"/>
    <w:rsid w:val="60466D0C"/>
    <w:rsid w:val="604C3E0B"/>
    <w:rsid w:val="60546730"/>
    <w:rsid w:val="606269D2"/>
    <w:rsid w:val="60756245"/>
    <w:rsid w:val="60957760"/>
    <w:rsid w:val="60A05F88"/>
    <w:rsid w:val="60CE58E9"/>
    <w:rsid w:val="60D158A0"/>
    <w:rsid w:val="60E9235E"/>
    <w:rsid w:val="610C5FBE"/>
    <w:rsid w:val="612A5A76"/>
    <w:rsid w:val="61321F33"/>
    <w:rsid w:val="61474017"/>
    <w:rsid w:val="615734ED"/>
    <w:rsid w:val="61796912"/>
    <w:rsid w:val="61873935"/>
    <w:rsid w:val="61A43CBB"/>
    <w:rsid w:val="620233A5"/>
    <w:rsid w:val="622C736C"/>
    <w:rsid w:val="623F53EF"/>
    <w:rsid w:val="62630B6D"/>
    <w:rsid w:val="629579D6"/>
    <w:rsid w:val="62A626FF"/>
    <w:rsid w:val="62A928F8"/>
    <w:rsid w:val="62BC7819"/>
    <w:rsid w:val="62D71347"/>
    <w:rsid w:val="62EF11BC"/>
    <w:rsid w:val="630158AC"/>
    <w:rsid w:val="630A1CA7"/>
    <w:rsid w:val="6322756F"/>
    <w:rsid w:val="63333538"/>
    <w:rsid w:val="63377425"/>
    <w:rsid w:val="639421FE"/>
    <w:rsid w:val="63955021"/>
    <w:rsid w:val="63A953A9"/>
    <w:rsid w:val="63C42F10"/>
    <w:rsid w:val="641928F9"/>
    <w:rsid w:val="643F0903"/>
    <w:rsid w:val="644948BF"/>
    <w:rsid w:val="64A7206F"/>
    <w:rsid w:val="64EF09EB"/>
    <w:rsid w:val="651E21F5"/>
    <w:rsid w:val="65256072"/>
    <w:rsid w:val="652B4479"/>
    <w:rsid w:val="65517745"/>
    <w:rsid w:val="65644919"/>
    <w:rsid w:val="65737874"/>
    <w:rsid w:val="65793D01"/>
    <w:rsid w:val="65811949"/>
    <w:rsid w:val="65942F53"/>
    <w:rsid w:val="65A13A93"/>
    <w:rsid w:val="65B71DD9"/>
    <w:rsid w:val="65D33E8A"/>
    <w:rsid w:val="65FD7793"/>
    <w:rsid w:val="66490E35"/>
    <w:rsid w:val="664C7C3C"/>
    <w:rsid w:val="66530429"/>
    <w:rsid w:val="66606EE4"/>
    <w:rsid w:val="66636925"/>
    <w:rsid w:val="6672633E"/>
    <w:rsid w:val="669B2BD8"/>
    <w:rsid w:val="66B3569C"/>
    <w:rsid w:val="66D76C8E"/>
    <w:rsid w:val="66E36E75"/>
    <w:rsid w:val="66EC51E2"/>
    <w:rsid w:val="66FA182D"/>
    <w:rsid w:val="67015827"/>
    <w:rsid w:val="670D4B76"/>
    <w:rsid w:val="67121D97"/>
    <w:rsid w:val="672148B0"/>
    <w:rsid w:val="67294DB6"/>
    <w:rsid w:val="674C5C80"/>
    <w:rsid w:val="67693F7C"/>
    <w:rsid w:val="6775783B"/>
    <w:rsid w:val="677B0220"/>
    <w:rsid w:val="679030DF"/>
    <w:rsid w:val="67923636"/>
    <w:rsid w:val="679E25C6"/>
    <w:rsid w:val="67A97026"/>
    <w:rsid w:val="67BE797F"/>
    <w:rsid w:val="67C3669A"/>
    <w:rsid w:val="67E354FC"/>
    <w:rsid w:val="680E0640"/>
    <w:rsid w:val="681275B0"/>
    <w:rsid w:val="68250FEF"/>
    <w:rsid w:val="682A225F"/>
    <w:rsid w:val="682B20B4"/>
    <w:rsid w:val="6895394D"/>
    <w:rsid w:val="689773CF"/>
    <w:rsid w:val="68B06BF9"/>
    <w:rsid w:val="69454135"/>
    <w:rsid w:val="694F27C3"/>
    <w:rsid w:val="69A7339A"/>
    <w:rsid w:val="69AA3796"/>
    <w:rsid w:val="69B37821"/>
    <w:rsid w:val="69B8088F"/>
    <w:rsid w:val="69BC751C"/>
    <w:rsid w:val="69D72179"/>
    <w:rsid w:val="69EE5D15"/>
    <w:rsid w:val="69F02E55"/>
    <w:rsid w:val="69F24FAA"/>
    <w:rsid w:val="69F523FA"/>
    <w:rsid w:val="6A0C2C21"/>
    <w:rsid w:val="6A1D6D2A"/>
    <w:rsid w:val="6A394F59"/>
    <w:rsid w:val="6A3A1933"/>
    <w:rsid w:val="6A3E3C80"/>
    <w:rsid w:val="6A49164F"/>
    <w:rsid w:val="6A6756F6"/>
    <w:rsid w:val="6AB47D15"/>
    <w:rsid w:val="6AC258C9"/>
    <w:rsid w:val="6AC34A2B"/>
    <w:rsid w:val="6ACB0346"/>
    <w:rsid w:val="6AD97B8E"/>
    <w:rsid w:val="6B20150E"/>
    <w:rsid w:val="6B3E2D6F"/>
    <w:rsid w:val="6B5B505D"/>
    <w:rsid w:val="6B7F5867"/>
    <w:rsid w:val="6B823440"/>
    <w:rsid w:val="6BA6402E"/>
    <w:rsid w:val="6BAD26B6"/>
    <w:rsid w:val="6BC41038"/>
    <w:rsid w:val="6BE7241B"/>
    <w:rsid w:val="6BE827B5"/>
    <w:rsid w:val="6BF30BB0"/>
    <w:rsid w:val="6BF87C10"/>
    <w:rsid w:val="6C040D59"/>
    <w:rsid w:val="6C0905E4"/>
    <w:rsid w:val="6C0D16A3"/>
    <w:rsid w:val="6C780605"/>
    <w:rsid w:val="6CC4103A"/>
    <w:rsid w:val="6CCF5389"/>
    <w:rsid w:val="6CDB6004"/>
    <w:rsid w:val="6CE612E6"/>
    <w:rsid w:val="6D3B40D5"/>
    <w:rsid w:val="6D601DB9"/>
    <w:rsid w:val="6D6A50B2"/>
    <w:rsid w:val="6D6E1FFA"/>
    <w:rsid w:val="6D890EF7"/>
    <w:rsid w:val="6DA902A3"/>
    <w:rsid w:val="6DB04422"/>
    <w:rsid w:val="6DC968E5"/>
    <w:rsid w:val="6DE26B1F"/>
    <w:rsid w:val="6DEE34C4"/>
    <w:rsid w:val="6DEE7EE7"/>
    <w:rsid w:val="6E334A3E"/>
    <w:rsid w:val="6E3D4411"/>
    <w:rsid w:val="6E456486"/>
    <w:rsid w:val="6E522C6A"/>
    <w:rsid w:val="6E584610"/>
    <w:rsid w:val="6E7F3A9C"/>
    <w:rsid w:val="6EC35B23"/>
    <w:rsid w:val="6EDB7958"/>
    <w:rsid w:val="6F023E6B"/>
    <w:rsid w:val="6F316A46"/>
    <w:rsid w:val="6F4E40B7"/>
    <w:rsid w:val="6F6E3BAD"/>
    <w:rsid w:val="6F995775"/>
    <w:rsid w:val="6FA0300D"/>
    <w:rsid w:val="6FCD36D6"/>
    <w:rsid w:val="6FEF2E16"/>
    <w:rsid w:val="70133404"/>
    <w:rsid w:val="701A6E16"/>
    <w:rsid w:val="7023779A"/>
    <w:rsid w:val="702F613F"/>
    <w:rsid w:val="70416CD5"/>
    <w:rsid w:val="705D2CAC"/>
    <w:rsid w:val="70614013"/>
    <w:rsid w:val="70626E4F"/>
    <w:rsid w:val="70665787"/>
    <w:rsid w:val="707E364B"/>
    <w:rsid w:val="70821CE6"/>
    <w:rsid w:val="709C7ACC"/>
    <w:rsid w:val="70A43855"/>
    <w:rsid w:val="70B43440"/>
    <w:rsid w:val="70EC44E1"/>
    <w:rsid w:val="710A1F8A"/>
    <w:rsid w:val="710B7794"/>
    <w:rsid w:val="711F25AE"/>
    <w:rsid w:val="71221911"/>
    <w:rsid w:val="712D3BEC"/>
    <w:rsid w:val="71453E6C"/>
    <w:rsid w:val="7163218B"/>
    <w:rsid w:val="71722787"/>
    <w:rsid w:val="717464B1"/>
    <w:rsid w:val="71826B5A"/>
    <w:rsid w:val="71867A36"/>
    <w:rsid w:val="71867FE1"/>
    <w:rsid w:val="71935BC5"/>
    <w:rsid w:val="71A67C09"/>
    <w:rsid w:val="71F43C81"/>
    <w:rsid w:val="724539F8"/>
    <w:rsid w:val="72547143"/>
    <w:rsid w:val="72772E62"/>
    <w:rsid w:val="72786C16"/>
    <w:rsid w:val="728B2A6E"/>
    <w:rsid w:val="729A1E42"/>
    <w:rsid w:val="729C5F87"/>
    <w:rsid w:val="72A921D9"/>
    <w:rsid w:val="72B63498"/>
    <w:rsid w:val="72C07522"/>
    <w:rsid w:val="72C64E68"/>
    <w:rsid w:val="72CA4C65"/>
    <w:rsid w:val="72D37AAA"/>
    <w:rsid w:val="732064F5"/>
    <w:rsid w:val="732921BC"/>
    <w:rsid w:val="73353307"/>
    <w:rsid w:val="734F5D55"/>
    <w:rsid w:val="737E512D"/>
    <w:rsid w:val="73801F1C"/>
    <w:rsid w:val="73AA78BF"/>
    <w:rsid w:val="73B84014"/>
    <w:rsid w:val="73BB68C1"/>
    <w:rsid w:val="73D03CCD"/>
    <w:rsid w:val="73EA6F03"/>
    <w:rsid w:val="747129CB"/>
    <w:rsid w:val="747C1AD0"/>
    <w:rsid w:val="74C03C91"/>
    <w:rsid w:val="74DB0C04"/>
    <w:rsid w:val="7508758A"/>
    <w:rsid w:val="75752846"/>
    <w:rsid w:val="75753492"/>
    <w:rsid w:val="75867CAE"/>
    <w:rsid w:val="75A31DBF"/>
    <w:rsid w:val="75AF3FAA"/>
    <w:rsid w:val="76233D33"/>
    <w:rsid w:val="76291BD2"/>
    <w:rsid w:val="763E30F9"/>
    <w:rsid w:val="768156E1"/>
    <w:rsid w:val="76A82028"/>
    <w:rsid w:val="76E3334B"/>
    <w:rsid w:val="76F45827"/>
    <w:rsid w:val="76F55E05"/>
    <w:rsid w:val="76F82B81"/>
    <w:rsid w:val="772E50FC"/>
    <w:rsid w:val="773E5311"/>
    <w:rsid w:val="77594FF5"/>
    <w:rsid w:val="776C53D2"/>
    <w:rsid w:val="778C4FA8"/>
    <w:rsid w:val="77B87C8B"/>
    <w:rsid w:val="77D91893"/>
    <w:rsid w:val="77F32054"/>
    <w:rsid w:val="780A1888"/>
    <w:rsid w:val="78206BA3"/>
    <w:rsid w:val="78511348"/>
    <w:rsid w:val="785901FD"/>
    <w:rsid w:val="786D224E"/>
    <w:rsid w:val="78726176"/>
    <w:rsid w:val="7873256A"/>
    <w:rsid w:val="78A142BA"/>
    <w:rsid w:val="78E44541"/>
    <w:rsid w:val="78E57C1F"/>
    <w:rsid w:val="78FE7F71"/>
    <w:rsid w:val="7921573F"/>
    <w:rsid w:val="7942061F"/>
    <w:rsid w:val="79466F9B"/>
    <w:rsid w:val="794E1F48"/>
    <w:rsid w:val="7982097E"/>
    <w:rsid w:val="79D30F2A"/>
    <w:rsid w:val="79F07B0C"/>
    <w:rsid w:val="79FE6DF2"/>
    <w:rsid w:val="7A033B5E"/>
    <w:rsid w:val="7A153F30"/>
    <w:rsid w:val="7A1E6533"/>
    <w:rsid w:val="7A23345F"/>
    <w:rsid w:val="7A242A7E"/>
    <w:rsid w:val="7A3E3457"/>
    <w:rsid w:val="7A49775F"/>
    <w:rsid w:val="7A8014AE"/>
    <w:rsid w:val="7A835F11"/>
    <w:rsid w:val="7AAB462C"/>
    <w:rsid w:val="7AB14320"/>
    <w:rsid w:val="7AB23C18"/>
    <w:rsid w:val="7AB3603F"/>
    <w:rsid w:val="7AB94F83"/>
    <w:rsid w:val="7ABE13C2"/>
    <w:rsid w:val="7AC52BDF"/>
    <w:rsid w:val="7ACC4980"/>
    <w:rsid w:val="7B0D52CF"/>
    <w:rsid w:val="7B195CC0"/>
    <w:rsid w:val="7B231D39"/>
    <w:rsid w:val="7B340BB7"/>
    <w:rsid w:val="7B3C5F03"/>
    <w:rsid w:val="7B505CF9"/>
    <w:rsid w:val="7B64348B"/>
    <w:rsid w:val="7B931E08"/>
    <w:rsid w:val="7B950121"/>
    <w:rsid w:val="7BAD40AB"/>
    <w:rsid w:val="7BC66FBB"/>
    <w:rsid w:val="7BDC1277"/>
    <w:rsid w:val="7BF70327"/>
    <w:rsid w:val="7C05113B"/>
    <w:rsid w:val="7C1C16A8"/>
    <w:rsid w:val="7C1E4CB6"/>
    <w:rsid w:val="7C3574C5"/>
    <w:rsid w:val="7C556F2D"/>
    <w:rsid w:val="7C6C1F48"/>
    <w:rsid w:val="7C7B4E8F"/>
    <w:rsid w:val="7CA12173"/>
    <w:rsid w:val="7CB301D6"/>
    <w:rsid w:val="7CBE0071"/>
    <w:rsid w:val="7CC40AA1"/>
    <w:rsid w:val="7CCC7C1A"/>
    <w:rsid w:val="7CDD6860"/>
    <w:rsid w:val="7CE56503"/>
    <w:rsid w:val="7D0C6A16"/>
    <w:rsid w:val="7D141B57"/>
    <w:rsid w:val="7D9849F6"/>
    <w:rsid w:val="7DA43CC8"/>
    <w:rsid w:val="7DAB526F"/>
    <w:rsid w:val="7DAC239D"/>
    <w:rsid w:val="7DBA34EC"/>
    <w:rsid w:val="7DBE2413"/>
    <w:rsid w:val="7DD722F0"/>
    <w:rsid w:val="7DEB6A33"/>
    <w:rsid w:val="7DF32EA2"/>
    <w:rsid w:val="7DFB10E4"/>
    <w:rsid w:val="7E142C45"/>
    <w:rsid w:val="7E4A04FA"/>
    <w:rsid w:val="7E813E59"/>
    <w:rsid w:val="7E8D6E52"/>
    <w:rsid w:val="7E991183"/>
    <w:rsid w:val="7EA0112B"/>
    <w:rsid w:val="7EA92B69"/>
    <w:rsid w:val="7EAF6D66"/>
    <w:rsid w:val="7EC17CD0"/>
    <w:rsid w:val="7EE3607C"/>
    <w:rsid w:val="7F370D75"/>
    <w:rsid w:val="7F57223B"/>
    <w:rsid w:val="7F582404"/>
    <w:rsid w:val="7F6208AB"/>
    <w:rsid w:val="7FAE2491"/>
    <w:rsid w:val="7FCB600D"/>
    <w:rsid w:val="7FDA047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autoRedefine/>
    <w:qFormat/>
    <w:uiPriority w:val="0"/>
    <w:pPr>
      <w:keepNext/>
      <w:keepLines/>
      <w:spacing w:line="360" w:lineRule="auto"/>
      <w:outlineLvl w:val="2"/>
    </w:pPr>
    <w:rPr>
      <w:rFonts w:eastAsia="黑体"/>
      <w:b/>
      <w:bCs/>
      <w:szCs w:val="32"/>
    </w:rPr>
  </w:style>
  <w:style w:type="paragraph" w:styleId="5">
    <w:name w:val="heading 4"/>
    <w:basedOn w:val="1"/>
    <w:next w:val="1"/>
    <w:autoRedefine/>
    <w:qFormat/>
    <w:uiPriority w:val="9"/>
    <w:pPr>
      <w:keepNext/>
      <w:keepLines/>
      <w:widowControl/>
      <w:spacing w:before="120" w:beforeLines="0" w:after="120" w:afterLines="0" w:line="360" w:lineRule="auto"/>
      <w:jc w:val="center"/>
      <w:outlineLvl w:val="3"/>
    </w:pPr>
    <w:rPr>
      <w:rFonts w:eastAsia="Ђˎ̥"/>
      <w:kern w:val="0"/>
      <w:sz w:val="28"/>
      <w:szCs w:val="20"/>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Document Map"/>
    <w:basedOn w:val="1"/>
    <w:autoRedefine/>
    <w:qFormat/>
    <w:uiPriority w:val="0"/>
    <w:rPr>
      <w:rFonts w:ascii="Calibri Light"/>
      <w:sz w:val="18"/>
      <w:szCs w:val="18"/>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11">
    <w:name w:val="Body Text Indent"/>
    <w:basedOn w:val="1"/>
    <w:next w:val="1"/>
    <w:autoRedefine/>
    <w:qFormat/>
    <w:uiPriority w:val="0"/>
    <w:pPr>
      <w:ind w:firstLine="830" w:firstLineChars="352"/>
    </w:pPr>
    <w:rPr>
      <w:rFonts w:ascii="仿宋_GB2312" w:eastAsia="仿宋_GB2312"/>
      <w:sz w:val="32"/>
      <w:szCs w:val="20"/>
    </w:rPr>
  </w:style>
  <w:style w:type="paragraph" w:styleId="12">
    <w:name w:val="Plain Text"/>
    <w:basedOn w:val="1"/>
    <w:next w:val="5"/>
    <w:autoRedefine/>
    <w:qFormat/>
    <w:uiPriority w:val="0"/>
    <w:rPr>
      <w:rFonts w:ascii="宋体" w:hAnsi="Courier New" w:cs="Courier New"/>
      <w:szCs w:val="21"/>
    </w:rPr>
  </w:style>
  <w:style w:type="paragraph" w:styleId="13">
    <w:name w:val="Body Text Indent 2"/>
    <w:basedOn w:val="1"/>
    <w:autoRedefine/>
    <w:qFormat/>
    <w:uiPriority w:val="0"/>
    <w:pPr>
      <w:spacing w:line="420" w:lineRule="exact"/>
      <w:ind w:firstLine="409" w:firstLineChars="195"/>
    </w:pPr>
  </w:style>
  <w:style w:type="paragraph" w:styleId="14">
    <w:name w:val="footer"/>
    <w:basedOn w:val="1"/>
    <w:next w:val="1"/>
    <w:autoRedefine/>
    <w:qFormat/>
    <w:uiPriority w:val="0"/>
    <w:pPr>
      <w:tabs>
        <w:tab w:val="center" w:pos="4153"/>
        <w:tab w:val="right" w:pos="8306"/>
      </w:tabs>
      <w:snapToGrid w:val="0"/>
      <w:jc w:val="left"/>
    </w:pPr>
    <w:rPr>
      <w:sz w:val="18"/>
      <w:szCs w:val="18"/>
    </w:rPr>
  </w:style>
  <w:style w:type="paragraph" w:styleId="15">
    <w:name w:val="envelope return"/>
    <w:basedOn w:val="1"/>
    <w:autoRedefine/>
    <w:unhideWhenUsed/>
    <w:qFormat/>
    <w:uiPriority w:val="0"/>
    <w:pPr>
      <w:snapToGrid w:val="0"/>
    </w:pPr>
    <w:rPr>
      <w:rFonts w:ascii="Arial" w:hAnsi="Arial"/>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Body Text Indent 3"/>
    <w:basedOn w:val="1"/>
    <w:autoRedefine/>
    <w:qFormat/>
    <w:uiPriority w:val="0"/>
    <w:pPr>
      <w:spacing w:line="480" w:lineRule="exact"/>
      <w:ind w:firstLine="420" w:firstLineChars="200"/>
    </w:pPr>
    <w:rPr>
      <w:rFonts w:ascii="宋体" w:hAnsi="Courier New" w:cs="Courier New"/>
    </w:r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spacing w:before="240" w:after="60"/>
      <w:jc w:val="center"/>
      <w:outlineLvl w:val="0"/>
    </w:pPr>
    <w:rPr>
      <w:rFonts w:ascii="Cambria" w:hAnsi="Cambria"/>
      <w:b/>
      <w:bCs/>
      <w:sz w:val="32"/>
      <w:szCs w:val="32"/>
    </w:rPr>
  </w:style>
  <w:style w:type="paragraph" w:styleId="21">
    <w:name w:val="Body Text First Indent 2"/>
    <w:basedOn w:val="1"/>
    <w:autoRedefine/>
    <w:qFormat/>
    <w:uiPriority w:val="0"/>
    <w:pPr>
      <w:autoSpaceDE w:val="0"/>
      <w:autoSpaceDN w:val="0"/>
      <w:spacing w:after="120" w:line="360" w:lineRule="auto"/>
      <w:ind w:left="420" w:leftChars="200" w:firstLine="420" w:firstLineChars="200"/>
    </w:pPr>
    <w:rPr>
      <w:sz w:val="21"/>
      <w:szCs w:val="24"/>
    </w:r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FollowedHyperlink"/>
    <w:basedOn w:val="24"/>
    <w:autoRedefine/>
    <w:unhideWhenUsed/>
    <w:qFormat/>
    <w:uiPriority w:val="99"/>
    <w:rPr>
      <w:color w:val="800080"/>
      <w:u w:val="single"/>
    </w:rPr>
  </w:style>
  <w:style w:type="character" w:styleId="27">
    <w:name w:val="Hyperlink"/>
    <w:autoRedefine/>
    <w:unhideWhenUsed/>
    <w:qFormat/>
    <w:uiPriority w:val="99"/>
    <w:rPr>
      <w:color w:val="0000FF"/>
      <w:u w:val="single"/>
    </w:rPr>
  </w:style>
  <w:style w:type="character" w:styleId="28">
    <w:name w:val="annotation reference"/>
    <w:basedOn w:val="24"/>
    <w:autoRedefine/>
    <w:qFormat/>
    <w:uiPriority w:val="0"/>
    <w:rPr>
      <w:sz w:val="21"/>
      <w:szCs w:val="21"/>
    </w:rPr>
  </w:style>
  <w:style w:type="character" w:styleId="29">
    <w:name w:val="HTML Sample"/>
    <w:basedOn w:val="24"/>
    <w:autoRedefine/>
    <w:qFormat/>
    <w:uiPriority w:val="0"/>
    <w:rPr>
      <w:rFonts w:ascii="Courier New" w:hAnsi="Courier New"/>
    </w:rPr>
  </w:style>
  <w:style w:type="paragraph" w:customStyle="1" w:styleId="30">
    <w:name w:val="Default"/>
    <w:autoRedefine/>
    <w:qFormat/>
    <w:uiPriority w:val="0"/>
    <w:pPr>
      <w:widowControl w:val="0"/>
      <w:autoSpaceDE w:val="0"/>
      <w:autoSpaceDN w:val="0"/>
      <w:adjustRightInd w:val="0"/>
    </w:pPr>
    <w:rPr>
      <w:rFonts w:ascii="新宋体" w:hAnsi="Tahoma" w:eastAsia="宋体" w:cs="新宋体"/>
      <w:color w:val="000000"/>
      <w:sz w:val="24"/>
      <w:szCs w:val="24"/>
      <w:lang w:val="en-US" w:eastAsia="zh-CN" w:bidi="ar-SA"/>
    </w:rPr>
  </w:style>
  <w:style w:type="paragraph" w:customStyle="1" w:styleId="31">
    <w:name w:val="表格文字"/>
    <w:basedOn w:val="11"/>
    <w:next w:val="10"/>
    <w:autoRedefine/>
    <w:qFormat/>
    <w:uiPriority w:val="99"/>
    <w:pPr>
      <w:spacing w:before="25" w:after="25" w:line="240" w:lineRule="auto"/>
      <w:ind w:firstLine="0"/>
    </w:pPr>
    <w:rPr>
      <w:bCs/>
      <w:spacing w:val="10"/>
      <w:kern w:val="0"/>
    </w:rPr>
  </w:style>
  <w:style w:type="paragraph" w:customStyle="1" w:styleId="32">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33">
    <w:name w:val="正文小标题"/>
    <w:basedOn w:val="2"/>
    <w:autoRedefine/>
    <w:qFormat/>
    <w:uiPriority w:val="0"/>
    <w:pPr>
      <w:spacing w:line="420" w:lineRule="exact"/>
    </w:pPr>
    <w:rPr>
      <w:sz w:val="21"/>
      <w:szCs w:val="21"/>
    </w:rPr>
  </w:style>
  <w:style w:type="paragraph" w:customStyle="1" w:styleId="34">
    <w:name w:val="正文呀2"/>
    <w:basedOn w:val="35"/>
    <w:link w:val="36"/>
    <w:autoRedefine/>
    <w:qFormat/>
    <w:uiPriority w:val="0"/>
    <w:rPr>
      <w:rFonts w:ascii="Times New Roman" w:hAnsi="Times New Roman"/>
    </w:rPr>
  </w:style>
  <w:style w:type="paragraph" w:customStyle="1" w:styleId="35">
    <w:name w:val="正文呀"/>
    <w:basedOn w:val="1"/>
    <w:autoRedefine/>
    <w:qFormat/>
    <w:uiPriority w:val="0"/>
    <w:pPr>
      <w:spacing w:line="420" w:lineRule="exact"/>
      <w:ind w:firstLine="420" w:firstLineChars="200"/>
    </w:pPr>
    <w:rPr>
      <w:rFonts w:ascii="宋体" w:hAnsi="宋体"/>
    </w:rPr>
  </w:style>
  <w:style w:type="character" w:customStyle="1" w:styleId="36">
    <w:name w:val="正文呀2 Char"/>
    <w:basedOn w:val="24"/>
    <w:link w:val="34"/>
    <w:autoRedefine/>
    <w:qFormat/>
    <w:uiPriority w:val="0"/>
    <w:rPr>
      <w:rFonts w:ascii="Times New Roman" w:hAnsi="Times New Roman"/>
    </w:rPr>
  </w:style>
  <w:style w:type="paragraph" w:customStyle="1" w:styleId="37">
    <w:name w:val="正文_2"/>
    <w:next w:val="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4_1"/>
    <w:basedOn w:val="37"/>
    <w:next w:val="37"/>
    <w:autoRedefine/>
    <w:qFormat/>
    <w:uiPriority w:val="99"/>
    <w:pPr>
      <w:keepNext/>
      <w:keepLines/>
      <w:spacing w:before="280" w:after="290" w:line="376" w:lineRule="auto"/>
      <w:outlineLvl w:val="3"/>
    </w:pPr>
    <w:rPr>
      <w:rFonts w:ascii="Arial" w:hAnsi="Arial" w:eastAsia="黑体"/>
      <w:b/>
      <w:bCs/>
      <w:sz w:val="28"/>
      <w:szCs w:val="28"/>
    </w:rPr>
  </w:style>
  <w:style w:type="paragraph" w:customStyle="1" w:styleId="39">
    <w:name w:val="标题 3_0"/>
    <w:basedOn w:val="37"/>
    <w:next w:val="40"/>
    <w:autoRedefine/>
    <w:qFormat/>
    <w:uiPriority w:val="99"/>
    <w:pPr>
      <w:keepNext/>
      <w:keepLines/>
      <w:spacing w:line="360" w:lineRule="auto"/>
      <w:outlineLvl w:val="2"/>
    </w:pPr>
    <w:rPr>
      <w:rFonts w:eastAsia="黑体"/>
      <w:b/>
      <w:bCs/>
      <w:szCs w:val="32"/>
    </w:rPr>
  </w:style>
  <w:style w:type="paragraph" w:customStyle="1" w:styleId="40">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3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3">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6">
    <w:name w:val="样式 标题 2 + Times New Roman 四号 非加粗 段前: 5 磅 段后: 0 磅 行距: 固定值 20..."/>
    <w:basedOn w:val="3"/>
    <w:autoRedefine/>
    <w:qFormat/>
    <w:uiPriority w:val="0"/>
    <w:pPr>
      <w:spacing w:before="100" w:line="400" w:lineRule="exact"/>
      <w:jc w:val="both"/>
    </w:pPr>
    <w:rPr>
      <w:rFonts w:ascii="Times New Roman" w:hAnsi="Times New Roman" w:cs="宋体"/>
      <w:bCs w:val="0"/>
      <w:sz w:val="28"/>
      <w:szCs w:val="20"/>
    </w:rPr>
  </w:style>
  <w:style w:type="paragraph" w:customStyle="1" w:styleId="47">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48">
    <w:name w:val="1"/>
    <w:basedOn w:val="1"/>
    <w:next w:val="12"/>
    <w:autoRedefine/>
    <w:qFormat/>
    <w:uiPriority w:val="0"/>
    <w:rPr>
      <w:rFonts w:ascii="宋体" w:hAnsi="Courier New"/>
      <w:szCs w:val="20"/>
    </w:rPr>
  </w:style>
  <w:style w:type="paragraph" w:customStyle="1" w:styleId="49">
    <w:name w:val="样式 标题 3 + (中文) 黑体 小四 非加粗 段前: 7.8 磅 段后: 0 磅 行距: 固定值 20 磅"/>
    <w:basedOn w:val="4"/>
    <w:autoRedefine/>
    <w:qFormat/>
    <w:uiPriority w:val="0"/>
    <w:pPr>
      <w:spacing w:line="400" w:lineRule="exact"/>
      <w:jc w:val="both"/>
    </w:pPr>
    <w:rPr>
      <w:rFonts w:hint="default" w:ascii="Times New Roman" w:hAnsi="Times New Roman" w:cs="宋体"/>
      <w:bCs w:val="0"/>
      <w:kern w:val="2"/>
      <w:sz w:val="21"/>
      <w:szCs w:val="20"/>
    </w:rPr>
  </w:style>
  <w:style w:type="paragraph" w:styleId="50">
    <w:name w:val="List Paragraph"/>
    <w:basedOn w:val="1"/>
    <w:autoRedefine/>
    <w:qFormat/>
    <w:uiPriority w:val="1"/>
    <w:pPr>
      <w:ind w:left="424" w:firstLine="480"/>
    </w:pPr>
    <w:rPr>
      <w:rFonts w:ascii="宋体" w:hAnsi="宋体" w:eastAsia="宋体" w:cs="宋体"/>
      <w:lang w:val="zh-CN" w:eastAsia="zh-CN" w:bidi="zh-CN"/>
    </w:rPr>
  </w:style>
  <w:style w:type="paragraph" w:customStyle="1" w:styleId="51">
    <w:name w:val="BodyText"/>
    <w:basedOn w:val="1"/>
    <w:autoRedefine/>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52">
    <w:name w:val="Char Char Char Char Char Char Char Char Char Char"/>
    <w:basedOn w:val="8"/>
    <w:autoRedefine/>
    <w:qFormat/>
    <w:uiPriority w:val="0"/>
    <w:pPr>
      <w:keepNext/>
      <w:numPr>
        <w:ilvl w:val="0"/>
        <w:numId w:val="1"/>
      </w:numPr>
      <w:tabs>
        <w:tab w:val="left" w:pos="360"/>
        <w:tab w:val="clear" w:pos="420"/>
      </w:tabs>
      <w:spacing w:before="312" w:beforeLines="100"/>
    </w:pPr>
    <w:rPr>
      <w:rFonts w:ascii="Tahoma" w:hAnsi="Tahoma" w:eastAsia="Times New Roman"/>
      <w:kern w:val="0"/>
      <w:sz w:val="24"/>
      <w:szCs w:val="20"/>
    </w:rPr>
  </w:style>
  <w:style w:type="paragraph" w:customStyle="1" w:styleId="53">
    <w:name w:val="正文文本_0"/>
    <w:basedOn w:val="54"/>
    <w:autoRedefine/>
    <w:qFormat/>
    <w:uiPriority w:val="0"/>
    <w:pPr>
      <w:adjustRightInd w:val="0"/>
      <w:spacing w:after="60" w:line="360" w:lineRule="atLeast"/>
      <w:ind w:left="30" w:leftChars="30" w:right="30" w:rightChars="30"/>
      <w:jc w:val="center"/>
    </w:pPr>
    <w:rPr>
      <w:rFonts w:ascii="宋体" w:hAnsi="宋体"/>
      <w:kern w:val="0"/>
      <w:sz w:val="20"/>
      <w:szCs w:val="20"/>
    </w:rPr>
  </w:style>
  <w:style w:type="paragraph" w:customStyle="1" w:styleId="54">
    <w:name w:val="正文_4"/>
    <w:next w:val="5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页脚_0"/>
    <w:basedOn w:val="54"/>
    <w:unhideWhenUsed/>
    <w:qFormat/>
    <w:uiPriority w:val="99"/>
    <w:pPr>
      <w:tabs>
        <w:tab w:val="center" w:pos="4153"/>
        <w:tab w:val="right" w:pos="8306"/>
      </w:tabs>
      <w:snapToGrid w:val="0"/>
      <w:jc w:val="left"/>
    </w:pPr>
    <w:rPr>
      <w:rFonts w:ascii="Calibri" w:hAnsi="Calibri"/>
      <w:sz w:val="18"/>
      <w:szCs w:val="18"/>
    </w:rPr>
  </w:style>
  <w:style w:type="paragraph" w:customStyle="1" w:styleId="56">
    <w:name w:val="纯文本_0"/>
    <w:basedOn w:val="54"/>
    <w:autoRedefine/>
    <w:semiHidden/>
    <w:qFormat/>
    <w:uiPriority w:val="0"/>
    <w:rPr>
      <w:rFonts w:ascii="宋体" w:hAnsi="Courier New"/>
      <w:kern w:val="0"/>
      <w:sz w:val="20"/>
      <w:szCs w:val="24"/>
    </w:rPr>
  </w:style>
  <w:style w:type="paragraph" w:customStyle="1" w:styleId="57">
    <w:name w:val="列出段落_0"/>
    <w:basedOn w:val="58"/>
    <w:autoRedefine/>
    <w:qFormat/>
    <w:uiPriority w:val="34"/>
    <w:pPr>
      <w:ind w:firstLine="420" w:firstLineChars="200"/>
    </w:pPr>
    <w:rPr>
      <w:rFonts w:ascii="Calibri" w:hAnsi="Calibri"/>
    </w:rPr>
  </w:style>
  <w:style w:type="paragraph" w:customStyle="1" w:styleId="58">
    <w:name w:val="正文_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标题 1_2"/>
    <w:basedOn w:val="54"/>
    <w:next w:val="54"/>
    <w:autoRedefine/>
    <w:semiHidden/>
    <w:qFormat/>
    <w:uiPriority w:val="0"/>
    <w:pPr>
      <w:keepNext/>
      <w:keepLines/>
      <w:spacing w:line="360" w:lineRule="auto"/>
      <w:outlineLvl w:val="0"/>
    </w:pPr>
    <w:rPr>
      <w:b/>
      <w:bCs/>
      <w:kern w:val="44"/>
      <w:sz w:val="32"/>
      <w:szCs w:val="44"/>
    </w:rPr>
  </w:style>
  <w:style w:type="paragraph" w:customStyle="1" w:styleId="60">
    <w:name w:val="正文_2_1"/>
    <w:basedOn w:val="54"/>
    <w:autoRedefine/>
    <w:qFormat/>
    <w:uiPriority w:val="0"/>
    <w:rPr>
      <w:rFonts w:ascii="Calibri" w:hAnsi="Calibri" w:cs="Calibri"/>
      <w:szCs w:val="21"/>
    </w:rPr>
  </w:style>
  <w:style w:type="paragraph" w:customStyle="1" w:styleId="61">
    <w:name w:val="标题 4_1_0"/>
    <w:basedOn w:val="60"/>
    <w:next w:val="60"/>
    <w:autoRedefine/>
    <w:qFormat/>
    <w:uiPriority w:val="0"/>
    <w:pPr>
      <w:keepNext/>
      <w:keepLines/>
      <w:spacing w:before="280" w:after="290" w:line="374" w:lineRule="auto"/>
      <w:outlineLvl w:val="3"/>
    </w:pPr>
    <w:rPr>
      <w:rFonts w:ascii="Arial" w:hAnsi="Arial" w:eastAsia="黑体" w:cs="Arial"/>
      <w:b/>
      <w:bCs/>
      <w:sz w:val="28"/>
      <w:szCs w:val="28"/>
    </w:rPr>
  </w:style>
  <w:style w:type="character" w:customStyle="1" w:styleId="62">
    <w:name w:val="10_1"/>
    <w:autoRedefine/>
    <w:qFormat/>
    <w:uiPriority w:val="0"/>
    <w:rPr>
      <w:rFonts w:hint="default" w:ascii="Times New Roman" w:hAnsi="Times New Roman" w:cs="Times New Roman"/>
    </w:rPr>
  </w:style>
  <w:style w:type="paragraph" w:customStyle="1" w:styleId="63">
    <w:name w:val="Default_0"/>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64">
    <w:name w:val="正文_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15_0"/>
    <w:autoRedefine/>
    <w:qFormat/>
    <w:uiPriority w:val="0"/>
    <w:rPr>
      <w:rFonts w:hint="default" w:ascii="Times New Roman" w:hAnsi="Times New Roman" w:cs="Times New Roman"/>
    </w:rPr>
  </w:style>
  <w:style w:type="character" w:customStyle="1" w:styleId="66">
    <w:name w:val="10_0"/>
    <w:autoRedefine/>
    <w:qFormat/>
    <w:uiPriority w:val="0"/>
    <w:rPr>
      <w:rFonts w:hint="default" w:ascii="Times New Roman" w:hAnsi="Times New Roman" w:cs="Times New Roman"/>
    </w:rPr>
  </w:style>
  <w:style w:type="paragraph" w:customStyle="1" w:styleId="67">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68">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标题 2_0_0"/>
    <w:basedOn w:val="40"/>
    <w:next w:val="40"/>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71">
    <w:name w:val="标题 3_0_0"/>
    <w:basedOn w:val="40"/>
    <w:next w:val="40"/>
    <w:unhideWhenUsed/>
    <w:qFormat/>
    <w:uiPriority w:val="0"/>
    <w:pPr>
      <w:keepNext/>
      <w:keepLines/>
      <w:spacing w:line="360" w:lineRule="auto"/>
      <w:outlineLvl w:val="2"/>
    </w:pPr>
    <w:rPr>
      <w:rFonts w:ascii="Calibri" w:hAnsi="Calibri" w:eastAsia="黑体"/>
      <w:b/>
      <w:bCs/>
      <w:kern w:val="0"/>
      <w:sz w:val="32"/>
      <w:szCs w:val="32"/>
      <w:lang w:val="zh-CN"/>
    </w:rPr>
  </w:style>
  <w:style w:type="paragraph" w:customStyle="1" w:styleId="72">
    <w:name w:val="正文_2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_2_0"/>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21146</Words>
  <Characters>22205</Characters>
  <Lines>0</Lines>
  <Paragraphs>0</Paragraphs>
  <TotalTime>40</TotalTime>
  <ScaleCrop>false</ScaleCrop>
  <LinksUpToDate>false</LinksUpToDate>
  <CharactersWithSpaces>23521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2022-04-29T12:51:00Z</dcterms:created>
  <dc:creator>米格格</dc:creator>
  <cp:lastModifiedBy>oho</cp:lastModifiedBy>
  <cp:lastPrinted>2025-04-14T07:45:00Z</cp:lastPrinted>
  <dcterms:modified xsi:type="dcterms:W3CDTF">2025-08-08T01:49:43Z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38336A425D184015A366C53B08127C37_13</vt:lpwstr>
  </property>
  <property fmtid="{D5CDD505-2E9C-101B-9397-08002B2CF9AE}" pid="4" name="KSOTemplateDocerSaveRecord">
    <vt:lpwstr>eyJoZGlkIjoiOTYxZjEyODIzZDgwNTQwYjJmMzJiYzBjZDdlNTkzYTEiLCJ1c2VySWQiOiIzODEwOTA4NzUifQ==</vt:lpwstr>
  </property>
</Properties>
</file>